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18DFC">
      <w:pPr>
        <w:autoSpaceDE w:val="0"/>
        <w:autoSpaceDN w:val="0"/>
        <w:adjustRightInd w:val="0"/>
        <w:jc w:val="center"/>
        <w:rPr>
          <w:b/>
          <w:sz w:val="44"/>
          <w:szCs w:val="44"/>
        </w:rPr>
      </w:pPr>
    </w:p>
    <w:p w14:paraId="5795C525">
      <w:pPr>
        <w:autoSpaceDE w:val="0"/>
        <w:autoSpaceDN w:val="0"/>
        <w:adjustRightInd w:val="0"/>
        <w:jc w:val="center"/>
        <w:rPr>
          <w:b/>
          <w:sz w:val="44"/>
          <w:szCs w:val="44"/>
        </w:rPr>
      </w:pPr>
      <w:r>
        <w:rPr>
          <w:rFonts w:hint="eastAsia"/>
          <w:b/>
          <w:sz w:val="44"/>
          <w:szCs w:val="44"/>
        </w:rPr>
        <w:t>增城区永宁街岗丰村陈家林地块环境综合整治项目效果评估</w:t>
      </w:r>
    </w:p>
    <w:p w14:paraId="6908FE9D">
      <w:pPr>
        <w:autoSpaceDE w:val="0"/>
        <w:autoSpaceDN w:val="0"/>
        <w:adjustRightInd w:val="0"/>
        <w:jc w:val="center"/>
        <w:rPr>
          <w:b/>
          <w:sz w:val="44"/>
          <w:szCs w:val="44"/>
        </w:rPr>
      </w:pPr>
    </w:p>
    <w:p w14:paraId="3149285E">
      <w:pPr>
        <w:pStyle w:val="6"/>
      </w:pPr>
    </w:p>
    <w:p w14:paraId="1CC799B9">
      <w:pPr>
        <w:pStyle w:val="9"/>
        <w:spacing w:after="0"/>
      </w:pPr>
    </w:p>
    <w:p w14:paraId="2BC43062">
      <w:pPr>
        <w:spacing w:line="400" w:lineRule="exact"/>
        <w:rPr>
          <w:rFonts w:ascii="Times New Roman" w:hAnsi="Times New Roman"/>
        </w:rPr>
      </w:pPr>
    </w:p>
    <w:p w14:paraId="2F575124">
      <w:pPr>
        <w:spacing w:line="400" w:lineRule="exact"/>
        <w:jc w:val="right"/>
        <w:rPr>
          <w:rFonts w:ascii="Times New Roman" w:hAnsi="Times New Roman"/>
        </w:rPr>
      </w:pPr>
    </w:p>
    <w:p w14:paraId="5504BAD0">
      <w:pPr>
        <w:rPr>
          <w:rFonts w:ascii="Times New Roman" w:hAnsi="Times New Roman"/>
          <w:sz w:val="28"/>
          <w:szCs w:val="28"/>
        </w:rPr>
      </w:pPr>
    </w:p>
    <w:p w14:paraId="034370EB">
      <w:pPr>
        <w:rPr>
          <w:rFonts w:ascii="Times New Roman" w:hAnsi="Times New Roman"/>
          <w:sz w:val="28"/>
          <w:szCs w:val="28"/>
        </w:rPr>
      </w:pPr>
    </w:p>
    <w:p w14:paraId="0DAE4FB1">
      <w:pPr>
        <w:rPr>
          <w:rFonts w:ascii="Times New Roman" w:hAnsi="Times New Roman"/>
          <w:sz w:val="28"/>
          <w:szCs w:val="28"/>
        </w:rPr>
      </w:pPr>
    </w:p>
    <w:p w14:paraId="37864C33">
      <w:pPr>
        <w:rPr>
          <w:rFonts w:ascii="Times New Roman" w:hAnsi="Times New Roman"/>
          <w:sz w:val="28"/>
          <w:szCs w:val="28"/>
        </w:rPr>
      </w:pPr>
    </w:p>
    <w:p w14:paraId="33346B66">
      <w:pPr>
        <w:rPr>
          <w:rFonts w:ascii="Times New Roman" w:hAnsi="Times New Roman"/>
          <w:sz w:val="28"/>
          <w:szCs w:val="28"/>
        </w:rPr>
      </w:pPr>
    </w:p>
    <w:p w14:paraId="38359EB8">
      <w:pPr>
        <w:rPr>
          <w:rFonts w:ascii="Times New Roman" w:hAnsi="Times New Roman"/>
          <w:sz w:val="28"/>
          <w:szCs w:val="28"/>
        </w:rPr>
      </w:pPr>
    </w:p>
    <w:p w14:paraId="33A70989">
      <w:pPr>
        <w:rPr>
          <w:rFonts w:ascii="Times New Roman" w:hAnsi="Times New Roman"/>
          <w:sz w:val="28"/>
        </w:rPr>
      </w:pPr>
    </w:p>
    <w:p w14:paraId="41A17E8B">
      <w:pPr>
        <w:jc w:val="center"/>
        <w:rPr>
          <w:rFonts w:ascii="Times New Roman" w:hAnsi="Times New Roman" w:eastAsia="黑体"/>
          <w:sz w:val="84"/>
          <w:szCs w:val="84"/>
        </w:rPr>
      </w:pPr>
      <w:r>
        <w:rPr>
          <w:rFonts w:ascii="Times New Roman" w:hAnsi="Times New Roman" w:eastAsia="黑体"/>
          <w:sz w:val="84"/>
          <w:szCs w:val="84"/>
        </w:rPr>
        <w:t>招</w:t>
      </w:r>
      <w:r>
        <w:rPr>
          <w:rFonts w:hint="eastAsia" w:ascii="Times New Roman" w:hAnsi="Times New Roman" w:eastAsia="黑体"/>
          <w:sz w:val="84"/>
          <w:szCs w:val="84"/>
        </w:rPr>
        <w:t xml:space="preserve"> </w:t>
      </w:r>
      <w:r>
        <w:rPr>
          <w:rFonts w:ascii="Times New Roman" w:hAnsi="Times New Roman" w:eastAsia="黑体"/>
          <w:sz w:val="84"/>
          <w:szCs w:val="84"/>
        </w:rPr>
        <w:t>标</w:t>
      </w:r>
      <w:r>
        <w:rPr>
          <w:rFonts w:hint="eastAsia" w:ascii="Times New Roman" w:hAnsi="Times New Roman" w:eastAsia="黑体"/>
          <w:sz w:val="84"/>
          <w:szCs w:val="84"/>
        </w:rPr>
        <w:t xml:space="preserve"> </w:t>
      </w:r>
      <w:r>
        <w:rPr>
          <w:rFonts w:ascii="Times New Roman" w:hAnsi="Times New Roman" w:eastAsia="黑体"/>
          <w:sz w:val="84"/>
          <w:szCs w:val="84"/>
        </w:rPr>
        <w:t>文</w:t>
      </w:r>
      <w:r>
        <w:rPr>
          <w:rFonts w:hint="eastAsia" w:ascii="Times New Roman" w:hAnsi="Times New Roman" w:eastAsia="黑体"/>
          <w:sz w:val="84"/>
          <w:szCs w:val="84"/>
        </w:rPr>
        <w:t xml:space="preserve"> </w:t>
      </w:r>
      <w:r>
        <w:rPr>
          <w:rFonts w:ascii="Times New Roman" w:hAnsi="Times New Roman" w:eastAsia="黑体"/>
          <w:sz w:val="84"/>
          <w:szCs w:val="84"/>
        </w:rPr>
        <w:t>件</w:t>
      </w:r>
    </w:p>
    <w:p w14:paraId="420F88A2">
      <w:pPr>
        <w:spacing w:line="400" w:lineRule="exact"/>
        <w:rPr>
          <w:rFonts w:ascii="Times New Roman" w:hAnsi="Times New Roman"/>
        </w:rPr>
      </w:pPr>
    </w:p>
    <w:p w14:paraId="4DE5319B">
      <w:pPr>
        <w:spacing w:line="400" w:lineRule="exact"/>
        <w:rPr>
          <w:rFonts w:ascii="Times New Roman" w:hAnsi="Times New Roman"/>
        </w:rPr>
      </w:pPr>
    </w:p>
    <w:p w14:paraId="470616B6">
      <w:pPr>
        <w:spacing w:line="400" w:lineRule="exact"/>
        <w:rPr>
          <w:rFonts w:ascii="Times New Roman" w:hAnsi="Times New Roman"/>
        </w:rPr>
      </w:pPr>
    </w:p>
    <w:p w14:paraId="2B8D9AE4">
      <w:pPr>
        <w:spacing w:line="400" w:lineRule="exact"/>
        <w:rPr>
          <w:rFonts w:ascii="Times New Roman" w:hAnsi="Times New Roman"/>
        </w:rPr>
      </w:pPr>
    </w:p>
    <w:p w14:paraId="5C784BD1">
      <w:pPr>
        <w:spacing w:line="400" w:lineRule="exact"/>
        <w:rPr>
          <w:rFonts w:ascii="Times New Roman" w:hAnsi="Times New Roman"/>
        </w:rPr>
      </w:pPr>
    </w:p>
    <w:p w14:paraId="5C3C79C6">
      <w:pPr>
        <w:spacing w:line="400" w:lineRule="exact"/>
        <w:rPr>
          <w:rFonts w:ascii="Times New Roman" w:hAnsi="Times New Roman"/>
        </w:rPr>
      </w:pPr>
    </w:p>
    <w:p w14:paraId="0FACDB6A">
      <w:pPr>
        <w:spacing w:line="400" w:lineRule="exact"/>
        <w:rPr>
          <w:rFonts w:ascii="Times New Roman" w:hAnsi="Times New Roman"/>
        </w:rPr>
      </w:pPr>
    </w:p>
    <w:p w14:paraId="4E12F6C8">
      <w:pPr>
        <w:spacing w:line="400" w:lineRule="exact"/>
        <w:rPr>
          <w:rFonts w:ascii="Times New Roman" w:hAnsi="Times New Roman"/>
        </w:rPr>
      </w:pPr>
    </w:p>
    <w:p w14:paraId="1D5CD5C1">
      <w:pPr>
        <w:spacing w:line="360" w:lineRule="auto"/>
        <w:ind w:firstLine="707" w:firstLineChars="220"/>
        <w:rPr>
          <w:rFonts w:ascii="宋体" w:hAnsi="宋体"/>
          <w:b/>
          <w:sz w:val="32"/>
          <w:szCs w:val="32"/>
        </w:rPr>
      </w:pPr>
      <w:r>
        <w:rPr>
          <w:rFonts w:hint="eastAsia" w:ascii="宋体" w:hAnsi="宋体"/>
          <w:b/>
          <w:sz w:val="32"/>
          <w:szCs w:val="32"/>
        </w:rPr>
        <w:t>招 标 单 位 ：广州市增城区人民政府永宁街道办事处</w:t>
      </w:r>
    </w:p>
    <w:p w14:paraId="2089294A">
      <w:pPr>
        <w:spacing w:line="360" w:lineRule="auto"/>
        <w:ind w:firstLine="707" w:firstLineChars="220"/>
        <w:rPr>
          <w:rFonts w:ascii="宋体" w:hAnsi="宋体"/>
          <w:b/>
          <w:sz w:val="32"/>
          <w:szCs w:val="32"/>
        </w:rPr>
      </w:pPr>
      <w:r>
        <w:rPr>
          <w:rFonts w:hint="eastAsia" w:ascii="宋体" w:hAnsi="宋体"/>
          <w:b/>
          <w:sz w:val="32"/>
          <w:szCs w:val="32"/>
        </w:rPr>
        <w:t>招标代理单位：广州建筑工程监理有限公司</w:t>
      </w:r>
    </w:p>
    <w:p w14:paraId="1DCFD102">
      <w:pPr>
        <w:spacing w:line="360" w:lineRule="auto"/>
        <w:ind w:firstLine="707" w:firstLineChars="220"/>
        <w:rPr>
          <w:rFonts w:ascii="宋体" w:hAnsi="宋体"/>
          <w:b/>
          <w:sz w:val="32"/>
          <w:szCs w:val="32"/>
        </w:rPr>
      </w:pPr>
      <w:r>
        <w:rPr>
          <w:rFonts w:hint="eastAsia" w:ascii="宋体" w:hAnsi="宋体"/>
          <w:b/>
          <w:sz w:val="32"/>
          <w:szCs w:val="32"/>
        </w:rPr>
        <w:t>日        期：二〇二五年十</w:t>
      </w:r>
      <w:r>
        <w:rPr>
          <w:rFonts w:hint="eastAsia" w:ascii="宋体" w:hAnsi="宋体"/>
          <w:b/>
          <w:sz w:val="32"/>
          <w:szCs w:val="32"/>
          <w:lang w:val="en-US" w:eastAsia="zh-CN"/>
        </w:rPr>
        <w:t>一</w:t>
      </w:r>
      <w:r>
        <w:rPr>
          <w:rFonts w:hint="eastAsia" w:ascii="宋体" w:hAnsi="宋体"/>
          <w:b/>
          <w:sz w:val="32"/>
          <w:szCs w:val="32"/>
        </w:rPr>
        <w:t>月</w:t>
      </w:r>
    </w:p>
    <w:p w14:paraId="6F1120E5">
      <w:pPr>
        <w:pStyle w:val="27"/>
        <w:keepNext w:val="0"/>
        <w:keepLines w:val="0"/>
        <w:widowControl w:val="0"/>
        <w:jc w:val="center"/>
        <w:rPr>
          <w:rFonts w:ascii="Times New Roman" w:hAnsi="Times New Roman" w:eastAsia="黑体"/>
          <w:b w:val="0"/>
          <w:color w:val="auto"/>
          <w:lang w:val="zh-CN"/>
        </w:rPr>
      </w:pPr>
      <w:bookmarkStart w:id="0" w:name="_Toc152045511"/>
      <w:bookmarkStart w:id="1" w:name="_Toc144974479"/>
      <w:bookmarkStart w:id="2" w:name="_Toc152042287"/>
    </w:p>
    <w:p w14:paraId="641277F4">
      <w:pPr>
        <w:pStyle w:val="27"/>
        <w:keepNext w:val="0"/>
        <w:keepLines w:val="0"/>
        <w:widowControl w:val="0"/>
        <w:jc w:val="center"/>
        <w:rPr>
          <w:rFonts w:ascii="Times New Roman" w:hAnsi="Times New Roman" w:eastAsia="黑体"/>
          <w:b w:val="0"/>
          <w:color w:val="auto"/>
        </w:rPr>
      </w:pPr>
      <w:r>
        <w:rPr>
          <w:rFonts w:ascii="Times New Roman" w:hAnsi="Times New Roman" w:eastAsia="黑体"/>
          <w:b w:val="0"/>
          <w:color w:val="auto"/>
          <w:lang w:val="zh-CN"/>
        </w:rPr>
        <w:t>目  录</w:t>
      </w:r>
    </w:p>
    <w:p w14:paraId="45C5DB2B">
      <w:pPr>
        <w:pStyle w:val="16"/>
        <w:tabs>
          <w:tab w:val="right" w:leader="dot" w:pos="8630"/>
        </w:tabs>
        <w:spacing w:line="360" w:lineRule="auto"/>
        <w:jc w:val="center"/>
        <w:rPr>
          <w:rFonts w:ascii="Times New Roman" w:hAnsi="Times New Roman"/>
          <w:sz w:val="28"/>
          <w:szCs w:val="28"/>
        </w:rPr>
      </w:pPr>
    </w:p>
    <w:p w14:paraId="136B5644">
      <w:pPr>
        <w:pStyle w:val="16"/>
        <w:tabs>
          <w:tab w:val="right" w:leader="dot" w:pos="8640"/>
        </w:tabs>
        <w:spacing w:line="360" w:lineRule="auto"/>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r>
        <w:fldChar w:fldCharType="begin"/>
      </w:r>
      <w:r>
        <w:instrText xml:space="preserve"> HYPERLINK \l "_Toc1704" </w:instrText>
      </w:r>
      <w:r>
        <w:fldChar w:fldCharType="separate"/>
      </w:r>
      <w:r>
        <w:t>第一卷</w:t>
      </w:r>
      <w:r>
        <w:tab/>
      </w:r>
      <w:r>
        <w:fldChar w:fldCharType="begin"/>
      </w:r>
      <w:r>
        <w:instrText xml:space="preserve"> PAGEREF _Toc1704 \h </w:instrText>
      </w:r>
      <w:r>
        <w:fldChar w:fldCharType="separate"/>
      </w:r>
      <w:r>
        <w:t>3</w:t>
      </w:r>
      <w:r>
        <w:fldChar w:fldCharType="end"/>
      </w:r>
      <w:r>
        <w:fldChar w:fldCharType="end"/>
      </w:r>
    </w:p>
    <w:p w14:paraId="61B46B5D">
      <w:pPr>
        <w:pStyle w:val="16"/>
        <w:tabs>
          <w:tab w:val="right" w:leader="dot" w:pos="8640"/>
        </w:tabs>
        <w:spacing w:line="360" w:lineRule="auto"/>
      </w:pPr>
      <w:r>
        <w:fldChar w:fldCharType="begin"/>
      </w:r>
      <w:r>
        <w:instrText xml:space="preserve"> HYPERLINK \l "_Toc6165" </w:instrText>
      </w:r>
      <w:r>
        <w:fldChar w:fldCharType="separate"/>
      </w:r>
      <w:r>
        <w:rPr>
          <w:rFonts w:hint="eastAsia"/>
        </w:rPr>
        <w:t xml:space="preserve">第一章 </w:t>
      </w:r>
      <w:r>
        <w:t>招标公告</w:t>
      </w:r>
      <w:r>
        <w:tab/>
      </w:r>
      <w:r>
        <w:fldChar w:fldCharType="begin"/>
      </w:r>
      <w:r>
        <w:instrText xml:space="preserve"> PAGEREF _Toc6165 \h </w:instrText>
      </w:r>
      <w:r>
        <w:fldChar w:fldCharType="separate"/>
      </w:r>
      <w:r>
        <w:t>3</w:t>
      </w:r>
      <w:r>
        <w:fldChar w:fldCharType="end"/>
      </w:r>
      <w:r>
        <w:fldChar w:fldCharType="end"/>
      </w:r>
    </w:p>
    <w:p w14:paraId="6657B241">
      <w:pPr>
        <w:pStyle w:val="16"/>
        <w:tabs>
          <w:tab w:val="right" w:leader="dot" w:pos="8640"/>
        </w:tabs>
        <w:spacing w:line="360" w:lineRule="auto"/>
      </w:pPr>
      <w:r>
        <w:fldChar w:fldCharType="begin"/>
      </w:r>
      <w:r>
        <w:instrText xml:space="preserve"> HYPERLINK \l "_Toc7926" </w:instrText>
      </w:r>
      <w:r>
        <w:fldChar w:fldCharType="separate"/>
      </w:r>
      <w:r>
        <w:t>第二章</w:t>
      </w:r>
      <w:r>
        <w:rPr>
          <w:rFonts w:hint="eastAsia"/>
        </w:rPr>
        <w:t xml:space="preserve"> </w:t>
      </w:r>
      <w:r>
        <w:t>投标人须知</w:t>
      </w:r>
      <w:r>
        <w:tab/>
      </w:r>
      <w:r>
        <w:fldChar w:fldCharType="begin"/>
      </w:r>
      <w:r>
        <w:instrText xml:space="preserve"> PAGEREF _Toc7926 \h </w:instrText>
      </w:r>
      <w:r>
        <w:fldChar w:fldCharType="separate"/>
      </w:r>
      <w:r>
        <w:t>9</w:t>
      </w:r>
      <w:r>
        <w:fldChar w:fldCharType="end"/>
      </w:r>
      <w:r>
        <w:fldChar w:fldCharType="end"/>
      </w:r>
    </w:p>
    <w:p w14:paraId="41BD6FE9">
      <w:pPr>
        <w:pStyle w:val="16"/>
        <w:tabs>
          <w:tab w:val="right" w:leader="dot" w:pos="8640"/>
        </w:tabs>
        <w:spacing w:line="360" w:lineRule="auto"/>
      </w:pPr>
      <w:r>
        <w:fldChar w:fldCharType="begin"/>
      </w:r>
      <w:r>
        <w:instrText xml:space="preserve"> HYPERLINK \l "_Toc8967" </w:instrText>
      </w:r>
      <w:r>
        <w:fldChar w:fldCharType="separate"/>
      </w:r>
      <w:r>
        <w:t>第三章</w:t>
      </w:r>
      <w:r>
        <w:rPr>
          <w:rFonts w:hint="eastAsia"/>
        </w:rPr>
        <w:t xml:space="preserve"> </w:t>
      </w:r>
      <w:r>
        <w:t>评标办法（综合评估法）</w:t>
      </w:r>
      <w:r>
        <w:tab/>
      </w:r>
      <w:r>
        <w:fldChar w:fldCharType="begin"/>
      </w:r>
      <w:r>
        <w:instrText xml:space="preserve"> PAGEREF _Toc8967 \h </w:instrText>
      </w:r>
      <w:r>
        <w:fldChar w:fldCharType="separate"/>
      </w:r>
      <w:r>
        <w:t>36</w:t>
      </w:r>
      <w:r>
        <w:fldChar w:fldCharType="end"/>
      </w:r>
      <w:r>
        <w:fldChar w:fldCharType="end"/>
      </w:r>
    </w:p>
    <w:p w14:paraId="7BF6433D">
      <w:pPr>
        <w:pStyle w:val="16"/>
        <w:tabs>
          <w:tab w:val="right" w:leader="dot" w:pos="8640"/>
        </w:tabs>
        <w:spacing w:line="360" w:lineRule="auto"/>
      </w:pPr>
      <w:r>
        <w:fldChar w:fldCharType="begin"/>
      </w:r>
      <w:r>
        <w:instrText xml:space="preserve"> HYPERLINK \l "_Toc9454" </w:instrText>
      </w:r>
      <w:r>
        <w:fldChar w:fldCharType="separate"/>
      </w:r>
      <w:r>
        <w:t>第四章</w:t>
      </w:r>
      <w:r>
        <w:rPr>
          <w:rFonts w:hint="eastAsia"/>
        </w:rPr>
        <w:t xml:space="preserve"> </w:t>
      </w:r>
      <w:r>
        <w:t>合同条款及格式</w:t>
      </w:r>
      <w:r>
        <w:tab/>
      </w:r>
      <w:r>
        <w:fldChar w:fldCharType="begin"/>
      </w:r>
      <w:r>
        <w:instrText xml:space="preserve"> PAGEREF _Toc9454 \h </w:instrText>
      </w:r>
      <w:r>
        <w:fldChar w:fldCharType="separate"/>
      </w:r>
      <w:r>
        <w:t>44</w:t>
      </w:r>
      <w:r>
        <w:fldChar w:fldCharType="end"/>
      </w:r>
      <w:r>
        <w:fldChar w:fldCharType="end"/>
      </w:r>
    </w:p>
    <w:p w14:paraId="65F4CAB4">
      <w:pPr>
        <w:pStyle w:val="16"/>
        <w:tabs>
          <w:tab w:val="right" w:leader="dot" w:pos="8640"/>
        </w:tabs>
        <w:spacing w:line="360" w:lineRule="auto"/>
      </w:pPr>
      <w:r>
        <w:fldChar w:fldCharType="begin"/>
      </w:r>
      <w:r>
        <w:instrText xml:space="preserve"> HYPERLINK \l "_Toc23198" </w:instrText>
      </w:r>
      <w:r>
        <w:fldChar w:fldCharType="separate"/>
      </w:r>
      <w:r>
        <w:t>第</w:t>
      </w:r>
      <w:r>
        <w:rPr>
          <w:rFonts w:hint="eastAsia"/>
        </w:rPr>
        <w:t>二</w:t>
      </w:r>
      <w:r>
        <w:t>卷</w:t>
      </w:r>
      <w:r>
        <w:tab/>
      </w:r>
      <w:r>
        <w:fldChar w:fldCharType="begin"/>
      </w:r>
      <w:r>
        <w:instrText xml:space="preserve"> PAGEREF _Toc23198 \h </w:instrText>
      </w:r>
      <w:r>
        <w:fldChar w:fldCharType="separate"/>
      </w:r>
      <w:r>
        <w:t>45</w:t>
      </w:r>
      <w:r>
        <w:fldChar w:fldCharType="end"/>
      </w:r>
      <w:r>
        <w:fldChar w:fldCharType="end"/>
      </w:r>
    </w:p>
    <w:p w14:paraId="47C0A595">
      <w:pPr>
        <w:pStyle w:val="16"/>
        <w:tabs>
          <w:tab w:val="right" w:leader="dot" w:pos="8640"/>
        </w:tabs>
        <w:spacing w:line="360" w:lineRule="auto"/>
      </w:pPr>
      <w:r>
        <w:fldChar w:fldCharType="begin"/>
      </w:r>
      <w:r>
        <w:instrText xml:space="preserve"> HYPERLINK \l "_Toc8436" </w:instrText>
      </w:r>
      <w:r>
        <w:fldChar w:fldCharType="separate"/>
      </w:r>
      <w:r>
        <w:t>第五章</w:t>
      </w:r>
      <w:r>
        <w:rPr>
          <w:rFonts w:hint="eastAsia"/>
        </w:rPr>
        <w:t xml:space="preserve"> </w:t>
      </w:r>
      <w:r>
        <w:t>委托人要求</w:t>
      </w:r>
      <w:r>
        <w:tab/>
      </w:r>
      <w:r>
        <w:fldChar w:fldCharType="begin"/>
      </w:r>
      <w:r>
        <w:instrText xml:space="preserve"> PAGEREF _Toc8436 \h </w:instrText>
      </w:r>
      <w:r>
        <w:fldChar w:fldCharType="separate"/>
      </w:r>
      <w:r>
        <w:t>45</w:t>
      </w:r>
      <w:r>
        <w:fldChar w:fldCharType="end"/>
      </w:r>
      <w:r>
        <w:fldChar w:fldCharType="end"/>
      </w:r>
    </w:p>
    <w:p w14:paraId="700DDFBC">
      <w:pPr>
        <w:pStyle w:val="16"/>
        <w:tabs>
          <w:tab w:val="right" w:leader="dot" w:pos="8640"/>
        </w:tabs>
        <w:spacing w:line="360" w:lineRule="auto"/>
      </w:pPr>
      <w:r>
        <w:fldChar w:fldCharType="begin"/>
      </w:r>
      <w:r>
        <w:instrText xml:space="preserve"> HYPERLINK \l "_Toc18925" </w:instrText>
      </w:r>
      <w:r>
        <w:fldChar w:fldCharType="separate"/>
      </w:r>
      <w:r>
        <w:t>第</w:t>
      </w:r>
      <w:r>
        <w:rPr>
          <w:rFonts w:hint="eastAsia"/>
        </w:rPr>
        <w:t>三</w:t>
      </w:r>
      <w:r>
        <w:t>卷</w:t>
      </w:r>
      <w:r>
        <w:tab/>
      </w:r>
      <w:r>
        <w:fldChar w:fldCharType="begin"/>
      </w:r>
      <w:r>
        <w:instrText xml:space="preserve"> PAGEREF _Toc18925 \h </w:instrText>
      </w:r>
      <w:r>
        <w:fldChar w:fldCharType="separate"/>
      </w:r>
      <w:r>
        <w:t>47</w:t>
      </w:r>
      <w:r>
        <w:fldChar w:fldCharType="end"/>
      </w:r>
      <w:r>
        <w:fldChar w:fldCharType="end"/>
      </w:r>
    </w:p>
    <w:p w14:paraId="72A90477">
      <w:pPr>
        <w:pStyle w:val="16"/>
        <w:tabs>
          <w:tab w:val="right" w:leader="dot" w:pos="8640"/>
        </w:tabs>
        <w:spacing w:line="360" w:lineRule="auto"/>
      </w:pPr>
      <w:r>
        <w:fldChar w:fldCharType="begin"/>
      </w:r>
      <w:r>
        <w:instrText xml:space="preserve"> HYPERLINK \l "_Toc1152" </w:instrText>
      </w:r>
      <w:r>
        <w:fldChar w:fldCharType="separate"/>
      </w:r>
      <w:r>
        <w:t>第六章</w:t>
      </w:r>
      <w:r>
        <w:rPr>
          <w:rFonts w:hint="eastAsia"/>
        </w:rPr>
        <w:t xml:space="preserve"> </w:t>
      </w:r>
      <w:r>
        <w:t>投标文件格式</w:t>
      </w:r>
      <w:r>
        <w:tab/>
      </w:r>
      <w:r>
        <w:fldChar w:fldCharType="begin"/>
      </w:r>
      <w:r>
        <w:instrText xml:space="preserve"> PAGEREF _Toc1152 \h </w:instrText>
      </w:r>
      <w:r>
        <w:fldChar w:fldCharType="separate"/>
      </w:r>
      <w:r>
        <w:t>47</w:t>
      </w:r>
      <w:r>
        <w:fldChar w:fldCharType="end"/>
      </w:r>
      <w:r>
        <w:fldChar w:fldCharType="end"/>
      </w:r>
    </w:p>
    <w:p w14:paraId="320F5635">
      <w:pPr>
        <w:pStyle w:val="11"/>
        <w:tabs>
          <w:tab w:val="right" w:leader="dot" w:pos="8640"/>
        </w:tabs>
        <w:spacing w:line="360" w:lineRule="auto"/>
        <w:ind w:left="840"/>
      </w:pPr>
    </w:p>
    <w:p w14:paraId="067FE346">
      <w:pPr>
        <w:spacing w:line="360" w:lineRule="auto"/>
        <w:rPr>
          <w:sz w:val="28"/>
          <w:szCs w:val="28"/>
        </w:rPr>
        <w:sectPr>
          <w:footerReference r:id="rId3" w:type="default"/>
          <w:pgSz w:w="12240" w:h="15840"/>
          <w:pgMar w:top="1440" w:right="1800" w:bottom="1440" w:left="1800" w:header="720" w:footer="720" w:gutter="0"/>
          <w:pgNumType w:start="1"/>
          <w:cols w:space="720" w:num="1"/>
          <w:docGrid w:linePitch="285" w:charSpace="0"/>
        </w:sectPr>
      </w:pPr>
      <w:r>
        <w:rPr>
          <w:rFonts w:ascii="Times New Roman" w:hAnsi="Times New Roman"/>
          <w:szCs w:val="28"/>
        </w:rPr>
        <w:fldChar w:fldCharType="end"/>
      </w:r>
    </w:p>
    <w:p w14:paraId="7DE6A9B5">
      <w:pPr>
        <w:pStyle w:val="3"/>
        <w:keepNext w:val="0"/>
        <w:keepLines w:val="0"/>
        <w:spacing w:line="560" w:lineRule="exact"/>
        <w:jc w:val="center"/>
      </w:pPr>
      <w:bookmarkStart w:id="3" w:name="_Toc511557024"/>
      <w:bookmarkStart w:id="4" w:name="_Toc1704"/>
      <w:r>
        <w:t>第</w:t>
      </w:r>
      <w:bookmarkEnd w:id="0"/>
      <w:bookmarkEnd w:id="1"/>
      <w:bookmarkEnd w:id="2"/>
      <w:bookmarkEnd w:id="3"/>
      <w:r>
        <w:t>一卷</w:t>
      </w:r>
      <w:bookmarkEnd w:id="4"/>
    </w:p>
    <w:p w14:paraId="05A8E07B">
      <w:pPr>
        <w:pStyle w:val="3"/>
        <w:keepNext w:val="0"/>
        <w:keepLines w:val="0"/>
        <w:spacing w:line="560" w:lineRule="exact"/>
        <w:jc w:val="center"/>
      </w:pPr>
      <w:bookmarkStart w:id="5" w:name="_Toc6165"/>
      <w:r>
        <w:rPr>
          <w:rFonts w:hint="eastAsia"/>
        </w:rPr>
        <w:t>第一章</w:t>
      </w:r>
      <w:r>
        <w:t>招标公告</w:t>
      </w:r>
      <w:bookmarkEnd w:id="5"/>
    </w:p>
    <w:p w14:paraId="59988D11">
      <w:pPr>
        <w:spacing w:line="360" w:lineRule="auto"/>
        <w:jc w:val="center"/>
        <w:rPr>
          <w:rFonts w:ascii="宋体" w:hAnsi="宋体" w:cs="宋体"/>
          <w:b/>
          <w:sz w:val="36"/>
          <w:szCs w:val="36"/>
        </w:rPr>
      </w:pPr>
      <w:r>
        <w:rPr>
          <w:rFonts w:hint="eastAsia" w:ascii="宋体" w:hAnsi="宋体" w:cs="宋体"/>
          <w:b/>
          <w:sz w:val="36"/>
          <w:szCs w:val="36"/>
        </w:rPr>
        <w:t>增城区永宁街岗丰村陈家林地块环境综合整治项目效果评估招标公告</w:t>
      </w:r>
      <w:bookmarkStart w:id="6" w:name="_Toc511557025"/>
      <w:bookmarkStart w:id="7" w:name="_Toc527028841"/>
    </w:p>
    <w:p w14:paraId="3F7B6428">
      <w:pPr>
        <w:pStyle w:val="4"/>
        <w:keepNext w:val="0"/>
        <w:keepLines w:val="0"/>
        <w:spacing w:before="0" w:after="0" w:line="360" w:lineRule="auto"/>
        <w:rPr>
          <w:rFonts w:ascii="Times New Roman" w:hAnsi="Times New Roman"/>
        </w:rPr>
      </w:pPr>
      <w:r>
        <w:rPr>
          <w:rFonts w:ascii="Times New Roman" w:hAnsi="Times New Roman"/>
        </w:rPr>
        <w:t>1. 招标条件</w:t>
      </w:r>
      <w:bookmarkEnd w:id="6"/>
      <w:bookmarkEnd w:id="7"/>
    </w:p>
    <w:p w14:paraId="3FC59235">
      <w:pPr>
        <w:spacing w:line="360" w:lineRule="auto"/>
        <w:ind w:firstLine="480" w:firstLineChars="200"/>
        <w:rPr>
          <w:sz w:val="24"/>
          <w:szCs w:val="24"/>
        </w:rPr>
      </w:pPr>
      <w:bookmarkStart w:id="8" w:name="_Toc511557026"/>
      <w:r>
        <w:rPr>
          <w:rFonts w:hint="eastAsia"/>
          <w:sz w:val="24"/>
          <w:szCs w:val="24"/>
        </w:rPr>
        <w:t>本招标项目</w:t>
      </w:r>
      <w:r>
        <w:rPr>
          <w:rFonts w:hint="eastAsia"/>
          <w:sz w:val="24"/>
          <w:szCs w:val="24"/>
          <w:u w:val="single"/>
        </w:rPr>
        <w:t>增城区永宁街岗丰村陈家林地块环境综合整治项目效果评估</w:t>
      </w:r>
      <w:r>
        <w:rPr>
          <w:rFonts w:hint="eastAsia" w:cs="Microsoft JhengHei"/>
          <w:sz w:val="24"/>
          <w:szCs w:val="24"/>
        </w:rPr>
        <w:t>已经由</w:t>
      </w:r>
      <w:r>
        <w:rPr>
          <w:rFonts w:hint="eastAsia" w:ascii="宋体" w:hAnsi="宋体"/>
          <w:sz w:val="24"/>
          <w:u w:val="single"/>
        </w:rPr>
        <w:t>穗增发改投批[2024]44号（项目代码：2401-440118-04-01-887174）</w:t>
      </w:r>
      <w:r>
        <w:rPr>
          <w:rFonts w:hint="eastAsia" w:cs="Microsoft JhengHei"/>
          <w:sz w:val="24"/>
          <w:szCs w:val="24"/>
        </w:rPr>
        <w:t>批准建设</w:t>
      </w:r>
      <w:r>
        <w:rPr>
          <w:rFonts w:hint="eastAsia"/>
          <w:sz w:val="24"/>
          <w:szCs w:val="24"/>
        </w:rPr>
        <w:t>，项目业主</w:t>
      </w:r>
      <w:r>
        <w:rPr>
          <w:rFonts w:hint="eastAsia"/>
          <w:sz w:val="24"/>
          <w:szCs w:val="24"/>
          <w:u w:val="single"/>
        </w:rPr>
        <w:t>广州市增城区人民政府永宁街道办事处</w:t>
      </w:r>
      <w:r>
        <w:rPr>
          <w:rFonts w:hint="eastAsia" w:ascii="宋体" w:hAnsi="宋体"/>
          <w:sz w:val="24"/>
        </w:rPr>
        <w:t>，</w:t>
      </w:r>
      <w:r>
        <w:rPr>
          <w:rFonts w:hint="eastAsia"/>
          <w:sz w:val="24"/>
          <w:szCs w:val="24"/>
        </w:rPr>
        <w:t>建设资金为</w:t>
      </w:r>
      <w:r>
        <w:rPr>
          <w:rFonts w:hint="eastAsia" w:ascii="宋体" w:hAnsi="宋体" w:cs="宋体"/>
          <w:sz w:val="24"/>
          <w:u w:val="single"/>
        </w:rPr>
        <w:t>区财政资金</w:t>
      </w:r>
      <w:r>
        <w:rPr>
          <w:rFonts w:hint="eastAsia"/>
          <w:sz w:val="24"/>
          <w:szCs w:val="24"/>
        </w:rPr>
        <w:t>，出资比例为100%，招标人为</w:t>
      </w:r>
      <w:r>
        <w:rPr>
          <w:rFonts w:hint="eastAsia" w:ascii="宋体" w:hAnsi="宋体"/>
          <w:sz w:val="24"/>
          <w:u w:val="single"/>
        </w:rPr>
        <w:t>广州市增城区人民政府永宁街道办事处</w:t>
      </w:r>
      <w:r>
        <w:rPr>
          <w:rFonts w:hint="eastAsia"/>
          <w:sz w:val="24"/>
          <w:szCs w:val="24"/>
        </w:rPr>
        <w:t xml:space="preserve">。项目已具备招标条件，现对该项目进行公开招标。 </w:t>
      </w:r>
    </w:p>
    <w:p w14:paraId="63C0FC56">
      <w:pPr>
        <w:pStyle w:val="4"/>
        <w:keepNext w:val="0"/>
        <w:keepLines w:val="0"/>
        <w:spacing w:before="0" w:after="0" w:line="360" w:lineRule="auto"/>
        <w:rPr>
          <w:rFonts w:ascii="Times New Roman" w:hAnsi="Times New Roman"/>
        </w:rPr>
      </w:pPr>
      <w:bookmarkStart w:id="9" w:name="_Toc527028842"/>
      <w:r>
        <w:rPr>
          <w:rFonts w:ascii="Times New Roman" w:hAnsi="Times New Roman"/>
        </w:rPr>
        <w:t>2. 项目概况与</w:t>
      </w:r>
      <w:r>
        <w:rPr>
          <w:rFonts w:hint="eastAsia" w:ascii="Times New Roman" w:hAnsi="Times New Roman"/>
        </w:rPr>
        <w:t>招标范围</w:t>
      </w:r>
      <w:bookmarkEnd w:id="8"/>
      <w:bookmarkEnd w:id="9"/>
    </w:p>
    <w:p w14:paraId="4C402686">
      <w:pPr>
        <w:spacing w:line="360" w:lineRule="auto"/>
        <w:ind w:firstLine="480" w:firstLineChars="200"/>
        <w:rPr>
          <w:rFonts w:ascii="宋体" w:hAnsi="宋体" w:cs="宋体"/>
          <w:sz w:val="24"/>
          <w:u w:val="single"/>
        </w:rPr>
      </w:pPr>
      <w:r>
        <w:rPr>
          <w:rFonts w:hint="eastAsia"/>
          <w:sz w:val="24"/>
          <w:szCs w:val="24"/>
        </w:rPr>
        <w:t>2.1项目名称：</w:t>
      </w:r>
      <w:r>
        <w:rPr>
          <w:rFonts w:hint="eastAsia"/>
          <w:sz w:val="24"/>
          <w:szCs w:val="24"/>
          <w:u w:val="single"/>
        </w:rPr>
        <w:t>增城区永宁街岗丰村陈家林地块环境综合整治项目效果评估</w:t>
      </w:r>
    </w:p>
    <w:p w14:paraId="2F62B140">
      <w:pPr>
        <w:spacing w:line="360" w:lineRule="auto"/>
        <w:ind w:firstLine="480" w:firstLineChars="200"/>
        <w:rPr>
          <w:rFonts w:ascii="宋体" w:hAnsi="宋体" w:cs="宋体"/>
          <w:kern w:val="0"/>
          <w:sz w:val="24"/>
          <w:u w:val="single"/>
        </w:rPr>
      </w:pPr>
      <w:r>
        <w:rPr>
          <w:rFonts w:hint="eastAsia"/>
          <w:sz w:val="24"/>
          <w:szCs w:val="24"/>
        </w:rPr>
        <w:t>2.2 建设地点：</w:t>
      </w:r>
      <w:r>
        <w:rPr>
          <w:rFonts w:hint="eastAsia" w:cs="宋体"/>
          <w:sz w:val="24"/>
          <w:u w:val="single"/>
        </w:rPr>
        <w:t>增城区永宁街岗丰村储备地块</w:t>
      </w:r>
      <w:r>
        <w:rPr>
          <w:rFonts w:hint="eastAsia" w:ascii="宋体" w:hAnsi="宋体" w:cs="宋体"/>
          <w:kern w:val="0"/>
          <w:sz w:val="24"/>
          <w:szCs w:val="24"/>
          <w:u w:val="single"/>
          <w:lang w:bidi="ar"/>
        </w:rPr>
        <w:t>。</w:t>
      </w:r>
    </w:p>
    <w:p w14:paraId="4FE998A8">
      <w:pPr>
        <w:spacing w:line="360" w:lineRule="auto"/>
        <w:ind w:firstLine="480" w:firstLineChars="200"/>
        <w:rPr>
          <w:sz w:val="24"/>
          <w:szCs w:val="24"/>
          <w:u w:val="single"/>
        </w:rPr>
      </w:pPr>
      <w:r>
        <w:rPr>
          <w:rFonts w:hint="eastAsia"/>
          <w:sz w:val="24"/>
          <w:szCs w:val="24"/>
        </w:rPr>
        <w:t>2.3项目规模和标段划分</w:t>
      </w:r>
    </w:p>
    <w:p w14:paraId="13D0E5BD">
      <w:pPr>
        <w:spacing w:line="360" w:lineRule="auto"/>
        <w:ind w:firstLine="480" w:firstLineChars="200"/>
        <w:rPr>
          <w:sz w:val="24"/>
          <w:szCs w:val="24"/>
        </w:rPr>
      </w:pPr>
      <w:r>
        <w:rPr>
          <w:rFonts w:hint="eastAsia"/>
          <w:sz w:val="24"/>
          <w:szCs w:val="24"/>
        </w:rPr>
        <w:t>（1）项目规模：</w:t>
      </w:r>
      <w:r>
        <w:rPr>
          <w:rFonts w:hint="eastAsia"/>
          <w:sz w:val="24"/>
          <w:szCs w:val="24"/>
          <w:u w:val="single"/>
        </w:rPr>
        <w:t>项目位于永宁街岗丰村储备地块，实施环境综合整治，挖运处置地块内原回填固体废物，整治范围占地面积约97440.31平方米(折合约146.16亩)，预估清理量约205122.05立方米，具体以实际清挖数量为准。</w:t>
      </w:r>
    </w:p>
    <w:p w14:paraId="216F1061">
      <w:pPr>
        <w:spacing w:line="360" w:lineRule="auto"/>
        <w:ind w:firstLine="480" w:firstLineChars="200"/>
        <w:rPr>
          <w:bCs/>
          <w:sz w:val="24"/>
          <w:szCs w:val="24"/>
          <w:u w:val="single"/>
        </w:rPr>
      </w:pPr>
      <w:r>
        <w:rPr>
          <w:rFonts w:hint="eastAsia"/>
          <w:sz w:val="24"/>
          <w:szCs w:val="24"/>
        </w:rPr>
        <w:t>（2）</w:t>
      </w:r>
      <w:r>
        <w:rPr>
          <w:rFonts w:hint="eastAsia"/>
          <w:bCs/>
          <w:sz w:val="24"/>
          <w:szCs w:val="24"/>
        </w:rPr>
        <w:t>标段划分：</w:t>
      </w:r>
      <w:r>
        <w:rPr>
          <w:rFonts w:hint="eastAsia"/>
          <w:bCs/>
          <w:sz w:val="24"/>
          <w:szCs w:val="24"/>
          <w:u w:val="single"/>
        </w:rPr>
        <w:t>本项目划分1个标段。</w:t>
      </w:r>
    </w:p>
    <w:p w14:paraId="34D0DC35">
      <w:pPr>
        <w:spacing w:line="360" w:lineRule="auto"/>
        <w:ind w:firstLine="480" w:firstLineChars="200"/>
        <w:rPr>
          <w:sz w:val="24"/>
          <w:szCs w:val="24"/>
        </w:rPr>
      </w:pPr>
      <w:r>
        <w:rPr>
          <w:rFonts w:hint="eastAsia"/>
          <w:sz w:val="24"/>
          <w:szCs w:val="24"/>
        </w:rPr>
        <w:t>2.4招标范围</w:t>
      </w:r>
    </w:p>
    <w:p w14:paraId="6B0213F2">
      <w:pPr>
        <w:spacing w:line="360" w:lineRule="auto"/>
        <w:ind w:firstLine="480" w:firstLineChars="200"/>
        <w:rPr>
          <w:sz w:val="24"/>
          <w:szCs w:val="24"/>
          <w:u w:val="single"/>
        </w:rPr>
      </w:pPr>
      <w:r>
        <w:rPr>
          <w:rFonts w:hint="eastAsia"/>
          <w:sz w:val="24"/>
          <w:szCs w:val="24"/>
          <w:u w:val="single"/>
        </w:rPr>
        <w:t>按国家、广东省、广州市现行有关标准、规范、规程和</w:t>
      </w:r>
      <w:r>
        <w:rPr>
          <w:rFonts w:hint="eastAsia"/>
          <w:sz w:val="24"/>
          <w:szCs w:val="24"/>
          <w:u w:val="single"/>
          <w:lang w:val="en-US" w:eastAsia="zh-CN"/>
        </w:rPr>
        <w:t>业主</w:t>
      </w:r>
      <w:r>
        <w:rPr>
          <w:rFonts w:hint="eastAsia"/>
          <w:sz w:val="24"/>
          <w:szCs w:val="24"/>
          <w:u w:val="single"/>
        </w:rPr>
        <w:t>的相关要求，包括但不限于按照国家及地方环保法律法规、技术规范开展本项目的修复效果评估工作、编制修复效果评估工作方案、提供技术咨询、治理与修复效果评估报告、统筹配合处置项目验收等工作。具体工作内容包括但不限于：</w:t>
      </w:r>
    </w:p>
    <w:p w14:paraId="5ECBB356">
      <w:pPr>
        <w:spacing w:line="360" w:lineRule="auto"/>
        <w:ind w:firstLine="480" w:firstLineChars="200"/>
        <w:rPr>
          <w:sz w:val="24"/>
          <w:szCs w:val="24"/>
          <w:u w:val="single"/>
        </w:rPr>
      </w:pPr>
      <w:r>
        <w:rPr>
          <w:rFonts w:hint="eastAsia"/>
          <w:sz w:val="24"/>
          <w:szCs w:val="24"/>
          <w:u w:val="single"/>
        </w:rPr>
        <w:t>（1）负责项目修复效果现场采样、检测分析、修复效果评估、报告编制、专家评审等各项工作。</w:t>
      </w:r>
    </w:p>
    <w:p w14:paraId="5ABECFD7">
      <w:pPr>
        <w:spacing w:line="360" w:lineRule="auto"/>
        <w:ind w:firstLine="480" w:firstLineChars="200"/>
        <w:rPr>
          <w:sz w:val="24"/>
          <w:szCs w:val="24"/>
          <w:u w:val="single"/>
        </w:rPr>
      </w:pPr>
      <w:r>
        <w:rPr>
          <w:rFonts w:hint="eastAsia"/>
          <w:sz w:val="24"/>
          <w:szCs w:val="24"/>
          <w:u w:val="single"/>
        </w:rPr>
        <w:t>（2）负责编写修复效果评估工作方案，负责效果评估相关工作的评审、报审、报批（如有）。</w:t>
      </w:r>
    </w:p>
    <w:p w14:paraId="4CB7D246">
      <w:pPr>
        <w:spacing w:line="360" w:lineRule="auto"/>
        <w:ind w:firstLine="480" w:firstLineChars="200"/>
        <w:rPr>
          <w:sz w:val="24"/>
          <w:szCs w:val="24"/>
          <w:u w:val="single"/>
        </w:rPr>
      </w:pPr>
      <w:r>
        <w:rPr>
          <w:rFonts w:hint="eastAsia"/>
          <w:sz w:val="24"/>
          <w:szCs w:val="24"/>
          <w:u w:val="single"/>
        </w:rPr>
        <w:t>（3）根据国家、省、市生态环境等部门的有关要求，对本地块的治理与修复项目实施情况、二次污染控制情况、环保/监测措施落实情况、治理与修复范围与工程量核定、现场遗留污染识别及处理等，进行达标验收。</w:t>
      </w:r>
    </w:p>
    <w:p w14:paraId="330DA21C">
      <w:pPr>
        <w:spacing w:line="360" w:lineRule="auto"/>
        <w:ind w:firstLine="480" w:firstLineChars="200"/>
        <w:rPr>
          <w:sz w:val="24"/>
          <w:szCs w:val="24"/>
          <w:u w:val="single"/>
        </w:rPr>
      </w:pPr>
      <w:r>
        <w:rPr>
          <w:rFonts w:hint="eastAsia"/>
          <w:sz w:val="24"/>
          <w:szCs w:val="24"/>
          <w:u w:val="single"/>
        </w:rPr>
        <w:t>（4）参考《污染地块风险管控与土壤修复效果评估技术导则》(试行)(HJ25.5-2018)、《建设用地土壤污染风险管控和修复监测技术导则》(HJ25.2-2019)、《污染地块地下水修复和风险管控技术导则》(HJ25.6-2019)、《场地环境监测技术导则》、《广东省建设用地土壤污染状况调查、风险评估及效果评估报告技术审查要点(试行)》(粤环办(2020)67号)等相关规定进行全过程现场采样、记录、质控及实验室分析，并保存完整的资料，及时出具质量合格的检测报告，并对其负责。</w:t>
      </w:r>
    </w:p>
    <w:p w14:paraId="2DD079F5">
      <w:pPr>
        <w:spacing w:line="360" w:lineRule="auto"/>
        <w:ind w:firstLine="480" w:firstLineChars="200"/>
        <w:rPr>
          <w:sz w:val="24"/>
          <w:szCs w:val="24"/>
          <w:u w:val="single"/>
        </w:rPr>
      </w:pPr>
      <w:r>
        <w:rPr>
          <w:rFonts w:hint="eastAsia"/>
          <w:sz w:val="24"/>
          <w:szCs w:val="24"/>
          <w:u w:val="single"/>
        </w:rPr>
        <w:t>（5）结合治理与修复项目的完成情况，在符合效果评估技术方案要求后收集项目验收材料，包括施工竣工报告、环境监理报告、工程监理报告等，编制《固体废物清理处置效果评估报告》，并通过业主单位组织的专家评审会，取得专家评审意见。</w:t>
      </w:r>
    </w:p>
    <w:p w14:paraId="52E9CCEB">
      <w:pPr>
        <w:spacing w:line="360" w:lineRule="auto"/>
        <w:ind w:firstLine="480" w:firstLineChars="200"/>
        <w:rPr>
          <w:sz w:val="24"/>
          <w:szCs w:val="24"/>
        </w:rPr>
      </w:pPr>
      <w:r>
        <w:rPr>
          <w:rFonts w:hint="eastAsia"/>
          <w:sz w:val="24"/>
          <w:szCs w:val="24"/>
        </w:rPr>
        <w:t>2.5服务期限</w:t>
      </w:r>
    </w:p>
    <w:p w14:paraId="56233736">
      <w:pPr>
        <w:spacing w:line="360" w:lineRule="auto"/>
        <w:ind w:firstLine="480" w:firstLineChars="200"/>
        <w:rPr>
          <w:rFonts w:hAnsi="Times New Roman"/>
          <w:sz w:val="24"/>
          <w:szCs w:val="24"/>
          <w:u w:val="single"/>
        </w:rPr>
      </w:pPr>
      <w:bookmarkStart w:id="10" w:name="_Hlk136249883"/>
      <w:r>
        <w:rPr>
          <w:rFonts w:hint="eastAsia"/>
          <w:sz w:val="24"/>
          <w:szCs w:val="24"/>
          <w:u w:val="single"/>
        </w:rPr>
        <w:t>效果评估服务期为自合同签订之日起，至完成全部治理与修复工作、并通过业主单位组织的专家评审、完成移交（含资料移交）、项目结算以及保修期满之日止。</w:t>
      </w:r>
    </w:p>
    <w:bookmarkEnd w:id="10"/>
    <w:p w14:paraId="32940E62">
      <w:pPr>
        <w:spacing w:line="360" w:lineRule="auto"/>
        <w:ind w:firstLine="480" w:firstLineChars="200"/>
        <w:rPr>
          <w:rFonts w:ascii="宋体" w:hAnsi="宋体" w:cs="宋体"/>
          <w:sz w:val="24"/>
          <w:szCs w:val="24"/>
        </w:rPr>
      </w:pPr>
      <w:r>
        <w:rPr>
          <w:rFonts w:hint="eastAsia"/>
          <w:sz w:val="24"/>
          <w:szCs w:val="24"/>
        </w:rPr>
        <w:t xml:space="preserve">2.6 </w:t>
      </w:r>
      <w:r>
        <w:rPr>
          <w:rFonts w:hint="eastAsia" w:ascii="宋体" w:hAnsi="宋体" w:cs="宋体"/>
          <w:sz w:val="24"/>
          <w:szCs w:val="24"/>
        </w:rPr>
        <w:t>最高投标限价（即招标控制价）：</w:t>
      </w:r>
      <w:r>
        <w:rPr>
          <w:rFonts w:hint="eastAsia" w:ascii="宋体" w:hAnsi="宋体" w:cs="宋体"/>
          <w:sz w:val="24"/>
          <w:szCs w:val="24"/>
          <w:u w:val="single"/>
        </w:rPr>
        <w:t>4195700.00元</w:t>
      </w:r>
      <w:r>
        <w:rPr>
          <w:rFonts w:hint="eastAsia" w:ascii="宋体" w:hAnsi="宋体" w:cs="宋体"/>
          <w:sz w:val="24"/>
          <w:szCs w:val="24"/>
          <w:lang w:val="zh-CN"/>
        </w:rPr>
        <w:t>。</w:t>
      </w:r>
      <w:r>
        <w:rPr>
          <w:rFonts w:hint="eastAsia" w:ascii="宋体" w:hAnsi="宋体" w:cs="宋体"/>
          <w:bCs/>
          <w:sz w:val="24"/>
          <w:szCs w:val="24"/>
        </w:rPr>
        <w:t>(本项目实行双限价，即:投标人的投标总报价及综合单价都不能超过招标人公布的最高投标限价或综合单价限价，投标总报价超过最高投标限价或投标综合单价超过综合单价限价的投标文件将被拒绝。）</w:t>
      </w:r>
    </w:p>
    <w:p w14:paraId="67943566">
      <w:pPr>
        <w:pStyle w:val="4"/>
        <w:keepNext w:val="0"/>
        <w:keepLines w:val="0"/>
        <w:spacing w:before="0" w:after="0" w:line="360" w:lineRule="auto"/>
        <w:rPr>
          <w:rFonts w:ascii="Times New Roman" w:hAnsi="Times New Roman"/>
        </w:rPr>
      </w:pPr>
      <w:bookmarkStart w:id="11" w:name="_Toc527028843"/>
      <w:bookmarkStart w:id="12" w:name="_Toc511557027"/>
      <w:r>
        <w:rPr>
          <w:rFonts w:ascii="Times New Roman" w:hAnsi="Times New Roman"/>
        </w:rPr>
        <w:t>3. 投标人资格要求</w:t>
      </w:r>
      <w:bookmarkEnd w:id="11"/>
      <w:bookmarkEnd w:id="12"/>
    </w:p>
    <w:p w14:paraId="5121F0F3">
      <w:pPr>
        <w:spacing w:line="360" w:lineRule="auto"/>
        <w:ind w:firstLine="480" w:firstLineChars="200"/>
        <w:rPr>
          <w:rFonts w:ascii="宋体" w:hAnsi="宋体" w:cs="宋体"/>
          <w:sz w:val="24"/>
          <w:szCs w:val="24"/>
        </w:rPr>
      </w:pPr>
      <w:r>
        <w:rPr>
          <w:rFonts w:hint="eastAsia" w:ascii="宋体" w:hAnsi="宋体" w:cs="宋体"/>
          <w:sz w:val="24"/>
          <w:szCs w:val="24"/>
        </w:rPr>
        <w:t>3.1 投标人参加投标的意思表达清楚，投标人代表被授权有效。</w:t>
      </w:r>
    </w:p>
    <w:p w14:paraId="6E445546">
      <w:pPr>
        <w:spacing w:line="360" w:lineRule="auto"/>
        <w:ind w:firstLine="480" w:firstLineChars="200"/>
        <w:rPr>
          <w:rFonts w:ascii="宋体" w:hAnsi="宋体" w:cs="宋体"/>
          <w:sz w:val="24"/>
          <w:szCs w:val="24"/>
        </w:rPr>
      </w:pPr>
      <w:r>
        <w:rPr>
          <w:rFonts w:hint="eastAsia" w:ascii="宋体" w:hAnsi="宋体" w:cs="宋体"/>
          <w:sz w:val="24"/>
          <w:szCs w:val="24"/>
        </w:rPr>
        <w:t>3.2 投标人具有独立法人资格，持有事业单位登记管理部门核发的事业单位法人证书或工商行政（市场监督）管理部门核发的企业法人营业执照，按国家法律经营。</w:t>
      </w:r>
    </w:p>
    <w:p w14:paraId="35A271D5">
      <w:pPr>
        <w:spacing w:line="360" w:lineRule="auto"/>
        <w:ind w:firstLine="480" w:firstLineChars="200"/>
        <w:rPr>
          <w:rFonts w:ascii="宋体" w:hAnsi="宋体" w:cs="宋体"/>
          <w:sz w:val="24"/>
          <w:szCs w:val="24"/>
        </w:rPr>
      </w:pPr>
      <w:r>
        <w:rPr>
          <w:rFonts w:hint="eastAsia" w:ascii="宋体" w:hAnsi="宋体" w:cs="宋体"/>
          <w:sz w:val="24"/>
          <w:szCs w:val="24"/>
        </w:rPr>
        <w:t>3.3 投标人须具备有效期内的质量技术监督部门颁发的计量认证（CMA）资质认定证书。</w:t>
      </w:r>
    </w:p>
    <w:p w14:paraId="089E4E65">
      <w:pPr>
        <w:spacing w:line="360" w:lineRule="auto"/>
        <w:ind w:firstLine="480" w:firstLineChars="200"/>
        <w:rPr>
          <w:rFonts w:ascii="宋体" w:hAnsi="宋体" w:cs="宋体"/>
          <w:sz w:val="24"/>
          <w:szCs w:val="24"/>
        </w:rPr>
      </w:pPr>
      <w:r>
        <w:rPr>
          <w:rFonts w:hint="eastAsia" w:ascii="宋体" w:hAnsi="宋体" w:cs="宋体"/>
          <w:sz w:val="24"/>
          <w:szCs w:val="24"/>
        </w:rPr>
        <w:t>3.4 投标人拟委派项目负责人要求具备环境类专业工程师或以上职称。</w:t>
      </w:r>
    </w:p>
    <w:p w14:paraId="2CC44773">
      <w:pPr>
        <w:spacing w:line="360" w:lineRule="auto"/>
        <w:ind w:firstLine="480" w:firstLineChars="200"/>
        <w:rPr>
          <w:rFonts w:ascii="宋体" w:hAnsi="宋体" w:cs="宋体"/>
          <w:sz w:val="24"/>
          <w:szCs w:val="24"/>
        </w:rPr>
      </w:pPr>
      <w:r>
        <w:rPr>
          <w:rFonts w:hint="eastAsia" w:ascii="宋体" w:hAnsi="宋体" w:cs="宋体"/>
          <w:sz w:val="24"/>
          <w:szCs w:val="24"/>
        </w:rPr>
        <w:t>3.5 投标人已按规定格式签名盖章《投标人声明》（格式见招标公告附件一）。</w:t>
      </w:r>
    </w:p>
    <w:p w14:paraId="6D999EF9">
      <w:pPr>
        <w:spacing w:line="360" w:lineRule="auto"/>
        <w:ind w:firstLine="480" w:firstLineChars="200"/>
        <w:rPr>
          <w:rFonts w:ascii="宋体" w:hAnsi="宋体" w:cs="宋体"/>
          <w:sz w:val="24"/>
          <w:szCs w:val="24"/>
        </w:rPr>
      </w:pPr>
      <w:r>
        <w:rPr>
          <w:rFonts w:hint="eastAsia" w:ascii="宋体" w:hAnsi="宋体" w:cs="宋体"/>
          <w:sz w:val="24"/>
          <w:szCs w:val="24"/>
        </w:rPr>
        <w:t>3.6 资格审查前，投标人须在广州公共资源交易中心办理企业信息登记，企业信息取自投标截止时间投标人在广州公共资源交易中心企业库内登记的信息。</w:t>
      </w:r>
    </w:p>
    <w:p w14:paraId="6B31D8BA">
      <w:pPr>
        <w:spacing w:line="360" w:lineRule="auto"/>
        <w:ind w:firstLine="480" w:firstLineChars="200"/>
        <w:rPr>
          <w:rFonts w:ascii="宋体" w:hAnsi="宋体" w:cs="宋体"/>
          <w:sz w:val="24"/>
          <w:szCs w:val="24"/>
        </w:rPr>
      </w:pPr>
      <w:r>
        <w:rPr>
          <w:rFonts w:hint="eastAsia" w:ascii="宋体" w:hAnsi="宋体" w:cs="宋体"/>
          <w:sz w:val="24"/>
          <w:szCs w:val="24"/>
        </w:rPr>
        <w:t>3.7 投标人未被列入拖欠农民工工资失信联合惩戒对象名单（投标人无需提供资料，按交易系统比对的结果进行评审）。</w:t>
      </w:r>
    </w:p>
    <w:p w14:paraId="6BCDD649">
      <w:pPr>
        <w:spacing w:line="360" w:lineRule="auto"/>
        <w:ind w:firstLine="480" w:firstLineChars="200"/>
        <w:rPr>
          <w:rFonts w:ascii="宋体" w:hAnsi="宋体" w:cs="宋体"/>
          <w:sz w:val="24"/>
          <w:szCs w:val="24"/>
        </w:rPr>
      </w:pPr>
      <w:r>
        <w:rPr>
          <w:rFonts w:hint="eastAsia" w:ascii="宋体" w:hAnsi="宋体" w:cs="宋体"/>
          <w:sz w:val="24"/>
          <w:szCs w:val="24"/>
        </w:rPr>
        <w:t>3.8 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152AF924">
      <w:pPr>
        <w:spacing w:line="360" w:lineRule="auto"/>
        <w:ind w:firstLine="480" w:firstLineChars="200"/>
        <w:rPr>
          <w:rFonts w:ascii="宋体" w:hAnsi="宋体" w:cs="宋体"/>
          <w:sz w:val="24"/>
          <w:szCs w:val="24"/>
        </w:rPr>
      </w:pPr>
      <w:r>
        <w:rPr>
          <w:rFonts w:hint="eastAsia" w:ascii="宋体" w:hAnsi="宋体" w:cs="宋体"/>
          <w:sz w:val="24"/>
          <w:szCs w:val="24"/>
        </w:rPr>
        <w:t>3.9关于联合体投标：本项目不接受联合体投标。</w:t>
      </w:r>
    </w:p>
    <w:p w14:paraId="504393D2">
      <w:pPr>
        <w:pStyle w:val="4"/>
        <w:keepNext w:val="0"/>
        <w:keepLines w:val="0"/>
        <w:spacing w:before="0" w:after="0" w:line="360" w:lineRule="auto"/>
        <w:rPr>
          <w:rFonts w:ascii="Times New Roman" w:hAnsi="Times New Roman"/>
        </w:rPr>
      </w:pPr>
      <w:bookmarkStart w:id="13" w:name="_Toc511557028"/>
      <w:bookmarkStart w:id="14" w:name="_Toc527028844"/>
      <w:r>
        <w:rPr>
          <w:rFonts w:ascii="Times New Roman" w:hAnsi="Times New Roman"/>
        </w:rPr>
        <w:t xml:space="preserve">4. </w:t>
      </w:r>
      <w:r>
        <w:rPr>
          <w:rFonts w:hint="eastAsia" w:ascii="Times New Roman" w:hAnsi="Times New Roman"/>
        </w:rPr>
        <w:t>招标文件的获取</w:t>
      </w:r>
      <w:bookmarkEnd w:id="13"/>
      <w:bookmarkEnd w:id="14"/>
    </w:p>
    <w:p w14:paraId="7C37D862">
      <w:pPr>
        <w:tabs>
          <w:tab w:val="left" w:pos="360"/>
        </w:tabs>
        <w:spacing w:line="360" w:lineRule="auto"/>
        <w:ind w:firstLine="480" w:firstLineChars="200"/>
        <w:rPr>
          <w:rFonts w:ascii="宋体" w:hAnsi="宋体" w:cs="宋体"/>
          <w:sz w:val="24"/>
          <w:szCs w:val="24"/>
        </w:rPr>
      </w:pPr>
      <w:r>
        <w:rPr>
          <w:rFonts w:ascii="宋体" w:hAnsi="宋体" w:cs="宋体"/>
          <w:sz w:val="24"/>
          <w:szCs w:val="24"/>
        </w:rPr>
        <w:t>4.1</w:t>
      </w:r>
      <w:r>
        <w:rPr>
          <w:rFonts w:hint="eastAsia" w:ascii="宋体" w:hAnsi="宋体" w:cs="宋体"/>
          <w:sz w:val="24"/>
          <w:szCs w:val="24"/>
        </w:rPr>
        <w:t xml:space="preserve"> 凡有意参加投标者，请于</w:t>
      </w:r>
      <w:r>
        <w:rPr>
          <w:rFonts w:ascii="宋体" w:hAnsi="宋体" w:cs="宋体"/>
          <w:sz w:val="24"/>
          <w:szCs w:val="24"/>
          <w:u w:val="single"/>
        </w:rPr>
        <w:t>20</w:t>
      </w:r>
      <w:r>
        <w:rPr>
          <w:rFonts w:hint="eastAsia" w:ascii="宋体" w:hAnsi="宋体" w:cs="宋体"/>
          <w:sz w:val="24"/>
          <w:szCs w:val="24"/>
          <w:u w:val="single"/>
        </w:rPr>
        <w:t xml:space="preserve">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00</w:t>
      </w:r>
      <w:r>
        <w:rPr>
          <w:rFonts w:hint="eastAsia" w:ascii="宋体" w:hAnsi="宋体" w:cs="宋体"/>
          <w:sz w:val="24"/>
          <w:szCs w:val="24"/>
        </w:rPr>
        <w:t>时</w:t>
      </w:r>
      <w:r>
        <w:rPr>
          <w:rFonts w:hint="eastAsia" w:ascii="宋体" w:hAnsi="宋体" w:cs="宋体"/>
          <w:sz w:val="24"/>
          <w:szCs w:val="24"/>
          <w:u w:val="single"/>
        </w:rPr>
        <w:t>00</w:t>
      </w:r>
      <w:r>
        <w:rPr>
          <w:rFonts w:hint="eastAsia" w:ascii="宋体" w:hAnsi="宋体" w:cs="宋体"/>
          <w:sz w:val="24"/>
          <w:szCs w:val="24"/>
        </w:rPr>
        <w:t>分至</w:t>
      </w:r>
      <w:r>
        <w:rPr>
          <w:rFonts w:ascii="宋体" w:hAnsi="宋体" w:cs="宋体"/>
          <w:sz w:val="24"/>
          <w:szCs w:val="24"/>
          <w:u w:val="single"/>
        </w:rPr>
        <w:t>20</w:t>
      </w:r>
      <w:r>
        <w:rPr>
          <w:rFonts w:hint="eastAsia" w:ascii="宋体" w:hAnsi="宋体" w:cs="宋体"/>
          <w:sz w:val="24"/>
          <w:szCs w:val="24"/>
          <w:u w:val="single"/>
        </w:rPr>
        <w:t>25</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分（北京时间，下同），登录广州公共资源交易中心网站（以下简称“交易平台”或“电子招标投标交易平台”，网址：http://www.gzggzy.cn）下载电子招标文件。</w:t>
      </w:r>
    </w:p>
    <w:p w14:paraId="6E3F8646">
      <w:pPr>
        <w:spacing w:line="360" w:lineRule="auto"/>
        <w:ind w:left="479" w:leftChars="228"/>
        <w:rPr>
          <w:rFonts w:ascii="宋体" w:hAnsi="宋体" w:cs="宋体"/>
          <w:sz w:val="24"/>
          <w:szCs w:val="24"/>
          <w:u w:val="single"/>
        </w:rPr>
      </w:pPr>
      <w:r>
        <w:rPr>
          <w:rFonts w:ascii="宋体" w:hAnsi="宋体" w:cs="宋体"/>
          <w:sz w:val="24"/>
          <w:szCs w:val="24"/>
        </w:rPr>
        <w:t>4.2</w:t>
      </w:r>
      <w:r>
        <w:rPr>
          <w:rFonts w:hint="eastAsia" w:ascii="宋体" w:hAnsi="宋体" w:cs="宋体"/>
          <w:sz w:val="24"/>
          <w:szCs w:val="24"/>
        </w:rPr>
        <w:t xml:space="preserve"> 发布招标公告时间</w:t>
      </w:r>
      <w:r>
        <w:rPr>
          <w:rFonts w:hint="eastAsia" w:ascii="宋体" w:hAnsi="宋体" w:cs="宋体"/>
          <w:kern w:val="0"/>
          <w:sz w:val="24"/>
        </w:rPr>
        <w:t>（含本日）</w:t>
      </w:r>
      <w:r>
        <w:rPr>
          <w:rFonts w:hint="eastAsia" w:ascii="宋体" w:hAnsi="宋体" w:cs="宋体"/>
          <w:sz w:val="24"/>
          <w:szCs w:val="24"/>
        </w:rPr>
        <w:t>：</w:t>
      </w:r>
      <w:r>
        <w:rPr>
          <w:rFonts w:ascii="宋体" w:hAnsi="宋体" w:cs="宋体"/>
          <w:sz w:val="24"/>
          <w:szCs w:val="24"/>
          <w:u w:val="single"/>
        </w:rPr>
        <w:t>20</w:t>
      </w:r>
      <w:r>
        <w:rPr>
          <w:rFonts w:hint="eastAsia" w:ascii="宋体" w:hAnsi="宋体" w:cs="宋体"/>
          <w:sz w:val="24"/>
          <w:szCs w:val="24"/>
          <w:u w:val="single"/>
        </w:rPr>
        <w:t xml:space="preserve">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00</w:t>
      </w:r>
      <w:r>
        <w:rPr>
          <w:rFonts w:hint="eastAsia" w:ascii="宋体" w:hAnsi="宋体" w:cs="宋体"/>
          <w:sz w:val="24"/>
          <w:szCs w:val="24"/>
        </w:rPr>
        <w:t>时</w:t>
      </w:r>
      <w:r>
        <w:rPr>
          <w:rFonts w:hint="eastAsia" w:ascii="宋体" w:hAnsi="宋体" w:cs="宋体"/>
          <w:sz w:val="24"/>
          <w:szCs w:val="24"/>
          <w:u w:val="single"/>
        </w:rPr>
        <w:t>00</w:t>
      </w:r>
      <w:r>
        <w:rPr>
          <w:rFonts w:hint="eastAsia" w:ascii="宋体" w:hAnsi="宋体" w:cs="宋体"/>
          <w:sz w:val="24"/>
          <w:szCs w:val="24"/>
        </w:rPr>
        <w:t>分至</w:t>
      </w:r>
      <w:r>
        <w:rPr>
          <w:rFonts w:ascii="宋体" w:hAnsi="宋体" w:cs="宋体"/>
          <w:sz w:val="24"/>
          <w:szCs w:val="24"/>
          <w:u w:val="single"/>
        </w:rPr>
        <w:t>20</w:t>
      </w:r>
      <w:r>
        <w:rPr>
          <w:rFonts w:hint="eastAsia" w:ascii="宋体" w:hAnsi="宋体" w:cs="宋体"/>
          <w:sz w:val="24"/>
          <w:szCs w:val="24"/>
          <w:u w:val="single"/>
        </w:rPr>
        <w:t xml:space="preserve">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p>
    <w:p w14:paraId="618AAF78">
      <w:pPr>
        <w:spacing w:line="360" w:lineRule="auto"/>
        <w:rPr>
          <w:rFonts w:ascii="宋体" w:hAnsi="宋体" w:cs="宋体"/>
          <w:sz w:val="24"/>
          <w:szCs w:val="24"/>
        </w:rPr>
      </w:pP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w:t>
      </w:r>
    </w:p>
    <w:p w14:paraId="0B69EA1D">
      <w:pPr>
        <w:spacing w:line="360" w:lineRule="auto"/>
        <w:ind w:firstLine="480" w:firstLineChars="200"/>
        <w:rPr>
          <w:rFonts w:ascii="宋体" w:hAnsi="宋体" w:cs="宋体"/>
          <w:sz w:val="24"/>
          <w:szCs w:val="24"/>
          <w:u w:val="single"/>
        </w:rPr>
      </w:pPr>
      <w:r>
        <w:rPr>
          <w:rFonts w:hint="eastAsia" w:ascii="宋体" w:hAnsi="宋体" w:cs="宋体"/>
          <w:sz w:val="24"/>
          <w:szCs w:val="24"/>
        </w:rPr>
        <w:t>注：本公告发布之日起开始发布招标文件，发布招标公告的时间为招标公告发出之日起至递交投标文件截止时间止,并从招标公告发布之日起开始计算备标时间。</w:t>
      </w:r>
    </w:p>
    <w:p w14:paraId="3CA5CC8F">
      <w:pPr>
        <w:spacing w:line="360" w:lineRule="auto"/>
        <w:ind w:firstLine="480" w:firstLineChars="200"/>
        <w:rPr>
          <w:rFonts w:ascii="宋体" w:hAnsi="宋体" w:cs="宋体"/>
          <w:sz w:val="24"/>
          <w:szCs w:val="24"/>
        </w:rPr>
      </w:pPr>
      <w:r>
        <w:rPr>
          <w:rFonts w:hint="eastAsia" w:ascii="宋体" w:hAnsi="宋体" w:cs="宋体"/>
          <w:sz w:val="24"/>
          <w:szCs w:val="24"/>
        </w:rPr>
        <w:t>4.2.1 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具体详见广州公共资源交易中心网站。</w:t>
      </w:r>
    </w:p>
    <w:p w14:paraId="48A11B13">
      <w:pPr>
        <w:spacing w:line="360" w:lineRule="auto"/>
        <w:ind w:firstLine="480" w:firstLineChars="200"/>
        <w:rPr>
          <w:rFonts w:ascii="宋体" w:hAnsi="宋体" w:cs="宋体"/>
          <w:sz w:val="24"/>
          <w:szCs w:val="24"/>
        </w:rPr>
      </w:pPr>
      <w:r>
        <w:rPr>
          <w:rFonts w:hint="eastAsia" w:ascii="宋体" w:hAnsi="宋体" w:cs="宋体"/>
          <w:sz w:val="24"/>
          <w:szCs w:val="24"/>
        </w:rPr>
        <w:t>4.2.2 开标时间：</w:t>
      </w:r>
      <w:r>
        <w:rPr>
          <w:rFonts w:ascii="宋体" w:hAnsi="宋体" w:cs="宋体"/>
          <w:sz w:val="24"/>
          <w:szCs w:val="24"/>
          <w:u w:val="single"/>
        </w:rPr>
        <w:t>20</w:t>
      </w:r>
      <w:r>
        <w:rPr>
          <w:rFonts w:hint="eastAsia" w:ascii="宋体" w:hAnsi="宋体" w:cs="宋体"/>
          <w:sz w:val="24"/>
          <w:szCs w:val="24"/>
          <w:u w:val="single"/>
        </w:rPr>
        <w:t xml:space="preserve">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w:t>
      </w:r>
    </w:p>
    <w:p w14:paraId="17583CF9">
      <w:pPr>
        <w:spacing w:line="360" w:lineRule="auto"/>
        <w:ind w:firstLine="480" w:firstLineChars="200"/>
        <w:rPr>
          <w:rFonts w:ascii="宋体" w:hAnsi="宋体" w:cs="宋体"/>
          <w:sz w:val="24"/>
          <w:szCs w:val="24"/>
        </w:rPr>
      </w:pPr>
      <w:r>
        <w:rPr>
          <w:rFonts w:ascii="宋体" w:hAnsi="宋体" w:cs="宋体"/>
          <w:sz w:val="24"/>
          <w:szCs w:val="24"/>
        </w:rPr>
        <w:t>4.3</w:t>
      </w:r>
      <w:r>
        <w:rPr>
          <w:rFonts w:hint="eastAsia" w:ascii="宋体" w:hAnsi="宋体" w:cs="宋体"/>
          <w:sz w:val="24"/>
          <w:szCs w:val="24"/>
        </w:rPr>
        <w:t xml:space="preserve"> 本项目采用</w:t>
      </w:r>
      <w:r>
        <w:rPr>
          <w:rFonts w:hint="eastAsia" w:ascii="宋体" w:hAnsi="宋体" w:cs="宋体"/>
          <w:b/>
          <w:bCs/>
          <w:sz w:val="24"/>
          <w:szCs w:val="24"/>
          <w:u w:val="single"/>
        </w:rPr>
        <w:t>资格后审</w:t>
      </w:r>
      <w:r>
        <w:rPr>
          <w:rFonts w:hint="eastAsia" w:ascii="宋体" w:hAnsi="宋体" w:cs="宋体"/>
          <w:sz w:val="24"/>
          <w:szCs w:val="24"/>
        </w:rPr>
        <w:t>方式。</w:t>
      </w:r>
    </w:p>
    <w:p w14:paraId="7DED18B8">
      <w:pPr>
        <w:spacing w:line="360" w:lineRule="auto"/>
        <w:ind w:firstLine="480" w:firstLineChars="200"/>
        <w:rPr>
          <w:rFonts w:ascii="宋体" w:hAnsi="宋体" w:cs="宋体"/>
          <w:sz w:val="24"/>
          <w:szCs w:val="24"/>
        </w:rPr>
      </w:pPr>
      <w:r>
        <w:rPr>
          <w:rFonts w:hint="eastAsia" w:ascii="宋体" w:hAnsi="宋体" w:cs="宋体"/>
          <w:sz w:val="24"/>
          <w:szCs w:val="24"/>
        </w:rPr>
        <w:t>4.4 潜在投标人或利害关系人对本招标公告及招标内容异议的，</w:t>
      </w:r>
      <w:r>
        <w:rPr>
          <w:rFonts w:hint="eastAsia" w:ascii="宋体" w:hAnsi="宋体" w:cs="宋体"/>
          <w:sz w:val="24"/>
        </w:rPr>
        <w:t>应当在投标截止时间10日前向招标人提出</w:t>
      </w:r>
      <w:r>
        <w:rPr>
          <w:rFonts w:hint="eastAsia" w:ascii="宋体" w:hAnsi="宋体" w:cs="宋体"/>
          <w:sz w:val="24"/>
          <w:szCs w:val="24"/>
        </w:rPr>
        <w:t>。</w:t>
      </w:r>
    </w:p>
    <w:p w14:paraId="41CE6CCE">
      <w:pPr>
        <w:topLinePunct/>
        <w:spacing w:line="360" w:lineRule="auto"/>
        <w:ind w:firstLine="480" w:firstLineChars="200"/>
        <w:rPr>
          <w:rFonts w:ascii="宋体" w:hAnsi="宋体" w:cs="宋体"/>
          <w:sz w:val="24"/>
          <w:szCs w:val="24"/>
        </w:rPr>
      </w:pPr>
      <w:r>
        <w:rPr>
          <w:rFonts w:hint="eastAsia" w:ascii="宋体" w:hAnsi="宋体" w:cs="宋体"/>
          <w:sz w:val="24"/>
          <w:szCs w:val="24"/>
        </w:rPr>
        <w:t>异议受理部门：</w:t>
      </w:r>
      <w:r>
        <w:rPr>
          <w:rFonts w:hint="eastAsia" w:ascii="宋体" w:hAnsi="宋体" w:cs="宋体"/>
          <w:sz w:val="24"/>
          <w:szCs w:val="24"/>
          <w:u w:val="single"/>
        </w:rPr>
        <w:t>广州市增城区人民政府永宁街道办事处</w:t>
      </w:r>
    </w:p>
    <w:p w14:paraId="00DBA05C">
      <w:pPr>
        <w:topLinePunct/>
        <w:spacing w:line="360" w:lineRule="auto"/>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lang w:bidi="ar"/>
        </w:rPr>
        <w:t>广州市增城区永宁街道荔香街31号</w:t>
      </w:r>
    </w:p>
    <w:p w14:paraId="61A469C1">
      <w:pPr>
        <w:spacing w:line="360" w:lineRule="auto"/>
        <w:ind w:firstLine="480" w:firstLineChars="200"/>
      </w:pPr>
      <w:r>
        <w:rPr>
          <w:rFonts w:hint="eastAsia" w:ascii="宋体" w:hAnsi="宋体" w:cs="宋体"/>
          <w:sz w:val="24"/>
          <w:szCs w:val="24"/>
        </w:rPr>
        <w:t>电话：</w:t>
      </w:r>
      <w:r>
        <w:rPr>
          <w:rFonts w:hint="eastAsia" w:ascii="宋体" w:hAnsi="宋体" w:cs="宋体"/>
          <w:sz w:val="24"/>
          <w:u w:val="single"/>
        </w:rPr>
        <w:t>020-32988902</w:t>
      </w:r>
    </w:p>
    <w:p w14:paraId="0ECC6E2E">
      <w:pPr>
        <w:pStyle w:val="19"/>
        <w:spacing w:after="0" w:line="360" w:lineRule="auto"/>
        <w:rPr>
          <w:rFonts w:ascii="宋体" w:hAnsi="宋体" w:cs="宋体"/>
          <w:sz w:val="24"/>
          <w:u w:val="single"/>
        </w:rPr>
      </w:pPr>
      <w:r>
        <w:rPr>
          <w:rFonts w:hint="eastAsia" w:ascii="宋体" w:hAnsi="宋体" w:cs="宋体"/>
          <w:sz w:val="24"/>
          <w:u w:val="single"/>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p w14:paraId="70A951B3">
      <w:pPr>
        <w:pStyle w:val="4"/>
        <w:keepNext w:val="0"/>
        <w:keepLines w:val="0"/>
        <w:spacing w:before="0" w:after="0" w:line="360" w:lineRule="auto"/>
        <w:rPr>
          <w:rFonts w:ascii="Times New Roman" w:hAnsi="Times New Roman"/>
        </w:rPr>
      </w:pPr>
      <w:bookmarkStart w:id="15" w:name="_Toc527028845"/>
      <w:bookmarkStart w:id="16" w:name="_Toc511557029"/>
      <w:r>
        <w:rPr>
          <w:rFonts w:hint="eastAsia" w:ascii="Times New Roman" w:hAnsi="Times New Roman"/>
        </w:rPr>
        <w:t>5</w:t>
      </w:r>
      <w:r>
        <w:rPr>
          <w:rFonts w:ascii="Times New Roman" w:hAnsi="Times New Roman"/>
        </w:rPr>
        <w:t xml:space="preserve">. </w:t>
      </w:r>
      <w:r>
        <w:rPr>
          <w:rFonts w:hint="eastAsia" w:ascii="Times New Roman" w:hAnsi="Times New Roman"/>
        </w:rPr>
        <w:t>投标文件的递交</w:t>
      </w:r>
      <w:bookmarkEnd w:id="15"/>
      <w:bookmarkEnd w:id="16"/>
    </w:p>
    <w:p w14:paraId="1BC47395">
      <w:pPr>
        <w:snapToGrid w:val="0"/>
        <w:spacing w:line="360" w:lineRule="auto"/>
        <w:ind w:firstLine="480" w:firstLineChars="200"/>
        <w:rPr>
          <w:rFonts w:ascii="宋体" w:hAnsi="宋体" w:cs="宋体"/>
          <w:sz w:val="24"/>
          <w:szCs w:val="24"/>
        </w:rPr>
      </w:pPr>
      <w:bookmarkStart w:id="17" w:name="_Toc511557030"/>
      <w:r>
        <w:rPr>
          <w:rFonts w:ascii="宋体" w:hAnsi="宋体" w:cs="宋体"/>
          <w:sz w:val="24"/>
          <w:szCs w:val="24"/>
        </w:rPr>
        <w:t xml:space="preserve">5.1 </w:t>
      </w:r>
      <w:r>
        <w:rPr>
          <w:rFonts w:hint="eastAsia" w:ascii="宋体" w:hAnsi="宋体" w:cs="宋体"/>
          <w:sz w:val="24"/>
          <w:szCs w:val="24"/>
        </w:rPr>
        <w:t>投标文件递交的截止时间（投标截止时间，下同）为</w:t>
      </w:r>
      <w:r>
        <w:rPr>
          <w:rFonts w:ascii="宋体" w:hAnsi="宋体" w:cs="宋体"/>
          <w:sz w:val="24"/>
          <w:szCs w:val="24"/>
          <w:u w:val="single"/>
        </w:rPr>
        <w:t>20</w:t>
      </w:r>
      <w:r>
        <w:rPr>
          <w:rFonts w:hint="eastAsia" w:ascii="宋体" w:hAnsi="宋体" w:cs="宋体"/>
          <w:sz w:val="24"/>
          <w:szCs w:val="24"/>
          <w:u w:val="single"/>
        </w:rPr>
        <w:t xml:space="preserve">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分，投标人应在截止时间前通过广州公共资源交易中心数字交易平台（</w:t>
      </w:r>
      <w:r>
        <w:rPr>
          <w:rFonts w:ascii="宋体" w:hAnsi="宋体" w:cs="宋体"/>
          <w:sz w:val="24"/>
          <w:szCs w:val="24"/>
        </w:rPr>
        <w:t>http://www.gzggzy.cn）递交电子投标文件。</w:t>
      </w:r>
    </w:p>
    <w:p w14:paraId="4A12D1CF">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递交备用投标文件电子光盘的规定：时间为：</w:t>
      </w:r>
      <w:r>
        <w:rPr>
          <w:rFonts w:ascii="宋体" w:hAnsi="宋体" w:cs="宋体"/>
          <w:sz w:val="24"/>
          <w:szCs w:val="24"/>
          <w:u w:val="single"/>
        </w:rPr>
        <w:t>20</w:t>
      </w:r>
      <w:r>
        <w:rPr>
          <w:rFonts w:hint="eastAsia" w:ascii="宋体" w:hAnsi="宋体" w:cs="宋体"/>
          <w:sz w:val="24"/>
          <w:szCs w:val="24"/>
          <w:u w:val="single"/>
        </w:rPr>
        <w:t xml:space="preserve">25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w:t>
      </w:r>
      <w:r>
        <w:rPr>
          <w:rFonts w:ascii="宋体" w:hAnsi="宋体" w:cs="宋体"/>
          <w:sz w:val="24"/>
          <w:szCs w:val="24"/>
          <w:u w:val="single"/>
        </w:rPr>
        <w:t>20</w:t>
      </w:r>
      <w:r>
        <w:rPr>
          <w:rFonts w:hint="eastAsia" w:ascii="宋体" w:hAnsi="宋体" w:cs="宋体"/>
          <w:sz w:val="24"/>
          <w:szCs w:val="24"/>
          <w:u w:val="single"/>
        </w:rPr>
        <w:t>25</w:t>
      </w:r>
      <w:r>
        <w:rPr>
          <w:rFonts w:hint="eastAsia" w:ascii="宋体" w:hAnsi="宋体" w:cs="宋体"/>
          <w:sz w:val="24"/>
          <w:szCs w:val="24"/>
        </w:rPr>
        <w:t>年</w:t>
      </w:r>
      <w:r>
        <w:rPr>
          <w:rFonts w:hint="eastAsia" w:ascii="宋体" w:hAnsi="宋体" w:cs="宋体"/>
          <w:sz w:val="24"/>
          <w:szCs w:val="24"/>
          <w:u w:val="single"/>
        </w:rPr>
        <w:t xml:space="preserve">  </w:t>
      </w:r>
    </w:p>
    <w:p w14:paraId="1988929D">
      <w:pPr>
        <w:snapToGrid w:val="0"/>
        <w:spacing w:line="360" w:lineRule="auto"/>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分；地点：</w:t>
      </w:r>
      <w:r>
        <w:rPr>
          <w:rFonts w:hint="eastAsia" w:ascii="宋体" w:hAnsi="宋体" w:cs="宋体"/>
          <w:sz w:val="24"/>
          <w:szCs w:val="24"/>
          <w:u w:val="single"/>
        </w:rPr>
        <w:t>广州公共资源交易中心增城交易部第  开标室</w:t>
      </w:r>
      <w:r>
        <w:rPr>
          <w:rFonts w:hint="eastAsia" w:ascii="宋体" w:hAnsi="宋体" w:cs="宋体"/>
          <w:sz w:val="24"/>
          <w:szCs w:val="24"/>
        </w:rPr>
        <w:t>。（电子光盘需按规定封装。投标人将数据刻录到光盘之后，投标前自行检查文件是否可以读取）。</w:t>
      </w:r>
    </w:p>
    <w:p w14:paraId="05C23AB0">
      <w:pPr>
        <w:spacing w:line="360" w:lineRule="auto"/>
        <w:ind w:firstLine="480" w:firstLineChars="200"/>
        <w:rPr>
          <w:rFonts w:ascii="宋体" w:hAnsi="宋体" w:cs="宋体"/>
          <w:sz w:val="24"/>
          <w:szCs w:val="24"/>
        </w:rPr>
      </w:pPr>
      <w:r>
        <w:rPr>
          <w:rFonts w:ascii="宋体" w:hAnsi="宋体" w:cs="宋体"/>
          <w:sz w:val="24"/>
          <w:szCs w:val="24"/>
        </w:rPr>
        <w:t xml:space="preserve">5.2 </w:t>
      </w:r>
      <w:r>
        <w:rPr>
          <w:rFonts w:hint="eastAsia" w:ascii="宋体" w:hAnsi="宋体" w:cs="宋体"/>
          <w:sz w:val="24"/>
          <w:szCs w:val="24"/>
        </w:rPr>
        <w:t>投标人完成电子投标上传后，电子招标投标交易平台即时向投标人发出递交回执通知。递交时间以递交回执通知载明的传输时间为准。</w:t>
      </w:r>
    </w:p>
    <w:p w14:paraId="6DD0C3D4">
      <w:pPr>
        <w:spacing w:line="360" w:lineRule="auto"/>
        <w:ind w:firstLine="480" w:firstLineChars="200"/>
        <w:rPr>
          <w:rFonts w:ascii="宋体" w:hAnsi="宋体" w:cs="宋体"/>
          <w:sz w:val="24"/>
          <w:szCs w:val="24"/>
        </w:rPr>
      </w:pPr>
      <w:r>
        <w:rPr>
          <w:rFonts w:ascii="宋体" w:hAnsi="宋体" w:cs="宋体"/>
          <w:sz w:val="24"/>
          <w:szCs w:val="24"/>
        </w:rPr>
        <w:t xml:space="preserve">5.3 </w:t>
      </w:r>
      <w:r>
        <w:rPr>
          <w:rFonts w:hint="eastAsia" w:ascii="宋体" w:hAnsi="宋体" w:cs="宋体"/>
          <w:sz w:val="24"/>
          <w:szCs w:val="24"/>
        </w:rPr>
        <w:t>逾期送达的投标文件，电子招标投标交易平台将予以拒收。逾期未上传成功的电子投标文件，招标人拒绝接收。</w:t>
      </w:r>
    </w:p>
    <w:p w14:paraId="1854AE6A">
      <w:pPr>
        <w:spacing w:line="360" w:lineRule="auto"/>
        <w:ind w:firstLine="480" w:firstLineChars="200"/>
        <w:rPr>
          <w:rFonts w:ascii="宋体" w:hAnsi="宋体" w:cs="宋体"/>
          <w:sz w:val="24"/>
          <w:szCs w:val="24"/>
        </w:rPr>
      </w:pPr>
      <w:r>
        <w:rPr>
          <w:rFonts w:hint="eastAsia" w:ascii="宋体" w:hAnsi="宋体" w:cs="宋体"/>
          <w:sz w:val="24"/>
          <w:szCs w:val="24"/>
        </w:rPr>
        <w:t>5.4 递交投标文件截止时间及开标时间是否有变化，请密切留意交易中心网站中的相关信息。递交投标文件截止时间后，投标文件评审时间因故推迟的，相关资审信息仍以原递交投标文件截止时间的信息为准。</w:t>
      </w:r>
    </w:p>
    <w:p w14:paraId="7473BF06">
      <w:pPr>
        <w:spacing w:line="360" w:lineRule="auto"/>
        <w:ind w:firstLine="480" w:firstLineChars="200"/>
        <w:rPr>
          <w:rFonts w:ascii="宋体" w:hAnsi="宋体" w:cs="宋体"/>
          <w:sz w:val="24"/>
          <w:szCs w:val="24"/>
        </w:rPr>
      </w:pPr>
      <w:r>
        <w:rPr>
          <w:rFonts w:hint="eastAsia" w:ascii="宋体" w:hAnsi="宋体" w:cs="宋体"/>
          <w:sz w:val="24"/>
          <w:szCs w:val="24"/>
        </w:rPr>
        <w:t>注：电子招投标操作流程详见广州公共资源交易中心网站发布的最新版操作指引。</w:t>
      </w:r>
    </w:p>
    <w:p w14:paraId="4A5A87C7">
      <w:pPr>
        <w:pStyle w:val="4"/>
        <w:keepNext w:val="0"/>
        <w:keepLines w:val="0"/>
        <w:spacing w:before="0" w:after="0" w:line="360" w:lineRule="auto"/>
        <w:rPr>
          <w:rFonts w:ascii="Times New Roman" w:hAnsi="Times New Roman"/>
        </w:rPr>
      </w:pPr>
      <w:bookmarkStart w:id="18" w:name="_Toc527028846"/>
      <w:r>
        <w:rPr>
          <w:rFonts w:hint="eastAsia" w:ascii="Times New Roman" w:hAnsi="Times New Roman"/>
        </w:rPr>
        <w:t>6. 发布公告的媒介</w:t>
      </w:r>
      <w:bookmarkEnd w:id="17"/>
      <w:bookmarkEnd w:id="18"/>
    </w:p>
    <w:p w14:paraId="6D39B31E">
      <w:pPr>
        <w:spacing w:line="360" w:lineRule="auto"/>
        <w:ind w:firstLine="480" w:firstLineChars="200"/>
        <w:rPr>
          <w:sz w:val="24"/>
          <w:szCs w:val="24"/>
        </w:rPr>
      </w:pPr>
      <w:r>
        <w:rPr>
          <w:rFonts w:hint="eastAsia" w:ascii="宋体" w:hAnsi="宋体" w:cs="宋体"/>
          <w:sz w:val="24"/>
          <w:szCs w:val="24"/>
        </w:rPr>
        <w:t>本次招标公告同时在广州公共资源交易中心网站（网址：http://www.gzggzy.cn）、中国招标投标公共服务平台（网址：http://www.cebpubservice.com）、广东省招标投标监管网(网址：http://zbtb.gd.gov.cn)和广州市增城区人民政府门户网站（http://www.zc.gov.cn/）的“首页&gt;公开&gt;公共资源配置领域&gt;工程建设项目招投标”栏目发布，本公告的修改、补充，在广州公共资源交易中心网站发布。本公告在各媒体发布的文本如有不同之处，以在广东省招标投标监管网发布的文本为准。</w:t>
      </w:r>
    </w:p>
    <w:p w14:paraId="2AF79057">
      <w:pPr>
        <w:pStyle w:val="4"/>
        <w:keepNext w:val="0"/>
        <w:keepLines w:val="0"/>
        <w:spacing w:before="0" w:after="0" w:line="360" w:lineRule="auto"/>
        <w:rPr>
          <w:rFonts w:ascii="Times New Roman" w:hAnsi="Times New Roman"/>
        </w:rPr>
      </w:pPr>
      <w:bookmarkStart w:id="19" w:name="_Toc511557031"/>
      <w:bookmarkStart w:id="20" w:name="_Toc527028847"/>
      <w:r>
        <w:rPr>
          <w:rFonts w:hint="eastAsia" w:ascii="Times New Roman" w:hAnsi="Times New Roman"/>
        </w:rPr>
        <w:t>7. 联系方式</w:t>
      </w:r>
      <w:bookmarkEnd w:id="19"/>
      <w:bookmarkEnd w:id="20"/>
    </w:p>
    <w:p w14:paraId="53BF9648">
      <w:pPr>
        <w:topLinePunct/>
        <w:spacing w:line="360" w:lineRule="auto"/>
        <w:ind w:firstLine="480" w:firstLineChars="200"/>
        <w:rPr>
          <w:rFonts w:ascii="宋体" w:hAnsi="宋体" w:cs="宋体"/>
          <w:sz w:val="24"/>
          <w:szCs w:val="24"/>
        </w:rPr>
      </w:pPr>
      <w:bookmarkStart w:id="21" w:name="_Toc384308185"/>
      <w:bookmarkEnd w:id="21"/>
      <w:bookmarkStart w:id="22" w:name="_Toc369531495"/>
      <w:bookmarkEnd w:id="22"/>
      <w:bookmarkStart w:id="23" w:name="_Toc30817"/>
      <w:bookmarkEnd w:id="23"/>
      <w:bookmarkStart w:id="24" w:name="_Toc144974480"/>
      <w:bookmarkEnd w:id="24"/>
      <w:bookmarkStart w:id="25" w:name="_Toc352691456"/>
      <w:bookmarkEnd w:id="25"/>
      <w:bookmarkStart w:id="26" w:name="_Toc300834929"/>
      <w:bookmarkEnd w:id="26"/>
      <w:bookmarkStart w:id="27" w:name="_Toc352691455"/>
      <w:bookmarkEnd w:id="27"/>
      <w:bookmarkStart w:id="28" w:name="_Toc144974481"/>
      <w:bookmarkEnd w:id="28"/>
      <w:bookmarkStart w:id="29" w:name="_Toc352691453"/>
      <w:bookmarkEnd w:id="29"/>
      <w:bookmarkStart w:id="30" w:name="_Toc300834927"/>
      <w:bookmarkEnd w:id="30"/>
      <w:bookmarkStart w:id="31" w:name="_Toc247513935"/>
      <w:bookmarkEnd w:id="31"/>
      <w:bookmarkStart w:id="32" w:name="_Toc152045512"/>
      <w:bookmarkEnd w:id="32"/>
      <w:bookmarkStart w:id="33" w:name="_Toc384308187"/>
      <w:bookmarkEnd w:id="33"/>
      <w:bookmarkStart w:id="34" w:name="_Toc152045513"/>
      <w:bookmarkEnd w:id="34"/>
      <w:bookmarkStart w:id="35" w:name="_Toc247527536"/>
      <w:bookmarkEnd w:id="35"/>
      <w:bookmarkStart w:id="36" w:name="_Toc369531498"/>
      <w:bookmarkEnd w:id="36"/>
      <w:bookmarkStart w:id="37" w:name="_Toc361508562"/>
      <w:bookmarkEnd w:id="37"/>
      <w:bookmarkStart w:id="38" w:name="_Toc17972"/>
      <w:bookmarkEnd w:id="38"/>
      <w:bookmarkStart w:id="39" w:name="_Toc361508560"/>
      <w:bookmarkEnd w:id="39"/>
      <w:bookmarkStart w:id="40" w:name="_Toc361508563"/>
      <w:bookmarkEnd w:id="40"/>
      <w:bookmarkStart w:id="41" w:name="_Toc384308188"/>
      <w:bookmarkEnd w:id="41"/>
      <w:bookmarkStart w:id="42" w:name="_Toc10785"/>
      <w:bookmarkEnd w:id="42"/>
      <w:bookmarkStart w:id="43" w:name="_Toc247513934"/>
      <w:bookmarkEnd w:id="43"/>
      <w:bookmarkStart w:id="44" w:name="_Toc300834930"/>
      <w:bookmarkEnd w:id="44"/>
      <w:bookmarkStart w:id="45" w:name="_Toc369531497"/>
      <w:bookmarkEnd w:id="45"/>
      <w:bookmarkStart w:id="46" w:name="_Toc152042288"/>
      <w:bookmarkEnd w:id="46"/>
      <w:bookmarkStart w:id="47" w:name="_Toc152042289"/>
      <w:bookmarkEnd w:id="47"/>
      <w:bookmarkStart w:id="48" w:name="_Toc247527535"/>
      <w:bookmarkEnd w:id="48"/>
      <w:r>
        <w:rPr>
          <w:rFonts w:hint="eastAsia" w:ascii="宋体" w:hAnsi="宋体" w:cs="宋体"/>
          <w:sz w:val="24"/>
          <w:szCs w:val="24"/>
        </w:rPr>
        <w:t>招标人：</w:t>
      </w:r>
      <w:r>
        <w:rPr>
          <w:rFonts w:hint="eastAsia" w:ascii="宋体" w:hAnsi="宋体" w:cs="宋体"/>
          <w:sz w:val="24"/>
          <w:szCs w:val="24"/>
          <w:u w:val="single"/>
        </w:rPr>
        <w:t>广州市增城区人民政府永宁街道办事处</w:t>
      </w:r>
    </w:p>
    <w:p w14:paraId="76C664BA">
      <w:pPr>
        <w:topLinePunct/>
        <w:spacing w:line="360" w:lineRule="auto"/>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lang w:bidi="ar"/>
        </w:rPr>
        <w:t>广州市增城区永宁街道荔香街31号</w:t>
      </w:r>
    </w:p>
    <w:p w14:paraId="535C7C0D">
      <w:pPr>
        <w:topLinePunct/>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sz w:val="24"/>
          <w:u w:val="single"/>
        </w:rPr>
        <w:t>黄先生</w:t>
      </w:r>
    </w:p>
    <w:p w14:paraId="544BF147">
      <w:pPr>
        <w:tabs>
          <w:tab w:val="left" w:pos="2268"/>
        </w:tabs>
        <w:topLinePunct/>
        <w:spacing w:line="360" w:lineRule="auto"/>
        <w:ind w:firstLine="480" w:firstLineChars="200"/>
        <w:rPr>
          <w:rFonts w:ascii="宋体" w:hAnsi="宋体" w:cs="宋体"/>
          <w:sz w:val="24"/>
          <w:szCs w:val="24"/>
        </w:rPr>
      </w:pPr>
      <w:r>
        <w:rPr>
          <w:rFonts w:hint="eastAsia" w:ascii="宋体" w:hAnsi="宋体" w:cs="宋体"/>
          <w:sz w:val="24"/>
          <w:szCs w:val="24"/>
        </w:rPr>
        <w:t>电话：</w:t>
      </w:r>
      <w:r>
        <w:rPr>
          <w:rFonts w:hint="eastAsia" w:ascii="宋体" w:hAnsi="宋体" w:cs="宋体"/>
          <w:sz w:val="24"/>
          <w:u w:val="single"/>
        </w:rPr>
        <w:t>020-32988902</w:t>
      </w:r>
    </w:p>
    <w:p w14:paraId="32635D08">
      <w:pPr>
        <w:spacing w:line="360" w:lineRule="auto"/>
        <w:ind w:right="482" w:firstLine="480" w:firstLineChars="200"/>
        <w:rPr>
          <w:rFonts w:ascii="宋体" w:hAnsi="宋体"/>
          <w:sz w:val="24"/>
          <w:szCs w:val="24"/>
        </w:rPr>
      </w:pPr>
    </w:p>
    <w:p w14:paraId="6569E863">
      <w:pPr>
        <w:spacing w:line="360" w:lineRule="auto"/>
        <w:ind w:right="482" w:firstLine="480" w:firstLineChars="200"/>
        <w:rPr>
          <w:rFonts w:ascii="宋体" w:hAnsi="宋体"/>
          <w:sz w:val="24"/>
          <w:szCs w:val="24"/>
          <w:u w:val="single"/>
        </w:rPr>
      </w:pPr>
      <w:r>
        <w:rPr>
          <w:rFonts w:hint="eastAsia" w:ascii="宋体" w:hAnsi="宋体"/>
          <w:sz w:val="24"/>
          <w:szCs w:val="24"/>
        </w:rPr>
        <w:t>招标代理机构：</w:t>
      </w:r>
      <w:r>
        <w:rPr>
          <w:rFonts w:hint="eastAsia" w:ascii="宋体" w:hAnsi="宋体" w:cs="宋体"/>
          <w:sz w:val="24"/>
          <w:szCs w:val="24"/>
          <w:u w:val="single"/>
        </w:rPr>
        <w:t>广州建筑工程监理有限公司</w:t>
      </w:r>
    </w:p>
    <w:p w14:paraId="0AF9909C">
      <w:pPr>
        <w:spacing w:line="360" w:lineRule="auto"/>
        <w:ind w:right="482" w:firstLine="480" w:firstLineChars="200"/>
        <w:rPr>
          <w:rFonts w:ascii="宋体" w:hAnsi="宋体"/>
          <w:sz w:val="24"/>
          <w:szCs w:val="24"/>
          <w:u w:val="single"/>
        </w:rPr>
      </w:pPr>
      <w:r>
        <w:rPr>
          <w:rFonts w:hint="eastAsia" w:ascii="宋体" w:hAnsi="宋体"/>
          <w:sz w:val="24"/>
          <w:szCs w:val="24"/>
        </w:rPr>
        <w:t>地址：</w:t>
      </w:r>
      <w:r>
        <w:rPr>
          <w:rFonts w:hint="eastAsia" w:ascii="宋体" w:hAnsi="Times New Roman" w:cs="宋体"/>
          <w:sz w:val="24"/>
          <w:szCs w:val="24"/>
          <w:u w:val="single"/>
        </w:rPr>
        <w:t>广州市越秀区广卫路4号20楼</w:t>
      </w:r>
    </w:p>
    <w:p w14:paraId="6286E76F">
      <w:pPr>
        <w:spacing w:line="360" w:lineRule="auto"/>
        <w:ind w:right="482" w:firstLine="480" w:firstLineChars="200"/>
        <w:rPr>
          <w:rFonts w:ascii="宋体" w:hAnsi="宋体"/>
          <w:sz w:val="24"/>
          <w:szCs w:val="24"/>
          <w:u w:val="single"/>
        </w:rPr>
      </w:pPr>
      <w:r>
        <w:rPr>
          <w:rFonts w:hint="eastAsia" w:ascii="宋体" w:hAnsi="宋体"/>
          <w:sz w:val="24"/>
          <w:szCs w:val="24"/>
        </w:rPr>
        <w:t>联系人：</w:t>
      </w:r>
      <w:r>
        <w:rPr>
          <w:rFonts w:hint="eastAsia" w:ascii="宋体" w:cs="宋体"/>
          <w:kern w:val="0"/>
          <w:sz w:val="24"/>
          <w:szCs w:val="24"/>
          <w:u w:val="single"/>
        </w:rPr>
        <w:t>陆工</w:t>
      </w:r>
    </w:p>
    <w:p w14:paraId="75D93B19">
      <w:pPr>
        <w:spacing w:line="360" w:lineRule="auto"/>
        <w:ind w:firstLine="480" w:firstLineChars="200"/>
        <w:rPr>
          <w:rFonts w:ascii="宋体" w:hAnsi="宋体" w:cs="宋体"/>
          <w:sz w:val="24"/>
          <w:szCs w:val="24"/>
        </w:rPr>
      </w:pPr>
      <w:r>
        <w:rPr>
          <w:rFonts w:hint="eastAsia" w:ascii="宋体" w:hAnsi="宋体"/>
          <w:sz w:val="24"/>
          <w:szCs w:val="24"/>
        </w:rPr>
        <w:t>电话：</w:t>
      </w:r>
      <w:r>
        <w:rPr>
          <w:rFonts w:hint="eastAsia" w:ascii="宋体" w:cs="宋体"/>
          <w:kern w:val="0"/>
          <w:sz w:val="24"/>
          <w:szCs w:val="24"/>
          <w:u w:val="single"/>
        </w:rPr>
        <w:t>020-82627566</w:t>
      </w:r>
    </w:p>
    <w:p w14:paraId="7BE7D56E">
      <w:pPr>
        <w:spacing w:line="360" w:lineRule="auto"/>
        <w:ind w:right="482" w:firstLine="480" w:firstLineChars="200"/>
        <w:rPr>
          <w:rFonts w:ascii="宋体" w:hAnsi="宋体"/>
          <w:sz w:val="24"/>
          <w:szCs w:val="24"/>
        </w:rPr>
      </w:pPr>
    </w:p>
    <w:p w14:paraId="2C161D99">
      <w:pPr>
        <w:spacing w:line="360" w:lineRule="auto"/>
        <w:ind w:right="482" w:firstLine="480" w:firstLineChars="200"/>
        <w:rPr>
          <w:rFonts w:ascii="宋体" w:hAnsi="宋体"/>
          <w:sz w:val="24"/>
          <w:szCs w:val="24"/>
          <w:u w:val="single"/>
        </w:rPr>
      </w:pPr>
      <w:r>
        <w:rPr>
          <w:rFonts w:hint="eastAsia" w:ascii="宋体" w:hAnsi="宋体"/>
          <w:sz w:val="24"/>
          <w:szCs w:val="24"/>
        </w:rPr>
        <w:t>招标监督机构：</w:t>
      </w:r>
      <w:r>
        <w:rPr>
          <w:rFonts w:hint="eastAsia" w:ascii="宋体" w:hAnsi="宋体" w:cs="宋体"/>
          <w:sz w:val="24"/>
          <w:szCs w:val="24"/>
          <w:u w:val="single"/>
        </w:rPr>
        <w:t>广州市增城区人民政府永宁街道办事处</w:t>
      </w:r>
      <w:r>
        <w:rPr>
          <w:rFonts w:hint="eastAsia" w:ascii="宋体" w:hAnsi="宋体"/>
          <w:sz w:val="24"/>
          <w:szCs w:val="24"/>
          <w:u w:val="single"/>
        </w:rPr>
        <w:t xml:space="preserve"> </w:t>
      </w:r>
    </w:p>
    <w:p w14:paraId="55078AC9">
      <w:pPr>
        <w:topLinePunct/>
        <w:spacing w:line="360" w:lineRule="auto"/>
        <w:ind w:right="0" w:firstLine="480" w:firstLineChars="200"/>
        <w:rPr>
          <w:rFonts w:ascii="宋体" w:hAnsi="宋体"/>
          <w:sz w:val="24"/>
          <w:szCs w:val="24"/>
          <w:u w:val="single"/>
        </w:rPr>
      </w:pPr>
      <w:r>
        <w:rPr>
          <w:rFonts w:hint="eastAsia" w:ascii="宋体" w:hAnsi="宋体"/>
          <w:sz w:val="24"/>
          <w:szCs w:val="24"/>
        </w:rPr>
        <w:t>地址：</w:t>
      </w:r>
      <w:r>
        <w:rPr>
          <w:rFonts w:hint="eastAsia" w:ascii="宋体" w:hAnsi="宋体" w:cs="宋体"/>
          <w:sz w:val="24"/>
          <w:szCs w:val="24"/>
          <w:u w:val="single"/>
          <w:lang w:bidi="ar"/>
        </w:rPr>
        <w:t>广州市增城区永宁街道荔香街31号</w:t>
      </w:r>
    </w:p>
    <w:p w14:paraId="049ACEC0">
      <w:pPr>
        <w:spacing w:line="360" w:lineRule="auto"/>
        <w:ind w:right="482" w:firstLine="480" w:firstLineChars="200"/>
        <w:rPr>
          <w:rFonts w:ascii="宋体" w:hAnsi="宋体"/>
          <w:sz w:val="24"/>
          <w:szCs w:val="24"/>
          <w:u w:val="single"/>
        </w:rPr>
      </w:pPr>
      <w:r>
        <w:rPr>
          <w:rFonts w:hint="eastAsia" w:ascii="宋体" w:hAnsi="宋体"/>
          <w:sz w:val="24"/>
          <w:szCs w:val="24"/>
        </w:rPr>
        <w:t>监督电话：</w:t>
      </w:r>
      <w:r>
        <w:rPr>
          <w:rFonts w:hint="eastAsia" w:ascii="宋体" w:hAnsi="宋体" w:cs="宋体"/>
          <w:sz w:val="24"/>
          <w:u w:val="single"/>
        </w:rPr>
        <w:t>020-32988902</w:t>
      </w:r>
    </w:p>
    <w:p w14:paraId="043BAB57">
      <w:pPr>
        <w:spacing w:line="360" w:lineRule="auto"/>
        <w:ind w:firstLine="480" w:firstLineChars="200"/>
        <w:rPr>
          <w:rFonts w:ascii="宋体" w:hAnsi="宋体" w:cs="宋体"/>
          <w:sz w:val="24"/>
          <w:szCs w:val="24"/>
        </w:rPr>
      </w:pPr>
    </w:p>
    <w:p w14:paraId="3E439381">
      <w:pPr>
        <w:spacing w:line="360" w:lineRule="auto"/>
        <w:ind w:firstLine="3840" w:firstLineChars="1600"/>
        <w:rPr>
          <w:rFonts w:ascii="宋体" w:hAnsi="宋体" w:cs="宋体"/>
          <w:sz w:val="24"/>
          <w:szCs w:val="24"/>
        </w:rPr>
      </w:pPr>
      <w:r>
        <w:rPr>
          <w:rFonts w:hint="eastAsia" w:ascii="宋体" w:hAnsi="宋体" w:cs="宋体"/>
          <w:sz w:val="24"/>
          <w:szCs w:val="24"/>
        </w:rPr>
        <w:t>招标人：广州市增城区人民政府永宁街道办事处</w:t>
      </w:r>
    </w:p>
    <w:p w14:paraId="0207FEBA">
      <w:pPr>
        <w:spacing w:line="360" w:lineRule="auto"/>
        <w:ind w:firstLine="3840" w:firstLineChars="1600"/>
        <w:rPr>
          <w:rFonts w:ascii="宋体" w:hAnsi="宋体" w:cs="宋体"/>
          <w:sz w:val="24"/>
          <w:szCs w:val="24"/>
        </w:rPr>
      </w:pPr>
      <w:r>
        <w:rPr>
          <w:rFonts w:hint="eastAsia" w:ascii="宋体" w:hAnsi="宋体" w:cs="宋体"/>
          <w:sz w:val="24"/>
          <w:szCs w:val="24"/>
        </w:rPr>
        <w:t>招标代理机构：广州建筑工程监理有限公司</w:t>
      </w:r>
    </w:p>
    <w:p w14:paraId="328FDCFB">
      <w:pPr>
        <w:spacing w:line="360" w:lineRule="auto"/>
        <w:ind w:firstLine="5040" w:firstLineChars="2100"/>
        <w:rPr>
          <w:rFonts w:ascii="宋体" w:hAnsi="宋体" w:cs="宋体"/>
          <w:b/>
          <w:bCs/>
          <w:sz w:val="28"/>
          <w:szCs w:val="28"/>
        </w:rPr>
      </w:pPr>
      <w:r>
        <w:rPr>
          <w:rFonts w:hint="eastAsia" w:ascii="宋体" w:hAnsi="宋体" w:cs="宋体"/>
          <w:sz w:val="24"/>
          <w:szCs w:val="24"/>
        </w:rPr>
        <w:t>2025年  月  日</w:t>
      </w:r>
    </w:p>
    <w:p w14:paraId="7074106D">
      <w:pPr>
        <w:spacing w:line="360" w:lineRule="auto"/>
        <w:rPr>
          <w:rFonts w:ascii="宋体" w:hAnsi="宋体" w:cs="宋体"/>
          <w:b/>
          <w:bCs/>
          <w:sz w:val="28"/>
          <w:szCs w:val="28"/>
        </w:rPr>
      </w:pPr>
    </w:p>
    <w:p w14:paraId="73A030CD">
      <w:pPr>
        <w:rPr>
          <w:rFonts w:ascii="宋体" w:hAnsi="宋体" w:cs="宋体"/>
          <w:b/>
          <w:bCs/>
          <w:sz w:val="28"/>
          <w:szCs w:val="28"/>
        </w:rPr>
      </w:pPr>
      <w:r>
        <w:rPr>
          <w:rFonts w:hint="eastAsia" w:ascii="宋体" w:hAnsi="宋体" w:cs="宋体"/>
          <w:b/>
          <w:bCs/>
          <w:sz w:val="28"/>
          <w:szCs w:val="28"/>
        </w:rPr>
        <w:br w:type="page"/>
      </w:r>
    </w:p>
    <w:p w14:paraId="65883FF0">
      <w:pPr>
        <w:spacing w:line="440" w:lineRule="exact"/>
        <w:rPr>
          <w:rFonts w:ascii="宋体" w:hAnsi="宋体" w:cs="宋体"/>
          <w:b/>
          <w:bCs/>
          <w:sz w:val="28"/>
          <w:szCs w:val="28"/>
        </w:rPr>
      </w:pPr>
      <w:r>
        <w:rPr>
          <w:rFonts w:hint="eastAsia" w:ascii="宋体" w:hAnsi="宋体" w:cs="宋体"/>
          <w:b/>
          <w:bCs/>
          <w:sz w:val="28"/>
          <w:szCs w:val="28"/>
        </w:rPr>
        <w:t>附件一：</w:t>
      </w:r>
    </w:p>
    <w:p w14:paraId="1159E4CE">
      <w:pPr>
        <w:widowControl/>
        <w:snapToGrid w:val="0"/>
        <w:spacing w:line="440" w:lineRule="exact"/>
        <w:jc w:val="center"/>
        <w:rPr>
          <w:rFonts w:ascii="宋体" w:hAnsi="宋体" w:cs="宋体"/>
          <w:b/>
          <w:bCs/>
          <w:kern w:val="0"/>
          <w:sz w:val="28"/>
          <w:szCs w:val="28"/>
        </w:rPr>
      </w:pPr>
      <w:r>
        <w:rPr>
          <w:rFonts w:hint="eastAsia" w:ascii="宋体" w:hAnsi="宋体" w:cs="宋体"/>
          <w:b/>
          <w:bCs/>
          <w:kern w:val="0"/>
          <w:sz w:val="28"/>
          <w:szCs w:val="28"/>
        </w:rPr>
        <w:t>投标人声明</w:t>
      </w:r>
    </w:p>
    <w:p w14:paraId="46FFCEA6">
      <w:pPr>
        <w:snapToGrid w:val="0"/>
        <w:spacing w:line="440" w:lineRule="exact"/>
        <w:rPr>
          <w:rFonts w:ascii="宋体" w:hAnsi="宋体" w:cs="宋体"/>
          <w:kern w:val="0"/>
          <w:sz w:val="24"/>
          <w:szCs w:val="24"/>
        </w:rPr>
      </w:pPr>
      <w:r>
        <w:rPr>
          <w:rFonts w:hint="eastAsia" w:ascii="宋体" w:hAnsi="宋体" w:cs="宋体"/>
          <w:kern w:val="0"/>
          <w:sz w:val="24"/>
          <w:szCs w:val="24"/>
        </w:rPr>
        <w:t>本招标项目招标人及招标监管机构：</w:t>
      </w:r>
    </w:p>
    <w:p w14:paraId="46C7AEDD">
      <w:pPr>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本公司就参加</w:t>
      </w:r>
      <w:r>
        <w:rPr>
          <w:rFonts w:hint="eastAsia" w:ascii="宋体" w:hAnsi="宋体" w:cs="宋体"/>
          <w:kern w:val="0"/>
          <w:sz w:val="24"/>
          <w:szCs w:val="24"/>
          <w:u w:val="single"/>
        </w:rPr>
        <w:t xml:space="preserve">                   </w:t>
      </w:r>
      <w:r>
        <w:rPr>
          <w:rFonts w:hint="eastAsia" w:ascii="宋体" w:hAnsi="宋体" w:cs="宋体"/>
          <w:kern w:val="0"/>
          <w:sz w:val="24"/>
          <w:szCs w:val="24"/>
        </w:rPr>
        <w:t>项目投标工作，作出郑重声明：</w:t>
      </w:r>
    </w:p>
    <w:p w14:paraId="02A8CCB8">
      <w:pPr>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14:paraId="0EAC180C">
      <w:pPr>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二、本公司保证在本项目投标中不与其他单位围标、串标，不出让投标资格，不向招标人或评标委员会成员行贿。</w:t>
      </w:r>
    </w:p>
    <w:p w14:paraId="4DC4D3C0">
      <w:pPr>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三、本公司不存在招标文件第二章投标人须知第1.4.3项所规定的任何一种情形。</w:t>
      </w:r>
    </w:p>
    <w:p w14:paraId="305732E5">
      <w:pPr>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四、本公司及其有隶属关系的机构，没有参加本项目招标文件的编写工作；本公司与本次招标的招标代理机构没有隶属关系或其他利害关系。</w:t>
      </w:r>
    </w:p>
    <w:p w14:paraId="7C226D91">
      <w:pPr>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五、本公司承诺，中标后严格执行安全生产相关管理规定。</w:t>
      </w:r>
    </w:p>
    <w:p w14:paraId="4B2E339A">
      <w:pPr>
        <w:spacing w:line="440" w:lineRule="exact"/>
        <w:ind w:firstLine="482" w:firstLineChars="200"/>
        <w:rPr>
          <w:rFonts w:ascii="宋体" w:hAnsi="宋体" w:cs="宋体"/>
          <w:b/>
          <w:kern w:val="0"/>
          <w:sz w:val="24"/>
          <w:szCs w:val="24"/>
        </w:rPr>
      </w:pPr>
      <w:r>
        <w:rPr>
          <w:rFonts w:hint="eastAsia" w:ascii="宋体" w:hAnsi="宋体" w:cs="宋体"/>
          <w:b/>
          <w:kern w:val="0"/>
          <w:sz w:val="24"/>
          <w:szCs w:val="24"/>
        </w:rPr>
        <w:t>六、与本公司单位负责人为同一人或者与本公司存在控股、管理关系的其他单位包括：</w:t>
      </w:r>
      <w:r>
        <w:rPr>
          <w:rFonts w:hint="eastAsia" w:ascii="宋体" w:hAnsi="宋体" w:cs="宋体"/>
          <w:b/>
          <w:kern w:val="0"/>
          <w:sz w:val="24"/>
          <w:szCs w:val="24"/>
          <w:u w:val="single"/>
        </w:rPr>
        <w:t xml:space="preserve">        </w:t>
      </w:r>
      <w:r>
        <w:rPr>
          <w:rFonts w:hint="eastAsia" w:ascii="宋体" w:hAnsi="宋体" w:cs="宋体"/>
          <w:b/>
          <w:kern w:val="0"/>
          <w:sz w:val="24"/>
          <w:szCs w:val="24"/>
        </w:rPr>
        <w:t>。（注：本条由投标人如实填写，如有，应列出全部满足招标公告资质要求的相关单位的名称；如无，则填写“无”。）</w:t>
      </w:r>
    </w:p>
    <w:p w14:paraId="45C55518">
      <w:pPr>
        <w:snapToGrid w:val="0"/>
        <w:spacing w:line="440" w:lineRule="exact"/>
        <w:ind w:firstLine="482" w:firstLineChars="200"/>
        <w:rPr>
          <w:rFonts w:ascii="宋体" w:hAnsi="宋体" w:cs="宋体"/>
          <w:kern w:val="0"/>
          <w:sz w:val="24"/>
          <w:szCs w:val="24"/>
        </w:rPr>
      </w:pPr>
      <w:r>
        <w:rPr>
          <w:rFonts w:hint="eastAsia" w:ascii="宋体" w:hAnsi="宋体" w:cs="宋体"/>
          <w:b/>
          <w:bCs/>
          <w:kern w:val="0"/>
          <w:sz w:val="24"/>
          <w:szCs w:val="24"/>
        </w:rPr>
        <w:t>本公司违反上述承诺，或本声明陈述与事实不符，经查实，本公司愿意接受公开通报，愿意按照《广州市建筑市场信用管理办法》（穗建规字﹝20</w:t>
      </w:r>
      <w:r>
        <w:rPr>
          <w:rFonts w:ascii="宋体" w:hAnsi="宋体" w:cs="宋体"/>
          <w:b/>
          <w:bCs/>
          <w:kern w:val="0"/>
          <w:sz w:val="24"/>
          <w:szCs w:val="24"/>
        </w:rPr>
        <w:t>19</w:t>
      </w:r>
      <w:r>
        <w:rPr>
          <w:rFonts w:hint="eastAsia" w:ascii="宋体" w:hAnsi="宋体" w:cs="宋体"/>
          <w:b/>
          <w:bCs/>
          <w:kern w:val="0"/>
          <w:sz w:val="24"/>
          <w:szCs w:val="24"/>
        </w:rPr>
        <w:t>﹞16号）的规定被记录为失信信息</w:t>
      </w:r>
      <w:r>
        <w:rPr>
          <w:rFonts w:hint="eastAsia" w:ascii="宋体" w:hAnsi="宋体" w:cs="宋体"/>
          <w:kern w:val="0"/>
          <w:sz w:val="24"/>
          <w:szCs w:val="24"/>
        </w:rPr>
        <w:t>，承担由此带来的一切后果，并自愿停止参加广州市行政辖区内的招标投标活动三个月。</w:t>
      </w:r>
    </w:p>
    <w:p w14:paraId="674C0806">
      <w:pPr>
        <w:widowControl/>
        <w:shd w:val="clear" w:color="auto" w:fill="FFFFFF"/>
        <w:spacing w:line="440" w:lineRule="exact"/>
        <w:ind w:firstLine="480" w:firstLineChars="200"/>
      </w:pPr>
      <w:r>
        <w:rPr>
          <w:rFonts w:hint="eastAsia" w:ascii="宋体" w:hAnsi="宋体" w:cs="宋体"/>
          <w:kern w:val="0"/>
          <w:sz w:val="24"/>
          <w:szCs w:val="24"/>
        </w:rPr>
        <w:t>特此声明。</w:t>
      </w:r>
    </w:p>
    <w:p w14:paraId="6AA17426">
      <w:pPr>
        <w:snapToGrid w:val="0"/>
        <w:spacing w:line="440" w:lineRule="exact"/>
        <w:ind w:right="1898" w:rightChars="904" w:firstLine="4320" w:firstLineChars="1800"/>
        <w:rPr>
          <w:rFonts w:ascii="宋体" w:hAnsi="宋体" w:cs="宋体"/>
          <w:kern w:val="0"/>
          <w:sz w:val="24"/>
          <w:szCs w:val="24"/>
        </w:rPr>
      </w:pPr>
    </w:p>
    <w:p w14:paraId="7D7FA66B">
      <w:pPr>
        <w:snapToGrid w:val="0"/>
        <w:spacing w:line="440" w:lineRule="exact"/>
        <w:ind w:right="1898" w:rightChars="904" w:firstLine="4320" w:firstLineChars="1800"/>
        <w:rPr>
          <w:rFonts w:ascii="宋体" w:hAnsi="宋体" w:cs="宋体"/>
          <w:kern w:val="0"/>
          <w:sz w:val="24"/>
          <w:szCs w:val="24"/>
        </w:rPr>
      </w:pPr>
      <w:r>
        <w:rPr>
          <w:rFonts w:hint="eastAsia" w:ascii="宋体" w:hAnsi="宋体" w:cs="宋体"/>
          <w:kern w:val="0"/>
          <w:sz w:val="24"/>
          <w:szCs w:val="24"/>
        </w:rPr>
        <w:t>声明企业：(企业公章)</w:t>
      </w:r>
    </w:p>
    <w:p w14:paraId="10A17AA2">
      <w:pPr>
        <w:snapToGrid w:val="0"/>
        <w:spacing w:line="440" w:lineRule="exact"/>
        <w:ind w:right="1898" w:rightChars="904" w:firstLine="4320" w:firstLineChars="1800"/>
        <w:rPr>
          <w:rFonts w:ascii="宋体" w:hAnsi="宋体" w:cs="宋体"/>
          <w:kern w:val="0"/>
          <w:sz w:val="24"/>
          <w:szCs w:val="24"/>
        </w:rPr>
      </w:pPr>
    </w:p>
    <w:p w14:paraId="2155BEAB">
      <w:pPr>
        <w:snapToGrid w:val="0"/>
        <w:spacing w:line="440" w:lineRule="exact"/>
        <w:ind w:right="1898" w:rightChars="904" w:firstLine="4320" w:firstLineChars="1800"/>
        <w:rPr>
          <w:rFonts w:ascii="宋体" w:hAnsi="宋体" w:cs="宋体"/>
          <w:kern w:val="0"/>
          <w:sz w:val="24"/>
          <w:szCs w:val="24"/>
        </w:rPr>
      </w:pPr>
      <w:r>
        <w:rPr>
          <w:rFonts w:hint="eastAsia" w:ascii="宋体" w:hAnsi="宋体" w:cs="宋体"/>
          <w:kern w:val="0"/>
          <w:sz w:val="24"/>
          <w:szCs w:val="24"/>
        </w:rPr>
        <w:t>项目负责人（签字）：</w:t>
      </w:r>
    </w:p>
    <w:p w14:paraId="6337BFFE">
      <w:pPr>
        <w:snapToGrid w:val="0"/>
        <w:spacing w:line="440" w:lineRule="exact"/>
        <w:ind w:firstLine="4320" w:firstLineChars="1800"/>
        <w:rPr>
          <w:rFonts w:ascii="宋体" w:hAnsi="宋体" w:cs="宋体"/>
          <w:kern w:val="0"/>
          <w:sz w:val="24"/>
          <w:szCs w:val="24"/>
        </w:rPr>
      </w:pPr>
    </w:p>
    <w:p w14:paraId="7790470C">
      <w:pPr>
        <w:snapToGrid w:val="0"/>
        <w:spacing w:line="440" w:lineRule="exact"/>
        <w:ind w:firstLine="4320" w:firstLineChars="1800"/>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szCs w:val="21"/>
        </w:rPr>
        <w:t>或授权委托人</w:t>
      </w:r>
      <w:r>
        <w:rPr>
          <w:rFonts w:hint="eastAsia" w:ascii="宋体" w:hAnsi="宋体" w:cs="宋体"/>
          <w:kern w:val="0"/>
          <w:sz w:val="24"/>
          <w:szCs w:val="24"/>
        </w:rPr>
        <w:t>（签字）：</w:t>
      </w:r>
    </w:p>
    <w:p w14:paraId="41DA5B84">
      <w:pPr>
        <w:snapToGrid w:val="0"/>
        <w:spacing w:line="440" w:lineRule="exact"/>
        <w:jc w:val="right"/>
        <w:rPr>
          <w:rFonts w:ascii="宋体" w:hAnsi="宋体" w:cs="宋体"/>
          <w:kern w:val="0"/>
          <w:sz w:val="24"/>
          <w:szCs w:val="24"/>
        </w:rPr>
      </w:pPr>
    </w:p>
    <w:p w14:paraId="66466ACE">
      <w:pPr>
        <w:snapToGrid w:val="0"/>
        <w:spacing w:line="440" w:lineRule="exact"/>
        <w:jc w:val="right"/>
      </w:pPr>
      <w:r>
        <w:rPr>
          <w:rFonts w:hint="eastAsia" w:ascii="宋体" w:hAnsi="宋体" w:cs="宋体"/>
          <w:kern w:val="0"/>
          <w:sz w:val="24"/>
          <w:szCs w:val="24"/>
        </w:rPr>
        <w:t>年   月   日</w:t>
      </w:r>
      <w:r>
        <w:br w:type="page"/>
      </w:r>
    </w:p>
    <w:p w14:paraId="7042CFDE">
      <w:pPr>
        <w:pStyle w:val="3"/>
        <w:keepNext w:val="0"/>
        <w:keepLines w:val="0"/>
        <w:spacing w:before="100" w:after="100" w:line="360" w:lineRule="auto"/>
        <w:jc w:val="center"/>
      </w:pPr>
      <w:bookmarkStart w:id="49" w:name="_Toc7926"/>
      <w:r>
        <w:t>第二章投标人须知</w:t>
      </w:r>
      <w:bookmarkEnd w:id="49"/>
    </w:p>
    <w:p w14:paraId="2242C557">
      <w:pPr>
        <w:pStyle w:val="4"/>
        <w:keepNext w:val="0"/>
        <w:keepLines w:val="0"/>
        <w:spacing w:before="20" w:after="0" w:line="360" w:lineRule="auto"/>
        <w:jc w:val="left"/>
        <w:rPr>
          <w:rFonts w:ascii="Times New Roman" w:hAnsi="Times New Roman"/>
        </w:rPr>
      </w:pPr>
      <w:bookmarkStart w:id="50" w:name="_Toc17485"/>
      <w:bookmarkStart w:id="51" w:name="_Toc2856"/>
      <w:bookmarkStart w:id="52" w:name="_Toc16846"/>
      <w:bookmarkStart w:id="53" w:name="_Toc12435"/>
      <w:bookmarkStart w:id="54" w:name="_Toc20934"/>
      <w:r>
        <w:rPr>
          <w:rFonts w:ascii="Times New Roman" w:hAnsi="Times New Roman"/>
        </w:rPr>
        <w:t>投标人须知前附表</w:t>
      </w:r>
      <w:bookmarkEnd w:id="50"/>
      <w:bookmarkEnd w:id="51"/>
      <w:bookmarkEnd w:id="52"/>
      <w:bookmarkEnd w:id="53"/>
      <w:bookmarkEnd w:id="54"/>
    </w:p>
    <w:tbl>
      <w:tblPr>
        <w:tblStyle w:val="21"/>
        <w:tblW w:w="969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78"/>
        <w:gridCol w:w="1650"/>
        <w:gridCol w:w="6863"/>
      </w:tblGrid>
      <w:tr w14:paraId="30AD2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blHeader/>
        </w:trPr>
        <w:tc>
          <w:tcPr>
            <w:tcW w:w="1178" w:type="dxa"/>
            <w:vAlign w:val="center"/>
          </w:tcPr>
          <w:p w14:paraId="62C1A85B">
            <w:pPr>
              <w:snapToGrid w:val="0"/>
              <w:jc w:val="center"/>
              <w:rPr>
                <w:rFonts w:ascii="宋体" w:hAnsi="宋体"/>
                <w:b/>
                <w:szCs w:val="21"/>
              </w:rPr>
            </w:pPr>
            <w:r>
              <w:rPr>
                <w:rFonts w:ascii="宋体" w:hAnsi="宋体"/>
                <w:b/>
                <w:szCs w:val="21"/>
              </w:rPr>
              <w:t>条款号</w:t>
            </w:r>
          </w:p>
        </w:tc>
        <w:tc>
          <w:tcPr>
            <w:tcW w:w="1650" w:type="dxa"/>
            <w:vAlign w:val="center"/>
          </w:tcPr>
          <w:p w14:paraId="13E8B813">
            <w:pPr>
              <w:snapToGrid w:val="0"/>
              <w:jc w:val="center"/>
              <w:rPr>
                <w:rFonts w:ascii="宋体" w:hAnsi="宋体"/>
                <w:b/>
                <w:szCs w:val="21"/>
              </w:rPr>
            </w:pPr>
            <w:r>
              <w:rPr>
                <w:rFonts w:ascii="宋体" w:hAnsi="宋体"/>
                <w:b/>
                <w:szCs w:val="21"/>
              </w:rPr>
              <w:t>条款名称</w:t>
            </w:r>
          </w:p>
        </w:tc>
        <w:tc>
          <w:tcPr>
            <w:tcW w:w="6863" w:type="dxa"/>
            <w:vAlign w:val="center"/>
          </w:tcPr>
          <w:p w14:paraId="3F140196">
            <w:pPr>
              <w:snapToGrid w:val="0"/>
              <w:jc w:val="center"/>
              <w:rPr>
                <w:rFonts w:ascii="宋体" w:hAnsi="宋体"/>
                <w:b/>
                <w:szCs w:val="21"/>
              </w:rPr>
            </w:pPr>
            <w:r>
              <w:rPr>
                <w:rFonts w:ascii="宋体" w:hAnsi="宋体"/>
                <w:b/>
                <w:szCs w:val="21"/>
              </w:rPr>
              <w:t>编列内容</w:t>
            </w:r>
          </w:p>
        </w:tc>
      </w:tr>
      <w:tr w14:paraId="1C4A65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93A64F3">
            <w:pPr>
              <w:snapToGrid w:val="0"/>
              <w:jc w:val="center"/>
              <w:rPr>
                <w:rFonts w:ascii="宋体" w:hAnsi="宋体"/>
                <w:szCs w:val="21"/>
              </w:rPr>
            </w:pPr>
            <w:r>
              <w:rPr>
                <w:rFonts w:ascii="宋体" w:hAnsi="宋体"/>
                <w:szCs w:val="21"/>
              </w:rPr>
              <w:t>1.1.2</w:t>
            </w:r>
          </w:p>
        </w:tc>
        <w:tc>
          <w:tcPr>
            <w:tcW w:w="1650" w:type="dxa"/>
            <w:vAlign w:val="center"/>
          </w:tcPr>
          <w:p w14:paraId="43119AE6">
            <w:pPr>
              <w:snapToGrid w:val="0"/>
              <w:jc w:val="center"/>
              <w:rPr>
                <w:rFonts w:ascii="宋体" w:hAnsi="宋体"/>
                <w:szCs w:val="21"/>
              </w:rPr>
            </w:pPr>
            <w:r>
              <w:rPr>
                <w:rFonts w:ascii="宋体" w:hAnsi="宋体"/>
                <w:szCs w:val="21"/>
              </w:rPr>
              <w:t>招标人</w:t>
            </w:r>
          </w:p>
        </w:tc>
        <w:tc>
          <w:tcPr>
            <w:tcW w:w="6863" w:type="dxa"/>
            <w:vAlign w:val="center"/>
          </w:tcPr>
          <w:p w14:paraId="5F46D7C0">
            <w:pPr>
              <w:snapToGrid w:val="0"/>
              <w:rPr>
                <w:rFonts w:ascii="宋体" w:hAnsi="宋体"/>
                <w:szCs w:val="21"/>
                <w:u w:val="single"/>
              </w:rPr>
            </w:pPr>
            <w:r>
              <w:rPr>
                <w:rFonts w:hint="eastAsia" w:ascii="宋体" w:hAnsi="宋体"/>
                <w:szCs w:val="21"/>
                <w:u w:val="single"/>
              </w:rPr>
              <w:t>名称：广州市增城区人民政府永宁街道办事处</w:t>
            </w:r>
          </w:p>
          <w:p w14:paraId="538E7ADC">
            <w:pPr>
              <w:snapToGrid w:val="0"/>
              <w:rPr>
                <w:rFonts w:ascii="宋体" w:hAnsi="宋体"/>
                <w:szCs w:val="21"/>
                <w:u w:val="single"/>
              </w:rPr>
            </w:pPr>
            <w:r>
              <w:rPr>
                <w:rFonts w:hint="eastAsia" w:ascii="宋体" w:hAnsi="宋体"/>
                <w:szCs w:val="21"/>
                <w:u w:val="single"/>
              </w:rPr>
              <w:t>地址：广州市增城区永宁街道荔香街31号</w:t>
            </w:r>
          </w:p>
          <w:p w14:paraId="5DE0D61C">
            <w:pPr>
              <w:snapToGrid w:val="0"/>
              <w:rPr>
                <w:rFonts w:ascii="宋体" w:hAnsi="宋体"/>
                <w:szCs w:val="21"/>
                <w:u w:val="single"/>
              </w:rPr>
            </w:pPr>
            <w:r>
              <w:rPr>
                <w:rFonts w:hint="eastAsia" w:ascii="宋体" w:hAnsi="宋体"/>
                <w:szCs w:val="21"/>
                <w:u w:val="single"/>
              </w:rPr>
              <w:t>联系人：黄先生</w:t>
            </w:r>
          </w:p>
          <w:p w14:paraId="5E9749C5">
            <w:pPr>
              <w:snapToGrid w:val="0"/>
              <w:rPr>
                <w:rFonts w:ascii="宋体" w:hAnsi="宋体"/>
                <w:szCs w:val="21"/>
                <w:u w:val="single"/>
              </w:rPr>
            </w:pPr>
            <w:r>
              <w:rPr>
                <w:rFonts w:hint="eastAsia" w:ascii="宋体" w:hAnsi="宋体"/>
                <w:szCs w:val="21"/>
                <w:u w:val="single"/>
              </w:rPr>
              <w:t>电话：020-32988902</w:t>
            </w:r>
          </w:p>
        </w:tc>
      </w:tr>
      <w:tr w14:paraId="6CA5FB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1178" w:type="dxa"/>
            <w:vAlign w:val="center"/>
          </w:tcPr>
          <w:p w14:paraId="57F137A2">
            <w:pPr>
              <w:snapToGrid w:val="0"/>
              <w:jc w:val="center"/>
              <w:rPr>
                <w:rFonts w:ascii="宋体" w:hAnsi="宋体"/>
                <w:szCs w:val="21"/>
              </w:rPr>
            </w:pPr>
            <w:r>
              <w:rPr>
                <w:rFonts w:ascii="宋体" w:hAnsi="宋体"/>
                <w:szCs w:val="21"/>
              </w:rPr>
              <w:t>1.1.3</w:t>
            </w:r>
          </w:p>
        </w:tc>
        <w:tc>
          <w:tcPr>
            <w:tcW w:w="1650" w:type="dxa"/>
            <w:vAlign w:val="center"/>
          </w:tcPr>
          <w:p w14:paraId="70FB4D33">
            <w:pPr>
              <w:snapToGrid w:val="0"/>
              <w:jc w:val="center"/>
              <w:rPr>
                <w:rFonts w:ascii="宋体" w:hAnsi="宋体"/>
                <w:szCs w:val="21"/>
              </w:rPr>
            </w:pPr>
            <w:r>
              <w:rPr>
                <w:rFonts w:ascii="宋体" w:hAnsi="宋体"/>
                <w:szCs w:val="21"/>
              </w:rPr>
              <w:t>招标代理机构</w:t>
            </w:r>
          </w:p>
        </w:tc>
        <w:tc>
          <w:tcPr>
            <w:tcW w:w="6863" w:type="dxa"/>
            <w:vAlign w:val="center"/>
          </w:tcPr>
          <w:p w14:paraId="04732047">
            <w:pPr>
              <w:snapToGrid w:val="0"/>
              <w:rPr>
                <w:rFonts w:ascii="宋体" w:hAnsi="宋体"/>
                <w:szCs w:val="21"/>
                <w:u w:val="single"/>
              </w:rPr>
            </w:pPr>
            <w:r>
              <w:rPr>
                <w:rFonts w:hint="eastAsia" w:ascii="宋体" w:hAnsi="宋体"/>
                <w:szCs w:val="21"/>
                <w:u w:val="single"/>
              </w:rPr>
              <w:t>名称：广州建筑工程监理有限公司</w:t>
            </w:r>
          </w:p>
          <w:p w14:paraId="2D80810A">
            <w:pPr>
              <w:snapToGrid w:val="0"/>
              <w:rPr>
                <w:rFonts w:ascii="宋体" w:hAnsi="宋体"/>
                <w:szCs w:val="21"/>
                <w:u w:val="single"/>
              </w:rPr>
            </w:pPr>
            <w:r>
              <w:rPr>
                <w:rFonts w:hint="eastAsia" w:ascii="宋体" w:hAnsi="宋体"/>
                <w:szCs w:val="21"/>
                <w:u w:val="single"/>
              </w:rPr>
              <w:t>地址：广州市越秀区广卫路4号20楼</w:t>
            </w:r>
          </w:p>
          <w:p w14:paraId="16121087">
            <w:pPr>
              <w:snapToGrid w:val="0"/>
              <w:rPr>
                <w:rFonts w:ascii="宋体" w:hAnsi="宋体"/>
                <w:szCs w:val="21"/>
                <w:u w:val="single"/>
              </w:rPr>
            </w:pPr>
            <w:r>
              <w:rPr>
                <w:rFonts w:hint="eastAsia" w:ascii="宋体" w:hAnsi="宋体"/>
                <w:szCs w:val="21"/>
                <w:u w:val="single"/>
              </w:rPr>
              <w:t xml:space="preserve">联系人：陆工 </w:t>
            </w:r>
          </w:p>
          <w:p w14:paraId="51A614D8">
            <w:pPr>
              <w:snapToGrid w:val="0"/>
              <w:rPr>
                <w:rFonts w:ascii="宋体" w:hAnsi="宋体"/>
                <w:szCs w:val="21"/>
                <w:u w:val="single"/>
              </w:rPr>
            </w:pPr>
            <w:r>
              <w:rPr>
                <w:rFonts w:hint="eastAsia" w:ascii="宋体" w:hAnsi="宋体"/>
                <w:szCs w:val="21"/>
                <w:u w:val="single"/>
              </w:rPr>
              <w:t xml:space="preserve">电话：020-82627566 </w:t>
            </w:r>
          </w:p>
        </w:tc>
      </w:tr>
      <w:tr w14:paraId="6AFA7C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24C68F0">
            <w:pPr>
              <w:snapToGrid w:val="0"/>
              <w:jc w:val="center"/>
              <w:rPr>
                <w:rFonts w:ascii="宋体" w:hAnsi="宋体"/>
                <w:szCs w:val="21"/>
              </w:rPr>
            </w:pPr>
            <w:r>
              <w:rPr>
                <w:rFonts w:ascii="宋体" w:hAnsi="宋体"/>
                <w:szCs w:val="21"/>
              </w:rPr>
              <w:t>1.1.4</w:t>
            </w:r>
          </w:p>
        </w:tc>
        <w:tc>
          <w:tcPr>
            <w:tcW w:w="1650" w:type="dxa"/>
            <w:vAlign w:val="center"/>
          </w:tcPr>
          <w:p w14:paraId="63945D3E">
            <w:pPr>
              <w:snapToGrid w:val="0"/>
              <w:jc w:val="center"/>
              <w:rPr>
                <w:rFonts w:ascii="宋体" w:hAnsi="宋体"/>
                <w:szCs w:val="21"/>
              </w:rPr>
            </w:pPr>
            <w:r>
              <w:rPr>
                <w:rFonts w:ascii="宋体" w:hAnsi="宋体"/>
                <w:szCs w:val="21"/>
              </w:rPr>
              <w:t>招标项目名称</w:t>
            </w:r>
          </w:p>
        </w:tc>
        <w:tc>
          <w:tcPr>
            <w:tcW w:w="6863" w:type="dxa"/>
            <w:vAlign w:val="center"/>
          </w:tcPr>
          <w:p w14:paraId="3493CEC8">
            <w:pPr>
              <w:rPr>
                <w:rFonts w:ascii="宋体" w:hAnsi="宋体"/>
                <w:szCs w:val="21"/>
              </w:rPr>
            </w:pPr>
            <w:r>
              <w:rPr>
                <w:rFonts w:hint="eastAsia" w:ascii="宋体" w:hAnsi="宋体"/>
                <w:szCs w:val="21"/>
                <w:u w:val="single"/>
              </w:rPr>
              <w:t>增城区永宁街岗丰村陈家林地块环境综合整治项目效果评估</w:t>
            </w:r>
          </w:p>
        </w:tc>
      </w:tr>
      <w:tr w14:paraId="758831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66DB6C1">
            <w:pPr>
              <w:snapToGrid w:val="0"/>
              <w:jc w:val="center"/>
              <w:rPr>
                <w:rFonts w:ascii="宋体" w:hAnsi="宋体"/>
                <w:szCs w:val="21"/>
              </w:rPr>
            </w:pPr>
            <w:r>
              <w:rPr>
                <w:rFonts w:ascii="宋体" w:hAnsi="宋体"/>
                <w:szCs w:val="21"/>
              </w:rPr>
              <w:t>1.1.5</w:t>
            </w:r>
          </w:p>
        </w:tc>
        <w:tc>
          <w:tcPr>
            <w:tcW w:w="1650" w:type="dxa"/>
            <w:vAlign w:val="center"/>
          </w:tcPr>
          <w:p w14:paraId="0475F737">
            <w:pPr>
              <w:snapToGrid w:val="0"/>
              <w:jc w:val="center"/>
              <w:rPr>
                <w:rFonts w:ascii="宋体" w:hAnsi="宋体"/>
                <w:szCs w:val="21"/>
              </w:rPr>
            </w:pPr>
            <w:r>
              <w:rPr>
                <w:rFonts w:ascii="宋体" w:hAnsi="宋体"/>
                <w:szCs w:val="21"/>
              </w:rPr>
              <w:t>项目建设地点</w:t>
            </w:r>
          </w:p>
        </w:tc>
        <w:tc>
          <w:tcPr>
            <w:tcW w:w="6863" w:type="dxa"/>
            <w:vAlign w:val="center"/>
          </w:tcPr>
          <w:p w14:paraId="1F54052D">
            <w:pPr>
              <w:snapToGrid w:val="0"/>
              <w:rPr>
                <w:rFonts w:ascii="宋体" w:hAnsi="宋体" w:cs="宋体"/>
                <w:szCs w:val="21"/>
              </w:rPr>
            </w:pPr>
            <w:r>
              <w:rPr>
                <w:rFonts w:hint="eastAsia" w:ascii="宋体" w:hAnsi="宋体" w:cs="宋体"/>
                <w:szCs w:val="21"/>
              </w:rPr>
              <w:t>详见本工程招标公告。</w:t>
            </w:r>
          </w:p>
        </w:tc>
      </w:tr>
      <w:tr w14:paraId="5BFF0E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EF71170">
            <w:pPr>
              <w:snapToGrid w:val="0"/>
              <w:jc w:val="center"/>
              <w:rPr>
                <w:rFonts w:ascii="宋体" w:hAnsi="宋体"/>
                <w:szCs w:val="21"/>
              </w:rPr>
            </w:pPr>
            <w:r>
              <w:rPr>
                <w:rFonts w:ascii="宋体" w:hAnsi="宋体"/>
                <w:szCs w:val="21"/>
              </w:rPr>
              <w:t>1.1.6</w:t>
            </w:r>
          </w:p>
        </w:tc>
        <w:tc>
          <w:tcPr>
            <w:tcW w:w="1650" w:type="dxa"/>
            <w:vAlign w:val="center"/>
          </w:tcPr>
          <w:p w14:paraId="06A4F771">
            <w:pPr>
              <w:snapToGrid w:val="0"/>
              <w:jc w:val="center"/>
              <w:rPr>
                <w:rFonts w:ascii="宋体" w:hAnsi="宋体"/>
                <w:szCs w:val="21"/>
              </w:rPr>
            </w:pPr>
            <w:r>
              <w:rPr>
                <w:rFonts w:ascii="宋体" w:hAnsi="宋体"/>
                <w:szCs w:val="21"/>
              </w:rPr>
              <w:t>项目建设规模</w:t>
            </w:r>
          </w:p>
        </w:tc>
        <w:tc>
          <w:tcPr>
            <w:tcW w:w="6863" w:type="dxa"/>
          </w:tcPr>
          <w:p w14:paraId="55C59F58">
            <w:pPr>
              <w:snapToGrid w:val="0"/>
              <w:ind w:right="106"/>
              <w:rPr>
                <w:rFonts w:ascii="宋体" w:hAnsi="宋体" w:cs="宋体"/>
                <w:szCs w:val="21"/>
              </w:rPr>
            </w:pPr>
            <w:r>
              <w:rPr>
                <w:rFonts w:hint="eastAsia" w:ascii="宋体" w:hAnsi="宋体" w:cs="宋体"/>
                <w:szCs w:val="21"/>
              </w:rPr>
              <w:t>详见本工程招标公告。</w:t>
            </w:r>
          </w:p>
        </w:tc>
      </w:tr>
      <w:tr w14:paraId="04AE29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0CF9724">
            <w:pPr>
              <w:snapToGrid w:val="0"/>
              <w:jc w:val="center"/>
              <w:rPr>
                <w:rFonts w:ascii="宋体" w:hAnsi="宋体"/>
                <w:szCs w:val="21"/>
              </w:rPr>
            </w:pPr>
            <w:bookmarkStart w:id="55" w:name="_Hlk136173529"/>
            <w:r>
              <w:rPr>
                <w:rFonts w:ascii="宋体" w:hAnsi="宋体"/>
                <w:szCs w:val="21"/>
              </w:rPr>
              <w:t>1.1.7</w:t>
            </w:r>
          </w:p>
        </w:tc>
        <w:tc>
          <w:tcPr>
            <w:tcW w:w="1650" w:type="dxa"/>
            <w:vAlign w:val="center"/>
          </w:tcPr>
          <w:p w14:paraId="7CF8C224">
            <w:pPr>
              <w:snapToGrid w:val="0"/>
              <w:jc w:val="center"/>
              <w:rPr>
                <w:rFonts w:ascii="宋体" w:hAnsi="宋体"/>
                <w:szCs w:val="21"/>
              </w:rPr>
            </w:pPr>
            <w:r>
              <w:rPr>
                <w:rFonts w:hint="eastAsia" w:ascii="宋体" w:hAnsi="宋体"/>
                <w:szCs w:val="21"/>
              </w:rPr>
              <w:t>施工工期</w:t>
            </w:r>
          </w:p>
        </w:tc>
        <w:tc>
          <w:tcPr>
            <w:tcW w:w="6863" w:type="dxa"/>
            <w:vAlign w:val="center"/>
          </w:tcPr>
          <w:p w14:paraId="23EC814F">
            <w:pPr>
              <w:rPr>
                <w:rFonts w:ascii="宋体" w:hAnsi="宋体"/>
                <w:szCs w:val="21"/>
                <w:u w:val="single"/>
              </w:rPr>
            </w:pPr>
            <w:r>
              <w:rPr>
                <w:rFonts w:hint="eastAsia" w:ascii="宋体" w:hAnsi="宋体"/>
                <w:szCs w:val="21"/>
                <w:u w:val="single"/>
              </w:rPr>
              <w:t>总工期420日历天</w:t>
            </w:r>
          </w:p>
        </w:tc>
      </w:tr>
      <w:bookmarkEnd w:id="55"/>
      <w:tr w14:paraId="0CC710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4CB1211">
            <w:pPr>
              <w:snapToGrid w:val="0"/>
              <w:jc w:val="center"/>
              <w:rPr>
                <w:rFonts w:ascii="宋体" w:hAnsi="宋体"/>
                <w:szCs w:val="21"/>
              </w:rPr>
            </w:pPr>
            <w:r>
              <w:rPr>
                <w:rFonts w:ascii="宋体" w:hAnsi="宋体"/>
                <w:szCs w:val="21"/>
              </w:rPr>
              <w:t>1.2.1</w:t>
            </w:r>
          </w:p>
        </w:tc>
        <w:tc>
          <w:tcPr>
            <w:tcW w:w="1650" w:type="dxa"/>
            <w:vAlign w:val="center"/>
          </w:tcPr>
          <w:p w14:paraId="134E7435">
            <w:pPr>
              <w:snapToGrid w:val="0"/>
              <w:jc w:val="center"/>
              <w:rPr>
                <w:rFonts w:ascii="宋体" w:hAnsi="宋体"/>
                <w:szCs w:val="21"/>
              </w:rPr>
            </w:pPr>
            <w:r>
              <w:rPr>
                <w:rFonts w:ascii="宋体" w:hAnsi="宋体"/>
                <w:szCs w:val="21"/>
              </w:rPr>
              <w:t>资金来源及比例</w:t>
            </w:r>
          </w:p>
        </w:tc>
        <w:tc>
          <w:tcPr>
            <w:tcW w:w="6863" w:type="dxa"/>
            <w:vAlign w:val="center"/>
          </w:tcPr>
          <w:p w14:paraId="45F74374">
            <w:pPr>
              <w:rPr>
                <w:rFonts w:ascii="宋体" w:hAnsi="宋体"/>
                <w:szCs w:val="21"/>
                <w:u w:val="single"/>
              </w:rPr>
            </w:pPr>
            <w:r>
              <w:rPr>
                <w:rFonts w:hint="eastAsia" w:ascii="宋体" w:hAnsi="宋体"/>
                <w:szCs w:val="21"/>
                <w:u w:val="single"/>
              </w:rPr>
              <w:t>区财政资金</w:t>
            </w:r>
          </w:p>
        </w:tc>
      </w:tr>
      <w:tr w14:paraId="584B51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93FBF74">
            <w:pPr>
              <w:snapToGrid w:val="0"/>
              <w:jc w:val="center"/>
              <w:rPr>
                <w:rFonts w:ascii="宋体" w:hAnsi="宋体"/>
                <w:szCs w:val="21"/>
              </w:rPr>
            </w:pPr>
            <w:r>
              <w:rPr>
                <w:rFonts w:ascii="宋体" w:hAnsi="宋体"/>
                <w:szCs w:val="21"/>
              </w:rPr>
              <w:t>1.2.2</w:t>
            </w:r>
          </w:p>
        </w:tc>
        <w:tc>
          <w:tcPr>
            <w:tcW w:w="1650" w:type="dxa"/>
            <w:vAlign w:val="center"/>
          </w:tcPr>
          <w:p w14:paraId="31DFFF47">
            <w:pPr>
              <w:snapToGrid w:val="0"/>
              <w:jc w:val="center"/>
              <w:rPr>
                <w:rFonts w:ascii="宋体" w:hAnsi="宋体"/>
                <w:szCs w:val="21"/>
              </w:rPr>
            </w:pPr>
            <w:r>
              <w:rPr>
                <w:rFonts w:ascii="宋体" w:hAnsi="宋体"/>
                <w:szCs w:val="21"/>
              </w:rPr>
              <w:t>资金落实情况</w:t>
            </w:r>
          </w:p>
        </w:tc>
        <w:tc>
          <w:tcPr>
            <w:tcW w:w="6863" w:type="dxa"/>
            <w:vAlign w:val="center"/>
          </w:tcPr>
          <w:p w14:paraId="1777AB54">
            <w:pPr>
              <w:snapToGrid w:val="0"/>
              <w:rPr>
                <w:rFonts w:ascii="宋体" w:hAnsi="宋体" w:cs="宋体"/>
                <w:szCs w:val="21"/>
              </w:rPr>
            </w:pPr>
            <w:r>
              <w:rPr>
                <w:rFonts w:hint="eastAsia" w:ascii="宋体" w:hAnsi="宋体" w:cs="宋体"/>
                <w:szCs w:val="21"/>
              </w:rPr>
              <w:t>已落实</w:t>
            </w:r>
          </w:p>
        </w:tc>
      </w:tr>
      <w:tr w14:paraId="32CAE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BB4C85B">
            <w:pPr>
              <w:snapToGrid w:val="0"/>
              <w:jc w:val="center"/>
              <w:rPr>
                <w:rFonts w:ascii="宋体" w:hAnsi="宋体"/>
                <w:szCs w:val="21"/>
              </w:rPr>
            </w:pPr>
            <w:r>
              <w:rPr>
                <w:rFonts w:ascii="宋体" w:hAnsi="宋体"/>
                <w:szCs w:val="21"/>
              </w:rPr>
              <w:t>1.3.1</w:t>
            </w:r>
          </w:p>
        </w:tc>
        <w:tc>
          <w:tcPr>
            <w:tcW w:w="1650" w:type="dxa"/>
            <w:vAlign w:val="center"/>
          </w:tcPr>
          <w:p w14:paraId="037AC3C0">
            <w:pPr>
              <w:snapToGrid w:val="0"/>
              <w:jc w:val="center"/>
              <w:rPr>
                <w:rFonts w:ascii="宋体" w:hAnsi="宋体"/>
                <w:szCs w:val="21"/>
              </w:rPr>
            </w:pPr>
            <w:r>
              <w:rPr>
                <w:rFonts w:ascii="宋体" w:hAnsi="宋体"/>
                <w:szCs w:val="21"/>
              </w:rPr>
              <w:t>招标范围</w:t>
            </w:r>
          </w:p>
        </w:tc>
        <w:tc>
          <w:tcPr>
            <w:tcW w:w="6863" w:type="dxa"/>
          </w:tcPr>
          <w:p w14:paraId="45FB8C00">
            <w:pPr>
              <w:snapToGrid w:val="0"/>
              <w:ind w:right="106"/>
              <w:rPr>
                <w:rFonts w:ascii="宋体" w:hAnsi="宋体" w:cs="宋体"/>
                <w:szCs w:val="21"/>
              </w:rPr>
            </w:pPr>
            <w:r>
              <w:rPr>
                <w:rFonts w:hint="eastAsia" w:ascii="宋体" w:hAnsi="宋体" w:cs="宋体"/>
                <w:szCs w:val="21"/>
              </w:rPr>
              <w:t>详见本工程招标公告。</w:t>
            </w:r>
          </w:p>
        </w:tc>
      </w:tr>
      <w:tr w14:paraId="421275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B128E32">
            <w:pPr>
              <w:snapToGrid w:val="0"/>
              <w:jc w:val="center"/>
              <w:rPr>
                <w:rFonts w:ascii="宋体" w:hAnsi="宋体"/>
                <w:szCs w:val="21"/>
              </w:rPr>
            </w:pPr>
            <w:r>
              <w:rPr>
                <w:rFonts w:ascii="宋体" w:hAnsi="宋体"/>
                <w:szCs w:val="21"/>
              </w:rPr>
              <w:t>1.3.2</w:t>
            </w:r>
          </w:p>
        </w:tc>
        <w:tc>
          <w:tcPr>
            <w:tcW w:w="1650" w:type="dxa"/>
            <w:vAlign w:val="center"/>
          </w:tcPr>
          <w:p w14:paraId="7BCFBAED">
            <w:pPr>
              <w:snapToGrid w:val="0"/>
              <w:jc w:val="center"/>
              <w:rPr>
                <w:rFonts w:ascii="宋体" w:hAnsi="宋体"/>
                <w:szCs w:val="21"/>
              </w:rPr>
            </w:pPr>
            <w:r>
              <w:rPr>
                <w:rFonts w:ascii="宋体" w:hAnsi="宋体"/>
                <w:szCs w:val="21"/>
              </w:rPr>
              <w:t>服务期限</w:t>
            </w:r>
          </w:p>
        </w:tc>
        <w:tc>
          <w:tcPr>
            <w:tcW w:w="6863" w:type="dxa"/>
          </w:tcPr>
          <w:p w14:paraId="326F6E7D">
            <w:pPr>
              <w:snapToGrid w:val="0"/>
              <w:ind w:right="106"/>
              <w:rPr>
                <w:rFonts w:ascii="宋体" w:hAnsi="宋体" w:cs="宋体"/>
                <w:szCs w:val="21"/>
              </w:rPr>
            </w:pPr>
            <w:r>
              <w:rPr>
                <w:rFonts w:hint="eastAsia" w:ascii="宋体" w:hAnsi="宋体" w:cs="宋体"/>
                <w:szCs w:val="21"/>
              </w:rPr>
              <w:t>详见本工程招标公告。</w:t>
            </w:r>
          </w:p>
        </w:tc>
      </w:tr>
      <w:tr w14:paraId="2745FC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1178" w:type="dxa"/>
            <w:vAlign w:val="center"/>
          </w:tcPr>
          <w:p w14:paraId="2F17C2B4">
            <w:pPr>
              <w:snapToGrid w:val="0"/>
              <w:jc w:val="center"/>
              <w:rPr>
                <w:rFonts w:ascii="宋体" w:hAnsi="宋体"/>
                <w:szCs w:val="21"/>
              </w:rPr>
            </w:pPr>
            <w:r>
              <w:rPr>
                <w:rFonts w:ascii="宋体" w:hAnsi="宋体"/>
                <w:szCs w:val="21"/>
              </w:rPr>
              <w:t>1.3.3</w:t>
            </w:r>
          </w:p>
        </w:tc>
        <w:tc>
          <w:tcPr>
            <w:tcW w:w="1650" w:type="dxa"/>
            <w:vAlign w:val="center"/>
          </w:tcPr>
          <w:p w14:paraId="6A9C6C38">
            <w:pPr>
              <w:snapToGrid w:val="0"/>
              <w:jc w:val="center"/>
              <w:rPr>
                <w:rFonts w:ascii="宋体" w:hAnsi="宋体"/>
                <w:szCs w:val="21"/>
              </w:rPr>
            </w:pPr>
            <w:r>
              <w:rPr>
                <w:rFonts w:ascii="宋体" w:hAnsi="宋体"/>
                <w:szCs w:val="21"/>
              </w:rPr>
              <w:t>质量标准</w:t>
            </w:r>
          </w:p>
        </w:tc>
        <w:tc>
          <w:tcPr>
            <w:tcW w:w="6863" w:type="dxa"/>
            <w:vAlign w:val="center"/>
          </w:tcPr>
          <w:p w14:paraId="2491D3EC">
            <w:pPr>
              <w:snapToGrid w:val="0"/>
              <w:ind w:right="106"/>
              <w:rPr>
                <w:rFonts w:ascii="宋体" w:hAnsi="宋体" w:cs="宋体"/>
                <w:szCs w:val="21"/>
              </w:rPr>
            </w:pPr>
            <w:r>
              <w:rPr>
                <w:rFonts w:hint="eastAsia" w:ascii="宋体" w:hAnsi="宋体" w:cs="宋体"/>
                <w:szCs w:val="21"/>
              </w:rPr>
              <w:t>符合设计图纸要求和国家、省、市相关法律法规规定要求及行业标准。</w:t>
            </w:r>
          </w:p>
        </w:tc>
      </w:tr>
      <w:tr w14:paraId="0E797D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A89CF03">
            <w:pPr>
              <w:snapToGrid w:val="0"/>
              <w:jc w:val="center"/>
              <w:rPr>
                <w:rFonts w:ascii="宋体" w:hAnsi="宋体"/>
                <w:szCs w:val="21"/>
              </w:rPr>
            </w:pPr>
            <w:r>
              <w:rPr>
                <w:rFonts w:ascii="宋体" w:hAnsi="宋体"/>
                <w:szCs w:val="21"/>
              </w:rPr>
              <w:t>1.4.1</w:t>
            </w:r>
          </w:p>
        </w:tc>
        <w:tc>
          <w:tcPr>
            <w:tcW w:w="1650" w:type="dxa"/>
            <w:vAlign w:val="center"/>
          </w:tcPr>
          <w:p w14:paraId="52AF7521">
            <w:pPr>
              <w:snapToGrid w:val="0"/>
              <w:jc w:val="center"/>
              <w:rPr>
                <w:rFonts w:ascii="宋体" w:hAnsi="宋体"/>
                <w:szCs w:val="21"/>
              </w:rPr>
            </w:pPr>
            <w:r>
              <w:rPr>
                <w:rFonts w:ascii="宋体" w:hAnsi="宋体"/>
                <w:szCs w:val="21"/>
              </w:rPr>
              <w:t>投标人资质条件、能力、信誉</w:t>
            </w:r>
          </w:p>
        </w:tc>
        <w:tc>
          <w:tcPr>
            <w:tcW w:w="6863" w:type="dxa"/>
            <w:vAlign w:val="center"/>
          </w:tcPr>
          <w:p w14:paraId="05CEEA4B">
            <w:pPr>
              <w:snapToGrid w:val="0"/>
              <w:rPr>
                <w:rFonts w:ascii="宋体" w:hAnsi="宋体"/>
                <w:szCs w:val="21"/>
              </w:rPr>
            </w:pPr>
            <w:r>
              <w:rPr>
                <w:rFonts w:hint="eastAsia" w:ascii="宋体" w:hAnsi="宋体" w:cs="宋体"/>
                <w:szCs w:val="21"/>
              </w:rPr>
              <w:t>详见招标公告第3点要求</w:t>
            </w:r>
          </w:p>
        </w:tc>
      </w:tr>
      <w:tr w14:paraId="4F63D8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1E5001D">
            <w:pPr>
              <w:snapToGrid w:val="0"/>
              <w:jc w:val="center"/>
              <w:rPr>
                <w:rFonts w:ascii="宋体" w:hAnsi="宋体"/>
                <w:szCs w:val="21"/>
              </w:rPr>
            </w:pPr>
            <w:r>
              <w:rPr>
                <w:rFonts w:ascii="宋体" w:hAnsi="宋体"/>
                <w:szCs w:val="21"/>
              </w:rPr>
              <w:t>1.4.2</w:t>
            </w:r>
          </w:p>
        </w:tc>
        <w:tc>
          <w:tcPr>
            <w:tcW w:w="1650" w:type="dxa"/>
            <w:vAlign w:val="center"/>
          </w:tcPr>
          <w:p w14:paraId="0232908B">
            <w:pPr>
              <w:snapToGrid w:val="0"/>
              <w:jc w:val="center"/>
              <w:rPr>
                <w:rFonts w:ascii="宋体" w:hAnsi="宋体"/>
                <w:szCs w:val="21"/>
              </w:rPr>
            </w:pPr>
            <w:r>
              <w:rPr>
                <w:rFonts w:ascii="宋体" w:hAnsi="宋体"/>
                <w:szCs w:val="21"/>
              </w:rPr>
              <w:t>是否接受联合体投标</w:t>
            </w:r>
          </w:p>
        </w:tc>
        <w:tc>
          <w:tcPr>
            <w:tcW w:w="6863" w:type="dxa"/>
            <w:vAlign w:val="center"/>
          </w:tcPr>
          <w:p w14:paraId="2518447D">
            <w:pPr>
              <w:spacing w:line="280" w:lineRule="exact"/>
              <w:rPr>
                <w:rFonts w:ascii="宋体" w:hAnsi="宋体"/>
                <w:szCs w:val="21"/>
              </w:rPr>
            </w:pPr>
            <w:r>
              <w:rPr>
                <w:rFonts w:hint="eastAsia"/>
                <w:szCs w:val="21"/>
              </w:rPr>
              <w:t>■</w:t>
            </w:r>
            <w:r>
              <w:rPr>
                <w:rFonts w:hint="eastAsia" w:ascii="宋体" w:hAnsi="宋体"/>
                <w:szCs w:val="21"/>
              </w:rPr>
              <w:t>不接受</w:t>
            </w:r>
            <w:r>
              <w:rPr>
                <w:rFonts w:ascii="宋体" w:hAnsi="宋体"/>
                <w:szCs w:val="21"/>
              </w:rPr>
              <w:t xml:space="preserve"> </w:t>
            </w:r>
          </w:p>
          <w:p w14:paraId="1815978E">
            <w:pPr>
              <w:spacing w:line="280" w:lineRule="exact"/>
              <w:rPr>
                <w:rFonts w:ascii="宋体" w:hAnsi="宋体"/>
                <w:szCs w:val="21"/>
              </w:rPr>
            </w:pPr>
            <w:r>
              <w:rPr>
                <w:rFonts w:hAnsi="宋体"/>
                <w:szCs w:val="21"/>
              </w:rPr>
              <w:sym w:font="Wingdings 2" w:char="00A3"/>
            </w:r>
            <w:r>
              <w:rPr>
                <w:rFonts w:hint="eastAsia" w:ascii="宋体" w:hAnsi="宋体"/>
                <w:szCs w:val="21"/>
              </w:rPr>
              <w:t>接受，应满足下列要求：</w:t>
            </w:r>
            <w:r>
              <w:rPr>
                <w:rFonts w:hint="eastAsia" w:ascii="宋体" w:hAnsi="宋体"/>
                <w:szCs w:val="21"/>
                <w:u w:val="single"/>
              </w:rPr>
              <w:t xml:space="preserve"> /。</w:t>
            </w:r>
          </w:p>
        </w:tc>
      </w:tr>
      <w:tr w14:paraId="554658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9ED5E55">
            <w:pPr>
              <w:snapToGrid w:val="0"/>
              <w:jc w:val="center"/>
              <w:rPr>
                <w:rFonts w:ascii="宋体" w:hAnsi="宋体"/>
                <w:szCs w:val="21"/>
              </w:rPr>
            </w:pPr>
            <w:r>
              <w:rPr>
                <w:rFonts w:ascii="宋体" w:hAnsi="宋体"/>
                <w:szCs w:val="21"/>
              </w:rPr>
              <w:t>1.4.3</w:t>
            </w:r>
          </w:p>
        </w:tc>
        <w:tc>
          <w:tcPr>
            <w:tcW w:w="1650" w:type="dxa"/>
            <w:vAlign w:val="center"/>
          </w:tcPr>
          <w:p w14:paraId="46B0B07B">
            <w:pPr>
              <w:snapToGrid w:val="0"/>
              <w:jc w:val="center"/>
              <w:rPr>
                <w:rFonts w:ascii="宋体" w:hAnsi="宋体"/>
                <w:szCs w:val="21"/>
              </w:rPr>
            </w:pPr>
            <w:r>
              <w:rPr>
                <w:rFonts w:ascii="宋体" w:hAnsi="宋体"/>
                <w:szCs w:val="21"/>
              </w:rPr>
              <w:t>投标人不得存在的</w:t>
            </w:r>
            <w:r>
              <w:rPr>
                <w:rFonts w:hint="eastAsia" w:ascii="宋体" w:hAnsi="宋体"/>
                <w:szCs w:val="21"/>
              </w:rPr>
              <w:t>其他</w:t>
            </w:r>
            <w:r>
              <w:rPr>
                <w:rFonts w:ascii="宋体" w:hAnsi="宋体"/>
                <w:szCs w:val="21"/>
              </w:rPr>
              <w:t>情形</w:t>
            </w:r>
          </w:p>
        </w:tc>
        <w:tc>
          <w:tcPr>
            <w:tcW w:w="6863" w:type="dxa"/>
            <w:vAlign w:val="center"/>
          </w:tcPr>
          <w:p w14:paraId="024EFBDF">
            <w:pPr>
              <w:topLinePunct/>
              <w:snapToGrid w:val="0"/>
              <w:rPr>
                <w:rFonts w:ascii="宋体" w:hAnsi="宋体"/>
                <w:szCs w:val="21"/>
              </w:rPr>
            </w:pPr>
            <w:r>
              <w:rPr>
                <w:rFonts w:ascii="宋体" w:hAnsi="宋体"/>
                <w:szCs w:val="21"/>
              </w:rPr>
              <w:t>无。</w:t>
            </w:r>
          </w:p>
        </w:tc>
      </w:tr>
      <w:tr w14:paraId="18D8D9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A759EC2">
            <w:pPr>
              <w:snapToGrid w:val="0"/>
              <w:jc w:val="center"/>
              <w:rPr>
                <w:rFonts w:ascii="宋体" w:hAnsi="宋体"/>
                <w:szCs w:val="21"/>
              </w:rPr>
            </w:pPr>
            <w:r>
              <w:rPr>
                <w:rFonts w:ascii="宋体" w:hAnsi="宋体"/>
                <w:szCs w:val="21"/>
              </w:rPr>
              <w:t>1.9.1</w:t>
            </w:r>
          </w:p>
        </w:tc>
        <w:tc>
          <w:tcPr>
            <w:tcW w:w="1650" w:type="dxa"/>
            <w:vAlign w:val="center"/>
          </w:tcPr>
          <w:p w14:paraId="0E3035F7">
            <w:pPr>
              <w:snapToGrid w:val="0"/>
              <w:jc w:val="center"/>
              <w:rPr>
                <w:rFonts w:ascii="宋体" w:hAnsi="宋体"/>
                <w:szCs w:val="21"/>
              </w:rPr>
            </w:pPr>
            <w:r>
              <w:rPr>
                <w:rFonts w:ascii="宋体" w:hAnsi="宋体"/>
                <w:szCs w:val="21"/>
              </w:rPr>
              <w:t>踏勘现场</w:t>
            </w:r>
          </w:p>
        </w:tc>
        <w:tc>
          <w:tcPr>
            <w:tcW w:w="6863" w:type="dxa"/>
            <w:vAlign w:val="center"/>
          </w:tcPr>
          <w:p w14:paraId="36DEF89E">
            <w:pPr>
              <w:pStyle w:val="8"/>
              <w:topLinePunct/>
              <w:snapToGrid w:val="0"/>
              <w:rPr>
                <w:rFonts w:hAnsi="宋体"/>
                <w:sz w:val="21"/>
                <w:szCs w:val="21"/>
              </w:rPr>
            </w:pPr>
            <w:r>
              <w:rPr>
                <w:rFonts w:hint="eastAsia"/>
                <w:sz w:val="21"/>
                <w:szCs w:val="21"/>
              </w:rPr>
              <w:t>■</w:t>
            </w:r>
            <w:r>
              <w:rPr>
                <w:rFonts w:hAnsi="宋体"/>
                <w:sz w:val="21"/>
                <w:szCs w:val="21"/>
              </w:rPr>
              <w:t>不组织</w:t>
            </w:r>
          </w:p>
          <w:p w14:paraId="18E4DB76">
            <w:pPr>
              <w:pStyle w:val="8"/>
              <w:topLinePunct/>
              <w:snapToGrid w:val="0"/>
              <w:rPr>
                <w:rFonts w:hAnsi="宋体"/>
                <w:sz w:val="21"/>
                <w:szCs w:val="21"/>
              </w:rPr>
            </w:pPr>
            <w:r>
              <w:rPr>
                <w:rFonts w:hAnsi="宋体"/>
                <w:sz w:val="21"/>
                <w:szCs w:val="21"/>
              </w:rPr>
              <w:sym w:font="Wingdings 2" w:char="00A3"/>
            </w:r>
            <w:r>
              <w:rPr>
                <w:rFonts w:hAnsi="宋体"/>
                <w:sz w:val="21"/>
                <w:szCs w:val="21"/>
              </w:rPr>
              <w:t>组织，踏勘时间：</w:t>
            </w:r>
            <w:r>
              <w:rPr>
                <w:rFonts w:hint="eastAsia" w:hAnsi="宋体"/>
                <w:sz w:val="21"/>
                <w:szCs w:val="21"/>
                <w:u w:val="single"/>
              </w:rPr>
              <w:t xml:space="preserve"> / </w:t>
            </w:r>
          </w:p>
          <w:p w14:paraId="3EB38ED5">
            <w:pPr>
              <w:pStyle w:val="8"/>
              <w:topLinePunct/>
              <w:snapToGrid w:val="0"/>
              <w:ind w:firstLine="840" w:firstLineChars="400"/>
              <w:rPr>
                <w:rFonts w:hAnsi="宋体"/>
                <w:sz w:val="21"/>
                <w:szCs w:val="21"/>
              </w:rPr>
            </w:pPr>
            <w:r>
              <w:rPr>
                <w:rFonts w:hAnsi="宋体"/>
                <w:sz w:val="21"/>
                <w:szCs w:val="21"/>
              </w:rPr>
              <w:t>踏勘集中地点：</w:t>
            </w:r>
            <w:r>
              <w:rPr>
                <w:rFonts w:hint="eastAsia" w:hAnsi="宋体"/>
                <w:sz w:val="21"/>
                <w:szCs w:val="21"/>
                <w:u w:val="single"/>
              </w:rPr>
              <w:t xml:space="preserve"> / </w:t>
            </w:r>
          </w:p>
        </w:tc>
      </w:tr>
      <w:tr w14:paraId="21E6BB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FF29151">
            <w:pPr>
              <w:snapToGrid w:val="0"/>
              <w:jc w:val="center"/>
              <w:rPr>
                <w:rFonts w:ascii="宋体" w:hAnsi="宋体"/>
                <w:szCs w:val="21"/>
              </w:rPr>
            </w:pPr>
            <w:r>
              <w:rPr>
                <w:rFonts w:ascii="宋体" w:hAnsi="宋体"/>
                <w:szCs w:val="21"/>
              </w:rPr>
              <w:t>1.10.1</w:t>
            </w:r>
          </w:p>
        </w:tc>
        <w:tc>
          <w:tcPr>
            <w:tcW w:w="1650" w:type="dxa"/>
            <w:vAlign w:val="center"/>
          </w:tcPr>
          <w:p w14:paraId="64251C45">
            <w:pPr>
              <w:snapToGrid w:val="0"/>
              <w:jc w:val="center"/>
              <w:rPr>
                <w:rFonts w:ascii="宋体" w:hAnsi="宋体"/>
                <w:szCs w:val="21"/>
              </w:rPr>
            </w:pPr>
            <w:r>
              <w:rPr>
                <w:rFonts w:ascii="宋体" w:hAnsi="宋体"/>
                <w:szCs w:val="21"/>
              </w:rPr>
              <w:t>投标预备会</w:t>
            </w:r>
          </w:p>
        </w:tc>
        <w:tc>
          <w:tcPr>
            <w:tcW w:w="6863" w:type="dxa"/>
            <w:vAlign w:val="center"/>
          </w:tcPr>
          <w:p w14:paraId="691959B8">
            <w:pPr>
              <w:pStyle w:val="8"/>
              <w:topLinePunct/>
              <w:snapToGrid w:val="0"/>
              <w:rPr>
                <w:rFonts w:hAnsi="宋体"/>
                <w:sz w:val="21"/>
                <w:szCs w:val="21"/>
              </w:rPr>
            </w:pPr>
            <w:r>
              <w:rPr>
                <w:rFonts w:hint="eastAsia"/>
                <w:sz w:val="21"/>
                <w:szCs w:val="21"/>
              </w:rPr>
              <w:t>■</w:t>
            </w:r>
            <w:r>
              <w:rPr>
                <w:rFonts w:hAnsi="宋体"/>
                <w:sz w:val="21"/>
                <w:szCs w:val="21"/>
              </w:rPr>
              <w:t>不召开</w:t>
            </w:r>
          </w:p>
          <w:p w14:paraId="448046EB">
            <w:pPr>
              <w:snapToGrid w:val="0"/>
              <w:rPr>
                <w:rFonts w:ascii="宋体" w:hAnsi="宋体"/>
                <w:szCs w:val="21"/>
              </w:rPr>
            </w:pPr>
            <w:r>
              <w:rPr>
                <w:rFonts w:ascii="宋体" w:hAnsi="宋体"/>
                <w:szCs w:val="21"/>
              </w:rPr>
              <w:sym w:font="Wingdings 2" w:char="00A3"/>
            </w:r>
            <w:r>
              <w:rPr>
                <w:rFonts w:ascii="宋体" w:hAnsi="宋体"/>
                <w:szCs w:val="21"/>
              </w:rPr>
              <w:t>召开，召开时间：</w:t>
            </w:r>
            <w:r>
              <w:rPr>
                <w:rFonts w:hint="eastAsia" w:ascii="宋体" w:hAnsi="宋体"/>
                <w:szCs w:val="21"/>
                <w:u w:val="single"/>
              </w:rPr>
              <w:t xml:space="preserve"> / </w:t>
            </w:r>
          </w:p>
          <w:p w14:paraId="203C936E">
            <w:pPr>
              <w:snapToGrid w:val="0"/>
              <w:ind w:firstLine="840" w:firstLineChars="400"/>
              <w:rPr>
                <w:rFonts w:ascii="宋体" w:hAnsi="宋体"/>
                <w:szCs w:val="21"/>
              </w:rPr>
            </w:pPr>
            <w:r>
              <w:rPr>
                <w:rFonts w:ascii="宋体" w:hAnsi="宋体"/>
                <w:szCs w:val="21"/>
              </w:rPr>
              <w:t>召开地点：</w:t>
            </w:r>
            <w:r>
              <w:rPr>
                <w:rFonts w:hint="eastAsia" w:ascii="宋体" w:hAnsi="宋体"/>
                <w:szCs w:val="21"/>
                <w:u w:val="single"/>
              </w:rPr>
              <w:t xml:space="preserve"> / </w:t>
            </w:r>
          </w:p>
        </w:tc>
      </w:tr>
      <w:tr w14:paraId="2CE01A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Merge w:val="restart"/>
            <w:vAlign w:val="center"/>
          </w:tcPr>
          <w:p w14:paraId="46C288A0">
            <w:pPr>
              <w:snapToGrid w:val="0"/>
              <w:jc w:val="center"/>
              <w:rPr>
                <w:rFonts w:ascii="宋体" w:hAnsi="宋体"/>
                <w:szCs w:val="21"/>
              </w:rPr>
            </w:pPr>
            <w:r>
              <w:rPr>
                <w:rFonts w:ascii="宋体" w:hAnsi="宋体"/>
                <w:szCs w:val="21"/>
              </w:rPr>
              <w:t>1.10.2</w:t>
            </w:r>
          </w:p>
        </w:tc>
        <w:tc>
          <w:tcPr>
            <w:tcW w:w="1650" w:type="dxa"/>
            <w:vMerge w:val="restart"/>
            <w:vAlign w:val="center"/>
          </w:tcPr>
          <w:p w14:paraId="5B0843F5">
            <w:pPr>
              <w:snapToGrid w:val="0"/>
              <w:jc w:val="center"/>
              <w:rPr>
                <w:rFonts w:ascii="宋体" w:hAnsi="宋体"/>
                <w:szCs w:val="21"/>
              </w:rPr>
            </w:pPr>
            <w:r>
              <w:rPr>
                <w:rFonts w:ascii="宋体" w:hAnsi="宋体"/>
                <w:szCs w:val="21"/>
              </w:rPr>
              <w:t>投标人在投标预备会前提出问题</w:t>
            </w:r>
          </w:p>
        </w:tc>
        <w:tc>
          <w:tcPr>
            <w:tcW w:w="6863" w:type="dxa"/>
            <w:vAlign w:val="center"/>
          </w:tcPr>
          <w:p w14:paraId="4FF0D44F">
            <w:pPr>
              <w:snapToGrid w:val="0"/>
              <w:rPr>
                <w:rFonts w:ascii="宋体" w:hAnsi="宋体"/>
                <w:szCs w:val="21"/>
              </w:rPr>
            </w:pPr>
            <w:r>
              <w:rPr>
                <w:rFonts w:ascii="宋体" w:hAnsi="宋体"/>
                <w:szCs w:val="21"/>
              </w:rPr>
              <w:t>时间：</w:t>
            </w:r>
            <w:r>
              <w:rPr>
                <w:rFonts w:hint="eastAsia" w:ascii="宋体" w:hAnsi="宋体"/>
                <w:szCs w:val="21"/>
                <w:u w:val="single"/>
              </w:rPr>
              <w:t xml:space="preserve"> / </w:t>
            </w:r>
          </w:p>
        </w:tc>
      </w:tr>
      <w:tr w14:paraId="794620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Merge w:val="continue"/>
            <w:vAlign w:val="center"/>
          </w:tcPr>
          <w:p w14:paraId="10A74BA7">
            <w:pPr>
              <w:snapToGrid w:val="0"/>
              <w:jc w:val="center"/>
              <w:rPr>
                <w:rFonts w:ascii="宋体" w:hAnsi="宋体"/>
                <w:szCs w:val="21"/>
              </w:rPr>
            </w:pPr>
          </w:p>
        </w:tc>
        <w:tc>
          <w:tcPr>
            <w:tcW w:w="1650" w:type="dxa"/>
            <w:vMerge w:val="continue"/>
            <w:vAlign w:val="center"/>
          </w:tcPr>
          <w:p w14:paraId="4D61F2F1">
            <w:pPr>
              <w:snapToGrid w:val="0"/>
              <w:jc w:val="center"/>
              <w:rPr>
                <w:rFonts w:ascii="宋体" w:hAnsi="宋体"/>
                <w:szCs w:val="21"/>
              </w:rPr>
            </w:pPr>
          </w:p>
        </w:tc>
        <w:tc>
          <w:tcPr>
            <w:tcW w:w="6863" w:type="dxa"/>
            <w:vAlign w:val="center"/>
          </w:tcPr>
          <w:p w14:paraId="52912992">
            <w:pPr>
              <w:snapToGrid w:val="0"/>
              <w:rPr>
                <w:rFonts w:ascii="宋体" w:hAnsi="宋体"/>
                <w:szCs w:val="21"/>
              </w:rPr>
            </w:pPr>
            <w:r>
              <w:rPr>
                <w:rFonts w:ascii="宋体" w:hAnsi="宋体"/>
                <w:szCs w:val="21"/>
              </w:rPr>
              <w:t>形式：</w:t>
            </w:r>
            <w:r>
              <w:rPr>
                <w:rFonts w:hint="eastAsia" w:ascii="宋体" w:hAnsi="宋体"/>
                <w:szCs w:val="21"/>
                <w:u w:val="single"/>
              </w:rPr>
              <w:t xml:space="preserve"> / </w:t>
            </w:r>
          </w:p>
        </w:tc>
      </w:tr>
      <w:tr w14:paraId="7FF9B2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9AC97F1">
            <w:pPr>
              <w:snapToGrid w:val="0"/>
              <w:jc w:val="center"/>
              <w:rPr>
                <w:rFonts w:ascii="宋体" w:hAnsi="宋体"/>
                <w:szCs w:val="21"/>
              </w:rPr>
            </w:pPr>
            <w:r>
              <w:rPr>
                <w:rFonts w:ascii="宋体" w:hAnsi="宋体"/>
                <w:szCs w:val="21"/>
              </w:rPr>
              <w:t>1.10.3</w:t>
            </w:r>
          </w:p>
        </w:tc>
        <w:tc>
          <w:tcPr>
            <w:tcW w:w="1650" w:type="dxa"/>
            <w:vAlign w:val="center"/>
          </w:tcPr>
          <w:p w14:paraId="14E4300F">
            <w:pPr>
              <w:snapToGrid w:val="0"/>
              <w:jc w:val="center"/>
              <w:rPr>
                <w:rFonts w:ascii="宋体" w:hAnsi="宋体"/>
                <w:szCs w:val="21"/>
              </w:rPr>
            </w:pPr>
            <w:r>
              <w:rPr>
                <w:rFonts w:ascii="宋体" w:hAnsi="宋体"/>
                <w:szCs w:val="21"/>
              </w:rPr>
              <w:t>招标文件澄清发出的形式</w:t>
            </w:r>
          </w:p>
        </w:tc>
        <w:tc>
          <w:tcPr>
            <w:tcW w:w="6863" w:type="dxa"/>
            <w:vAlign w:val="center"/>
          </w:tcPr>
          <w:p w14:paraId="0B459F06">
            <w:pPr>
              <w:snapToGrid w:val="0"/>
              <w:rPr>
                <w:rFonts w:ascii="宋体" w:hAnsi="宋体"/>
                <w:szCs w:val="21"/>
                <w:u w:val="single"/>
              </w:rPr>
            </w:pPr>
            <w:r>
              <w:rPr>
                <w:rFonts w:hint="eastAsia" w:ascii="宋体" w:hAnsi="宋体"/>
                <w:szCs w:val="21"/>
                <w:u w:val="single"/>
              </w:rPr>
              <w:t>在广州公共资源交易中心网站“招标答疑”专区发布。</w:t>
            </w:r>
          </w:p>
        </w:tc>
      </w:tr>
      <w:tr w14:paraId="581CC6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337FDF7">
            <w:pPr>
              <w:snapToGrid w:val="0"/>
              <w:jc w:val="center"/>
              <w:rPr>
                <w:rFonts w:ascii="宋体" w:hAnsi="宋体"/>
                <w:szCs w:val="21"/>
              </w:rPr>
            </w:pPr>
            <w:r>
              <w:rPr>
                <w:rFonts w:ascii="宋体" w:hAnsi="宋体"/>
                <w:szCs w:val="21"/>
              </w:rPr>
              <w:t>1.12.1</w:t>
            </w:r>
          </w:p>
        </w:tc>
        <w:tc>
          <w:tcPr>
            <w:tcW w:w="1650" w:type="dxa"/>
            <w:vAlign w:val="center"/>
          </w:tcPr>
          <w:p w14:paraId="139BC424">
            <w:pPr>
              <w:snapToGrid w:val="0"/>
              <w:jc w:val="center"/>
              <w:rPr>
                <w:rFonts w:ascii="宋体" w:hAnsi="宋体"/>
                <w:szCs w:val="21"/>
              </w:rPr>
            </w:pPr>
            <w:r>
              <w:rPr>
                <w:rFonts w:ascii="宋体" w:hAnsi="宋体"/>
                <w:szCs w:val="21"/>
              </w:rPr>
              <w:t>实质性要求和条件</w:t>
            </w:r>
          </w:p>
        </w:tc>
        <w:tc>
          <w:tcPr>
            <w:tcW w:w="6863" w:type="dxa"/>
            <w:vAlign w:val="center"/>
          </w:tcPr>
          <w:p w14:paraId="76F20D93">
            <w:pPr>
              <w:pStyle w:val="8"/>
              <w:topLinePunct/>
              <w:snapToGrid w:val="0"/>
              <w:rPr>
                <w:rFonts w:hAnsi="宋体"/>
                <w:sz w:val="21"/>
                <w:szCs w:val="21"/>
              </w:rPr>
            </w:pPr>
            <w:r>
              <w:rPr>
                <w:rFonts w:hint="eastAsia" w:hAnsi="宋体"/>
                <w:sz w:val="21"/>
                <w:szCs w:val="21"/>
                <w:u w:val="single"/>
              </w:rPr>
              <w:t>详见评标办法前附表中2.1.1、2.1.2、2.1.3的评审标准。</w:t>
            </w:r>
          </w:p>
        </w:tc>
      </w:tr>
      <w:tr w14:paraId="318698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484B087">
            <w:pPr>
              <w:snapToGrid w:val="0"/>
              <w:jc w:val="center"/>
              <w:rPr>
                <w:rFonts w:ascii="宋体" w:hAnsi="宋体"/>
                <w:szCs w:val="21"/>
              </w:rPr>
            </w:pPr>
            <w:r>
              <w:rPr>
                <w:rFonts w:ascii="宋体" w:hAnsi="宋体"/>
                <w:szCs w:val="21"/>
              </w:rPr>
              <w:t>1.12.3</w:t>
            </w:r>
          </w:p>
        </w:tc>
        <w:tc>
          <w:tcPr>
            <w:tcW w:w="1650" w:type="dxa"/>
            <w:vAlign w:val="center"/>
          </w:tcPr>
          <w:p w14:paraId="46834E34">
            <w:pPr>
              <w:snapToGrid w:val="0"/>
              <w:jc w:val="center"/>
              <w:rPr>
                <w:rFonts w:ascii="宋体" w:hAnsi="宋体"/>
                <w:szCs w:val="21"/>
              </w:rPr>
            </w:pPr>
            <w:r>
              <w:rPr>
                <w:rFonts w:ascii="宋体" w:hAnsi="宋体"/>
                <w:szCs w:val="21"/>
              </w:rPr>
              <w:t>偏差</w:t>
            </w:r>
          </w:p>
        </w:tc>
        <w:tc>
          <w:tcPr>
            <w:tcW w:w="6863" w:type="dxa"/>
          </w:tcPr>
          <w:p w14:paraId="294025B1">
            <w:pPr>
              <w:snapToGrid w:val="0"/>
              <w:rPr>
                <w:rFonts w:ascii="宋体" w:hAnsi="宋体"/>
                <w:szCs w:val="21"/>
              </w:rPr>
            </w:pPr>
            <w:r>
              <w:rPr>
                <w:rFonts w:hint="eastAsia"/>
                <w:szCs w:val="21"/>
              </w:rPr>
              <w:t>■</w:t>
            </w:r>
            <w:r>
              <w:rPr>
                <w:rFonts w:ascii="宋体" w:hAnsi="宋体"/>
                <w:szCs w:val="21"/>
              </w:rPr>
              <w:t>不允许</w:t>
            </w:r>
          </w:p>
          <w:p w14:paraId="38FC88FB">
            <w:pPr>
              <w:snapToGrid w:val="0"/>
              <w:rPr>
                <w:rFonts w:ascii="宋体" w:hAnsi="宋体"/>
                <w:szCs w:val="21"/>
              </w:rPr>
            </w:pPr>
            <w:r>
              <w:rPr>
                <w:rFonts w:ascii="宋体" w:hAnsi="宋体"/>
                <w:szCs w:val="21"/>
              </w:rPr>
              <w:sym w:font="Wingdings 2" w:char="00A3"/>
            </w:r>
            <w:r>
              <w:rPr>
                <w:rFonts w:ascii="宋体" w:hAnsi="宋体"/>
                <w:szCs w:val="21"/>
              </w:rPr>
              <w:t>允许，偏差范围：</w:t>
            </w:r>
            <w:r>
              <w:rPr>
                <w:rFonts w:hint="eastAsia" w:ascii="宋体" w:hAnsi="宋体"/>
                <w:szCs w:val="21"/>
                <w:u w:val="single"/>
              </w:rPr>
              <w:t xml:space="preserve"> / </w:t>
            </w:r>
          </w:p>
          <w:p w14:paraId="51347399">
            <w:pPr>
              <w:pStyle w:val="8"/>
              <w:topLinePunct/>
              <w:snapToGrid w:val="0"/>
              <w:ind w:firstLine="840" w:firstLineChars="400"/>
              <w:rPr>
                <w:rFonts w:hAnsi="宋体"/>
                <w:sz w:val="21"/>
                <w:szCs w:val="21"/>
              </w:rPr>
            </w:pPr>
            <w:r>
              <w:rPr>
                <w:rFonts w:hAnsi="宋体"/>
                <w:sz w:val="21"/>
                <w:szCs w:val="21"/>
              </w:rPr>
              <w:t>偏差幅度：</w:t>
            </w:r>
            <w:r>
              <w:rPr>
                <w:rFonts w:hint="eastAsia" w:hAnsi="宋体"/>
                <w:sz w:val="21"/>
                <w:szCs w:val="21"/>
                <w:u w:val="single"/>
              </w:rPr>
              <w:t xml:space="preserve"> / </w:t>
            </w:r>
          </w:p>
        </w:tc>
      </w:tr>
      <w:tr w14:paraId="588A8F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4CBC1E5">
            <w:pPr>
              <w:snapToGrid w:val="0"/>
              <w:jc w:val="center"/>
              <w:rPr>
                <w:rFonts w:ascii="宋体" w:hAnsi="宋体"/>
                <w:szCs w:val="21"/>
              </w:rPr>
            </w:pPr>
            <w:r>
              <w:rPr>
                <w:rFonts w:ascii="宋体" w:hAnsi="宋体"/>
                <w:szCs w:val="21"/>
              </w:rPr>
              <w:t>2.1</w:t>
            </w:r>
          </w:p>
        </w:tc>
        <w:tc>
          <w:tcPr>
            <w:tcW w:w="1650" w:type="dxa"/>
            <w:vAlign w:val="center"/>
          </w:tcPr>
          <w:p w14:paraId="45483337">
            <w:pPr>
              <w:snapToGrid w:val="0"/>
              <w:jc w:val="center"/>
              <w:rPr>
                <w:rFonts w:ascii="宋体" w:hAnsi="宋体"/>
                <w:szCs w:val="21"/>
              </w:rPr>
            </w:pPr>
            <w:r>
              <w:rPr>
                <w:rFonts w:ascii="宋体" w:hAnsi="宋体"/>
                <w:szCs w:val="21"/>
              </w:rPr>
              <w:t>构成招标文件的其他资料</w:t>
            </w:r>
          </w:p>
        </w:tc>
        <w:tc>
          <w:tcPr>
            <w:tcW w:w="6863" w:type="dxa"/>
            <w:vAlign w:val="center"/>
          </w:tcPr>
          <w:p w14:paraId="2921C9C5">
            <w:pPr>
              <w:snapToGrid w:val="0"/>
              <w:rPr>
                <w:rFonts w:ascii="宋体" w:hAnsi="宋体"/>
                <w:szCs w:val="21"/>
              </w:rPr>
            </w:pPr>
            <w:r>
              <w:rPr>
                <w:rFonts w:hint="eastAsia" w:ascii="宋体" w:hAnsi="宋体"/>
                <w:szCs w:val="21"/>
                <w:u w:val="single"/>
              </w:rPr>
              <w:t xml:space="preserve"> / </w:t>
            </w:r>
          </w:p>
        </w:tc>
      </w:tr>
      <w:tr w14:paraId="3188E2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178" w:type="dxa"/>
            <w:vMerge w:val="restart"/>
            <w:vAlign w:val="center"/>
          </w:tcPr>
          <w:p w14:paraId="058507F6">
            <w:pPr>
              <w:snapToGrid w:val="0"/>
              <w:jc w:val="center"/>
              <w:rPr>
                <w:rFonts w:ascii="宋体" w:hAnsi="宋体"/>
                <w:szCs w:val="21"/>
              </w:rPr>
            </w:pPr>
            <w:bookmarkStart w:id="56" w:name="_Hlk136173546"/>
            <w:r>
              <w:rPr>
                <w:rFonts w:ascii="宋体" w:hAnsi="宋体"/>
                <w:szCs w:val="21"/>
              </w:rPr>
              <w:t>2.2.1</w:t>
            </w:r>
          </w:p>
        </w:tc>
        <w:tc>
          <w:tcPr>
            <w:tcW w:w="1650" w:type="dxa"/>
            <w:vMerge w:val="restart"/>
            <w:vAlign w:val="center"/>
          </w:tcPr>
          <w:p w14:paraId="02DC963D">
            <w:pPr>
              <w:snapToGrid w:val="0"/>
              <w:jc w:val="center"/>
              <w:rPr>
                <w:rFonts w:ascii="宋体" w:hAnsi="宋体"/>
                <w:szCs w:val="21"/>
              </w:rPr>
            </w:pPr>
            <w:r>
              <w:rPr>
                <w:rFonts w:ascii="宋体" w:hAnsi="宋体"/>
                <w:szCs w:val="21"/>
              </w:rPr>
              <w:t>投标人要求澄清招标文件</w:t>
            </w:r>
          </w:p>
        </w:tc>
        <w:tc>
          <w:tcPr>
            <w:tcW w:w="6863" w:type="dxa"/>
            <w:tcBorders>
              <w:bottom w:val="single" w:color="auto" w:sz="4" w:space="0"/>
            </w:tcBorders>
            <w:vAlign w:val="center"/>
          </w:tcPr>
          <w:p w14:paraId="3D4464B4">
            <w:pPr>
              <w:adjustRightInd w:val="0"/>
              <w:snapToGrid w:val="0"/>
              <w:spacing w:line="400" w:lineRule="exact"/>
              <w:rPr>
                <w:rFonts w:ascii="宋体" w:hAnsi="宋体" w:cs="宋体"/>
                <w:szCs w:val="21"/>
                <w:u w:val="single"/>
              </w:rPr>
            </w:pPr>
            <w:r>
              <w:rPr>
                <w:rFonts w:hint="eastAsia" w:ascii="宋体" w:hAnsi="宋体" w:cs="宋体"/>
                <w:szCs w:val="21"/>
                <w:u w:val="single"/>
              </w:rPr>
              <w:t>时间：在提交投标文件截止时间18天前提出</w:t>
            </w:r>
          </w:p>
        </w:tc>
      </w:tr>
      <w:tr w14:paraId="53EAF6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7" w:hRule="atLeast"/>
        </w:trPr>
        <w:tc>
          <w:tcPr>
            <w:tcW w:w="1178" w:type="dxa"/>
            <w:vMerge w:val="continue"/>
            <w:vAlign w:val="center"/>
          </w:tcPr>
          <w:p w14:paraId="13A21C19">
            <w:pPr>
              <w:snapToGrid w:val="0"/>
              <w:jc w:val="center"/>
              <w:rPr>
                <w:rFonts w:ascii="宋体" w:hAnsi="宋体"/>
                <w:szCs w:val="21"/>
              </w:rPr>
            </w:pPr>
          </w:p>
        </w:tc>
        <w:tc>
          <w:tcPr>
            <w:tcW w:w="1650" w:type="dxa"/>
            <w:vMerge w:val="continue"/>
            <w:vAlign w:val="center"/>
          </w:tcPr>
          <w:p w14:paraId="7F32B8BE">
            <w:pPr>
              <w:snapToGrid w:val="0"/>
              <w:jc w:val="center"/>
              <w:rPr>
                <w:rFonts w:ascii="宋体" w:hAnsi="宋体"/>
                <w:szCs w:val="21"/>
              </w:rPr>
            </w:pPr>
          </w:p>
        </w:tc>
        <w:tc>
          <w:tcPr>
            <w:tcW w:w="6863" w:type="dxa"/>
            <w:tcBorders>
              <w:top w:val="single" w:color="auto" w:sz="4" w:space="0"/>
            </w:tcBorders>
            <w:vAlign w:val="center"/>
          </w:tcPr>
          <w:p w14:paraId="157E26A6">
            <w:pPr>
              <w:adjustRightInd w:val="0"/>
              <w:snapToGrid w:val="0"/>
              <w:spacing w:line="400" w:lineRule="exact"/>
              <w:rPr>
                <w:rFonts w:ascii="宋体" w:hAnsi="宋体" w:cs="宋体"/>
                <w:szCs w:val="21"/>
                <w:u w:val="single"/>
              </w:rPr>
            </w:pPr>
            <w:r>
              <w:rPr>
                <w:rFonts w:hint="eastAsia" w:ascii="宋体" w:hAnsi="宋体" w:cs="宋体"/>
                <w:szCs w:val="21"/>
                <w:u w:val="single"/>
              </w:rPr>
              <w:t>形式：投标人的疑问通过广州公共资源交易中心数字交易平台提交。具体要求：登陆广州公共资源交易中心网站-&gt;进入“我是投标人（供应商）”-&gt;“我的投标”-&gt;“招标答疑提问”查询项目并提问。提问一律不得署名。</w:t>
            </w:r>
          </w:p>
        </w:tc>
      </w:tr>
      <w:bookmarkEnd w:id="56"/>
      <w:tr w14:paraId="2F6EE6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369E190">
            <w:pPr>
              <w:snapToGrid w:val="0"/>
              <w:jc w:val="center"/>
              <w:rPr>
                <w:rFonts w:ascii="宋体" w:hAnsi="宋体"/>
                <w:szCs w:val="21"/>
              </w:rPr>
            </w:pPr>
            <w:r>
              <w:rPr>
                <w:rFonts w:ascii="宋体" w:hAnsi="宋体"/>
                <w:szCs w:val="21"/>
              </w:rPr>
              <w:t>2.2.2</w:t>
            </w:r>
          </w:p>
        </w:tc>
        <w:tc>
          <w:tcPr>
            <w:tcW w:w="1650" w:type="dxa"/>
            <w:vAlign w:val="center"/>
          </w:tcPr>
          <w:p w14:paraId="60C4F6BD">
            <w:pPr>
              <w:snapToGrid w:val="0"/>
              <w:jc w:val="center"/>
              <w:rPr>
                <w:rFonts w:ascii="宋体" w:hAnsi="宋体"/>
                <w:szCs w:val="21"/>
              </w:rPr>
            </w:pPr>
            <w:r>
              <w:rPr>
                <w:rFonts w:ascii="宋体" w:hAnsi="宋体"/>
                <w:szCs w:val="21"/>
              </w:rPr>
              <w:t>招标文件澄清发出的形式</w:t>
            </w:r>
          </w:p>
        </w:tc>
        <w:tc>
          <w:tcPr>
            <w:tcW w:w="6863" w:type="dxa"/>
            <w:vAlign w:val="center"/>
          </w:tcPr>
          <w:p w14:paraId="57D0E81E">
            <w:pPr>
              <w:adjustRightInd w:val="0"/>
              <w:snapToGrid w:val="0"/>
              <w:spacing w:line="400" w:lineRule="exact"/>
              <w:rPr>
                <w:rFonts w:ascii="宋体" w:hAnsi="宋体" w:cs="宋体"/>
                <w:szCs w:val="21"/>
                <w:u w:val="single"/>
              </w:rPr>
            </w:pPr>
            <w:r>
              <w:rPr>
                <w:rFonts w:hint="eastAsia" w:ascii="宋体" w:hAnsi="宋体" w:cs="宋体"/>
                <w:szCs w:val="21"/>
                <w:u w:val="single"/>
              </w:rPr>
              <w:t>在递交投标文件截止时间15天前；在广州公共资源交易中心网站通过项目答疑专区公开发布。</w:t>
            </w:r>
          </w:p>
        </w:tc>
      </w:tr>
      <w:tr w14:paraId="781C11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1178" w:type="dxa"/>
            <w:vAlign w:val="center"/>
          </w:tcPr>
          <w:p w14:paraId="0F4AF429">
            <w:pPr>
              <w:snapToGrid w:val="0"/>
              <w:jc w:val="center"/>
              <w:rPr>
                <w:rFonts w:ascii="宋体" w:hAnsi="宋体"/>
                <w:szCs w:val="21"/>
              </w:rPr>
            </w:pPr>
            <w:r>
              <w:rPr>
                <w:rFonts w:ascii="宋体" w:hAnsi="宋体"/>
                <w:szCs w:val="21"/>
              </w:rPr>
              <w:t>2.2.3</w:t>
            </w:r>
          </w:p>
        </w:tc>
        <w:tc>
          <w:tcPr>
            <w:tcW w:w="1650" w:type="dxa"/>
            <w:vAlign w:val="center"/>
          </w:tcPr>
          <w:p w14:paraId="117C7D76">
            <w:pPr>
              <w:snapToGrid w:val="0"/>
              <w:jc w:val="center"/>
              <w:rPr>
                <w:rFonts w:ascii="宋体" w:hAnsi="宋体"/>
                <w:szCs w:val="21"/>
              </w:rPr>
            </w:pPr>
            <w:r>
              <w:rPr>
                <w:rFonts w:ascii="宋体" w:hAnsi="宋体"/>
                <w:szCs w:val="21"/>
              </w:rPr>
              <w:t>投标人确认收到招标文件澄清</w:t>
            </w:r>
          </w:p>
        </w:tc>
        <w:tc>
          <w:tcPr>
            <w:tcW w:w="6863" w:type="dxa"/>
            <w:vAlign w:val="center"/>
          </w:tcPr>
          <w:p w14:paraId="11517E6E">
            <w:pPr>
              <w:adjustRightInd w:val="0"/>
              <w:snapToGrid w:val="0"/>
              <w:spacing w:line="400" w:lineRule="exact"/>
              <w:rPr>
                <w:rFonts w:ascii="宋体" w:hAnsi="宋体" w:cs="宋体"/>
                <w:szCs w:val="21"/>
                <w:u w:val="single"/>
              </w:rPr>
            </w:pPr>
            <w:r>
              <w:rPr>
                <w:rFonts w:hint="eastAsia" w:ascii="宋体" w:hAnsi="宋体" w:cs="宋体"/>
                <w:szCs w:val="21"/>
                <w:u w:val="single"/>
              </w:rPr>
              <w:t>从招标文件澄清及答疑文件发布之日起即视为投标人已确认收到。招标文件澄清（招标答疑纪要）一经在广州公共资源交易中心网站发布，视作已发放给所有投标人。</w:t>
            </w:r>
          </w:p>
        </w:tc>
      </w:tr>
      <w:tr w14:paraId="6332D8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02918AE">
            <w:pPr>
              <w:snapToGrid w:val="0"/>
              <w:jc w:val="center"/>
              <w:rPr>
                <w:rFonts w:ascii="宋体" w:hAnsi="宋体"/>
                <w:szCs w:val="21"/>
              </w:rPr>
            </w:pPr>
            <w:r>
              <w:rPr>
                <w:rFonts w:ascii="宋体" w:hAnsi="宋体"/>
                <w:szCs w:val="21"/>
              </w:rPr>
              <w:t>2.3.1</w:t>
            </w:r>
          </w:p>
        </w:tc>
        <w:tc>
          <w:tcPr>
            <w:tcW w:w="1650" w:type="dxa"/>
            <w:vAlign w:val="center"/>
          </w:tcPr>
          <w:p w14:paraId="3E4DBC3D">
            <w:pPr>
              <w:snapToGrid w:val="0"/>
              <w:jc w:val="center"/>
              <w:rPr>
                <w:rFonts w:ascii="宋体" w:hAnsi="宋体"/>
                <w:szCs w:val="21"/>
              </w:rPr>
            </w:pPr>
            <w:r>
              <w:rPr>
                <w:rFonts w:ascii="宋体" w:hAnsi="宋体"/>
                <w:szCs w:val="21"/>
              </w:rPr>
              <w:t>招标文件修改发出的形式</w:t>
            </w:r>
          </w:p>
        </w:tc>
        <w:tc>
          <w:tcPr>
            <w:tcW w:w="6863" w:type="dxa"/>
            <w:vAlign w:val="center"/>
          </w:tcPr>
          <w:p w14:paraId="77269B0D">
            <w:pPr>
              <w:adjustRightInd w:val="0"/>
              <w:snapToGrid w:val="0"/>
              <w:spacing w:line="400" w:lineRule="exact"/>
              <w:rPr>
                <w:rFonts w:ascii="宋体" w:hAnsi="宋体" w:cs="宋体"/>
                <w:szCs w:val="21"/>
                <w:u w:val="single"/>
              </w:rPr>
            </w:pPr>
            <w:r>
              <w:rPr>
                <w:rFonts w:hint="eastAsia" w:ascii="宋体" w:hAnsi="宋体" w:cs="宋体"/>
                <w:szCs w:val="21"/>
                <w:u w:val="single"/>
              </w:rPr>
              <w:t>以补充公告或项目答疑澄清的方式在广州公共资源交易中心网站公开发布。</w:t>
            </w:r>
          </w:p>
        </w:tc>
      </w:tr>
      <w:tr w14:paraId="61DB59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E98261A">
            <w:pPr>
              <w:snapToGrid w:val="0"/>
              <w:jc w:val="center"/>
              <w:rPr>
                <w:rFonts w:ascii="宋体" w:hAnsi="宋体"/>
                <w:szCs w:val="21"/>
              </w:rPr>
            </w:pPr>
            <w:r>
              <w:rPr>
                <w:rFonts w:ascii="宋体" w:hAnsi="宋体"/>
                <w:szCs w:val="21"/>
              </w:rPr>
              <w:t>2.3.2</w:t>
            </w:r>
          </w:p>
        </w:tc>
        <w:tc>
          <w:tcPr>
            <w:tcW w:w="1650" w:type="dxa"/>
            <w:vAlign w:val="center"/>
          </w:tcPr>
          <w:p w14:paraId="5D937566">
            <w:pPr>
              <w:snapToGrid w:val="0"/>
              <w:jc w:val="center"/>
              <w:rPr>
                <w:rFonts w:ascii="宋体" w:hAnsi="宋体"/>
                <w:szCs w:val="21"/>
              </w:rPr>
            </w:pPr>
            <w:r>
              <w:rPr>
                <w:rFonts w:ascii="宋体" w:hAnsi="宋体"/>
                <w:szCs w:val="21"/>
              </w:rPr>
              <w:t>投标人确认收到招标文件修改</w:t>
            </w:r>
          </w:p>
        </w:tc>
        <w:tc>
          <w:tcPr>
            <w:tcW w:w="6863" w:type="dxa"/>
            <w:vAlign w:val="center"/>
          </w:tcPr>
          <w:p w14:paraId="3507649C">
            <w:pPr>
              <w:adjustRightInd w:val="0"/>
              <w:snapToGrid w:val="0"/>
              <w:spacing w:line="400" w:lineRule="exact"/>
              <w:rPr>
                <w:rFonts w:ascii="宋体" w:hAnsi="宋体" w:cs="宋体"/>
                <w:szCs w:val="21"/>
                <w:u w:val="single"/>
              </w:rPr>
            </w:pPr>
            <w:r>
              <w:rPr>
                <w:rFonts w:hint="eastAsia" w:ascii="宋体" w:hAnsi="宋体" w:cs="宋体"/>
                <w:szCs w:val="21"/>
                <w:u w:val="single"/>
              </w:rPr>
              <w:t>招标文件修改一经在广州公共资源交易中心网站发布，视作已发放给所有投标人，无需确认。潜在投标人应自行关注招标公告公布的网站公告，投标人因自身贻误行为导致投标失败的，责任自负。</w:t>
            </w:r>
          </w:p>
        </w:tc>
      </w:tr>
      <w:tr w14:paraId="3EF5E4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653AF33">
            <w:pPr>
              <w:snapToGrid w:val="0"/>
              <w:jc w:val="center"/>
              <w:rPr>
                <w:rFonts w:ascii="宋体" w:hAnsi="宋体"/>
                <w:szCs w:val="21"/>
              </w:rPr>
            </w:pPr>
            <w:r>
              <w:rPr>
                <w:rFonts w:ascii="宋体" w:hAnsi="宋体"/>
                <w:szCs w:val="21"/>
              </w:rPr>
              <w:t>3.1.1</w:t>
            </w:r>
          </w:p>
        </w:tc>
        <w:tc>
          <w:tcPr>
            <w:tcW w:w="1650" w:type="dxa"/>
            <w:vAlign w:val="center"/>
          </w:tcPr>
          <w:p w14:paraId="695449B6">
            <w:pPr>
              <w:snapToGrid w:val="0"/>
              <w:jc w:val="center"/>
              <w:rPr>
                <w:rFonts w:ascii="宋体" w:hAnsi="宋体"/>
                <w:szCs w:val="21"/>
              </w:rPr>
            </w:pPr>
            <w:r>
              <w:rPr>
                <w:rFonts w:ascii="宋体" w:hAnsi="宋体"/>
                <w:szCs w:val="21"/>
              </w:rPr>
              <w:t>构成投标文件的其他资料</w:t>
            </w:r>
          </w:p>
        </w:tc>
        <w:tc>
          <w:tcPr>
            <w:tcW w:w="6863" w:type="dxa"/>
            <w:vAlign w:val="center"/>
          </w:tcPr>
          <w:p w14:paraId="7AF36BF2">
            <w:pPr>
              <w:snapToGrid w:val="0"/>
              <w:rPr>
                <w:rFonts w:ascii="宋体" w:hAnsi="宋体"/>
                <w:szCs w:val="21"/>
              </w:rPr>
            </w:pPr>
            <w:r>
              <w:rPr>
                <w:rFonts w:hint="eastAsia" w:ascii="宋体" w:hAnsi="宋体"/>
                <w:szCs w:val="21"/>
                <w:u w:val="single"/>
              </w:rPr>
              <w:t xml:space="preserve"> / </w:t>
            </w:r>
          </w:p>
        </w:tc>
      </w:tr>
      <w:tr w14:paraId="5BA84C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D90C725">
            <w:pPr>
              <w:snapToGrid w:val="0"/>
              <w:jc w:val="center"/>
              <w:rPr>
                <w:rFonts w:ascii="宋体" w:hAnsi="宋体"/>
                <w:szCs w:val="21"/>
              </w:rPr>
            </w:pPr>
            <w:r>
              <w:rPr>
                <w:rFonts w:ascii="宋体" w:hAnsi="宋体"/>
                <w:szCs w:val="21"/>
              </w:rPr>
              <w:t>3.2.1</w:t>
            </w:r>
          </w:p>
        </w:tc>
        <w:tc>
          <w:tcPr>
            <w:tcW w:w="1650" w:type="dxa"/>
            <w:vAlign w:val="center"/>
          </w:tcPr>
          <w:p w14:paraId="1CD5CF75">
            <w:pPr>
              <w:snapToGrid w:val="0"/>
              <w:jc w:val="center"/>
              <w:rPr>
                <w:rFonts w:ascii="宋体" w:hAnsi="宋体"/>
                <w:szCs w:val="21"/>
              </w:rPr>
            </w:pPr>
            <w:r>
              <w:rPr>
                <w:rFonts w:ascii="宋体" w:hAnsi="宋体"/>
                <w:szCs w:val="21"/>
              </w:rPr>
              <w:t>增值税税金的计算方法</w:t>
            </w:r>
          </w:p>
        </w:tc>
        <w:tc>
          <w:tcPr>
            <w:tcW w:w="6863" w:type="dxa"/>
            <w:vAlign w:val="center"/>
          </w:tcPr>
          <w:p w14:paraId="6B71D56D">
            <w:pPr>
              <w:snapToGrid w:val="0"/>
              <w:rPr>
                <w:rFonts w:ascii="宋体" w:hAnsi="宋体"/>
                <w:szCs w:val="21"/>
              </w:rPr>
            </w:pPr>
            <w:r>
              <w:rPr>
                <w:rFonts w:hint="eastAsia" w:ascii="宋体" w:hAnsi="宋体"/>
                <w:szCs w:val="21"/>
                <w:u w:val="single"/>
              </w:rPr>
              <w:t xml:space="preserve"> / </w:t>
            </w:r>
          </w:p>
        </w:tc>
      </w:tr>
      <w:tr w14:paraId="2E4F4F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56D993A">
            <w:pPr>
              <w:snapToGrid w:val="0"/>
              <w:jc w:val="center"/>
              <w:rPr>
                <w:rFonts w:ascii="宋体" w:hAnsi="宋体"/>
                <w:szCs w:val="21"/>
              </w:rPr>
            </w:pPr>
            <w:r>
              <w:rPr>
                <w:rFonts w:ascii="宋体" w:hAnsi="宋体"/>
                <w:szCs w:val="21"/>
              </w:rPr>
              <w:t>3.2.3</w:t>
            </w:r>
          </w:p>
        </w:tc>
        <w:tc>
          <w:tcPr>
            <w:tcW w:w="1650" w:type="dxa"/>
            <w:vAlign w:val="center"/>
          </w:tcPr>
          <w:p w14:paraId="52523745">
            <w:pPr>
              <w:snapToGrid w:val="0"/>
              <w:jc w:val="center"/>
              <w:rPr>
                <w:rFonts w:ascii="宋体" w:hAnsi="宋体"/>
                <w:szCs w:val="21"/>
              </w:rPr>
            </w:pPr>
            <w:r>
              <w:rPr>
                <w:rFonts w:ascii="宋体" w:hAnsi="宋体"/>
                <w:szCs w:val="21"/>
              </w:rPr>
              <w:t>报价方式</w:t>
            </w:r>
          </w:p>
        </w:tc>
        <w:tc>
          <w:tcPr>
            <w:tcW w:w="6863" w:type="dxa"/>
            <w:vAlign w:val="center"/>
          </w:tcPr>
          <w:p w14:paraId="4E65CBCA">
            <w:pPr>
              <w:snapToGrid w:val="0"/>
              <w:rPr>
                <w:rFonts w:ascii="宋体" w:hAnsi="宋体"/>
                <w:szCs w:val="21"/>
              </w:rPr>
            </w:pPr>
            <w:r>
              <w:rPr>
                <w:rFonts w:hint="eastAsia" w:ascii="宋体" w:cs="宋体"/>
                <w:szCs w:val="21"/>
                <w:lang w:val="zh-CN"/>
              </w:rPr>
              <w:t>各投标单位在</w:t>
            </w:r>
            <w:r>
              <w:rPr>
                <w:rFonts w:hint="eastAsia" w:ascii="宋体" w:cs="宋体"/>
                <w:szCs w:val="21"/>
              </w:rPr>
              <w:t>最高投标限价</w:t>
            </w:r>
            <w:r>
              <w:rPr>
                <w:rFonts w:hint="eastAsia" w:ascii="宋体" w:cs="宋体"/>
                <w:szCs w:val="21"/>
                <w:lang w:val="zh-CN"/>
              </w:rPr>
              <w:t>内根据企业自身实力进行报价（以元为单位，保留两位小数，第三位小数四舍五入）,本项目实行双限价，即:投标人的投标总报价及综合单价都不能超过招标人公布的最高投标限价或综合单价限价，投标总报价超过最高投标限价或投标综合单价超过综合单价限价的投标文件将被拒绝。</w:t>
            </w:r>
          </w:p>
        </w:tc>
      </w:tr>
      <w:tr w14:paraId="0D16F4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178" w:type="dxa"/>
            <w:vAlign w:val="center"/>
          </w:tcPr>
          <w:p w14:paraId="5C021AC9">
            <w:pPr>
              <w:snapToGrid w:val="0"/>
              <w:jc w:val="center"/>
              <w:rPr>
                <w:rFonts w:ascii="宋体" w:hAnsi="宋体"/>
                <w:szCs w:val="21"/>
              </w:rPr>
            </w:pPr>
            <w:r>
              <w:rPr>
                <w:rFonts w:ascii="宋体" w:hAnsi="宋体"/>
                <w:szCs w:val="21"/>
              </w:rPr>
              <w:t>3.2.4</w:t>
            </w:r>
          </w:p>
        </w:tc>
        <w:tc>
          <w:tcPr>
            <w:tcW w:w="1650" w:type="dxa"/>
            <w:vAlign w:val="center"/>
          </w:tcPr>
          <w:p w14:paraId="358A4AEF">
            <w:pPr>
              <w:snapToGrid w:val="0"/>
              <w:jc w:val="center"/>
              <w:rPr>
                <w:rFonts w:ascii="宋体" w:hAnsi="宋体"/>
                <w:szCs w:val="21"/>
              </w:rPr>
            </w:pPr>
            <w:r>
              <w:rPr>
                <w:rFonts w:ascii="宋体" w:hAnsi="宋体"/>
                <w:szCs w:val="21"/>
              </w:rPr>
              <w:t>最高投标限价</w:t>
            </w:r>
          </w:p>
        </w:tc>
        <w:tc>
          <w:tcPr>
            <w:tcW w:w="6863" w:type="dxa"/>
            <w:vAlign w:val="center"/>
          </w:tcPr>
          <w:p w14:paraId="32F132BB">
            <w:pPr>
              <w:snapToGrid w:val="0"/>
              <w:rPr>
                <w:rFonts w:ascii="宋体" w:hAnsi="宋体"/>
                <w:szCs w:val="21"/>
              </w:rPr>
            </w:pPr>
            <w:r>
              <w:rPr>
                <w:rFonts w:ascii="宋体" w:hAnsi="宋体"/>
                <w:szCs w:val="21"/>
              </w:rPr>
              <w:sym w:font="Wingdings 2" w:char="00A3"/>
            </w:r>
            <w:r>
              <w:rPr>
                <w:rFonts w:ascii="宋体" w:hAnsi="宋体"/>
                <w:szCs w:val="21"/>
              </w:rPr>
              <w:t>无</w:t>
            </w:r>
          </w:p>
          <w:p w14:paraId="49CC3764">
            <w:pPr>
              <w:snapToGrid w:val="0"/>
              <w:rPr>
                <w:rFonts w:ascii="宋体" w:hAnsi="宋体"/>
                <w:szCs w:val="21"/>
                <w:u w:val="single"/>
              </w:rPr>
            </w:pPr>
            <w:r>
              <w:rPr>
                <w:rFonts w:hint="eastAsia"/>
                <w:szCs w:val="21"/>
              </w:rPr>
              <w:t>■</w:t>
            </w:r>
            <w:r>
              <w:rPr>
                <w:rFonts w:ascii="宋体" w:hAnsi="宋体"/>
                <w:szCs w:val="21"/>
              </w:rPr>
              <w:t>有，最高投标限价：</w:t>
            </w:r>
            <w:r>
              <w:rPr>
                <w:rFonts w:hint="eastAsia" w:ascii="宋体" w:cs="宋体"/>
                <w:szCs w:val="21"/>
                <w:u w:val="single"/>
              </w:rPr>
              <w:t>4195700.00</w:t>
            </w:r>
            <w:r>
              <w:rPr>
                <w:rFonts w:hint="eastAsia" w:ascii="宋体" w:cs="宋体"/>
                <w:szCs w:val="21"/>
                <w:u w:val="single"/>
                <w:lang w:val="zh-CN"/>
              </w:rPr>
              <w:t>元</w:t>
            </w:r>
          </w:p>
        </w:tc>
      </w:tr>
      <w:tr w14:paraId="47C58F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F26C890">
            <w:pPr>
              <w:snapToGrid w:val="0"/>
              <w:jc w:val="center"/>
              <w:rPr>
                <w:rFonts w:ascii="宋体" w:hAnsi="宋体"/>
                <w:szCs w:val="21"/>
              </w:rPr>
            </w:pPr>
            <w:r>
              <w:rPr>
                <w:rFonts w:ascii="宋体" w:hAnsi="宋体"/>
                <w:szCs w:val="21"/>
              </w:rPr>
              <w:t>3.2.5</w:t>
            </w:r>
          </w:p>
        </w:tc>
        <w:tc>
          <w:tcPr>
            <w:tcW w:w="1650" w:type="dxa"/>
            <w:vAlign w:val="center"/>
          </w:tcPr>
          <w:p w14:paraId="586BD8AC">
            <w:pPr>
              <w:snapToGrid w:val="0"/>
              <w:jc w:val="center"/>
              <w:rPr>
                <w:rFonts w:ascii="宋体" w:hAnsi="宋体"/>
                <w:szCs w:val="21"/>
              </w:rPr>
            </w:pPr>
            <w:r>
              <w:rPr>
                <w:rFonts w:ascii="宋体" w:hAnsi="宋体"/>
                <w:szCs w:val="21"/>
              </w:rPr>
              <w:t>投标报价的其他要求</w:t>
            </w:r>
          </w:p>
        </w:tc>
        <w:tc>
          <w:tcPr>
            <w:tcW w:w="6863" w:type="dxa"/>
            <w:vAlign w:val="center"/>
          </w:tcPr>
          <w:p w14:paraId="7443DD58">
            <w:pPr>
              <w:snapToGrid w:val="0"/>
              <w:rPr>
                <w:rFonts w:ascii="宋体" w:hAnsi="宋体"/>
                <w:szCs w:val="21"/>
              </w:rPr>
            </w:pPr>
            <w:r>
              <w:rPr>
                <w:rFonts w:hint="eastAsia" w:ascii="宋体" w:hAnsi="宋体"/>
                <w:szCs w:val="21"/>
                <w:u w:val="single"/>
              </w:rPr>
              <w:t xml:space="preserve"> / </w:t>
            </w:r>
          </w:p>
        </w:tc>
      </w:tr>
      <w:tr w14:paraId="5A1A57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F013227">
            <w:pPr>
              <w:snapToGrid w:val="0"/>
              <w:jc w:val="center"/>
              <w:rPr>
                <w:rFonts w:ascii="宋体" w:hAnsi="宋体"/>
                <w:szCs w:val="21"/>
              </w:rPr>
            </w:pPr>
            <w:r>
              <w:rPr>
                <w:rFonts w:ascii="宋体" w:hAnsi="宋体"/>
                <w:szCs w:val="21"/>
              </w:rPr>
              <w:t>3.3.1</w:t>
            </w:r>
          </w:p>
        </w:tc>
        <w:tc>
          <w:tcPr>
            <w:tcW w:w="1650" w:type="dxa"/>
            <w:vAlign w:val="center"/>
          </w:tcPr>
          <w:p w14:paraId="496FD1C1">
            <w:pPr>
              <w:snapToGrid w:val="0"/>
              <w:jc w:val="center"/>
              <w:rPr>
                <w:rFonts w:ascii="宋体" w:hAnsi="宋体"/>
                <w:szCs w:val="21"/>
              </w:rPr>
            </w:pPr>
            <w:r>
              <w:rPr>
                <w:rFonts w:ascii="宋体" w:hAnsi="宋体"/>
                <w:szCs w:val="21"/>
              </w:rPr>
              <w:t>投标有效期</w:t>
            </w:r>
          </w:p>
        </w:tc>
        <w:tc>
          <w:tcPr>
            <w:tcW w:w="6863" w:type="dxa"/>
            <w:vAlign w:val="center"/>
          </w:tcPr>
          <w:p w14:paraId="726FDAB3">
            <w:pPr>
              <w:snapToGrid w:val="0"/>
              <w:rPr>
                <w:rFonts w:ascii="宋体" w:hAnsi="宋体"/>
                <w:szCs w:val="21"/>
              </w:rPr>
            </w:pPr>
            <w:bookmarkStart w:id="57" w:name="_Toc352691470"/>
            <w:bookmarkStart w:id="58" w:name="_Toc1789"/>
            <w:bookmarkStart w:id="59" w:name="_Toc384308207"/>
            <w:bookmarkStart w:id="60" w:name="_Toc361508582"/>
            <w:bookmarkStart w:id="61" w:name="_Toc369531512"/>
            <w:bookmarkStart w:id="62" w:name="_Toc300834946"/>
            <w:r>
              <w:rPr>
                <w:rFonts w:hint="eastAsia" w:ascii="宋体" w:hAnsi="宋体"/>
                <w:szCs w:val="21"/>
                <w:u w:val="single"/>
              </w:rPr>
              <w:t>90</w:t>
            </w:r>
            <w:r>
              <w:rPr>
                <w:rFonts w:hint="eastAsia" w:ascii="宋体" w:hAnsi="宋体"/>
                <w:szCs w:val="21"/>
              </w:rPr>
              <w:t>日历天（从投标截止之日算起）。</w:t>
            </w:r>
          </w:p>
        </w:tc>
      </w:tr>
      <w:bookmarkEnd w:id="57"/>
      <w:bookmarkEnd w:id="58"/>
      <w:bookmarkEnd w:id="59"/>
      <w:bookmarkEnd w:id="60"/>
      <w:bookmarkEnd w:id="61"/>
      <w:bookmarkEnd w:id="62"/>
      <w:tr w14:paraId="4713E9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899BF22">
            <w:pPr>
              <w:snapToGrid w:val="0"/>
              <w:jc w:val="center"/>
              <w:rPr>
                <w:rFonts w:ascii="宋体" w:hAnsi="宋体"/>
                <w:szCs w:val="21"/>
              </w:rPr>
            </w:pPr>
            <w:bookmarkStart w:id="63" w:name="_Hlk136173941"/>
            <w:r>
              <w:rPr>
                <w:rFonts w:ascii="宋体" w:hAnsi="宋体"/>
                <w:szCs w:val="21"/>
              </w:rPr>
              <w:t>3.4.1</w:t>
            </w:r>
          </w:p>
        </w:tc>
        <w:tc>
          <w:tcPr>
            <w:tcW w:w="1650" w:type="dxa"/>
            <w:vAlign w:val="center"/>
          </w:tcPr>
          <w:p w14:paraId="32DEF2A0">
            <w:pPr>
              <w:snapToGrid w:val="0"/>
              <w:jc w:val="center"/>
              <w:rPr>
                <w:rFonts w:ascii="宋体" w:hAnsi="宋体"/>
                <w:szCs w:val="21"/>
              </w:rPr>
            </w:pPr>
            <w:r>
              <w:rPr>
                <w:rFonts w:ascii="宋体" w:hAnsi="宋体"/>
                <w:szCs w:val="21"/>
              </w:rPr>
              <w:t>投标保证金</w:t>
            </w:r>
          </w:p>
        </w:tc>
        <w:tc>
          <w:tcPr>
            <w:tcW w:w="6863" w:type="dxa"/>
            <w:vAlign w:val="center"/>
          </w:tcPr>
          <w:p w14:paraId="70DC2ED8">
            <w:pPr>
              <w:pStyle w:val="8"/>
              <w:topLinePunct/>
              <w:snapToGrid w:val="0"/>
              <w:rPr>
                <w:rFonts w:hAnsi="宋体"/>
                <w:sz w:val="21"/>
                <w:szCs w:val="21"/>
              </w:rPr>
            </w:pPr>
            <w:r>
              <w:rPr>
                <w:rFonts w:hint="eastAsia"/>
                <w:sz w:val="21"/>
                <w:szCs w:val="21"/>
              </w:rPr>
              <w:t>■</w:t>
            </w:r>
            <w:r>
              <w:rPr>
                <w:rFonts w:hAnsi="宋体"/>
                <w:sz w:val="21"/>
                <w:szCs w:val="21"/>
              </w:rPr>
              <w:t>不要求</w:t>
            </w:r>
          </w:p>
        </w:tc>
      </w:tr>
      <w:bookmarkEnd w:id="63"/>
      <w:tr w14:paraId="308CDF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7F49982">
            <w:pPr>
              <w:snapToGrid w:val="0"/>
              <w:jc w:val="center"/>
              <w:rPr>
                <w:rFonts w:ascii="宋体" w:hAnsi="宋体"/>
                <w:szCs w:val="21"/>
              </w:rPr>
            </w:pPr>
            <w:r>
              <w:rPr>
                <w:rFonts w:ascii="宋体" w:hAnsi="宋体"/>
                <w:szCs w:val="21"/>
              </w:rPr>
              <w:t>3.4.4</w:t>
            </w:r>
          </w:p>
        </w:tc>
        <w:tc>
          <w:tcPr>
            <w:tcW w:w="1650" w:type="dxa"/>
            <w:vAlign w:val="center"/>
          </w:tcPr>
          <w:p w14:paraId="10868063">
            <w:pPr>
              <w:snapToGrid w:val="0"/>
              <w:jc w:val="center"/>
              <w:rPr>
                <w:rFonts w:ascii="宋体" w:hAnsi="宋体"/>
                <w:szCs w:val="21"/>
              </w:rPr>
            </w:pPr>
            <w:r>
              <w:rPr>
                <w:rFonts w:ascii="宋体" w:hAnsi="宋体"/>
                <w:szCs w:val="21"/>
              </w:rPr>
              <w:t>其他可以不予退还投标保证金的情形</w:t>
            </w:r>
          </w:p>
        </w:tc>
        <w:tc>
          <w:tcPr>
            <w:tcW w:w="6863" w:type="dxa"/>
            <w:vAlign w:val="center"/>
          </w:tcPr>
          <w:p w14:paraId="789C3B7B">
            <w:pPr>
              <w:snapToGrid w:val="0"/>
              <w:rPr>
                <w:rFonts w:ascii="宋体" w:hAnsi="宋体"/>
                <w:szCs w:val="21"/>
              </w:rPr>
            </w:pPr>
            <w:r>
              <w:rPr>
                <w:rFonts w:hint="eastAsia" w:ascii="宋体" w:hAnsi="宋体"/>
                <w:szCs w:val="21"/>
                <w:u w:val="single"/>
              </w:rPr>
              <w:t>/</w:t>
            </w:r>
          </w:p>
        </w:tc>
      </w:tr>
      <w:tr w14:paraId="0B09C6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33791E3">
            <w:pPr>
              <w:snapToGrid w:val="0"/>
              <w:jc w:val="center"/>
              <w:rPr>
                <w:rFonts w:ascii="宋体" w:hAnsi="宋体"/>
                <w:szCs w:val="21"/>
              </w:rPr>
            </w:pPr>
            <w:r>
              <w:rPr>
                <w:rFonts w:ascii="宋体" w:hAnsi="宋体"/>
                <w:szCs w:val="21"/>
              </w:rPr>
              <w:t>3.5</w:t>
            </w:r>
          </w:p>
        </w:tc>
        <w:tc>
          <w:tcPr>
            <w:tcW w:w="1650" w:type="dxa"/>
            <w:vAlign w:val="center"/>
          </w:tcPr>
          <w:p w14:paraId="6765F8BE">
            <w:pPr>
              <w:snapToGrid w:val="0"/>
              <w:jc w:val="center"/>
              <w:rPr>
                <w:rFonts w:ascii="宋体" w:hAnsi="宋体"/>
                <w:szCs w:val="21"/>
              </w:rPr>
            </w:pPr>
            <w:r>
              <w:rPr>
                <w:rFonts w:ascii="宋体" w:hAnsi="宋体"/>
                <w:szCs w:val="21"/>
              </w:rPr>
              <w:t>资格审查资料的特殊要求</w:t>
            </w:r>
          </w:p>
        </w:tc>
        <w:tc>
          <w:tcPr>
            <w:tcW w:w="6863" w:type="dxa"/>
            <w:vAlign w:val="center"/>
          </w:tcPr>
          <w:p w14:paraId="21923206">
            <w:pPr>
              <w:pStyle w:val="8"/>
              <w:topLinePunct/>
              <w:snapToGrid w:val="0"/>
              <w:rPr>
                <w:rFonts w:hAnsi="宋体"/>
                <w:sz w:val="21"/>
                <w:szCs w:val="21"/>
              </w:rPr>
            </w:pPr>
            <w:r>
              <w:rPr>
                <w:rFonts w:hint="eastAsia"/>
                <w:sz w:val="21"/>
                <w:szCs w:val="21"/>
              </w:rPr>
              <w:t>■</w:t>
            </w:r>
            <w:r>
              <w:rPr>
                <w:rFonts w:hAnsi="宋体"/>
                <w:sz w:val="21"/>
                <w:szCs w:val="21"/>
              </w:rPr>
              <w:t>无</w:t>
            </w:r>
          </w:p>
          <w:p w14:paraId="7EC4AFE9">
            <w:pPr>
              <w:pStyle w:val="8"/>
              <w:topLinePunct/>
              <w:snapToGrid w:val="0"/>
              <w:rPr>
                <w:rFonts w:hAnsi="宋体"/>
                <w:sz w:val="21"/>
                <w:szCs w:val="21"/>
              </w:rPr>
            </w:pPr>
            <w:r>
              <w:rPr>
                <w:rFonts w:hAnsi="宋体"/>
                <w:sz w:val="21"/>
                <w:szCs w:val="21"/>
              </w:rPr>
              <w:sym w:font="Wingdings 2" w:char="00A3"/>
            </w:r>
            <w:r>
              <w:rPr>
                <w:rFonts w:hAnsi="宋体"/>
                <w:sz w:val="21"/>
                <w:szCs w:val="21"/>
              </w:rPr>
              <w:t>有，具体要求：</w:t>
            </w:r>
          </w:p>
        </w:tc>
      </w:tr>
      <w:tr w14:paraId="4F3486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697216E">
            <w:pPr>
              <w:snapToGrid w:val="0"/>
              <w:jc w:val="center"/>
              <w:rPr>
                <w:rFonts w:ascii="宋体" w:hAnsi="宋体"/>
                <w:szCs w:val="21"/>
              </w:rPr>
            </w:pPr>
            <w:r>
              <w:rPr>
                <w:rFonts w:ascii="宋体" w:hAnsi="宋体"/>
                <w:szCs w:val="21"/>
              </w:rPr>
              <w:t>3.5.2</w:t>
            </w:r>
          </w:p>
        </w:tc>
        <w:tc>
          <w:tcPr>
            <w:tcW w:w="1650" w:type="dxa"/>
            <w:vAlign w:val="center"/>
          </w:tcPr>
          <w:p w14:paraId="1487033D">
            <w:pPr>
              <w:snapToGrid w:val="0"/>
              <w:jc w:val="center"/>
              <w:rPr>
                <w:rFonts w:ascii="宋体" w:hAnsi="宋体"/>
                <w:szCs w:val="21"/>
              </w:rPr>
            </w:pPr>
            <w:r>
              <w:rPr>
                <w:rFonts w:ascii="宋体" w:hAnsi="宋体"/>
                <w:szCs w:val="21"/>
              </w:rPr>
              <w:t>近年财务状况的年份要求</w:t>
            </w:r>
          </w:p>
        </w:tc>
        <w:tc>
          <w:tcPr>
            <w:tcW w:w="6863" w:type="dxa"/>
            <w:vAlign w:val="center"/>
          </w:tcPr>
          <w:p w14:paraId="3491DA38">
            <w:pPr>
              <w:snapToGrid w:val="0"/>
              <w:rPr>
                <w:rFonts w:ascii="宋体" w:hAnsi="宋体"/>
                <w:szCs w:val="21"/>
                <w:u w:val="single"/>
              </w:rPr>
            </w:pPr>
            <w:r>
              <w:rPr>
                <w:rFonts w:hint="eastAsia" w:ascii="宋体" w:hAnsi="宋体"/>
                <w:szCs w:val="21"/>
                <w:u w:val="single"/>
              </w:rPr>
              <w:t xml:space="preserve"> /</w:t>
            </w:r>
            <w:r>
              <w:rPr>
                <w:rFonts w:ascii="宋体" w:hAnsi="宋体"/>
                <w:szCs w:val="21"/>
              </w:rPr>
              <w:t>年至</w:t>
            </w:r>
            <w:r>
              <w:rPr>
                <w:rFonts w:hint="eastAsia" w:ascii="宋体" w:hAnsi="宋体"/>
                <w:szCs w:val="21"/>
                <w:u w:val="single"/>
              </w:rPr>
              <w:t xml:space="preserve"> / </w:t>
            </w:r>
            <w:r>
              <w:rPr>
                <w:rFonts w:ascii="宋体" w:hAnsi="宋体"/>
                <w:szCs w:val="21"/>
              </w:rPr>
              <w:t>年</w:t>
            </w:r>
          </w:p>
        </w:tc>
      </w:tr>
      <w:tr w14:paraId="3A3FD2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A92939E">
            <w:pPr>
              <w:snapToGrid w:val="0"/>
              <w:jc w:val="center"/>
              <w:rPr>
                <w:rFonts w:ascii="宋体" w:hAnsi="宋体"/>
                <w:szCs w:val="21"/>
              </w:rPr>
            </w:pPr>
            <w:r>
              <w:rPr>
                <w:rFonts w:ascii="宋体" w:hAnsi="宋体"/>
                <w:szCs w:val="21"/>
              </w:rPr>
              <w:t>3.5.3</w:t>
            </w:r>
          </w:p>
        </w:tc>
        <w:tc>
          <w:tcPr>
            <w:tcW w:w="1650" w:type="dxa"/>
            <w:vAlign w:val="center"/>
          </w:tcPr>
          <w:p w14:paraId="59FA01E2">
            <w:pPr>
              <w:snapToGrid w:val="0"/>
              <w:jc w:val="center"/>
              <w:rPr>
                <w:rFonts w:ascii="宋体" w:hAnsi="宋体"/>
                <w:szCs w:val="21"/>
              </w:rPr>
            </w:pPr>
            <w:r>
              <w:rPr>
                <w:rFonts w:ascii="宋体" w:hAnsi="宋体"/>
                <w:szCs w:val="21"/>
              </w:rPr>
              <w:t>近年完成的类似项目情况</w:t>
            </w:r>
            <w:r>
              <w:rPr>
                <w:rFonts w:hint="eastAsia" w:ascii="宋体" w:hAnsi="宋体"/>
                <w:szCs w:val="21"/>
              </w:rPr>
              <w:t>的</w:t>
            </w:r>
            <w:r>
              <w:rPr>
                <w:rFonts w:ascii="宋体" w:hAnsi="宋体"/>
                <w:szCs w:val="21"/>
              </w:rPr>
              <w:t>时间要求</w:t>
            </w:r>
          </w:p>
        </w:tc>
        <w:tc>
          <w:tcPr>
            <w:tcW w:w="6863" w:type="dxa"/>
            <w:vAlign w:val="center"/>
          </w:tcPr>
          <w:p w14:paraId="7C849319">
            <w:pPr>
              <w:snapToGrid w:val="0"/>
              <w:rPr>
                <w:rFonts w:ascii="宋体" w:hAnsi="宋体"/>
                <w:szCs w:val="21"/>
              </w:rPr>
            </w:pPr>
            <w:r>
              <w:rPr>
                <w:rFonts w:hint="eastAsia" w:ascii="宋体" w:hAnsi="宋体"/>
                <w:szCs w:val="21"/>
                <w:u w:val="single"/>
              </w:rPr>
              <w:t>/</w:t>
            </w:r>
            <w:r>
              <w:rPr>
                <w:rFonts w:hint="eastAsia" w:ascii="宋体" w:hAnsi="宋体" w:cs="宋体"/>
                <w:szCs w:val="21"/>
              </w:rPr>
              <w:t>年</w:t>
            </w:r>
            <w:r>
              <w:rPr>
                <w:rFonts w:hint="eastAsia" w:ascii="宋体" w:hAnsi="宋体"/>
                <w:szCs w:val="21"/>
                <w:u w:val="single"/>
              </w:rPr>
              <w:t>/</w:t>
            </w:r>
            <w:r>
              <w:rPr>
                <w:rFonts w:hint="eastAsia" w:ascii="宋体" w:hAnsi="宋体" w:cs="宋体"/>
                <w:szCs w:val="21"/>
              </w:rPr>
              <w:t>月</w:t>
            </w:r>
            <w:r>
              <w:rPr>
                <w:rFonts w:hint="eastAsia" w:ascii="宋体" w:hAnsi="宋体"/>
                <w:szCs w:val="21"/>
                <w:u w:val="single"/>
              </w:rPr>
              <w:t>/</w:t>
            </w:r>
            <w:r>
              <w:rPr>
                <w:rFonts w:hint="eastAsia" w:ascii="宋体" w:hAnsi="宋体" w:cs="宋体"/>
                <w:szCs w:val="21"/>
              </w:rPr>
              <w:t>日</w:t>
            </w:r>
          </w:p>
        </w:tc>
      </w:tr>
      <w:tr w14:paraId="17EABD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26CFE5E">
            <w:pPr>
              <w:snapToGrid w:val="0"/>
              <w:jc w:val="center"/>
              <w:rPr>
                <w:rFonts w:ascii="宋体" w:hAnsi="宋体"/>
                <w:szCs w:val="21"/>
              </w:rPr>
            </w:pPr>
            <w:r>
              <w:rPr>
                <w:rFonts w:ascii="宋体" w:hAnsi="宋体"/>
                <w:szCs w:val="21"/>
              </w:rPr>
              <w:t>3.5.5</w:t>
            </w:r>
          </w:p>
        </w:tc>
        <w:tc>
          <w:tcPr>
            <w:tcW w:w="1650" w:type="dxa"/>
            <w:vAlign w:val="center"/>
          </w:tcPr>
          <w:p w14:paraId="3D3E0582">
            <w:pPr>
              <w:snapToGrid w:val="0"/>
              <w:jc w:val="center"/>
              <w:rPr>
                <w:rFonts w:ascii="宋体" w:hAnsi="宋体"/>
                <w:szCs w:val="21"/>
              </w:rPr>
            </w:pPr>
            <w:r>
              <w:rPr>
                <w:rFonts w:ascii="宋体" w:hAnsi="宋体"/>
                <w:szCs w:val="21"/>
              </w:rPr>
              <w:t>近年发生的诉讼及仲裁情况的时间要求</w:t>
            </w:r>
          </w:p>
        </w:tc>
        <w:tc>
          <w:tcPr>
            <w:tcW w:w="6863" w:type="dxa"/>
            <w:vAlign w:val="center"/>
          </w:tcPr>
          <w:p w14:paraId="093FF2E0">
            <w:pPr>
              <w:snapToGrid w:val="0"/>
              <w:rPr>
                <w:rFonts w:ascii="宋体" w:hAnsi="宋体"/>
                <w:szCs w:val="21"/>
              </w:rPr>
            </w:pPr>
            <w:r>
              <w:rPr>
                <w:rFonts w:hint="eastAsia" w:ascii="宋体" w:hAnsi="宋体"/>
                <w:szCs w:val="21"/>
                <w:u w:val="single"/>
              </w:rPr>
              <w:t xml:space="preserve"> /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 </w:t>
            </w:r>
            <w:r>
              <w:rPr>
                <w:rFonts w:ascii="宋体" w:hAnsi="宋体"/>
                <w:szCs w:val="21"/>
              </w:rPr>
              <w:t>日至</w:t>
            </w:r>
            <w:r>
              <w:rPr>
                <w:rFonts w:hint="eastAsia" w:ascii="宋体" w:hAnsi="宋体"/>
                <w:szCs w:val="21"/>
                <w:u w:val="single"/>
              </w:rPr>
              <w:t xml:space="preserve"> / </w:t>
            </w:r>
            <w:r>
              <w:rPr>
                <w:rFonts w:ascii="宋体" w:hAnsi="宋体"/>
                <w:szCs w:val="21"/>
              </w:rPr>
              <w:t>年</w:t>
            </w:r>
            <w:r>
              <w:rPr>
                <w:rFonts w:hint="eastAsia" w:ascii="宋体" w:hAnsi="宋体"/>
                <w:szCs w:val="21"/>
                <w:u w:val="single"/>
              </w:rPr>
              <w:t xml:space="preserve"> / </w:t>
            </w:r>
            <w:r>
              <w:rPr>
                <w:rFonts w:ascii="宋体" w:hAnsi="宋体"/>
                <w:szCs w:val="21"/>
              </w:rPr>
              <w:t>月</w:t>
            </w:r>
            <w:r>
              <w:rPr>
                <w:rFonts w:hint="eastAsia" w:ascii="宋体" w:hAnsi="宋体"/>
                <w:szCs w:val="21"/>
                <w:u w:val="single"/>
              </w:rPr>
              <w:t xml:space="preserve"> / </w:t>
            </w:r>
            <w:r>
              <w:rPr>
                <w:rFonts w:ascii="宋体" w:hAnsi="宋体"/>
                <w:szCs w:val="21"/>
              </w:rPr>
              <w:t>日</w:t>
            </w:r>
          </w:p>
        </w:tc>
      </w:tr>
      <w:tr w14:paraId="36E33E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49F6C11">
            <w:pPr>
              <w:snapToGrid w:val="0"/>
              <w:jc w:val="center"/>
              <w:rPr>
                <w:rFonts w:ascii="宋体" w:hAnsi="宋体"/>
                <w:szCs w:val="21"/>
              </w:rPr>
            </w:pPr>
            <w:r>
              <w:rPr>
                <w:rFonts w:ascii="宋体" w:hAnsi="宋体"/>
                <w:szCs w:val="21"/>
              </w:rPr>
              <w:t>3.6.1</w:t>
            </w:r>
          </w:p>
        </w:tc>
        <w:tc>
          <w:tcPr>
            <w:tcW w:w="1650" w:type="dxa"/>
            <w:vAlign w:val="center"/>
          </w:tcPr>
          <w:p w14:paraId="71A64223">
            <w:pPr>
              <w:snapToGrid w:val="0"/>
              <w:jc w:val="center"/>
              <w:rPr>
                <w:rFonts w:ascii="宋体" w:hAnsi="宋体"/>
                <w:szCs w:val="21"/>
              </w:rPr>
            </w:pPr>
            <w:r>
              <w:rPr>
                <w:rFonts w:ascii="宋体" w:hAnsi="宋体"/>
                <w:szCs w:val="21"/>
              </w:rPr>
              <w:t>是否允许递交备选投标方案</w:t>
            </w:r>
          </w:p>
        </w:tc>
        <w:tc>
          <w:tcPr>
            <w:tcW w:w="6863" w:type="dxa"/>
            <w:vAlign w:val="center"/>
          </w:tcPr>
          <w:p w14:paraId="5FEB5193">
            <w:pPr>
              <w:pStyle w:val="8"/>
              <w:topLinePunct/>
              <w:snapToGrid w:val="0"/>
              <w:rPr>
                <w:rFonts w:hAnsi="宋体"/>
                <w:sz w:val="21"/>
                <w:szCs w:val="21"/>
              </w:rPr>
            </w:pPr>
            <w:r>
              <w:rPr>
                <w:rFonts w:hint="eastAsia"/>
                <w:sz w:val="21"/>
                <w:szCs w:val="21"/>
              </w:rPr>
              <w:t>■</w:t>
            </w:r>
            <w:r>
              <w:rPr>
                <w:rFonts w:hAnsi="宋体"/>
                <w:sz w:val="21"/>
                <w:szCs w:val="21"/>
              </w:rPr>
              <w:t>不允许</w:t>
            </w:r>
          </w:p>
          <w:p w14:paraId="7EC56594">
            <w:pPr>
              <w:snapToGrid w:val="0"/>
              <w:rPr>
                <w:rFonts w:ascii="宋体" w:hAnsi="宋体"/>
                <w:szCs w:val="21"/>
              </w:rPr>
            </w:pPr>
            <w:r>
              <w:rPr>
                <w:rFonts w:ascii="宋体" w:hAnsi="宋体"/>
                <w:szCs w:val="21"/>
              </w:rPr>
              <w:sym w:font="Wingdings 2" w:char="00A3"/>
            </w:r>
            <w:r>
              <w:rPr>
                <w:rFonts w:ascii="宋体" w:hAnsi="宋体"/>
                <w:szCs w:val="21"/>
              </w:rPr>
              <w:t>允许</w:t>
            </w:r>
          </w:p>
        </w:tc>
      </w:tr>
      <w:tr w14:paraId="649F9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8A8EE56">
            <w:pPr>
              <w:snapToGrid w:val="0"/>
              <w:jc w:val="center"/>
              <w:rPr>
                <w:rFonts w:ascii="宋体" w:hAnsi="宋体"/>
                <w:szCs w:val="21"/>
              </w:rPr>
            </w:pPr>
            <w:r>
              <w:rPr>
                <w:rFonts w:ascii="宋体" w:hAnsi="宋体"/>
                <w:szCs w:val="21"/>
              </w:rPr>
              <w:t>3.7.3A（2）</w:t>
            </w:r>
          </w:p>
        </w:tc>
        <w:tc>
          <w:tcPr>
            <w:tcW w:w="1650" w:type="dxa"/>
            <w:vAlign w:val="center"/>
          </w:tcPr>
          <w:p w14:paraId="7DCBD778">
            <w:pPr>
              <w:snapToGrid w:val="0"/>
              <w:jc w:val="center"/>
              <w:rPr>
                <w:rFonts w:ascii="宋体" w:hAnsi="宋体"/>
                <w:szCs w:val="21"/>
              </w:rPr>
            </w:pPr>
            <w:r>
              <w:rPr>
                <w:rFonts w:ascii="宋体" w:hAnsi="宋体"/>
                <w:szCs w:val="21"/>
              </w:rPr>
              <w:t>投标文件份数</w:t>
            </w:r>
          </w:p>
        </w:tc>
        <w:tc>
          <w:tcPr>
            <w:tcW w:w="6863" w:type="dxa"/>
            <w:vAlign w:val="center"/>
          </w:tcPr>
          <w:p w14:paraId="160908FC">
            <w:pPr>
              <w:snapToGrid w:val="0"/>
              <w:rPr>
                <w:rFonts w:ascii="宋体" w:hAnsi="宋体"/>
                <w:szCs w:val="21"/>
              </w:rPr>
            </w:pPr>
            <w:r>
              <w:rPr>
                <w:rFonts w:hint="eastAsia" w:ascii="宋体" w:hAnsi="宋体"/>
                <w:szCs w:val="21"/>
              </w:rPr>
              <w:t>本项目不适用。</w:t>
            </w:r>
          </w:p>
        </w:tc>
      </w:tr>
      <w:tr w14:paraId="6B1751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8" w:type="dxa"/>
            <w:vAlign w:val="center"/>
          </w:tcPr>
          <w:p w14:paraId="745819BB">
            <w:pPr>
              <w:snapToGrid w:val="0"/>
              <w:jc w:val="center"/>
              <w:rPr>
                <w:rFonts w:ascii="宋体" w:hAnsi="宋体"/>
                <w:szCs w:val="21"/>
              </w:rPr>
            </w:pPr>
            <w:r>
              <w:rPr>
                <w:rFonts w:ascii="宋体" w:hAnsi="宋体"/>
                <w:szCs w:val="21"/>
              </w:rPr>
              <w:t>3.7.3A（3）</w:t>
            </w:r>
          </w:p>
        </w:tc>
        <w:tc>
          <w:tcPr>
            <w:tcW w:w="1650" w:type="dxa"/>
            <w:vAlign w:val="center"/>
          </w:tcPr>
          <w:p w14:paraId="2FCF1531">
            <w:pPr>
              <w:snapToGrid w:val="0"/>
              <w:jc w:val="center"/>
              <w:rPr>
                <w:rFonts w:ascii="宋体" w:hAnsi="宋体"/>
                <w:szCs w:val="21"/>
              </w:rPr>
            </w:pPr>
            <w:r>
              <w:rPr>
                <w:rFonts w:ascii="宋体" w:hAnsi="宋体"/>
                <w:szCs w:val="21"/>
              </w:rPr>
              <w:t>投标文件是否需分册装订</w:t>
            </w:r>
          </w:p>
        </w:tc>
        <w:tc>
          <w:tcPr>
            <w:tcW w:w="6863" w:type="dxa"/>
            <w:vAlign w:val="center"/>
          </w:tcPr>
          <w:p w14:paraId="51AAB68B">
            <w:pPr>
              <w:snapToGrid w:val="0"/>
              <w:rPr>
                <w:rFonts w:ascii="宋体" w:hAnsi="宋体"/>
                <w:szCs w:val="21"/>
              </w:rPr>
            </w:pPr>
            <w:r>
              <w:rPr>
                <w:rFonts w:hint="eastAsia" w:ascii="宋体" w:hAnsi="宋体"/>
                <w:szCs w:val="21"/>
              </w:rPr>
              <w:t>本项目不适用。</w:t>
            </w:r>
          </w:p>
        </w:tc>
      </w:tr>
      <w:tr w14:paraId="62CFA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357AF72">
            <w:pPr>
              <w:snapToGrid w:val="0"/>
              <w:jc w:val="center"/>
              <w:rPr>
                <w:rFonts w:ascii="宋体" w:hAnsi="宋体"/>
                <w:szCs w:val="21"/>
              </w:rPr>
            </w:pPr>
            <w:r>
              <w:rPr>
                <w:rFonts w:ascii="宋体" w:hAnsi="宋体"/>
                <w:szCs w:val="21"/>
              </w:rPr>
              <w:t>3.7.3（B）</w:t>
            </w:r>
          </w:p>
        </w:tc>
        <w:tc>
          <w:tcPr>
            <w:tcW w:w="1650" w:type="dxa"/>
            <w:vAlign w:val="center"/>
          </w:tcPr>
          <w:p w14:paraId="774C6E50">
            <w:pPr>
              <w:snapToGrid w:val="0"/>
              <w:jc w:val="center"/>
              <w:rPr>
                <w:rFonts w:ascii="宋体" w:hAnsi="宋体"/>
                <w:szCs w:val="21"/>
              </w:rPr>
            </w:pPr>
            <w:r>
              <w:rPr>
                <w:rFonts w:ascii="宋体" w:hAnsi="宋体"/>
                <w:szCs w:val="21"/>
              </w:rPr>
              <w:t>投标文件所附证书证件要求</w:t>
            </w:r>
          </w:p>
        </w:tc>
        <w:tc>
          <w:tcPr>
            <w:tcW w:w="6863" w:type="dxa"/>
            <w:vAlign w:val="center"/>
          </w:tcPr>
          <w:p w14:paraId="3D5DCA4C">
            <w:pPr>
              <w:pStyle w:val="8"/>
              <w:topLinePunct/>
              <w:snapToGrid w:val="0"/>
              <w:rPr>
                <w:sz w:val="21"/>
                <w:szCs w:val="21"/>
              </w:rPr>
            </w:pPr>
            <w:r>
              <w:rPr>
                <w:rFonts w:hint="eastAsia"/>
                <w:sz w:val="21"/>
                <w:szCs w:val="21"/>
              </w:rPr>
              <w:t>证书证件需为清晰扫描件，并采用单位数字证书，按照招标文件要求在相应位置加盖电子印章。</w:t>
            </w:r>
          </w:p>
        </w:tc>
      </w:tr>
      <w:tr w14:paraId="48F3B7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C0DAEA6">
            <w:pPr>
              <w:snapToGrid w:val="0"/>
              <w:jc w:val="center"/>
              <w:rPr>
                <w:rFonts w:ascii="宋体" w:hAnsi="宋体"/>
                <w:szCs w:val="21"/>
              </w:rPr>
            </w:pPr>
            <w:r>
              <w:rPr>
                <w:rFonts w:ascii="宋体" w:hAnsi="宋体"/>
                <w:szCs w:val="21"/>
              </w:rPr>
              <w:t>3.7.3（B）</w:t>
            </w:r>
          </w:p>
        </w:tc>
        <w:tc>
          <w:tcPr>
            <w:tcW w:w="1650" w:type="dxa"/>
            <w:vAlign w:val="center"/>
          </w:tcPr>
          <w:p w14:paraId="04448890">
            <w:pPr>
              <w:snapToGrid w:val="0"/>
              <w:jc w:val="center"/>
              <w:rPr>
                <w:rFonts w:ascii="宋体" w:hAnsi="宋体"/>
                <w:szCs w:val="21"/>
              </w:rPr>
            </w:pPr>
            <w:r>
              <w:rPr>
                <w:rFonts w:ascii="宋体" w:hAnsi="宋体"/>
                <w:szCs w:val="21"/>
              </w:rPr>
              <w:t>投标文件签字或盖章要求</w:t>
            </w:r>
          </w:p>
        </w:tc>
        <w:tc>
          <w:tcPr>
            <w:tcW w:w="6863" w:type="dxa"/>
            <w:vAlign w:val="center"/>
          </w:tcPr>
          <w:p w14:paraId="611279BF">
            <w:pPr>
              <w:pStyle w:val="8"/>
              <w:topLinePunct/>
              <w:snapToGrid w:val="0"/>
              <w:rPr>
                <w:sz w:val="21"/>
                <w:szCs w:val="21"/>
                <w:u w:val="single"/>
              </w:rPr>
            </w:pPr>
            <w:r>
              <w:rPr>
                <w:rFonts w:hint="eastAsia"/>
                <w:sz w:val="21"/>
                <w:szCs w:val="21"/>
                <w:u w:val="single"/>
              </w:rPr>
              <w:t>投标文件全部采用电子文档，投标文件所附证书证件均为扫描件，并采用单位数字证书，按招标文件要求在相应位置加盖电子印章。投标文件中需个人签字或盖章的，应加盖个人电子印章或在线下完成后扫描上传。具体操作详见广州公共资源交易中心发布的关于全流程电子化项目的相关指南。</w:t>
            </w:r>
          </w:p>
        </w:tc>
      </w:tr>
      <w:tr w14:paraId="4BD656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8D63537">
            <w:pPr>
              <w:snapToGrid w:val="0"/>
              <w:jc w:val="center"/>
              <w:rPr>
                <w:rFonts w:ascii="宋体" w:hAnsi="宋体"/>
                <w:szCs w:val="21"/>
              </w:rPr>
            </w:pPr>
            <w:r>
              <w:rPr>
                <w:rFonts w:ascii="宋体" w:hAnsi="宋体"/>
                <w:szCs w:val="21"/>
              </w:rPr>
              <w:t>4.1.1（B）</w:t>
            </w:r>
          </w:p>
        </w:tc>
        <w:tc>
          <w:tcPr>
            <w:tcW w:w="1650" w:type="dxa"/>
            <w:vAlign w:val="center"/>
          </w:tcPr>
          <w:p w14:paraId="55111371">
            <w:pPr>
              <w:snapToGrid w:val="0"/>
              <w:jc w:val="center"/>
              <w:rPr>
                <w:rFonts w:ascii="宋体" w:hAnsi="宋体"/>
                <w:szCs w:val="21"/>
              </w:rPr>
            </w:pPr>
            <w:r>
              <w:rPr>
                <w:rFonts w:ascii="宋体" w:hAnsi="宋体"/>
                <w:szCs w:val="21"/>
              </w:rPr>
              <w:t>投标文件加密要求</w:t>
            </w:r>
          </w:p>
        </w:tc>
        <w:tc>
          <w:tcPr>
            <w:tcW w:w="6863" w:type="dxa"/>
            <w:vAlign w:val="center"/>
          </w:tcPr>
          <w:p w14:paraId="290C1B38">
            <w:pPr>
              <w:pStyle w:val="8"/>
              <w:topLinePunct/>
              <w:snapToGrid w:val="0"/>
              <w:rPr>
                <w:rFonts w:hAnsi="宋体"/>
                <w:szCs w:val="21"/>
                <w:u w:val="single"/>
              </w:rPr>
            </w:pPr>
            <w:r>
              <w:rPr>
                <w:rFonts w:hint="eastAsia"/>
                <w:sz w:val="21"/>
                <w:szCs w:val="21"/>
              </w:rPr>
              <w:t>网上递交的电子投标文件须进行加密。具体操作详见</w:t>
            </w:r>
            <w:r>
              <w:rPr>
                <w:rFonts w:hint="eastAsia"/>
                <w:sz w:val="21"/>
                <w:szCs w:val="21"/>
                <w:u w:val="single"/>
              </w:rPr>
              <w:t>广州公共资源交易中心发布的关于全流程电子化项目的相关指南。</w:t>
            </w:r>
          </w:p>
        </w:tc>
      </w:tr>
      <w:tr w14:paraId="585901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65F389BC">
            <w:pPr>
              <w:snapToGrid w:val="0"/>
              <w:jc w:val="center"/>
              <w:rPr>
                <w:rFonts w:ascii="宋体" w:hAnsi="宋体"/>
                <w:szCs w:val="21"/>
              </w:rPr>
            </w:pPr>
            <w:r>
              <w:rPr>
                <w:rFonts w:ascii="宋体" w:hAnsi="宋体"/>
                <w:szCs w:val="21"/>
              </w:rPr>
              <w:t>4.1.2</w:t>
            </w:r>
          </w:p>
        </w:tc>
        <w:tc>
          <w:tcPr>
            <w:tcW w:w="1650" w:type="dxa"/>
            <w:vAlign w:val="center"/>
          </w:tcPr>
          <w:p w14:paraId="0D31BFBE">
            <w:pPr>
              <w:snapToGrid w:val="0"/>
              <w:jc w:val="center"/>
              <w:rPr>
                <w:rFonts w:ascii="宋体" w:hAnsi="宋体"/>
                <w:szCs w:val="21"/>
                <w:shd w:val="clear" w:color="FFFFFF" w:fill="D9D9D9"/>
              </w:rPr>
            </w:pPr>
            <w:r>
              <w:rPr>
                <w:rFonts w:hint="eastAsia" w:ascii="宋体" w:hAnsi="宋体"/>
                <w:szCs w:val="21"/>
              </w:rPr>
              <w:t>投标文件的包封、密封和标志</w:t>
            </w:r>
          </w:p>
        </w:tc>
        <w:tc>
          <w:tcPr>
            <w:tcW w:w="6863" w:type="dxa"/>
            <w:vAlign w:val="center"/>
          </w:tcPr>
          <w:p w14:paraId="4ADF3C72">
            <w:pPr>
              <w:pStyle w:val="8"/>
              <w:topLinePunct/>
              <w:snapToGrid w:val="0"/>
              <w:rPr>
                <w:rFonts w:hAnsi="宋体"/>
                <w:sz w:val="21"/>
                <w:szCs w:val="21"/>
              </w:rPr>
            </w:pPr>
            <w:r>
              <w:rPr>
                <w:rFonts w:hint="eastAsia" w:hAnsi="宋体"/>
                <w:sz w:val="21"/>
                <w:szCs w:val="21"/>
              </w:rPr>
              <w:t>招标人名称：</w:t>
            </w:r>
          </w:p>
          <w:p w14:paraId="186F8661">
            <w:pPr>
              <w:pStyle w:val="8"/>
              <w:topLinePunct/>
              <w:snapToGrid w:val="0"/>
              <w:rPr>
                <w:rFonts w:hAnsi="宋体"/>
                <w:sz w:val="21"/>
                <w:szCs w:val="21"/>
              </w:rPr>
            </w:pPr>
            <w:r>
              <w:rPr>
                <w:rFonts w:hint="eastAsia" w:hAnsi="宋体"/>
                <w:sz w:val="21"/>
                <w:szCs w:val="21"/>
              </w:rPr>
              <w:t>招标人地址：</w:t>
            </w:r>
          </w:p>
          <w:p w14:paraId="7766F8D7">
            <w:pPr>
              <w:pStyle w:val="8"/>
              <w:topLinePunct/>
              <w:snapToGrid w:val="0"/>
              <w:rPr>
                <w:rFonts w:hAnsi="宋体"/>
                <w:sz w:val="21"/>
                <w:szCs w:val="21"/>
                <w:u w:val="single"/>
              </w:rPr>
            </w:pPr>
            <w:r>
              <w:rPr>
                <w:rFonts w:hint="eastAsia" w:hAnsi="宋体"/>
                <w:sz w:val="21"/>
                <w:szCs w:val="21"/>
                <w:u w:val="single"/>
              </w:rPr>
              <w:t>增城区永宁街岗丰村陈家林地块环境综合整治项目效果评估</w:t>
            </w:r>
          </w:p>
          <w:p w14:paraId="3E841AF6">
            <w:pPr>
              <w:pStyle w:val="8"/>
              <w:topLinePunct/>
              <w:snapToGrid w:val="0"/>
              <w:rPr>
                <w:rFonts w:hAnsi="宋体"/>
                <w:sz w:val="21"/>
                <w:szCs w:val="21"/>
              </w:rPr>
            </w:pPr>
            <w:r>
              <w:rPr>
                <w:rFonts w:hint="eastAsia" w:hAnsi="宋体"/>
                <w:sz w:val="21"/>
                <w:szCs w:val="21"/>
              </w:rPr>
              <w:t xml:space="preserve">招标项目编号：              </w:t>
            </w:r>
          </w:p>
          <w:p w14:paraId="59030D58">
            <w:pPr>
              <w:pStyle w:val="8"/>
              <w:topLinePunct/>
              <w:snapToGrid w:val="0"/>
              <w:rPr>
                <w:rFonts w:hAnsi="宋体"/>
                <w:szCs w:val="21"/>
              </w:rPr>
            </w:pPr>
            <w:r>
              <w:rPr>
                <w:rFonts w:hint="eastAsia" w:hAnsi="宋体"/>
                <w:sz w:val="21"/>
                <w:szCs w:val="21"/>
              </w:rPr>
              <w:t>在</w:t>
            </w:r>
            <w:r>
              <w:rPr>
                <w:rFonts w:hAnsi="宋体"/>
                <w:sz w:val="21"/>
                <w:szCs w:val="21"/>
                <w:u w:val="single"/>
              </w:rPr>
              <w:t xml:space="preserve">   </w:t>
            </w:r>
            <w:r>
              <w:rPr>
                <w:rFonts w:hint="eastAsia" w:hAnsi="宋体"/>
                <w:sz w:val="21"/>
                <w:szCs w:val="21"/>
                <w:u w:val="single"/>
              </w:rPr>
              <w:t>年</w:t>
            </w:r>
            <w:r>
              <w:rPr>
                <w:rFonts w:hAnsi="宋体"/>
                <w:sz w:val="21"/>
                <w:szCs w:val="21"/>
                <w:u w:val="single"/>
              </w:rPr>
              <w:t xml:space="preserve">   </w:t>
            </w:r>
            <w:r>
              <w:rPr>
                <w:rFonts w:hint="eastAsia" w:hAnsi="宋体"/>
                <w:sz w:val="21"/>
                <w:szCs w:val="21"/>
                <w:u w:val="single"/>
              </w:rPr>
              <w:t>月</w:t>
            </w:r>
            <w:r>
              <w:rPr>
                <w:rFonts w:hAnsi="宋体"/>
                <w:sz w:val="21"/>
                <w:szCs w:val="21"/>
                <w:u w:val="single"/>
              </w:rPr>
              <w:t xml:space="preserve">   </w:t>
            </w:r>
            <w:r>
              <w:rPr>
                <w:rFonts w:hint="eastAsia" w:hAnsi="宋体"/>
                <w:sz w:val="21"/>
                <w:szCs w:val="21"/>
                <w:u w:val="single"/>
              </w:rPr>
              <w:t>日  时</w:t>
            </w:r>
            <w:r>
              <w:rPr>
                <w:rFonts w:hint="eastAsia" w:hAnsi="宋体"/>
                <w:sz w:val="21"/>
                <w:szCs w:val="21"/>
              </w:rPr>
              <w:t>前不得开启</w:t>
            </w:r>
          </w:p>
        </w:tc>
      </w:tr>
      <w:tr w14:paraId="45C520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2ED2CB8">
            <w:pPr>
              <w:snapToGrid w:val="0"/>
              <w:jc w:val="center"/>
              <w:rPr>
                <w:rFonts w:ascii="宋体" w:hAnsi="宋体"/>
                <w:szCs w:val="21"/>
              </w:rPr>
            </w:pPr>
            <w:r>
              <w:rPr>
                <w:rFonts w:ascii="宋体" w:hAnsi="宋体"/>
                <w:szCs w:val="21"/>
              </w:rPr>
              <w:t>4.2.1</w:t>
            </w:r>
          </w:p>
        </w:tc>
        <w:tc>
          <w:tcPr>
            <w:tcW w:w="1650" w:type="dxa"/>
            <w:vAlign w:val="center"/>
          </w:tcPr>
          <w:p w14:paraId="4FC2E9A8">
            <w:pPr>
              <w:snapToGrid w:val="0"/>
              <w:jc w:val="center"/>
              <w:rPr>
                <w:rFonts w:ascii="宋体" w:hAnsi="宋体"/>
                <w:szCs w:val="21"/>
              </w:rPr>
            </w:pPr>
            <w:r>
              <w:rPr>
                <w:rFonts w:ascii="宋体" w:hAnsi="宋体"/>
                <w:szCs w:val="21"/>
              </w:rPr>
              <w:t>投标截止时间</w:t>
            </w:r>
          </w:p>
        </w:tc>
        <w:tc>
          <w:tcPr>
            <w:tcW w:w="6863" w:type="dxa"/>
            <w:vAlign w:val="center"/>
          </w:tcPr>
          <w:p w14:paraId="69617C5A">
            <w:pPr>
              <w:snapToGrid w:val="0"/>
              <w:rPr>
                <w:rFonts w:ascii="宋体" w:hAnsi="宋体"/>
                <w:szCs w:val="21"/>
              </w:rPr>
            </w:pPr>
            <w:r>
              <w:rPr>
                <w:rFonts w:ascii="宋体" w:hAnsi="宋体"/>
                <w:szCs w:val="21"/>
                <w:u w:val="single"/>
              </w:rPr>
              <w:t xml:space="preserve"> 20</w:t>
            </w:r>
            <w:r>
              <w:rPr>
                <w:rFonts w:hint="eastAsia" w:ascii="宋体" w:hAnsi="宋体"/>
                <w:szCs w:val="21"/>
                <w:u w:val="single"/>
              </w:rPr>
              <w:t>25</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w:t>
            </w:r>
          </w:p>
        </w:tc>
      </w:tr>
      <w:tr w14:paraId="1E9F7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57EE7A9">
            <w:pPr>
              <w:snapToGrid w:val="0"/>
              <w:jc w:val="center"/>
              <w:rPr>
                <w:rFonts w:ascii="宋体" w:hAnsi="宋体"/>
                <w:szCs w:val="21"/>
              </w:rPr>
            </w:pPr>
            <w:r>
              <w:rPr>
                <w:rFonts w:ascii="宋体" w:hAnsi="宋体"/>
                <w:szCs w:val="21"/>
              </w:rPr>
              <w:t>4.2.2（A）</w:t>
            </w:r>
          </w:p>
        </w:tc>
        <w:tc>
          <w:tcPr>
            <w:tcW w:w="1650" w:type="dxa"/>
            <w:vAlign w:val="center"/>
          </w:tcPr>
          <w:p w14:paraId="78F2ED5E">
            <w:pPr>
              <w:snapToGrid w:val="0"/>
              <w:jc w:val="center"/>
              <w:rPr>
                <w:rFonts w:ascii="宋体" w:hAnsi="宋体"/>
                <w:szCs w:val="21"/>
              </w:rPr>
            </w:pPr>
            <w:r>
              <w:rPr>
                <w:rFonts w:ascii="宋体" w:hAnsi="宋体"/>
                <w:szCs w:val="21"/>
              </w:rPr>
              <w:t>递交投标文件</w:t>
            </w:r>
            <w:r>
              <w:rPr>
                <w:rFonts w:hint="eastAsia" w:ascii="宋体" w:hAnsi="宋体"/>
                <w:szCs w:val="21"/>
              </w:rPr>
              <w:t>时间和</w:t>
            </w:r>
            <w:r>
              <w:rPr>
                <w:rFonts w:ascii="宋体" w:hAnsi="宋体"/>
                <w:szCs w:val="21"/>
              </w:rPr>
              <w:t>地点</w:t>
            </w:r>
          </w:p>
        </w:tc>
        <w:tc>
          <w:tcPr>
            <w:tcW w:w="6863" w:type="dxa"/>
            <w:vAlign w:val="center"/>
          </w:tcPr>
          <w:p w14:paraId="1E09CB09">
            <w:pPr>
              <w:numPr>
                <w:ilvl w:val="0"/>
                <w:numId w:val="1"/>
              </w:numPr>
              <w:snapToGrid w:val="0"/>
              <w:jc w:val="left"/>
              <w:rPr>
                <w:rFonts w:ascii="宋体" w:hAnsi="宋体"/>
                <w:szCs w:val="21"/>
              </w:rPr>
            </w:pPr>
            <w:r>
              <w:rPr>
                <w:rFonts w:hint="eastAsia" w:ascii="宋体" w:hAnsi="宋体"/>
                <w:szCs w:val="21"/>
              </w:rPr>
              <w:t>递交方式：网上递交投标文件</w:t>
            </w:r>
          </w:p>
          <w:p w14:paraId="512DA049">
            <w:pPr>
              <w:numPr>
                <w:ilvl w:val="0"/>
                <w:numId w:val="1"/>
              </w:numPr>
              <w:snapToGrid w:val="0"/>
              <w:jc w:val="left"/>
              <w:rPr>
                <w:rFonts w:ascii="宋体" w:hAnsi="宋体"/>
                <w:szCs w:val="21"/>
              </w:rPr>
            </w:pPr>
            <w:r>
              <w:rPr>
                <w:rFonts w:hint="eastAsia" w:ascii="宋体" w:hAnsi="宋体"/>
                <w:szCs w:val="21"/>
              </w:rPr>
              <w:t>文件的递交截止时间：同投标截止时间。</w:t>
            </w:r>
          </w:p>
          <w:p w14:paraId="2A368093">
            <w:pPr>
              <w:numPr>
                <w:ilvl w:val="0"/>
                <w:numId w:val="1"/>
              </w:numPr>
              <w:snapToGrid w:val="0"/>
              <w:jc w:val="left"/>
              <w:rPr>
                <w:rFonts w:ascii="宋体" w:hAnsi="宋体"/>
                <w:szCs w:val="21"/>
              </w:rPr>
            </w:pPr>
            <w:r>
              <w:rPr>
                <w:rFonts w:hint="eastAsia" w:ascii="宋体" w:hAnsi="宋体"/>
                <w:szCs w:val="21"/>
              </w:rPr>
              <w:t>地点：广州公共资源交易中心网站</w:t>
            </w:r>
          </w:p>
          <w:p w14:paraId="56AC9736">
            <w:pPr>
              <w:numPr>
                <w:ilvl w:val="0"/>
                <w:numId w:val="1"/>
              </w:numPr>
              <w:snapToGrid w:val="0"/>
              <w:jc w:val="left"/>
              <w:rPr>
                <w:rFonts w:ascii="宋体" w:hAnsi="宋体"/>
                <w:szCs w:val="21"/>
              </w:rPr>
            </w:pPr>
            <w:r>
              <w:rPr>
                <w:rFonts w:hint="eastAsia" w:ascii="宋体" w:hAnsi="宋体" w:cs="宋体"/>
                <w:szCs w:val="21"/>
                <w:u w:val="single"/>
              </w:rPr>
              <w:t>上述时间及地点是否有改变，请密切留意答疑澄清或补充公告（如有）中的相关信息，具体时间及场地安排请各投标人密切留意广州公共资源交易中心公布本项目的日程安排，投标人也可登录广州公共资源交易中心网站首页，点击“项目查询（日程安排、答疑纪要）”专栏中的“项目查询”，输入项目编号或项目名称查询最新信息</w:t>
            </w:r>
            <w:r>
              <w:rPr>
                <w:rFonts w:hint="eastAsia" w:ascii="宋体" w:hAnsi="宋体"/>
                <w:szCs w:val="21"/>
              </w:rPr>
              <w:t>。</w:t>
            </w:r>
          </w:p>
        </w:tc>
      </w:tr>
      <w:tr w14:paraId="3CC03B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79B52538">
            <w:pPr>
              <w:snapToGrid w:val="0"/>
              <w:jc w:val="center"/>
              <w:rPr>
                <w:rFonts w:ascii="宋体" w:hAnsi="宋体"/>
                <w:szCs w:val="21"/>
              </w:rPr>
            </w:pPr>
            <w:r>
              <w:rPr>
                <w:rFonts w:ascii="宋体" w:hAnsi="宋体"/>
                <w:szCs w:val="21"/>
              </w:rPr>
              <w:t>4.2.3</w:t>
            </w:r>
          </w:p>
        </w:tc>
        <w:tc>
          <w:tcPr>
            <w:tcW w:w="1650" w:type="dxa"/>
            <w:vAlign w:val="center"/>
          </w:tcPr>
          <w:p w14:paraId="524D9F31">
            <w:pPr>
              <w:snapToGrid w:val="0"/>
              <w:jc w:val="center"/>
              <w:rPr>
                <w:rFonts w:ascii="宋体" w:hAnsi="宋体"/>
                <w:szCs w:val="21"/>
              </w:rPr>
            </w:pPr>
            <w:r>
              <w:rPr>
                <w:rFonts w:ascii="宋体" w:hAnsi="宋体"/>
                <w:szCs w:val="21"/>
              </w:rPr>
              <w:t>投标文件是否退还</w:t>
            </w:r>
          </w:p>
        </w:tc>
        <w:tc>
          <w:tcPr>
            <w:tcW w:w="6863" w:type="dxa"/>
            <w:vAlign w:val="center"/>
          </w:tcPr>
          <w:p w14:paraId="3753A28D">
            <w:pPr>
              <w:pStyle w:val="8"/>
              <w:topLinePunct/>
              <w:snapToGrid w:val="0"/>
              <w:rPr>
                <w:rFonts w:hAnsi="宋体"/>
                <w:sz w:val="21"/>
                <w:szCs w:val="21"/>
              </w:rPr>
            </w:pPr>
            <w:r>
              <w:rPr>
                <w:rFonts w:hint="eastAsia"/>
                <w:sz w:val="21"/>
                <w:szCs w:val="21"/>
              </w:rPr>
              <w:t>■</w:t>
            </w:r>
            <w:r>
              <w:rPr>
                <w:rFonts w:hAnsi="宋体"/>
                <w:sz w:val="21"/>
                <w:szCs w:val="21"/>
              </w:rPr>
              <w:t>否</w:t>
            </w:r>
          </w:p>
          <w:p w14:paraId="4363397E">
            <w:pPr>
              <w:pStyle w:val="8"/>
              <w:topLinePunct/>
              <w:snapToGrid w:val="0"/>
              <w:rPr>
                <w:rFonts w:hAnsi="宋体"/>
                <w:sz w:val="21"/>
                <w:szCs w:val="21"/>
              </w:rPr>
            </w:pPr>
            <w:r>
              <w:rPr>
                <w:rFonts w:hAnsi="宋体"/>
                <w:sz w:val="21"/>
                <w:szCs w:val="21"/>
              </w:rPr>
              <w:sym w:font="Wingdings 2" w:char="00A3"/>
            </w:r>
            <w:r>
              <w:rPr>
                <w:rFonts w:hAnsi="宋体"/>
                <w:sz w:val="21"/>
                <w:szCs w:val="21"/>
              </w:rPr>
              <w:t>是，退还时间：</w:t>
            </w:r>
            <w:r>
              <w:rPr>
                <w:rFonts w:hint="eastAsia" w:hAnsi="宋体"/>
                <w:sz w:val="21"/>
                <w:szCs w:val="21"/>
                <w:u w:val="single"/>
              </w:rPr>
              <w:t xml:space="preserve"> / </w:t>
            </w:r>
          </w:p>
        </w:tc>
      </w:tr>
      <w:tr w14:paraId="3DF1E7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DFEE3B9">
            <w:pPr>
              <w:snapToGrid w:val="0"/>
              <w:jc w:val="center"/>
              <w:rPr>
                <w:rFonts w:ascii="宋体" w:hAnsi="宋体"/>
                <w:szCs w:val="21"/>
              </w:rPr>
            </w:pPr>
            <w:r>
              <w:rPr>
                <w:rFonts w:ascii="宋体" w:hAnsi="宋体"/>
                <w:szCs w:val="21"/>
              </w:rPr>
              <w:t>5.1（</w:t>
            </w:r>
            <w:r>
              <w:rPr>
                <w:rFonts w:hint="eastAsia" w:ascii="宋体" w:hAnsi="宋体"/>
                <w:szCs w:val="21"/>
              </w:rPr>
              <w:t>B</w:t>
            </w:r>
            <w:r>
              <w:rPr>
                <w:rFonts w:ascii="宋体" w:hAnsi="宋体"/>
                <w:szCs w:val="21"/>
              </w:rPr>
              <w:t>）</w:t>
            </w:r>
          </w:p>
        </w:tc>
        <w:tc>
          <w:tcPr>
            <w:tcW w:w="1650" w:type="dxa"/>
            <w:vAlign w:val="center"/>
          </w:tcPr>
          <w:p w14:paraId="09F281E1">
            <w:pPr>
              <w:snapToGrid w:val="0"/>
              <w:jc w:val="center"/>
              <w:rPr>
                <w:rFonts w:ascii="宋体" w:hAnsi="宋体"/>
                <w:szCs w:val="21"/>
              </w:rPr>
            </w:pPr>
            <w:r>
              <w:rPr>
                <w:rFonts w:ascii="宋体" w:hAnsi="宋体"/>
                <w:szCs w:val="21"/>
              </w:rPr>
              <w:t>开标时间和地点</w:t>
            </w:r>
          </w:p>
        </w:tc>
        <w:tc>
          <w:tcPr>
            <w:tcW w:w="6863" w:type="dxa"/>
            <w:vAlign w:val="center"/>
          </w:tcPr>
          <w:p w14:paraId="221E2BE2">
            <w:pPr>
              <w:pStyle w:val="8"/>
              <w:topLinePunct/>
              <w:snapToGrid w:val="0"/>
              <w:rPr>
                <w:sz w:val="21"/>
                <w:szCs w:val="21"/>
              </w:rPr>
            </w:pPr>
            <w:r>
              <w:rPr>
                <w:rFonts w:hint="eastAsia"/>
                <w:sz w:val="21"/>
                <w:szCs w:val="21"/>
              </w:rPr>
              <w:t>本电子招投标项目在本章4.2.1项规定的投标截止时间（开标时间），在广州公共资源交易中心公开开标，开标时，投标人代表有权出席开标会，也可以自主决定不参加开标会。</w:t>
            </w:r>
          </w:p>
        </w:tc>
      </w:tr>
      <w:tr w14:paraId="5A7B9A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39FEB55">
            <w:pPr>
              <w:snapToGrid w:val="0"/>
              <w:jc w:val="center"/>
              <w:rPr>
                <w:rFonts w:ascii="宋体" w:hAnsi="宋体"/>
                <w:szCs w:val="21"/>
              </w:rPr>
            </w:pPr>
            <w:r>
              <w:rPr>
                <w:rFonts w:ascii="宋体" w:hAnsi="宋体"/>
                <w:szCs w:val="21"/>
              </w:rPr>
              <w:t>5.2（</w:t>
            </w:r>
            <w:r>
              <w:rPr>
                <w:rFonts w:hint="eastAsia" w:ascii="宋体" w:hAnsi="宋体"/>
                <w:szCs w:val="21"/>
              </w:rPr>
              <w:t>B</w:t>
            </w:r>
            <w:r>
              <w:rPr>
                <w:rFonts w:ascii="宋体" w:hAnsi="宋体"/>
                <w:szCs w:val="21"/>
              </w:rPr>
              <w:t>）</w:t>
            </w:r>
          </w:p>
        </w:tc>
        <w:tc>
          <w:tcPr>
            <w:tcW w:w="1650" w:type="dxa"/>
            <w:vAlign w:val="center"/>
          </w:tcPr>
          <w:p w14:paraId="791B2014">
            <w:pPr>
              <w:snapToGrid w:val="0"/>
              <w:jc w:val="center"/>
              <w:rPr>
                <w:rFonts w:ascii="宋体" w:hAnsi="宋体"/>
                <w:szCs w:val="21"/>
              </w:rPr>
            </w:pPr>
            <w:r>
              <w:rPr>
                <w:rFonts w:ascii="宋体" w:hAnsi="宋体"/>
                <w:szCs w:val="21"/>
              </w:rPr>
              <w:t>开标程序</w:t>
            </w:r>
          </w:p>
        </w:tc>
        <w:tc>
          <w:tcPr>
            <w:tcW w:w="6863" w:type="dxa"/>
            <w:vAlign w:val="center"/>
          </w:tcPr>
          <w:p w14:paraId="08A97303">
            <w:pPr>
              <w:pStyle w:val="8"/>
              <w:topLinePunct/>
              <w:snapToGrid w:val="0"/>
              <w:rPr>
                <w:sz w:val="21"/>
                <w:szCs w:val="21"/>
              </w:rPr>
            </w:pPr>
            <w:r>
              <w:rPr>
                <w:rFonts w:hint="eastAsia"/>
                <w:sz w:val="21"/>
                <w:szCs w:val="21"/>
              </w:rPr>
              <w:t>电子招投标项目开标按下列程序进行：</w:t>
            </w:r>
          </w:p>
          <w:p w14:paraId="5E599D0A">
            <w:pPr>
              <w:pStyle w:val="8"/>
              <w:topLinePunct/>
              <w:snapToGrid w:val="0"/>
              <w:rPr>
                <w:sz w:val="21"/>
                <w:szCs w:val="21"/>
              </w:rPr>
            </w:pPr>
            <w:r>
              <w:rPr>
                <w:sz w:val="21"/>
                <w:szCs w:val="21"/>
              </w:rPr>
              <w:t>5.2.1</w:t>
            </w:r>
            <w:r>
              <w:rPr>
                <w:rFonts w:hint="eastAsia"/>
                <w:sz w:val="21"/>
                <w:szCs w:val="21"/>
              </w:rPr>
              <w:t>主持人按下列程序进行开标：</w:t>
            </w:r>
          </w:p>
          <w:p w14:paraId="194E6398">
            <w:pPr>
              <w:pStyle w:val="8"/>
              <w:topLinePunct/>
              <w:snapToGrid w:val="0"/>
              <w:rPr>
                <w:sz w:val="21"/>
                <w:szCs w:val="21"/>
              </w:rPr>
            </w:pPr>
            <w:r>
              <w:rPr>
                <w:rFonts w:hint="eastAsia"/>
                <w:sz w:val="21"/>
                <w:szCs w:val="21"/>
              </w:rPr>
              <w:t>（</w:t>
            </w:r>
            <w:r>
              <w:rPr>
                <w:sz w:val="21"/>
                <w:szCs w:val="21"/>
              </w:rPr>
              <w:t>1</w:t>
            </w:r>
            <w:r>
              <w:rPr>
                <w:rFonts w:hint="eastAsia"/>
                <w:sz w:val="21"/>
                <w:szCs w:val="21"/>
              </w:rPr>
              <w:t>）宣布开标纪律；</w:t>
            </w:r>
          </w:p>
          <w:p w14:paraId="38791BB7">
            <w:pPr>
              <w:pStyle w:val="8"/>
              <w:topLinePunct/>
              <w:snapToGrid w:val="0"/>
              <w:rPr>
                <w:sz w:val="21"/>
                <w:szCs w:val="21"/>
              </w:rPr>
            </w:pPr>
            <w:r>
              <w:rPr>
                <w:rFonts w:hint="eastAsia"/>
                <w:sz w:val="21"/>
                <w:szCs w:val="21"/>
              </w:rPr>
              <w:t>（</w:t>
            </w:r>
            <w:r>
              <w:rPr>
                <w:sz w:val="21"/>
                <w:szCs w:val="21"/>
              </w:rPr>
              <w:t>2</w:t>
            </w:r>
            <w:r>
              <w:rPr>
                <w:rFonts w:hint="eastAsia"/>
                <w:sz w:val="21"/>
                <w:szCs w:val="21"/>
              </w:rPr>
              <w:t>）公布在投标截止时间前递交投标文件的投标人名称；</w:t>
            </w:r>
          </w:p>
          <w:p w14:paraId="03E51044">
            <w:pPr>
              <w:pStyle w:val="8"/>
              <w:topLinePunct/>
              <w:snapToGrid w:val="0"/>
              <w:rPr>
                <w:sz w:val="21"/>
                <w:szCs w:val="21"/>
              </w:rPr>
            </w:pPr>
            <w:r>
              <w:rPr>
                <w:rFonts w:hint="eastAsia"/>
                <w:sz w:val="21"/>
                <w:szCs w:val="21"/>
              </w:rPr>
              <w:t>（</w:t>
            </w:r>
            <w:r>
              <w:rPr>
                <w:sz w:val="21"/>
                <w:szCs w:val="21"/>
              </w:rPr>
              <w:t>3</w:t>
            </w:r>
            <w:r>
              <w:rPr>
                <w:rFonts w:hint="eastAsia"/>
                <w:sz w:val="21"/>
                <w:szCs w:val="21"/>
              </w:rPr>
              <w:t>）宣布开标人、唱标人、记录人、监标人等有关人员姓名；</w:t>
            </w:r>
          </w:p>
          <w:p w14:paraId="40814E3E">
            <w:pPr>
              <w:pStyle w:val="8"/>
              <w:topLinePunct/>
              <w:snapToGrid w:val="0"/>
              <w:rPr>
                <w:sz w:val="21"/>
                <w:szCs w:val="21"/>
              </w:rPr>
            </w:pPr>
            <w:r>
              <w:rPr>
                <w:rFonts w:hint="eastAsia"/>
                <w:sz w:val="21"/>
                <w:szCs w:val="21"/>
              </w:rPr>
              <w:t>（</w:t>
            </w:r>
            <w:r>
              <w:rPr>
                <w:sz w:val="21"/>
                <w:szCs w:val="21"/>
              </w:rPr>
              <w:t>4</w:t>
            </w:r>
            <w:r>
              <w:rPr>
                <w:rFonts w:hint="eastAsia"/>
                <w:sz w:val="21"/>
                <w:szCs w:val="21"/>
              </w:rPr>
              <w:t>）（</w:t>
            </w:r>
            <w:r>
              <w:rPr>
                <w:sz w:val="21"/>
                <w:szCs w:val="21"/>
              </w:rPr>
              <w:t>B</w:t>
            </w:r>
            <w:r>
              <w:rPr>
                <w:rFonts w:hint="eastAsia"/>
                <w:sz w:val="21"/>
                <w:szCs w:val="21"/>
              </w:rPr>
              <w:t>）投标人通过电子招标投标交易平台对已递交的电子投标文件进行解密，公布招标项目名称、投标人名称、投标报价、服务期限及其他内容，并记录在案；</w:t>
            </w:r>
          </w:p>
          <w:p w14:paraId="10F4F7A3">
            <w:pPr>
              <w:pStyle w:val="8"/>
              <w:topLinePunct/>
              <w:snapToGrid w:val="0"/>
              <w:rPr>
                <w:sz w:val="21"/>
                <w:szCs w:val="21"/>
              </w:rPr>
            </w:pPr>
            <w:r>
              <w:rPr>
                <w:rFonts w:hint="eastAsia"/>
                <w:sz w:val="21"/>
                <w:szCs w:val="21"/>
              </w:rPr>
              <w:t>（</w:t>
            </w:r>
            <w:r>
              <w:rPr>
                <w:sz w:val="21"/>
                <w:szCs w:val="21"/>
              </w:rPr>
              <w:t>5</w:t>
            </w:r>
            <w:r>
              <w:rPr>
                <w:rFonts w:hint="eastAsia"/>
                <w:sz w:val="21"/>
                <w:szCs w:val="21"/>
              </w:rPr>
              <w:t>）（</w:t>
            </w:r>
            <w:r>
              <w:rPr>
                <w:sz w:val="21"/>
                <w:szCs w:val="21"/>
              </w:rPr>
              <w:t>B</w:t>
            </w:r>
            <w:r>
              <w:rPr>
                <w:rFonts w:hint="eastAsia"/>
                <w:sz w:val="21"/>
                <w:szCs w:val="21"/>
              </w:rPr>
              <w:t>）投标人代表、招标人代表、监标人、记录人等有关人员在开标记录上签字确认；若有关人员不签字的，不影响开标程序；</w:t>
            </w:r>
          </w:p>
          <w:p w14:paraId="1C2A4E7B">
            <w:pPr>
              <w:pStyle w:val="8"/>
              <w:topLinePunct/>
              <w:snapToGrid w:val="0"/>
              <w:rPr>
                <w:sz w:val="21"/>
                <w:szCs w:val="21"/>
              </w:rPr>
            </w:pPr>
            <w:r>
              <w:rPr>
                <w:rFonts w:hint="eastAsia"/>
                <w:sz w:val="21"/>
                <w:szCs w:val="21"/>
              </w:rPr>
              <w:t>（</w:t>
            </w:r>
            <w:r>
              <w:rPr>
                <w:sz w:val="21"/>
                <w:szCs w:val="21"/>
              </w:rPr>
              <w:t>6</w:t>
            </w:r>
            <w:r>
              <w:rPr>
                <w:rFonts w:hint="eastAsia"/>
                <w:sz w:val="21"/>
                <w:szCs w:val="21"/>
              </w:rPr>
              <w:t>）开标结束。</w:t>
            </w:r>
          </w:p>
          <w:p w14:paraId="52460DF9">
            <w:pPr>
              <w:pStyle w:val="8"/>
              <w:topLinePunct/>
              <w:snapToGrid w:val="0"/>
              <w:rPr>
                <w:sz w:val="21"/>
                <w:szCs w:val="21"/>
              </w:rPr>
            </w:pPr>
            <w:r>
              <w:rPr>
                <w:sz w:val="21"/>
                <w:szCs w:val="21"/>
              </w:rPr>
              <w:t>5.2.2</w:t>
            </w:r>
            <w:r>
              <w:rPr>
                <w:rFonts w:hint="eastAsia"/>
                <w:sz w:val="21"/>
                <w:szCs w:val="21"/>
              </w:rPr>
              <w:t>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14:paraId="4BA30319">
            <w:pPr>
              <w:pStyle w:val="8"/>
              <w:topLinePunct/>
              <w:snapToGrid w:val="0"/>
              <w:rPr>
                <w:sz w:val="21"/>
                <w:szCs w:val="21"/>
              </w:rPr>
            </w:pPr>
            <w:r>
              <w:rPr>
                <w:sz w:val="21"/>
                <w:szCs w:val="21"/>
              </w:rPr>
              <w:t>5.2.3</w:t>
            </w:r>
            <w:r>
              <w:rPr>
                <w:rFonts w:hint="eastAsia"/>
                <w:sz w:val="21"/>
                <w:szCs w:val="21"/>
              </w:rPr>
              <w:t>开标时，两个（含两个）以上的投标人加密打包投标文件电脑机器特征码一致的，不参与下一程序，并由评标委员会否决其投标。</w:t>
            </w:r>
          </w:p>
        </w:tc>
      </w:tr>
      <w:tr w14:paraId="17F6DA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55267D6">
            <w:pPr>
              <w:snapToGrid w:val="0"/>
              <w:jc w:val="center"/>
              <w:rPr>
                <w:rFonts w:ascii="宋体" w:hAnsi="宋体"/>
                <w:szCs w:val="21"/>
              </w:rPr>
            </w:pPr>
            <w:r>
              <w:rPr>
                <w:rFonts w:ascii="宋体" w:hAnsi="宋体"/>
                <w:szCs w:val="21"/>
              </w:rPr>
              <w:t>6.1.1</w:t>
            </w:r>
          </w:p>
        </w:tc>
        <w:tc>
          <w:tcPr>
            <w:tcW w:w="1650" w:type="dxa"/>
            <w:vAlign w:val="center"/>
          </w:tcPr>
          <w:p w14:paraId="14FDEDB0">
            <w:pPr>
              <w:snapToGrid w:val="0"/>
              <w:jc w:val="center"/>
              <w:rPr>
                <w:rFonts w:ascii="宋体" w:hAnsi="宋体"/>
                <w:szCs w:val="21"/>
              </w:rPr>
            </w:pPr>
            <w:r>
              <w:rPr>
                <w:rFonts w:ascii="宋体" w:hAnsi="宋体"/>
                <w:szCs w:val="21"/>
              </w:rPr>
              <w:t>评标委员会的组建</w:t>
            </w:r>
          </w:p>
        </w:tc>
        <w:tc>
          <w:tcPr>
            <w:tcW w:w="6863" w:type="dxa"/>
            <w:vAlign w:val="center"/>
          </w:tcPr>
          <w:p w14:paraId="082B0345">
            <w:pPr>
              <w:snapToGrid w:val="0"/>
              <w:rPr>
                <w:rFonts w:ascii="宋体" w:hAnsi="宋体"/>
                <w:szCs w:val="21"/>
              </w:rPr>
            </w:pPr>
            <w:r>
              <w:rPr>
                <w:rFonts w:hint="eastAsia" w:ascii="宋体" w:hAnsi="宋体"/>
                <w:szCs w:val="21"/>
              </w:rPr>
              <w:t>依法组建</w:t>
            </w:r>
            <w:r>
              <w:rPr>
                <w:rFonts w:ascii="宋体" w:hAnsi="宋体"/>
                <w:szCs w:val="21"/>
              </w:rPr>
              <w:t>评标委员会</w:t>
            </w:r>
          </w:p>
        </w:tc>
      </w:tr>
      <w:tr w14:paraId="11C894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C889750">
            <w:pPr>
              <w:snapToGrid w:val="0"/>
              <w:jc w:val="center"/>
              <w:rPr>
                <w:rFonts w:ascii="宋体" w:hAnsi="宋体"/>
                <w:szCs w:val="21"/>
              </w:rPr>
            </w:pPr>
            <w:r>
              <w:rPr>
                <w:rFonts w:ascii="宋体" w:hAnsi="宋体"/>
                <w:szCs w:val="21"/>
              </w:rPr>
              <w:t>6.3.2</w:t>
            </w:r>
          </w:p>
        </w:tc>
        <w:tc>
          <w:tcPr>
            <w:tcW w:w="1650" w:type="dxa"/>
            <w:vAlign w:val="center"/>
          </w:tcPr>
          <w:p w14:paraId="18D19EC8">
            <w:pPr>
              <w:snapToGrid w:val="0"/>
              <w:jc w:val="center"/>
              <w:rPr>
                <w:rFonts w:ascii="宋体" w:hAnsi="宋体"/>
                <w:szCs w:val="21"/>
              </w:rPr>
            </w:pPr>
            <w:r>
              <w:rPr>
                <w:rFonts w:ascii="宋体" w:hAnsi="宋体"/>
                <w:szCs w:val="21"/>
              </w:rPr>
              <w:t>评标委员会推荐中标候选人的人数</w:t>
            </w:r>
          </w:p>
        </w:tc>
        <w:tc>
          <w:tcPr>
            <w:tcW w:w="6863" w:type="dxa"/>
            <w:vAlign w:val="center"/>
          </w:tcPr>
          <w:p w14:paraId="3B8AB4D7">
            <w:pPr>
              <w:snapToGrid w:val="0"/>
              <w:rPr>
                <w:rFonts w:ascii="宋体" w:hAnsi="宋体"/>
                <w:szCs w:val="21"/>
              </w:rPr>
            </w:pPr>
            <w:r>
              <w:rPr>
                <w:rFonts w:hint="eastAsia" w:ascii="宋体" w:hAnsi="宋体"/>
                <w:szCs w:val="21"/>
              </w:rPr>
              <w:t>3</w:t>
            </w:r>
          </w:p>
        </w:tc>
      </w:tr>
      <w:tr w14:paraId="53A7DE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6D04831">
            <w:pPr>
              <w:snapToGrid w:val="0"/>
              <w:jc w:val="center"/>
              <w:rPr>
                <w:rFonts w:ascii="宋体" w:hAnsi="宋体"/>
                <w:szCs w:val="21"/>
              </w:rPr>
            </w:pPr>
            <w:r>
              <w:rPr>
                <w:rFonts w:ascii="宋体" w:hAnsi="宋体"/>
                <w:szCs w:val="21"/>
              </w:rPr>
              <w:t>7.1</w:t>
            </w:r>
          </w:p>
        </w:tc>
        <w:tc>
          <w:tcPr>
            <w:tcW w:w="1650" w:type="dxa"/>
            <w:vAlign w:val="center"/>
          </w:tcPr>
          <w:p w14:paraId="27D197AA">
            <w:pPr>
              <w:snapToGrid w:val="0"/>
              <w:jc w:val="center"/>
              <w:rPr>
                <w:rFonts w:ascii="宋体" w:hAnsi="宋体"/>
                <w:szCs w:val="21"/>
              </w:rPr>
            </w:pPr>
            <w:r>
              <w:rPr>
                <w:rFonts w:ascii="宋体" w:hAnsi="宋体"/>
                <w:szCs w:val="21"/>
              </w:rPr>
              <w:t>中标候选人公示媒介及期限</w:t>
            </w:r>
          </w:p>
        </w:tc>
        <w:tc>
          <w:tcPr>
            <w:tcW w:w="6863" w:type="dxa"/>
            <w:vAlign w:val="center"/>
          </w:tcPr>
          <w:p w14:paraId="0AF37041">
            <w:pPr>
              <w:snapToGrid w:val="0"/>
              <w:ind w:left="108" w:right="106"/>
              <w:rPr>
                <w:rFonts w:ascii="宋体" w:hAnsi="宋体"/>
                <w:bCs/>
                <w:szCs w:val="21"/>
                <w:u w:val="single"/>
              </w:rPr>
            </w:pPr>
            <w:r>
              <w:rPr>
                <w:rFonts w:ascii="宋体" w:hAnsi="宋体"/>
                <w:szCs w:val="21"/>
              </w:rPr>
              <w:t>公示媒介：</w:t>
            </w:r>
            <w:r>
              <w:rPr>
                <w:rFonts w:hint="eastAsia" w:ascii="宋体" w:hAnsi="宋体"/>
                <w:bCs/>
                <w:szCs w:val="21"/>
                <w:u w:val="single"/>
              </w:rPr>
              <w:t>中国招标投标公共服务平台、广州公共资源交易中心网站、广东省招标投标监管网、广州市增城区人民政府门户网站的“首页&gt;公开&gt;公共资源配置领域&gt;工程建设项目招投标”栏目</w:t>
            </w:r>
          </w:p>
          <w:p w14:paraId="7879D102">
            <w:pPr>
              <w:snapToGrid w:val="0"/>
              <w:ind w:left="108" w:right="106"/>
              <w:rPr>
                <w:rFonts w:ascii="宋体" w:hAnsi="宋体"/>
                <w:szCs w:val="21"/>
              </w:rPr>
            </w:pPr>
            <w:r>
              <w:rPr>
                <w:rFonts w:ascii="宋体" w:hAnsi="宋体"/>
                <w:szCs w:val="21"/>
              </w:rPr>
              <w:t>公示期限：</w:t>
            </w:r>
            <w:r>
              <w:rPr>
                <w:rFonts w:hint="eastAsia" w:ascii="宋体" w:hAnsi="宋体"/>
                <w:szCs w:val="21"/>
                <w:u w:val="single"/>
              </w:rPr>
              <w:t>3</w:t>
            </w:r>
            <w:r>
              <w:rPr>
                <w:rFonts w:ascii="宋体" w:hAnsi="宋体"/>
                <w:szCs w:val="21"/>
              </w:rPr>
              <w:t>日</w:t>
            </w:r>
            <w:r>
              <w:rPr>
                <w:rFonts w:hint="eastAsia" w:ascii="宋体" w:hAnsi="宋体"/>
                <w:szCs w:val="21"/>
              </w:rPr>
              <w:t>（最后一天为工作天）</w:t>
            </w:r>
          </w:p>
        </w:tc>
      </w:tr>
      <w:tr w14:paraId="749DAE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4ADF4A0A">
            <w:pPr>
              <w:snapToGrid w:val="0"/>
              <w:jc w:val="center"/>
              <w:rPr>
                <w:rFonts w:ascii="宋体" w:hAnsi="宋体"/>
                <w:szCs w:val="21"/>
              </w:rPr>
            </w:pPr>
            <w:r>
              <w:rPr>
                <w:rFonts w:ascii="宋体" w:hAnsi="宋体"/>
                <w:szCs w:val="21"/>
              </w:rPr>
              <w:t>7.4</w:t>
            </w:r>
          </w:p>
        </w:tc>
        <w:tc>
          <w:tcPr>
            <w:tcW w:w="1650" w:type="dxa"/>
            <w:vAlign w:val="center"/>
          </w:tcPr>
          <w:p w14:paraId="7465ED92">
            <w:pPr>
              <w:snapToGrid w:val="0"/>
              <w:jc w:val="center"/>
              <w:rPr>
                <w:rFonts w:ascii="宋体" w:hAnsi="宋体"/>
                <w:szCs w:val="21"/>
              </w:rPr>
            </w:pPr>
            <w:r>
              <w:rPr>
                <w:rFonts w:ascii="宋体" w:hAnsi="宋体"/>
                <w:szCs w:val="21"/>
              </w:rPr>
              <w:t>是否授权评标委员会确定中标人</w:t>
            </w:r>
          </w:p>
        </w:tc>
        <w:tc>
          <w:tcPr>
            <w:tcW w:w="6863" w:type="dxa"/>
            <w:vAlign w:val="center"/>
          </w:tcPr>
          <w:p w14:paraId="53BBF82C">
            <w:pPr>
              <w:snapToGrid w:val="0"/>
              <w:ind w:left="108" w:right="106"/>
            </w:pPr>
            <w:r>
              <w:rPr/>
              <w:sym w:font="Wingdings 2" w:char="00A3"/>
            </w:r>
            <w:r>
              <w:t>是</w:t>
            </w:r>
          </w:p>
          <w:p w14:paraId="635750DC">
            <w:pPr>
              <w:snapToGrid w:val="0"/>
              <w:ind w:left="108" w:right="106"/>
            </w:pPr>
            <w:r>
              <w:rPr>
                <w:rFonts w:hint="eastAsia"/>
              </w:rPr>
              <w:t>■</w:t>
            </w:r>
            <w:r>
              <w:t>否</w:t>
            </w:r>
          </w:p>
          <w:p w14:paraId="74C0D96C">
            <w:pPr>
              <w:snapToGrid w:val="0"/>
              <w:ind w:left="108" w:right="106"/>
              <w:rPr>
                <w:rFonts w:ascii="宋体" w:hAnsi="宋体"/>
                <w:szCs w:val="21"/>
              </w:rPr>
            </w:pPr>
            <w:r>
              <w:rPr>
                <w:rFonts w:hint="eastAsia" w:ascii="宋体" w:hAnsi="宋体"/>
                <w:szCs w:val="21"/>
              </w:rPr>
              <w:t>1、</w:t>
            </w:r>
            <w:r>
              <w:rPr>
                <w:rFonts w:ascii="宋体" w:hAnsi="宋体"/>
                <w:szCs w:val="21"/>
              </w:rPr>
              <w:t>招标人依据评标委员会推荐的中标候选人确定中标人。</w:t>
            </w:r>
          </w:p>
          <w:p w14:paraId="54F36E47">
            <w:pPr>
              <w:snapToGrid w:val="0"/>
              <w:ind w:left="108" w:right="106"/>
              <w:rPr>
                <w:rFonts w:ascii="宋体" w:hAnsi="宋体"/>
                <w:szCs w:val="21"/>
              </w:rPr>
            </w:pPr>
            <w:r>
              <w:rPr>
                <w:rFonts w:hint="eastAsia" w:ascii="宋体" w:hAnsi="宋体"/>
                <w:szCs w:val="21"/>
              </w:rPr>
              <w:t>2、</w:t>
            </w:r>
            <w:r>
              <w:rPr>
                <w:rFonts w:ascii="宋体" w:hAnsi="宋体"/>
                <w:szCs w:val="21"/>
              </w:rPr>
              <w:t>依法必须进行公开招标的项目，招标人确定排名第一的中标候选人为中标人。</w:t>
            </w:r>
          </w:p>
          <w:p w14:paraId="5E42838C">
            <w:pPr>
              <w:snapToGrid w:val="0"/>
              <w:ind w:left="108" w:right="106"/>
            </w:pPr>
            <w:r>
              <w:rPr>
                <w:rFonts w:hint="eastAsia" w:ascii="宋体" w:hAnsi="宋体"/>
                <w:szCs w:val="21"/>
              </w:rPr>
              <w:t>3、</w:t>
            </w:r>
            <w:r>
              <w:rPr>
                <w:rFonts w:ascii="宋体" w:hAnsi="宋体"/>
                <w:szCs w:val="21"/>
              </w:rPr>
              <w:t>排名第一的中标候选人放弃中标、或被取消中标资格，或因不可抗力提出不能履行合同，招标人可以按照中标候选人顺序依次上升替补定标，以此类推。</w:t>
            </w:r>
          </w:p>
        </w:tc>
      </w:tr>
      <w:tr w14:paraId="74B2C9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5ECE4905">
            <w:pPr>
              <w:snapToGrid w:val="0"/>
              <w:jc w:val="center"/>
              <w:rPr>
                <w:rFonts w:ascii="宋体" w:hAnsi="宋体"/>
                <w:szCs w:val="21"/>
              </w:rPr>
            </w:pPr>
            <w:r>
              <w:rPr>
                <w:rFonts w:ascii="宋体" w:hAnsi="宋体"/>
                <w:szCs w:val="21"/>
              </w:rPr>
              <w:t>7.6.1</w:t>
            </w:r>
          </w:p>
        </w:tc>
        <w:tc>
          <w:tcPr>
            <w:tcW w:w="1650" w:type="dxa"/>
            <w:vAlign w:val="center"/>
          </w:tcPr>
          <w:p w14:paraId="643AAFB1">
            <w:pPr>
              <w:snapToGrid w:val="0"/>
              <w:jc w:val="center"/>
              <w:rPr>
                <w:rFonts w:ascii="宋体" w:hAnsi="宋体"/>
                <w:szCs w:val="21"/>
              </w:rPr>
            </w:pPr>
            <w:r>
              <w:rPr>
                <w:rFonts w:ascii="宋体" w:hAnsi="宋体"/>
                <w:szCs w:val="21"/>
              </w:rPr>
              <w:t>履约保证金</w:t>
            </w:r>
          </w:p>
        </w:tc>
        <w:tc>
          <w:tcPr>
            <w:tcW w:w="6863" w:type="dxa"/>
            <w:vAlign w:val="center"/>
          </w:tcPr>
          <w:p w14:paraId="75AA6E3F">
            <w:pPr>
              <w:pStyle w:val="8"/>
              <w:topLinePunct/>
              <w:snapToGrid w:val="0"/>
              <w:rPr>
                <w:rFonts w:hAnsi="宋体"/>
                <w:sz w:val="21"/>
                <w:szCs w:val="21"/>
              </w:rPr>
            </w:pPr>
            <w:r>
              <w:rPr>
                <w:rFonts w:hint="eastAsia"/>
                <w:sz w:val="21"/>
                <w:szCs w:val="21"/>
              </w:rPr>
              <w:t>■</w:t>
            </w:r>
            <w:r>
              <w:rPr>
                <w:rFonts w:hAnsi="宋体"/>
                <w:sz w:val="21"/>
                <w:szCs w:val="21"/>
              </w:rPr>
              <w:t>不要求</w:t>
            </w:r>
          </w:p>
        </w:tc>
      </w:tr>
      <w:tr w14:paraId="0DB58F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199AA6E4">
            <w:pPr>
              <w:snapToGrid w:val="0"/>
              <w:jc w:val="center"/>
              <w:rPr>
                <w:rFonts w:ascii="宋体" w:hAnsi="宋体"/>
                <w:szCs w:val="21"/>
              </w:rPr>
            </w:pPr>
            <w:r>
              <w:rPr>
                <w:rFonts w:ascii="宋体" w:hAnsi="宋体"/>
                <w:szCs w:val="21"/>
              </w:rPr>
              <w:t>9</w:t>
            </w:r>
          </w:p>
        </w:tc>
        <w:tc>
          <w:tcPr>
            <w:tcW w:w="1650" w:type="dxa"/>
            <w:vAlign w:val="center"/>
          </w:tcPr>
          <w:p w14:paraId="68F81910">
            <w:pPr>
              <w:snapToGrid w:val="0"/>
              <w:jc w:val="center"/>
              <w:rPr>
                <w:rFonts w:ascii="宋体" w:hAnsi="宋体"/>
                <w:szCs w:val="21"/>
              </w:rPr>
            </w:pPr>
            <w:r>
              <w:rPr>
                <w:rFonts w:ascii="宋体" w:hAnsi="宋体"/>
                <w:szCs w:val="21"/>
              </w:rPr>
              <w:t>是否采用电子招标投标</w:t>
            </w:r>
          </w:p>
        </w:tc>
        <w:tc>
          <w:tcPr>
            <w:tcW w:w="6863" w:type="dxa"/>
            <w:vAlign w:val="center"/>
          </w:tcPr>
          <w:p w14:paraId="70E922BE">
            <w:pPr>
              <w:pStyle w:val="8"/>
              <w:topLinePunct/>
              <w:snapToGrid w:val="0"/>
              <w:rPr>
                <w:sz w:val="21"/>
                <w:szCs w:val="21"/>
              </w:rPr>
            </w:pPr>
            <w:r>
              <w:rPr>
                <w:sz w:val="21"/>
                <w:szCs w:val="21"/>
              </w:rPr>
              <w:t>□</w:t>
            </w:r>
            <w:r>
              <w:rPr>
                <w:rFonts w:hint="eastAsia"/>
                <w:sz w:val="21"/>
                <w:szCs w:val="21"/>
              </w:rPr>
              <w:t>否</w:t>
            </w:r>
          </w:p>
          <w:p w14:paraId="0148235C">
            <w:pPr>
              <w:pStyle w:val="8"/>
              <w:topLinePunct/>
              <w:snapToGrid w:val="0"/>
              <w:rPr>
                <w:sz w:val="21"/>
                <w:szCs w:val="21"/>
              </w:rPr>
            </w:pPr>
            <w:r>
              <w:rPr>
                <w:rFonts w:hint="eastAsia"/>
                <w:sz w:val="21"/>
                <w:szCs w:val="21"/>
              </w:rPr>
              <w:t>■是，具体要求：1、具体操作详见广州公共资源交易中心发布的最新版本《房屋建筑和市政基础设施工程全流程电子化项目专章》。</w:t>
            </w:r>
          </w:p>
          <w:p w14:paraId="56D59C30">
            <w:pPr>
              <w:pStyle w:val="8"/>
              <w:topLinePunct/>
              <w:snapToGrid w:val="0"/>
              <w:rPr>
                <w:sz w:val="21"/>
                <w:szCs w:val="21"/>
              </w:rPr>
            </w:pPr>
            <w:r>
              <w:rPr>
                <w:rFonts w:hint="eastAsia"/>
                <w:sz w:val="21"/>
                <w:szCs w:val="21"/>
              </w:rPr>
              <w:t>2、提交投标文件光盘备用</w:t>
            </w:r>
          </w:p>
          <w:p w14:paraId="048339FE">
            <w:pPr>
              <w:pStyle w:val="8"/>
              <w:topLinePunct/>
              <w:snapToGrid w:val="0"/>
              <w:rPr>
                <w:sz w:val="21"/>
                <w:szCs w:val="21"/>
              </w:rPr>
            </w:pPr>
            <w:r>
              <w:rPr>
                <w:rFonts w:hint="eastAsia"/>
                <w:sz w:val="21"/>
                <w:szCs w:val="21"/>
              </w:rPr>
              <w:t>投标人将按广州公共资源交易中心发布的最新版本《房屋建筑和市政基础设施工程全流程电子化项目专章》的操作方法制作的非加密的电子投标文件刻入光盘（1份），在</w:t>
            </w:r>
            <w:r>
              <w:rPr>
                <w:rFonts w:hint="eastAsia"/>
                <w:b/>
                <w:bCs/>
                <w:sz w:val="21"/>
                <w:szCs w:val="21"/>
              </w:rPr>
              <w:t>开标现场（投标截止时间前15分钟）</w:t>
            </w:r>
            <w:r>
              <w:rPr>
                <w:rFonts w:hint="eastAsia"/>
                <w:sz w:val="21"/>
                <w:szCs w:val="21"/>
              </w:rPr>
              <w:t>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14:paraId="1621DDE3">
            <w:pPr>
              <w:pStyle w:val="8"/>
              <w:topLinePunct/>
              <w:snapToGrid w:val="0"/>
              <w:rPr>
                <w:sz w:val="21"/>
                <w:szCs w:val="21"/>
              </w:rPr>
            </w:pPr>
            <w:r>
              <w:rPr>
                <w:rFonts w:hint="eastAsia"/>
                <w:sz w:val="21"/>
                <w:szCs w:val="21"/>
              </w:rPr>
              <w:t xml:space="preserve">     3、补救方案</w:t>
            </w:r>
          </w:p>
          <w:p w14:paraId="76E55348">
            <w:pPr>
              <w:pStyle w:val="8"/>
              <w:topLinePunct/>
              <w:snapToGrid w:val="0"/>
              <w:rPr>
                <w:sz w:val="21"/>
                <w:szCs w:val="21"/>
              </w:rPr>
            </w:pPr>
            <w:r>
              <w:rPr>
                <w:rFonts w:hint="eastAsia"/>
                <w:sz w:val="21"/>
                <w:szCs w:val="21"/>
              </w:rPr>
              <w:t>（1）投标文件解密失败的补救方案：</w:t>
            </w:r>
          </w:p>
          <w:p w14:paraId="631C25DB">
            <w:pPr>
              <w:pStyle w:val="8"/>
              <w:topLinePunct/>
              <w:snapToGrid w:val="0"/>
              <w:rPr>
                <w:sz w:val="21"/>
                <w:szCs w:val="21"/>
              </w:rPr>
            </w:pPr>
            <w:r>
              <w:rPr>
                <w:rFonts w:hint="eastAsia"/>
                <w:sz w:val="2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4C10BC3">
            <w:pPr>
              <w:pStyle w:val="8"/>
              <w:topLinePunct/>
              <w:snapToGrid w:val="0"/>
              <w:rPr>
                <w:sz w:val="21"/>
                <w:szCs w:val="21"/>
              </w:rPr>
            </w:pPr>
            <w:r>
              <w:rPr>
                <w:rFonts w:hint="eastAsia"/>
                <w:sz w:val="21"/>
                <w:szCs w:val="21"/>
              </w:rPr>
              <w:t>（2）评标时突发情况的补救方案</w:t>
            </w:r>
          </w:p>
          <w:p w14:paraId="60D2E496">
            <w:pPr>
              <w:pStyle w:val="8"/>
              <w:topLinePunct/>
              <w:snapToGrid w:val="0"/>
              <w:rPr>
                <w:sz w:val="21"/>
                <w:szCs w:val="21"/>
              </w:rPr>
            </w:pPr>
            <w:r>
              <w:rPr>
                <w:rFonts w:hint="eastAsia"/>
                <w:sz w:val="21"/>
                <w:szCs w:val="21"/>
              </w:rPr>
              <w:t>若遇不可抗力发生（如：网络瘫痪、服务器损坏、交易系统故障短期无法恢复等因素），由评标委员会开启现场递交的全部投标文件光盘，并按光盘内容进行评审。</w:t>
            </w:r>
          </w:p>
          <w:p w14:paraId="29E48426">
            <w:pPr>
              <w:pStyle w:val="8"/>
              <w:topLinePunct/>
              <w:snapToGrid w:val="0"/>
              <w:rPr>
                <w:rFonts w:hAnsi="宋体"/>
                <w:szCs w:val="21"/>
              </w:rPr>
            </w:pPr>
            <w:r>
              <w:rPr>
                <w:rFonts w:hint="eastAsia"/>
                <w:sz w:val="21"/>
                <w:szCs w:val="21"/>
              </w:rPr>
              <w:t>（3）除发生上述情况外，开标评标均以投标人通过交易平台网上递交的电子投标文件为准。</w:t>
            </w:r>
          </w:p>
        </w:tc>
      </w:tr>
      <w:tr w14:paraId="5629D9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9C57A11">
            <w:pPr>
              <w:snapToGrid w:val="0"/>
              <w:jc w:val="center"/>
              <w:rPr>
                <w:rFonts w:ascii="宋体" w:hAnsi="宋体"/>
                <w:szCs w:val="21"/>
              </w:rPr>
            </w:pPr>
            <w:r>
              <w:rPr>
                <w:rFonts w:ascii="宋体" w:hAnsi="宋体"/>
                <w:szCs w:val="21"/>
              </w:rPr>
              <w:t>10</w:t>
            </w:r>
          </w:p>
        </w:tc>
        <w:tc>
          <w:tcPr>
            <w:tcW w:w="1650" w:type="dxa"/>
            <w:vAlign w:val="center"/>
          </w:tcPr>
          <w:p w14:paraId="1350415B">
            <w:pPr>
              <w:snapToGrid w:val="0"/>
              <w:jc w:val="center"/>
              <w:rPr>
                <w:rFonts w:ascii="宋体" w:hAnsi="宋体"/>
                <w:szCs w:val="21"/>
              </w:rPr>
            </w:pPr>
            <w:r>
              <w:rPr>
                <w:rFonts w:ascii="宋体" w:hAnsi="宋体"/>
                <w:szCs w:val="21"/>
              </w:rPr>
              <w:t>需要补充的其他内容</w:t>
            </w:r>
          </w:p>
        </w:tc>
        <w:tc>
          <w:tcPr>
            <w:tcW w:w="6863" w:type="dxa"/>
            <w:vAlign w:val="center"/>
          </w:tcPr>
          <w:p w14:paraId="15760F01">
            <w:pPr>
              <w:snapToGrid w:val="0"/>
              <w:rPr>
                <w:rFonts w:ascii="宋体" w:hAnsi="宋体"/>
                <w:szCs w:val="21"/>
              </w:rPr>
            </w:pPr>
            <w:r>
              <w:rPr>
                <w:rFonts w:hint="eastAsia" w:ascii="宋体" w:hAnsi="宋体" w:cs="宋体"/>
                <w:kern w:val="0"/>
                <w:szCs w:val="21"/>
              </w:rPr>
              <w:t>/</w:t>
            </w:r>
          </w:p>
        </w:tc>
      </w:tr>
      <w:tr w14:paraId="240E5C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A5BFB86">
            <w:pPr>
              <w:snapToGrid w:val="0"/>
              <w:jc w:val="center"/>
              <w:rPr>
                <w:rFonts w:ascii="宋体" w:hAnsi="宋体"/>
                <w:szCs w:val="21"/>
              </w:rPr>
            </w:pPr>
            <w:r>
              <w:rPr>
                <w:rFonts w:hint="eastAsia" w:ascii="宋体" w:hAnsi="宋体"/>
                <w:szCs w:val="21"/>
              </w:rPr>
              <w:t>10.1</w:t>
            </w:r>
          </w:p>
        </w:tc>
        <w:tc>
          <w:tcPr>
            <w:tcW w:w="1650" w:type="dxa"/>
            <w:vAlign w:val="center"/>
          </w:tcPr>
          <w:p w14:paraId="7C75DED7">
            <w:pPr>
              <w:snapToGrid w:val="0"/>
              <w:jc w:val="center"/>
              <w:rPr>
                <w:rFonts w:ascii="宋体" w:hAnsi="宋体"/>
                <w:szCs w:val="21"/>
              </w:rPr>
            </w:pPr>
            <w:r>
              <w:rPr>
                <w:rFonts w:ascii="宋体" w:hAnsi="宋体"/>
                <w:szCs w:val="21"/>
              </w:rPr>
              <w:t>其他费用</w:t>
            </w:r>
          </w:p>
        </w:tc>
        <w:tc>
          <w:tcPr>
            <w:tcW w:w="6863" w:type="dxa"/>
            <w:vAlign w:val="center"/>
          </w:tcPr>
          <w:p w14:paraId="49EECBA6">
            <w:pPr>
              <w:snapToGrid w:val="0"/>
              <w:jc w:val="left"/>
              <w:rPr>
                <w:rFonts w:ascii="宋体" w:hAnsi="宋体"/>
                <w:szCs w:val="21"/>
              </w:rPr>
            </w:pPr>
            <w:r>
              <w:rPr>
                <w:rFonts w:hint="eastAsia" w:ascii="宋体" w:hAnsi="宋体"/>
                <w:szCs w:val="21"/>
              </w:rPr>
              <w:t>公共资源交易服务费：中标人向广州公共资源交易中心一次性足额缴纳交易服务费</w:t>
            </w:r>
          </w:p>
        </w:tc>
      </w:tr>
      <w:tr w14:paraId="3D7B21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2BF4B6EB">
            <w:pPr>
              <w:snapToGrid w:val="0"/>
              <w:jc w:val="center"/>
              <w:rPr>
                <w:rFonts w:ascii="宋体" w:hAnsi="宋体"/>
                <w:szCs w:val="21"/>
              </w:rPr>
            </w:pPr>
            <w:bookmarkStart w:id="64" w:name="_Hlk136175204"/>
            <w:r>
              <w:rPr>
                <w:rFonts w:hint="eastAsia" w:ascii="宋体" w:hAnsi="宋体"/>
                <w:szCs w:val="21"/>
              </w:rPr>
              <w:t>10.2</w:t>
            </w:r>
          </w:p>
        </w:tc>
        <w:tc>
          <w:tcPr>
            <w:tcW w:w="1650" w:type="dxa"/>
            <w:vAlign w:val="center"/>
          </w:tcPr>
          <w:p w14:paraId="6A71035C">
            <w:pPr>
              <w:snapToGrid w:val="0"/>
              <w:jc w:val="center"/>
              <w:rPr>
                <w:rFonts w:ascii="宋体" w:hAnsi="宋体"/>
                <w:szCs w:val="21"/>
              </w:rPr>
            </w:pPr>
            <w:r>
              <w:rPr>
                <w:rFonts w:hint="eastAsia" w:ascii="宋体" w:hAnsi="宋体"/>
                <w:szCs w:val="21"/>
              </w:rPr>
              <w:t>潜在投标人或利害关系人对本招标公告及招标文件内容异议的，向招标人书面提出。</w:t>
            </w:r>
          </w:p>
        </w:tc>
        <w:tc>
          <w:tcPr>
            <w:tcW w:w="6863" w:type="dxa"/>
            <w:vAlign w:val="center"/>
          </w:tcPr>
          <w:p w14:paraId="73FED86C">
            <w:pPr>
              <w:snapToGrid w:val="0"/>
              <w:jc w:val="left"/>
              <w:rPr>
                <w:rFonts w:ascii="宋体" w:hAnsi="宋体"/>
                <w:szCs w:val="21"/>
              </w:rPr>
            </w:pPr>
            <w:r>
              <w:rPr>
                <w:rFonts w:hint="eastAsia" w:ascii="宋体" w:hAnsi="宋体"/>
                <w:szCs w:val="21"/>
              </w:rPr>
              <w:t>异议受理部门：</w:t>
            </w:r>
            <w:r>
              <w:rPr>
                <w:rFonts w:hint="eastAsia" w:ascii="宋体" w:hAnsi="宋体"/>
                <w:szCs w:val="21"/>
                <w:u w:val="single"/>
              </w:rPr>
              <w:t>广州市增城区人民政府永宁街道办事处</w:t>
            </w:r>
            <w:r>
              <w:rPr>
                <w:rFonts w:hint="eastAsia" w:ascii="宋体" w:hAnsi="宋体"/>
                <w:szCs w:val="21"/>
              </w:rPr>
              <w:t>；</w:t>
            </w:r>
          </w:p>
          <w:p w14:paraId="690A08B9">
            <w:pPr>
              <w:snapToGrid w:val="0"/>
              <w:jc w:val="left"/>
              <w:rPr>
                <w:rFonts w:ascii="宋体" w:hAnsi="宋体"/>
                <w:szCs w:val="21"/>
              </w:rPr>
            </w:pPr>
            <w:r>
              <w:rPr>
                <w:rFonts w:hint="eastAsia" w:ascii="宋体" w:hAnsi="宋体"/>
                <w:szCs w:val="21"/>
              </w:rPr>
              <w:t>联系电话：</w:t>
            </w:r>
            <w:r>
              <w:rPr>
                <w:rFonts w:hint="eastAsia" w:ascii="宋体" w:hAnsi="宋体"/>
                <w:szCs w:val="21"/>
                <w:u w:val="single"/>
              </w:rPr>
              <w:t>020-32988902</w:t>
            </w:r>
            <w:r>
              <w:rPr>
                <w:rFonts w:hint="eastAsia" w:ascii="宋体" w:hAnsi="宋体"/>
                <w:szCs w:val="21"/>
              </w:rPr>
              <w:t>；</w:t>
            </w:r>
          </w:p>
          <w:p w14:paraId="1CF1A106">
            <w:pPr>
              <w:snapToGrid w:val="0"/>
              <w:jc w:val="left"/>
              <w:rPr>
                <w:rFonts w:ascii="宋体" w:hAnsi="宋体"/>
                <w:szCs w:val="21"/>
                <w:u w:val="single"/>
              </w:rPr>
            </w:pPr>
            <w:r>
              <w:rPr>
                <w:rFonts w:hint="eastAsia" w:ascii="宋体" w:hAnsi="宋体"/>
                <w:szCs w:val="21"/>
              </w:rPr>
              <w:t>地址：</w:t>
            </w:r>
            <w:r>
              <w:rPr>
                <w:rFonts w:hint="eastAsia" w:ascii="宋体" w:hAnsi="宋体"/>
                <w:szCs w:val="21"/>
                <w:u w:val="single"/>
              </w:rPr>
              <w:t>广州市增城区永宁街道荔香街31号</w:t>
            </w:r>
            <w:r>
              <w:rPr>
                <w:rFonts w:hint="eastAsia" w:ascii="宋体" w:hAnsi="宋体"/>
                <w:szCs w:val="21"/>
              </w:rPr>
              <w:t>。</w:t>
            </w:r>
          </w:p>
        </w:tc>
      </w:tr>
      <w:tr w14:paraId="79C62B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1178" w:type="dxa"/>
            <w:vAlign w:val="center"/>
          </w:tcPr>
          <w:p w14:paraId="01E63C3F">
            <w:pPr>
              <w:snapToGrid w:val="0"/>
              <w:jc w:val="center"/>
              <w:rPr>
                <w:rFonts w:ascii="宋体" w:hAnsi="宋体"/>
                <w:szCs w:val="21"/>
              </w:rPr>
            </w:pPr>
            <w:r>
              <w:rPr>
                <w:rFonts w:hint="eastAsia" w:ascii="宋体" w:hAnsi="宋体"/>
                <w:szCs w:val="21"/>
              </w:rPr>
              <w:t>10.3</w:t>
            </w:r>
          </w:p>
        </w:tc>
        <w:tc>
          <w:tcPr>
            <w:tcW w:w="1650" w:type="dxa"/>
            <w:vAlign w:val="center"/>
          </w:tcPr>
          <w:p w14:paraId="0796887F">
            <w:pPr>
              <w:snapToGrid w:val="0"/>
              <w:jc w:val="center"/>
              <w:rPr>
                <w:rFonts w:ascii="宋体" w:hAnsi="宋体"/>
                <w:szCs w:val="21"/>
              </w:rPr>
            </w:pPr>
            <w:r>
              <w:rPr>
                <w:rFonts w:hint="eastAsia" w:ascii="宋体" w:hAnsi="宋体"/>
                <w:szCs w:val="21"/>
              </w:rPr>
              <w:t>招标监督机构</w:t>
            </w:r>
          </w:p>
        </w:tc>
        <w:tc>
          <w:tcPr>
            <w:tcW w:w="6863" w:type="dxa"/>
            <w:vAlign w:val="center"/>
          </w:tcPr>
          <w:p w14:paraId="4AE1176C">
            <w:pPr>
              <w:snapToGrid w:val="0"/>
              <w:jc w:val="left"/>
              <w:rPr>
                <w:rFonts w:ascii="宋体" w:hAnsi="宋体"/>
                <w:szCs w:val="21"/>
              </w:rPr>
            </w:pPr>
            <w:r>
              <w:rPr>
                <w:rFonts w:hint="eastAsia" w:ascii="宋体" w:hAnsi="宋体"/>
                <w:szCs w:val="21"/>
              </w:rPr>
              <w:t>招标监督机构：</w:t>
            </w:r>
            <w:r>
              <w:rPr>
                <w:rFonts w:hint="eastAsia" w:ascii="宋体" w:hAnsi="宋体"/>
                <w:szCs w:val="21"/>
                <w:u w:val="single"/>
              </w:rPr>
              <w:t>广州市增城区人民政府永宁街道办事处</w:t>
            </w:r>
          </w:p>
          <w:p w14:paraId="54A46814">
            <w:pPr>
              <w:snapToGrid w:val="0"/>
              <w:jc w:val="left"/>
              <w:rPr>
                <w:rFonts w:ascii="宋体" w:hAnsi="宋体" w:cs="宋体"/>
                <w:kern w:val="0"/>
                <w:szCs w:val="21"/>
              </w:rPr>
            </w:pPr>
            <w:r>
              <w:rPr>
                <w:rFonts w:hint="eastAsia" w:ascii="宋体" w:hAnsi="宋体"/>
                <w:szCs w:val="21"/>
              </w:rPr>
              <w:t>监管电话：</w:t>
            </w:r>
            <w:r>
              <w:rPr>
                <w:rFonts w:hint="eastAsia" w:ascii="宋体" w:hAnsi="宋体"/>
                <w:szCs w:val="21"/>
                <w:u w:val="single"/>
              </w:rPr>
              <w:t>020-32988902</w:t>
            </w:r>
          </w:p>
        </w:tc>
      </w:tr>
      <w:bookmarkEnd w:id="64"/>
      <w:tr w14:paraId="46210B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4" w:hRule="atLeast"/>
        </w:trPr>
        <w:tc>
          <w:tcPr>
            <w:tcW w:w="1178" w:type="dxa"/>
            <w:vAlign w:val="center"/>
          </w:tcPr>
          <w:p w14:paraId="42E27BD5">
            <w:pPr>
              <w:snapToGrid w:val="0"/>
              <w:jc w:val="center"/>
              <w:rPr>
                <w:rFonts w:ascii="宋体" w:hAnsi="宋体"/>
                <w:szCs w:val="21"/>
              </w:rPr>
            </w:pPr>
            <w:r>
              <w:rPr>
                <w:rFonts w:hint="eastAsia" w:ascii="宋体" w:hAnsi="宋体"/>
                <w:szCs w:val="21"/>
              </w:rPr>
              <w:t>10.4</w:t>
            </w:r>
          </w:p>
        </w:tc>
        <w:tc>
          <w:tcPr>
            <w:tcW w:w="1650" w:type="dxa"/>
            <w:vAlign w:val="center"/>
          </w:tcPr>
          <w:p w14:paraId="437FA945">
            <w:pPr>
              <w:snapToGrid w:val="0"/>
              <w:jc w:val="center"/>
              <w:rPr>
                <w:rFonts w:ascii="宋体" w:hAnsi="宋体"/>
                <w:szCs w:val="21"/>
              </w:rPr>
            </w:pPr>
            <w:r>
              <w:rPr>
                <w:rFonts w:hint="eastAsia" w:ascii="宋体" w:hAnsi="宋体"/>
                <w:szCs w:val="21"/>
              </w:rPr>
              <w:t>资格审查方式</w:t>
            </w:r>
          </w:p>
        </w:tc>
        <w:tc>
          <w:tcPr>
            <w:tcW w:w="6863" w:type="dxa"/>
            <w:vAlign w:val="center"/>
          </w:tcPr>
          <w:p w14:paraId="4D82BF19">
            <w:pPr>
              <w:snapToGrid w:val="0"/>
              <w:jc w:val="left"/>
              <w:rPr>
                <w:rFonts w:ascii="宋体" w:hAnsi="宋体"/>
                <w:szCs w:val="21"/>
              </w:rPr>
            </w:pPr>
            <w:r>
              <w:rPr>
                <w:rFonts w:hint="eastAsia" w:ascii="宋体" w:hAnsi="宋体"/>
                <w:szCs w:val="21"/>
              </w:rPr>
              <w:t>1）本项目采用资格后审方式，满足资格审查合格条件的投标申请人不足3名时为招标失败。招标人分析招标失败原因，修正招标方案，报有关管理部门核准后，重新组织招标。</w:t>
            </w:r>
          </w:p>
          <w:p w14:paraId="13857BE1">
            <w:pPr>
              <w:snapToGrid w:val="0"/>
              <w:jc w:val="left"/>
              <w:rPr>
                <w:rFonts w:ascii="宋体" w:hAnsi="宋体"/>
                <w:szCs w:val="21"/>
              </w:rPr>
            </w:pPr>
            <w:r>
              <w:rPr>
                <w:rFonts w:hint="eastAsia" w:ascii="宋体" w:hAnsi="宋体"/>
                <w:szCs w:val="21"/>
              </w:rPr>
              <w:t>2）招标人因两次或多次招标失败，需申请改变招标方式或不招标的，应按《广东省实施〈中华人民共和国招标投标法〉办法》（省第十届人大常委会第二次会议通过2003.4.2）的第四十条规定执行。</w:t>
            </w:r>
          </w:p>
        </w:tc>
      </w:tr>
      <w:tr w14:paraId="014AA1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353DEE46">
            <w:pPr>
              <w:snapToGrid w:val="0"/>
              <w:jc w:val="center"/>
              <w:rPr>
                <w:rFonts w:ascii="宋体" w:hAnsi="宋体"/>
                <w:szCs w:val="21"/>
              </w:rPr>
            </w:pPr>
            <w:r>
              <w:rPr>
                <w:rFonts w:hint="eastAsia" w:ascii="宋体" w:hAnsi="宋体"/>
                <w:szCs w:val="21"/>
              </w:rPr>
              <w:t>10.5</w:t>
            </w:r>
          </w:p>
        </w:tc>
        <w:tc>
          <w:tcPr>
            <w:tcW w:w="1650" w:type="dxa"/>
            <w:vAlign w:val="center"/>
          </w:tcPr>
          <w:p w14:paraId="3BDA17C5">
            <w:pPr>
              <w:snapToGrid w:val="0"/>
              <w:jc w:val="center"/>
              <w:rPr>
                <w:rFonts w:ascii="宋体" w:hAnsi="宋体"/>
                <w:szCs w:val="21"/>
              </w:rPr>
            </w:pPr>
            <w:r>
              <w:rPr>
                <w:rFonts w:hint="eastAsia" w:ascii="宋体" w:hAnsi="宋体"/>
                <w:szCs w:val="21"/>
              </w:rPr>
              <w:t>特别提示</w:t>
            </w:r>
          </w:p>
        </w:tc>
        <w:tc>
          <w:tcPr>
            <w:tcW w:w="6863" w:type="dxa"/>
            <w:vAlign w:val="center"/>
          </w:tcPr>
          <w:p w14:paraId="230049FD">
            <w:pPr>
              <w:snapToGrid w:val="0"/>
              <w:jc w:val="left"/>
              <w:rPr>
                <w:rFonts w:ascii="宋体" w:hAnsi="宋体"/>
                <w:szCs w:val="21"/>
              </w:rPr>
            </w:pPr>
            <w:r>
              <w:rPr>
                <w:rFonts w:hint="eastAsia" w:ascii="宋体" w:hAnsi="宋体"/>
                <w:szCs w:val="21"/>
              </w:rPr>
              <w:t>1）《投诉处理决定书》和《行政处理决定书》在广州市住房和城乡建设局网站上公布的，视为送达其他与决定书有关的当事人。</w:t>
            </w:r>
          </w:p>
          <w:p w14:paraId="39219019">
            <w:pPr>
              <w:snapToGrid w:val="0"/>
              <w:jc w:val="left"/>
              <w:rPr>
                <w:rFonts w:ascii="宋体" w:hAnsi="宋体"/>
                <w:szCs w:val="21"/>
              </w:rPr>
            </w:pPr>
            <w:r>
              <w:rPr>
                <w:rFonts w:hint="eastAsia" w:ascii="宋体" w:hAnsi="宋体"/>
                <w:szCs w:val="21"/>
              </w:rPr>
              <w:t>2）投标人在本项目招标人的工程项目中存在下列行为的，将被拒绝一年内参与我单位后续工程投标（注：拒绝投标时限自招标人发出通知之日起计）：</w:t>
            </w:r>
          </w:p>
          <w:p w14:paraId="6762919C">
            <w:pPr>
              <w:snapToGrid w:val="0"/>
              <w:jc w:val="left"/>
              <w:rPr>
                <w:rFonts w:ascii="宋体" w:hAnsi="宋体"/>
                <w:szCs w:val="21"/>
              </w:rPr>
            </w:pPr>
            <w:r>
              <w:rPr>
                <w:rFonts w:hint="eastAsia" w:ascii="宋体" w:hAnsi="宋体"/>
                <w:szCs w:val="21"/>
              </w:rPr>
              <w:t>（1）将中标工程转包或者违法分包的；</w:t>
            </w:r>
          </w:p>
          <w:p w14:paraId="354FD1A8">
            <w:pPr>
              <w:snapToGrid w:val="0"/>
              <w:jc w:val="left"/>
              <w:rPr>
                <w:rFonts w:ascii="宋体" w:hAnsi="宋体"/>
                <w:szCs w:val="21"/>
              </w:rPr>
            </w:pPr>
            <w:r>
              <w:rPr>
                <w:rFonts w:hint="eastAsia" w:ascii="宋体" w:hAnsi="宋体"/>
                <w:szCs w:val="21"/>
              </w:rPr>
              <w:t>（2）在中标工程中不执行质量、安全生产相关规定的，造成质量或安全事故的；</w:t>
            </w:r>
          </w:p>
          <w:p w14:paraId="282BDE16">
            <w:pPr>
              <w:snapToGrid w:val="0"/>
              <w:jc w:val="left"/>
              <w:rPr>
                <w:rFonts w:ascii="宋体" w:hAnsi="宋体"/>
                <w:szCs w:val="21"/>
              </w:rPr>
            </w:pPr>
            <w:r>
              <w:rPr>
                <w:rFonts w:hint="eastAsia" w:ascii="宋体" w:hAnsi="宋体"/>
                <w:szCs w:val="21"/>
              </w:rPr>
              <w:t>（3）出让投标资格的；</w:t>
            </w:r>
          </w:p>
          <w:p w14:paraId="771BBDC9">
            <w:pPr>
              <w:snapToGrid w:val="0"/>
              <w:jc w:val="left"/>
              <w:rPr>
                <w:rFonts w:ascii="宋体" w:hAnsi="宋体"/>
                <w:szCs w:val="21"/>
              </w:rPr>
            </w:pPr>
            <w:r>
              <w:rPr>
                <w:rFonts w:hint="eastAsia" w:ascii="宋体" w:hAnsi="宋体"/>
                <w:szCs w:val="21"/>
              </w:rPr>
              <w:t>（4）存在围标或串标情形的；</w:t>
            </w:r>
          </w:p>
          <w:p w14:paraId="2CB96ABA">
            <w:pPr>
              <w:snapToGrid w:val="0"/>
              <w:jc w:val="left"/>
              <w:rPr>
                <w:rFonts w:ascii="宋体" w:hAnsi="宋体"/>
                <w:szCs w:val="21"/>
              </w:rPr>
            </w:pPr>
            <w:r>
              <w:rPr>
                <w:rFonts w:hint="eastAsia" w:ascii="宋体" w:hAnsi="宋体"/>
                <w:szCs w:val="21"/>
              </w:rPr>
              <w:t>（5）在投标文件中提供虚假材料的；</w:t>
            </w:r>
          </w:p>
          <w:p w14:paraId="0C798118">
            <w:pPr>
              <w:snapToGrid w:val="0"/>
              <w:jc w:val="left"/>
              <w:rPr>
                <w:rFonts w:ascii="宋体" w:hAnsi="宋体"/>
                <w:szCs w:val="21"/>
              </w:rPr>
            </w:pPr>
            <w:r>
              <w:rPr>
                <w:rFonts w:hint="eastAsia" w:ascii="宋体" w:hAnsi="宋体"/>
                <w:szCs w:val="21"/>
              </w:rPr>
              <w:t>（6）存在少放、不放业绩、奖项等客观评审资料，减少自身竞争力情形的；</w:t>
            </w:r>
          </w:p>
          <w:p w14:paraId="0616FA57">
            <w:pPr>
              <w:snapToGrid w:val="0"/>
              <w:jc w:val="left"/>
              <w:rPr>
                <w:rFonts w:ascii="宋体" w:hAnsi="宋体"/>
                <w:szCs w:val="21"/>
              </w:rPr>
            </w:pPr>
            <w:r>
              <w:rPr>
                <w:rFonts w:hint="eastAsia" w:ascii="宋体" w:hAnsi="宋体"/>
                <w:szCs w:val="21"/>
              </w:rPr>
              <w:t>（7）存在行贿情形的；</w:t>
            </w:r>
          </w:p>
          <w:p w14:paraId="436365AF">
            <w:pPr>
              <w:snapToGrid w:val="0"/>
              <w:jc w:val="left"/>
              <w:rPr>
                <w:rFonts w:ascii="宋体" w:hAnsi="宋体"/>
                <w:szCs w:val="21"/>
              </w:rPr>
            </w:pPr>
            <w:r>
              <w:rPr>
                <w:rFonts w:hint="eastAsia" w:ascii="宋体" w:hAnsi="宋体"/>
                <w:szCs w:val="21"/>
              </w:rPr>
              <w:t>（8）拖欠农民工工资的；</w:t>
            </w:r>
          </w:p>
          <w:p w14:paraId="683B1795">
            <w:pPr>
              <w:snapToGrid w:val="0"/>
              <w:jc w:val="left"/>
              <w:rPr>
                <w:rFonts w:ascii="宋体" w:hAnsi="宋体"/>
                <w:szCs w:val="21"/>
              </w:rPr>
            </w:pPr>
            <w:r>
              <w:rPr>
                <w:rFonts w:hint="eastAsia" w:ascii="宋体" w:hAnsi="宋体"/>
                <w:szCs w:val="21"/>
              </w:rPr>
              <w:t>（9）出具虚假检测报告,检测报告或检测结论与实际严重不符的；</w:t>
            </w:r>
          </w:p>
          <w:p w14:paraId="7C93B05F">
            <w:pPr>
              <w:snapToGrid w:val="0"/>
              <w:jc w:val="left"/>
              <w:rPr>
                <w:rFonts w:ascii="宋体" w:hAnsi="宋体"/>
                <w:szCs w:val="21"/>
              </w:rPr>
            </w:pPr>
            <w:r>
              <w:rPr>
                <w:rFonts w:hint="eastAsia" w:ascii="宋体" w:hAnsi="宋体"/>
                <w:szCs w:val="21"/>
              </w:rPr>
              <w:t>（10）为招标人提供检测服务过程中存在因过错行为被生效法律文书认定承担违约或侵权责任的。</w:t>
            </w:r>
          </w:p>
        </w:tc>
      </w:tr>
      <w:tr w14:paraId="5D2F14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BF1FCEA">
            <w:pPr>
              <w:snapToGrid w:val="0"/>
              <w:jc w:val="center"/>
              <w:rPr>
                <w:rFonts w:ascii="宋体" w:hAnsi="宋体"/>
                <w:szCs w:val="21"/>
              </w:rPr>
            </w:pPr>
            <w:r>
              <w:rPr>
                <w:rFonts w:hint="eastAsia" w:ascii="宋体" w:hAnsi="宋体"/>
                <w:szCs w:val="21"/>
              </w:rPr>
              <w:t>10.6</w:t>
            </w:r>
          </w:p>
        </w:tc>
        <w:tc>
          <w:tcPr>
            <w:tcW w:w="1650" w:type="dxa"/>
            <w:vAlign w:val="center"/>
          </w:tcPr>
          <w:p w14:paraId="5AC99888">
            <w:pPr>
              <w:snapToGrid w:val="0"/>
              <w:jc w:val="center"/>
              <w:rPr>
                <w:rFonts w:ascii="宋体" w:hAnsi="宋体"/>
                <w:szCs w:val="21"/>
              </w:rPr>
            </w:pPr>
            <w:r>
              <w:rPr>
                <w:rFonts w:hint="eastAsia" w:ascii="宋体" w:hAnsi="宋体"/>
                <w:szCs w:val="21"/>
              </w:rPr>
              <w:t>其他</w:t>
            </w:r>
          </w:p>
        </w:tc>
        <w:tc>
          <w:tcPr>
            <w:tcW w:w="6863" w:type="dxa"/>
            <w:vAlign w:val="center"/>
          </w:tcPr>
          <w:p w14:paraId="64748038">
            <w:pPr>
              <w:snapToGrid w:val="0"/>
              <w:jc w:val="left"/>
              <w:rPr>
                <w:rFonts w:ascii="宋体" w:hAnsi="宋体"/>
                <w:szCs w:val="21"/>
              </w:rPr>
            </w:pPr>
            <w:r>
              <w:rPr>
                <w:rFonts w:hint="eastAsia" w:ascii="宋体" w:hAnsi="宋体"/>
                <w:szCs w:val="21"/>
              </w:rPr>
              <w:t>在产生中标候选人后，招标人将中标候选人的投标文件商务部分的电子版（方案等涉及商业秘密的内容除外）在广州公共资源交易中心网站公开。</w:t>
            </w:r>
          </w:p>
        </w:tc>
      </w:tr>
      <w:tr w14:paraId="0D2000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Align w:val="center"/>
          </w:tcPr>
          <w:p w14:paraId="04984B72">
            <w:pPr>
              <w:snapToGrid w:val="0"/>
              <w:jc w:val="center"/>
              <w:rPr>
                <w:rFonts w:ascii="宋体" w:hAnsi="宋体"/>
                <w:szCs w:val="21"/>
              </w:rPr>
            </w:pPr>
            <w:r>
              <w:rPr>
                <w:rFonts w:hint="eastAsia" w:ascii="宋体" w:hAnsi="宋体"/>
                <w:szCs w:val="21"/>
              </w:rPr>
              <w:t>10.7</w:t>
            </w:r>
          </w:p>
        </w:tc>
        <w:tc>
          <w:tcPr>
            <w:tcW w:w="1650" w:type="dxa"/>
            <w:vAlign w:val="center"/>
          </w:tcPr>
          <w:p w14:paraId="4592767D">
            <w:pPr>
              <w:spacing w:line="360" w:lineRule="auto"/>
              <w:ind w:right="-44" w:rightChars="-21"/>
              <w:jc w:val="center"/>
              <w:rPr>
                <w:rFonts w:ascii="宋体" w:hAnsi="宋体"/>
                <w:szCs w:val="21"/>
              </w:rPr>
            </w:pPr>
            <w:r>
              <w:rPr>
                <w:rFonts w:hint="eastAsia" w:ascii="宋体" w:hAnsi="宋体" w:cs="宋体"/>
                <w:szCs w:val="21"/>
              </w:rPr>
              <w:t>否决投标条款</w:t>
            </w:r>
          </w:p>
        </w:tc>
        <w:tc>
          <w:tcPr>
            <w:tcW w:w="6863" w:type="dxa"/>
            <w:vAlign w:val="center"/>
          </w:tcPr>
          <w:p w14:paraId="77FA6B76">
            <w:pPr>
              <w:snapToGrid w:val="0"/>
              <w:jc w:val="left"/>
              <w:rPr>
                <w:rFonts w:ascii="宋体" w:hAnsi="宋体"/>
                <w:szCs w:val="21"/>
              </w:rPr>
            </w:pPr>
            <w:r>
              <w:rPr>
                <w:rFonts w:hint="eastAsia" w:ascii="宋体" w:hAnsi="宋体"/>
                <w:szCs w:val="21"/>
              </w:rPr>
              <w:t>否决投标条款：</w:t>
            </w:r>
          </w:p>
          <w:p w14:paraId="56FF997F">
            <w:pPr>
              <w:snapToGrid w:val="0"/>
              <w:jc w:val="left"/>
              <w:rPr>
                <w:rFonts w:ascii="宋体" w:hAnsi="宋体"/>
                <w:szCs w:val="21"/>
              </w:rPr>
            </w:pPr>
            <w:r>
              <w:rPr>
                <w:rFonts w:hint="eastAsia" w:ascii="宋体" w:hAnsi="宋体"/>
                <w:szCs w:val="21"/>
              </w:rPr>
              <w:t>1、在投标截止期后逾期或未在广州公共资源交易中心数字交易平台（http://www.gzggzy.cn）递交电子投标文件的，电子招标投标交易平台将拒绝接收其投标文件。</w:t>
            </w:r>
          </w:p>
          <w:p w14:paraId="5553CFE0">
            <w:pPr>
              <w:snapToGrid w:val="0"/>
              <w:jc w:val="left"/>
              <w:rPr>
                <w:rFonts w:ascii="宋体" w:hAnsi="宋体"/>
                <w:szCs w:val="21"/>
              </w:rPr>
            </w:pPr>
            <w:r>
              <w:rPr>
                <w:rFonts w:hint="eastAsia" w:ascii="宋体" w:hAnsi="宋体"/>
                <w:szCs w:val="21"/>
              </w:rPr>
              <w:t>2、投标文件应当对招标文件的实质性要求和条件作出满足性或更有利于招标人的响应，否则，投标人的投标将被否决。</w:t>
            </w:r>
          </w:p>
          <w:p w14:paraId="124931B4">
            <w:pPr>
              <w:snapToGrid w:val="0"/>
              <w:jc w:val="left"/>
              <w:rPr>
                <w:rFonts w:ascii="宋体" w:hAnsi="宋体"/>
                <w:szCs w:val="21"/>
              </w:rPr>
            </w:pPr>
            <w:r>
              <w:rPr>
                <w:rFonts w:hint="eastAsia" w:ascii="宋体" w:hAnsi="宋体"/>
                <w:szCs w:val="21"/>
              </w:rPr>
              <w:t>3、投标人有以下情形之一的，评标委员会应当否决其投标：</w:t>
            </w:r>
          </w:p>
          <w:p w14:paraId="748D4C7D">
            <w:pPr>
              <w:snapToGrid w:val="0"/>
              <w:jc w:val="left"/>
              <w:rPr>
                <w:rFonts w:ascii="宋体" w:hAnsi="宋体"/>
                <w:szCs w:val="21"/>
              </w:rPr>
            </w:pPr>
            <w:r>
              <w:rPr>
                <w:rFonts w:hint="eastAsia" w:ascii="宋体" w:hAnsi="宋体"/>
                <w:szCs w:val="21"/>
              </w:rPr>
              <w:t>（1）投标文件没有对招标文件的实质性要求和条件作出响应，或者对招标文件的偏差超出招标文件规定的偏差范围或最高项数；</w:t>
            </w:r>
          </w:p>
          <w:p w14:paraId="2E9EA61A">
            <w:pPr>
              <w:snapToGrid w:val="0"/>
              <w:jc w:val="left"/>
              <w:rPr>
                <w:rFonts w:ascii="宋体" w:hAnsi="宋体"/>
                <w:szCs w:val="21"/>
              </w:rPr>
            </w:pPr>
            <w:r>
              <w:rPr>
                <w:rFonts w:hint="eastAsia" w:ascii="宋体" w:hAnsi="宋体"/>
                <w:szCs w:val="21"/>
              </w:rPr>
              <w:t>（2）有串通投标、弄虚作假、行贿等违法行为。</w:t>
            </w:r>
          </w:p>
          <w:p w14:paraId="0AA78078">
            <w:pPr>
              <w:snapToGrid w:val="0"/>
              <w:jc w:val="left"/>
              <w:rPr>
                <w:rFonts w:ascii="宋体" w:hAnsi="宋体"/>
                <w:szCs w:val="21"/>
              </w:rPr>
            </w:pPr>
            <w:r>
              <w:rPr>
                <w:rFonts w:hint="eastAsia" w:ascii="宋体" w:hAnsi="宋体"/>
                <w:szCs w:val="21"/>
              </w:rPr>
              <w:t>4、投标报价有算术错误及其他错误的，评标委员会按以下原则要求投标人对投标报价进行修正，并要求投标人书面澄清确认。投标人拒不澄清确认的，评标委员会应当否决其投标：</w:t>
            </w:r>
          </w:p>
          <w:p w14:paraId="50F9C65F">
            <w:pPr>
              <w:snapToGrid w:val="0"/>
              <w:jc w:val="left"/>
              <w:rPr>
                <w:rFonts w:ascii="宋体" w:hAnsi="宋体"/>
                <w:szCs w:val="21"/>
              </w:rPr>
            </w:pPr>
            <w:r>
              <w:rPr>
                <w:rFonts w:hint="eastAsia" w:ascii="宋体" w:hAnsi="宋体"/>
                <w:szCs w:val="21"/>
              </w:rPr>
              <w:t>（1）投标文件中的大写金额与小写金额不一致的，以大写金额为准；</w:t>
            </w:r>
          </w:p>
          <w:p w14:paraId="11D207CE">
            <w:pPr>
              <w:snapToGrid w:val="0"/>
              <w:jc w:val="left"/>
              <w:rPr>
                <w:rFonts w:ascii="宋体" w:hAnsi="宋体"/>
                <w:szCs w:val="21"/>
              </w:rPr>
            </w:pPr>
            <w:r>
              <w:rPr>
                <w:rFonts w:hint="eastAsia" w:ascii="宋体" w:hAnsi="宋体"/>
                <w:szCs w:val="21"/>
              </w:rPr>
              <w:t>（2）总价金额与单价金额不一致的，以单价金额为准，但单价金额小数点有明显错误的除外。</w:t>
            </w:r>
          </w:p>
          <w:p w14:paraId="76997A0C">
            <w:pPr>
              <w:snapToGrid w:val="0"/>
              <w:jc w:val="left"/>
              <w:rPr>
                <w:rFonts w:ascii="宋体" w:hAnsi="宋体"/>
                <w:szCs w:val="21"/>
              </w:rPr>
            </w:pPr>
            <w:r>
              <w:rPr>
                <w:rFonts w:hint="eastAsia" w:ascii="宋体" w:hAnsi="宋体"/>
                <w:szCs w:val="21"/>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09C8C33">
            <w:pPr>
              <w:snapToGrid w:val="0"/>
              <w:jc w:val="left"/>
              <w:rPr>
                <w:rFonts w:ascii="宋体" w:hAnsi="宋体"/>
                <w:szCs w:val="21"/>
              </w:rPr>
            </w:pPr>
            <w:r>
              <w:rPr>
                <w:rFonts w:hint="eastAsia" w:ascii="宋体" w:hAnsi="宋体"/>
                <w:szCs w:val="21"/>
              </w:rPr>
              <w:t>6、投标文件中投标报价高于最高投标限价的，其投标文件将被否决。</w:t>
            </w:r>
          </w:p>
          <w:p w14:paraId="36761344">
            <w:pPr>
              <w:snapToGrid w:val="0"/>
              <w:jc w:val="left"/>
              <w:rPr>
                <w:rFonts w:ascii="宋体" w:hAnsi="宋体"/>
                <w:szCs w:val="21"/>
              </w:rPr>
            </w:pPr>
            <w:r>
              <w:rPr>
                <w:rFonts w:hint="eastAsia" w:ascii="宋体" w:hAnsi="宋体"/>
                <w:szCs w:val="21"/>
              </w:rPr>
              <w:t>7、按投标报价的算术校核原则及方法调整或修正投标文件的投标报价，调整后的投标报价对投标人起约束作用。如果投标人不接受修正后的报价，则取消其中标资格，并且其投标担保也将被没收。</w:t>
            </w:r>
          </w:p>
          <w:p w14:paraId="418F556F">
            <w:pPr>
              <w:snapToGrid w:val="0"/>
              <w:jc w:val="left"/>
              <w:rPr>
                <w:rFonts w:ascii="宋体" w:hAnsi="宋体"/>
                <w:szCs w:val="21"/>
              </w:rPr>
            </w:pPr>
            <w:r>
              <w:rPr>
                <w:rFonts w:hint="eastAsia" w:ascii="宋体" w:hAnsi="宋体"/>
                <w:szCs w:val="21"/>
              </w:rPr>
              <w:t>8、资审合格后，投标人的资格发生变化而不满足投标人合格条件，在发出中标通知书前，资格问题仍未解决的，招标人将取消其中标资格。</w:t>
            </w:r>
          </w:p>
          <w:p w14:paraId="27C5997D">
            <w:pPr>
              <w:snapToGrid w:val="0"/>
              <w:jc w:val="left"/>
              <w:rPr>
                <w:rFonts w:ascii="宋体" w:hAnsi="宋体"/>
                <w:szCs w:val="21"/>
              </w:rPr>
            </w:pPr>
            <w:r>
              <w:rPr>
                <w:rFonts w:hint="eastAsia" w:ascii="宋体" w:hAnsi="宋体"/>
                <w:szCs w:val="21"/>
              </w:rPr>
              <w:t>9、投标文件符合列于《评标办法前附表》“形式评审标准”“资格评审标准”“响应性评审标准”中所有情形的，为有效投标文件。任一情形不符合均为无效投标文件，经评标委员会认定后，其投标文件将被否决。</w:t>
            </w:r>
          </w:p>
        </w:tc>
      </w:tr>
    </w:tbl>
    <w:p w14:paraId="2D73816F">
      <w:pPr>
        <w:pStyle w:val="4"/>
        <w:spacing w:line="360" w:lineRule="auto"/>
        <w:rPr>
          <w:rFonts w:ascii="宋体" w:hAnsi="宋体" w:eastAsia="宋体" w:cs="宋体"/>
          <w:sz w:val="28"/>
          <w:szCs w:val="28"/>
        </w:rPr>
      </w:pPr>
      <w:r>
        <w:rPr>
          <w:rFonts w:hint="eastAsia" w:ascii="宋体" w:hAnsi="宋体"/>
          <w:sz w:val="24"/>
          <w:szCs w:val="24"/>
        </w:rPr>
        <w:br w:type="page"/>
      </w:r>
      <w:bookmarkStart w:id="65" w:name="_Toc32578"/>
      <w:bookmarkStart w:id="66" w:name="_Toc28826"/>
      <w:bookmarkStart w:id="67" w:name="_Toc14380"/>
      <w:bookmarkStart w:id="68" w:name="_Toc25071"/>
      <w:bookmarkStart w:id="69" w:name="_Toc7114"/>
      <w:bookmarkStart w:id="70" w:name="_Toc520310853"/>
      <w:bookmarkStart w:id="71" w:name="_Toc527028850"/>
      <w:bookmarkStart w:id="72" w:name="_Toc527028502"/>
      <w:bookmarkStart w:id="73" w:name="_Toc527028679"/>
      <w:r>
        <w:rPr>
          <w:rFonts w:ascii="宋体" w:hAnsi="宋体" w:eastAsia="宋体" w:cs="宋体"/>
          <w:sz w:val="28"/>
          <w:szCs w:val="28"/>
        </w:rPr>
        <w:t xml:space="preserve">1. </w:t>
      </w:r>
      <w:r>
        <w:rPr>
          <w:rFonts w:hint="eastAsia" w:ascii="宋体" w:hAnsi="宋体" w:eastAsia="宋体" w:cs="宋体"/>
          <w:sz w:val="28"/>
          <w:szCs w:val="28"/>
        </w:rPr>
        <w:t>总则</w:t>
      </w:r>
      <w:bookmarkEnd w:id="65"/>
      <w:bookmarkEnd w:id="66"/>
      <w:bookmarkEnd w:id="67"/>
      <w:bookmarkEnd w:id="68"/>
      <w:bookmarkEnd w:id="69"/>
    </w:p>
    <w:p w14:paraId="497FC2F6">
      <w:pPr>
        <w:pStyle w:val="5"/>
        <w:spacing w:line="360" w:lineRule="auto"/>
        <w:ind w:firstLine="0" w:firstLineChars="0"/>
        <w:rPr>
          <w:rFonts w:ascii="宋体" w:hAnsi="宋体" w:eastAsia="宋体" w:cs="宋体"/>
          <w:szCs w:val="24"/>
        </w:rPr>
      </w:pPr>
      <w:bookmarkStart w:id="74" w:name="_Toc11481"/>
      <w:bookmarkStart w:id="75" w:name="_Toc18665"/>
      <w:bookmarkStart w:id="76" w:name="_Toc23083"/>
      <w:bookmarkStart w:id="77" w:name="_Toc17110"/>
      <w:bookmarkStart w:id="78" w:name="_Toc11648"/>
      <w:bookmarkStart w:id="79" w:name="_Toc23852"/>
      <w:bookmarkStart w:id="80" w:name="_Toc492300565"/>
      <w:bookmarkStart w:id="81" w:name="_Toc7221"/>
      <w:bookmarkStart w:id="82" w:name="_Toc21695"/>
      <w:bookmarkStart w:id="83" w:name="_Toc14769"/>
      <w:bookmarkStart w:id="84" w:name="_Toc22496"/>
      <w:r>
        <w:rPr>
          <w:rFonts w:ascii="宋体" w:hAnsi="宋体" w:eastAsia="宋体" w:cs="宋体"/>
          <w:bCs/>
          <w:szCs w:val="24"/>
        </w:rPr>
        <w:t xml:space="preserve">1.1 </w:t>
      </w:r>
      <w:r>
        <w:rPr>
          <w:rFonts w:hint="eastAsia" w:ascii="宋体" w:hAnsi="宋体" w:eastAsia="宋体" w:cs="宋体"/>
          <w:bCs/>
          <w:szCs w:val="24"/>
        </w:rPr>
        <w:t>招标项目概况</w:t>
      </w:r>
      <w:bookmarkEnd w:id="74"/>
      <w:bookmarkEnd w:id="75"/>
      <w:bookmarkEnd w:id="76"/>
      <w:bookmarkEnd w:id="77"/>
      <w:bookmarkEnd w:id="78"/>
      <w:bookmarkEnd w:id="79"/>
      <w:bookmarkEnd w:id="80"/>
      <w:bookmarkEnd w:id="81"/>
      <w:bookmarkEnd w:id="82"/>
      <w:bookmarkEnd w:id="83"/>
      <w:bookmarkEnd w:id="84"/>
    </w:p>
    <w:p w14:paraId="475CDBDA">
      <w:pPr>
        <w:spacing w:line="360" w:lineRule="auto"/>
        <w:ind w:firstLine="480" w:firstLineChars="200"/>
        <w:rPr>
          <w:rFonts w:ascii="宋体" w:hAnsi="宋体" w:cs="宋体"/>
          <w:sz w:val="24"/>
          <w:szCs w:val="24"/>
        </w:rPr>
      </w:pPr>
      <w:r>
        <w:rPr>
          <w:rFonts w:hint="eastAsia" w:ascii="宋体" w:hAnsi="宋体" w:cs="宋体"/>
          <w:sz w:val="24"/>
          <w:szCs w:val="24"/>
        </w:rPr>
        <w:t>1.1.1根据《中华人民共和国招标投标法》、《中华人民共和国招标投标法实施条例》等有关法律、法规和规章的规定，本招标项目已具备招标条件，现对本项目进行招标。</w:t>
      </w:r>
    </w:p>
    <w:p w14:paraId="14055524">
      <w:pPr>
        <w:spacing w:line="360" w:lineRule="auto"/>
        <w:ind w:firstLine="480" w:firstLineChars="200"/>
        <w:rPr>
          <w:rFonts w:ascii="宋体" w:hAnsi="宋体" w:cs="宋体"/>
          <w:sz w:val="24"/>
          <w:szCs w:val="24"/>
        </w:rPr>
      </w:pPr>
      <w:r>
        <w:rPr>
          <w:rFonts w:hint="eastAsia" w:ascii="宋体" w:hAnsi="宋体" w:cs="宋体"/>
          <w:sz w:val="24"/>
          <w:szCs w:val="24"/>
        </w:rPr>
        <w:t>1.1.2招标人：见投标人须知前附表。</w:t>
      </w:r>
    </w:p>
    <w:p w14:paraId="34E4C47C">
      <w:pPr>
        <w:spacing w:line="360" w:lineRule="auto"/>
        <w:ind w:firstLine="480" w:firstLineChars="200"/>
        <w:rPr>
          <w:rFonts w:ascii="宋体" w:hAnsi="宋体" w:cs="宋体"/>
          <w:sz w:val="24"/>
          <w:szCs w:val="24"/>
        </w:rPr>
      </w:pPr>
      <w:r>
        <w:rPr>
          <w:rFonts w:hint="eastAsia" w:ascii="宋体" w:hAnsi="宋体" w:cs="宋体"/>
          <w:sz w:val="24"/>
          <w:szCs w:val="24"/>
        </w:rPr>
        <w:t>1.1.3招标代理机构：见投标人须知前附表。</w:t>
      </w:r>
    </w:p>
    <w:p w14:paraId="63B96E39">
      <w:pPr>
        <w:spacing w:line="360" w:lineRule="auto"/>
        <w:ind w:firstLine="480" w:firstLineChars="200"/>
        <w:rPr>
          <w:rFonts w:ascii="宋体" w:hAnsi="宋体" w:cs="宋体"/>
          <w:sz w:val="24"/>
          <w:szCs w:val="24"/>
        </w:rPr>
      </w:pPr>
      <w:r>
        <w:rPr>
          <w:rFonts w:hint="eastAsia" w:ascii="宋体" w:hAnsi="宋体" w:cs="宋体"/>
          <w:sz w:val="24"/>
          <w:szCs w:val="24"/>
        </w:rPr>
        <w:t>1.1.4招标项目名称：见投标人须知前附表。</w:t>
      </w:r>
    </w:p>
    <w:p w14:paraId="46C11516">
      <w:pPr>
        <w:spacing w:line="360" w:lineRule="auto"/>
        <w:ind w:firstLine="480" w:firstLineChars="200"/>
        <w:rPr>
          <w:rFonts w:ascii="宋体" w:hAnsi="宋体" w:cs="宋体"/>
          <w:sz w:val="24"/>
          <w:szCs w:val="24"/>
        </w:rPr>
      </w:pPr>
      <w:r>
        <w:rPr>
          <w:rFonts w:hint="eastAsia" w:ascii="宋体" w:hAnsi="宋体" w:cs="宋体"/>
          <w:sz w:val="24"/>
          <w:szCs w:val="24"/>
        </w:rPr>
        <w:t>1.1.5项目建设地点：见投标人须知前附表。</w:t>
      </w:r>
    </w:p>
    <w:p w14:paraId="0292AD1E">
      <w:pPr>
        <w:spacing w:line="360" w:lineRule="auto"/>
        <w:ind w:firstLine="480" w:firstLineChars="200"/>
        <w:rPr>
          <w:rFonts w:ascii="宋体" w:hAnsi="宋体" w:cs="宋体"/>
          <w:sz w:val="24"/>
          <w:szCs w:val="24"/>
        </w:rPr>
      </w:pPr>
      <w:r>
        <w:rPr>
          <w:rFonts w:hint="eastAsia" w:ascii="宋体" w:hAnsi="宋体" w:cs="宋体"/>
          <w:sz w:val="24"/>
          <w:szCs w:val="24"/>
        </w:rPr>
        <w:t>1.1.6项目建设规模：见投标人须知前附表。</w:t>
      </w:r>
    </w:p>
    <w:p w14:paraId="3EEFC64B">
      <w:pPr>
        <w:spacing w:line="360" w:lineRule="auto"/>
        <w:ind w:firstLine="480" w:firstLineChars="200"/>
        <w:rPr>
          <w:rFonts w:ascii="宋体" w:hAnsi="宋体" w:cs="宋体"/>
          <w:sz w:val="24"/>
          <w:szCs w:val="24"/>
        </w:rPr>
      </w:pPr>
      <w:r>
        <w:rPr>
          <w:rFonts w:hint="eastAsia" w:ascii="宋体" w:hAnsi="宋体" w:cs="宋体"/>
          <w:sz w:val="24"/>
          <w:szCs w:val="24"/>
        </w:rPr>
        <w:t>1.1.7工程项目施工预计开工日期和建设周期：见投标人须知前附表。</w:t>
      </w:r>
    </w:p>
    <w:p w14:paraId="4E2EACC0">
      <w:pPr>
        <w:spacing w:line="360" w:lineRule="auto"/>
        <w:ind w:firstLine="480" w:firstLineChars="200"/>
        <w:rPr>
          <w:rFonts w:ascii="宋体" w:hAnsi="宋体" w:cs="宋体"/>
          <w:strike/>
          <w:sz w:val="24"/>
          <w:szCs w:val="24"/>
        </w:rPr>
      </w:pPr>
      <w:r>
        <w:rPr>
          <w:rFonts w:hint="eastAsia" w:ascii="宋体" w:hAnsi="宋体" w:cs="宋体"/>
          <w:strike/>
          <w:sz w:val="24"/>
          <w:szCs w:val="24"/>
        </w:rPr>
        <w:t>1.1.8建筑安装工程费/工程概算：见投标人须知前附表。</w:t>
      </w:r>
    </w:p>
    <w:p w14:paraId="7F179CA1">
      <w:pPr>
        <w:pStyle w:val="5"/>
        <w:spacing w:line="360" w:lineRule="auto"/>
        <w:ind w:firstLine="0" w:firstLineChars="0"/>
        <w:rPr>
          <w:rFonts w:ascii="宋体" w:hAnsi="宋体" w:eastAsia="宋体" w:cs="宋体"/>
          <w:szCs w:val="24"/>
        </w:rPr>
      </w:pPr>
      <w:bookmarkStart w:id="85" w:name="_Toc4038"/>
      <w:bookmarkStart w:id="86" w:name="_Toc29508"/>
      <w:bookmarkStart w:id="87" w:name="_Toc8474"/>
      <w:bookmarkStart w:id="88" w:name="_Toc26231"/>
      <w:bookmarkStart w:id="89" w:name="_Toc27081"/>
      <w:bookmarkStart w:id="90" w:name="_Toc492300566"/>
      <w:bookmarkStart w:id="91" w:name="_Toc20959"/>
      <w:bookmarkStart w:id="92" w:name="_Toc29410"/>
      <w:bookmarkStart w:id="93" w:name="_Toc19038"/>
      <w:bookmarkStart w:id="94" w:name="_Toc20295"/>
      <w:bookmarkStart w:id="95" w:name="_Toc32712"/>
      <w:r>
        <w:rPr>
          <w:rFonts w:ascii="宋体" w:hAnsi="宋体" w:eastAsia="宋体" w:cs="宋体"/>
          <w:szCs w:val="24"/>
        </w:rPr>
        <w:t xml:space="preserve">1.2 </w:t>
      </w:r>
      <w:r>
        <w:rPr>
          <w:rFonts w:hint="eastAsia" w:ascii="宋体" w:hAnsi="宋体" w:eastAsia="宋体" w:cs="宋体"/>
          <w:szCs w:val="24"/>
        </w:rPr>
        <w:t>招标项目的资金来源和落实情况</w:t>
      </w:r>
      <w:bookmarkEnd w:id="85"/>
      <w:bookmarkEnd w:id="86"/>
      <w:bookmarkEnd w:id="87"/>
      <w:bookmarkEnd w:id="88"/>
      <w:bookmarkEnd w:id="89"/>
      <w:bookmarkEnd w:id="90"/>
      <w:bookmarkEnd w:id="91"/>
      <w:bookmarkEnd w:id="92"/>
      <w:bookmarkEnd w:id="93"/>
      <w:bookmarkEnd w:id="94"/>
      <w:bookmarkEnd w:id="95"/>
    </w:p>
    <w:p w14:paraId="258FD829">
      <w:pPr>
        <w:spacing w:line="360" w:lineRule="auto"/>
        <w:ind w:firstLine="480" w:firstLineChars="200"/>
        <w:rPr>
          <w:rFonts w:ascii="宋体" w:hAnsi="宋体" w:cs="宋体"/>
          <w:sz w:val="24"/>
          <w:szCs w:val="24"/>
        </w:rPr>
      </w:pPr>
      <w:r>
        <w:rPr>
          <w:rFonts w:ascii="宋体" w:hAnsi="宋体" w:cs="宋体"/>
          <w:sz w:val="24"/>
          <w:szCs w:val="24"/>
        </w:rPr>
        <w:t xml:space="preserve">1.2.1 </w:t>
      </w:r>
      <w:r>
        <w:rPr>
          <w:rFonts w:hint="eastAsia" w:ascii="宋体" w:hAnsi="宋体" w:cs="宋体"/>
          <w:sz w:val="24"/>
          <w:szCs w:val="24"/>
        </w:rPr>
        <w:t>资金来源及比例：见投标人须知前附表。</w:t>
      </w:r>
    </w:p>
    <w:p w14:paraId="181FB813">
      <w:pPr>
        <w:spacing w:line="360" w:lineRule="auto"/>
        <w:ind w:firstLine="480" w:firstLineChars="200"/>
        <w:rPr>
          <w:rFonts w:ascii="宋体" w:hAnsi="宋体" w:cs="宋体"/>
          <w:sz w:val="24"/>
          <w:szCs w:val="24"/>
        </w:rPr>
      </w:pPr>
      <w:r>
        <w:rPr>
          <w:rFonts w:ascii="宋体" w:hAnsi="宋体" w:cs="宋体"/>
          <w:sz w:val="24"/>
          <w:szCs w:val="24"/>
        </w:rPr>
        <w:t xml:space="preserve">1.2.2 </w:t>
      </w:r>
      <w:r>
        <w:rPr>
          <w:rFonts w:hint="eastAsia" w:ascii="宋体" w:hAnsi="宋体" w:cs="宋体"/>
          <w:sz w:val="24"/>
          <w:szCs w:val="24"/>
        </w:rPr>
        <w:t>资金落实情况：见投标人须知前附表。</w:t>
      </w:r>
    </w:p>
    <w:p w14:paraId="6802E464">
      <w:pPr>
        <w:pStyle w:val="5"/>
        <w:spacing w:line="360" w:lineRule="auto"/>
        <w:ind w:firstLine="0" w:firstLineChars="0"/>
        <w:rPr>
          <w:rFonts w:ascii="宋体" w:hAnsi="宋体" w:eastAsia="宋体" w:cs="宋体"/>
          <w:szCs w:val="24"/>
        </w:rPr>
      </w:pPr>
      <w:bookmarkStart w:id="96" w:name="_Toc10849"/>
      <w:bookmarkStart w:id="97" w:name="_Toc492300567"/>
      <w:bookmarkStart w:id="98" w:name="_Toc30529"/>
      <w:bookmarkStart w:id="99" w:name="_Toc25003"/>
      <w:bookmarkStart w:id="100" w:name="_Toc31220"/>
      <w:bookmarkStart w:id="101" w:name="_Toc26261"/>
      <w:bookmarkStart w:id="102" w:name="_Toc25902"/>
      <w:bookmarkStart w:id="103" w:name="_Toc977"/>
      <w:bookmarkStart w:id="104" w:name="_Toc2931"/>
      <w:bookmarkStart w:id="105" w:name="_Toc4828"/>
      <w:bookmarkStart w:id="106" w:name="_Toc17260"/>
      <w:r>
        <w:rPr>
          <w:rFonts w:hint="eastAsia" w:ascii="宋体" w:hAnsi="宋体" w:eastAsia="宋体" w:cs="宋体"/>
          <w:szCs w:val="24"/>
        </w:rPr>
        <w:t>1.3招标范围、服务期限和质量标准</w:t>
      </w:r>
      <w:bookmarkEnd w:id="96"/>
      <w:bookmarkEnd w:id="97"/>
      <w:bookmarkEnd w:id="98"/>
      <w:bookmarkEnd w:id="99"/>
      <w:bookmarkEnd w:id="100"/>
      <w:bookmarkEnd w:id="101"/>
      <w:bookmarkEnd w:id="102"/>
      <w:bookmarkEnd w:id="103"/>
      <w:bookmarkEnd w:id="104"/>
      <w:bookmarkEnd w:id="105"/>
      <w:bookmarkEnd w:id="106"/>
    </w:p>
    <w:p w14:paraId="608B8390">
      <w:pPr>
        <w:spacing w:line="360" w:lineRule="auto"/>
        <w:ind w:firstLine="480" w:firstLineChars="200"/>
        <w:rPr>
          <w:rFonts w:ascii="宋体" w:hAnsi="宋体" w:cs="宋体"/>
          <w:sz w:val="24"/>
          <w:szCs w:val="24"/>
        </w:rPr>
      </w:pPr>
      <w:r>
        <w:rPr>
          <w:rFonts w:ascii="宋体" w:hAnsi="宋体" w:cs="宋体"/>
          <w:sz w:val="24"/>
          <w:szCs w:val="24"/>
        </w:rPr>
        <w:t xml:space="preserve">1.3.1 </w:t>
      </w:r>
      <w:r>
        <w:rPr>
          <w:rFonts w:hint="eastAsia" w:ascii="宋体" w:hAnsi="宋体" w:cs="宋体"/>
          <w:sz w:val="24"/>
          <w:szCs w:val="24"/>
        </w:rPr>
        <w:t>招标范围：见投标人须知前附表。</w:t>
      </w:r>
    </w:p>
    <w:p w14:paraId="245EF3D9">
      <w:pPr>
        <w:spacing w:line="360" w:lineRule="auto"/>
        <w:ind w:firstLine="480" w:firstLineChars="200"/>
        <w:rPr>
          <w:rFonts w:ascii="宋体" w:hAnsi="宋体" w:cs="宋体"/>
          <w:sz w:val="24"/>
          <w:szCs w:val="24"/>
        </w:rPr>
      </w:pPr>
      <w:r>
        <w:rPr>
          <w:rFonts w:ascii="宋体" w:hAnsi="宋体" w:cs="宋体"/>
          <w:sz w:val="24"/>
          <w:szCs w:val="24"/>
        </w:rPr>
        <w:t xml:space="preserve">1.3.2 </w:t>
      </w:r>
      <w:r>
        <w:rPr>
          <w:rFonts w:hint="eastAsia" w:ascii="宋体" w:hAnsi="宋体" w:cs="宋体"/>
          <w:sz w:val="24"/>
          <w:szCs w:val="24"/>
        </w:rPr>
        <w:t>服务期限：见投标人须知前附表。</w:t>
      </w:r>
    </w:p>
    <w:p w14:paraId="4B127A08">
      <w:pPr>
        <w:spacing w:line="360" w:lineRule="auto"/>
        <w:ind w:firstLine="480" w:firstLineChars="200"/>
        <w:rPr>
          <w:rFonts w:ascii="宋体" w:hAnsi="宋体" w:cs="宋体"/>
          <w:sz w:val="24"/>
          <w:szCs w:val="24"/>
        </w:rPr>
      </w:pPr>
      <w:r>
        <w:rPr>
          <w:rFonts w:ascii="宋体" w:hAnsi="宋体" w:cs="宋体"/>
          <w:sz w:val="24"/>
          <w:szCs w:val="24"/>
        </w:rPr>
        <w:t xml:space="preserve">1.3.3 </w:t>
      </w:r>
      <w:r>
        <w:rPr>
          <w:rFonts w:hint="eastAsia" w:ascii="宋体" w:hAnsi="宋体" w:cs="宋体"/>
          <w:sz w:val="24"/>
          <w:szCs w:val="24"/>
        </w:rPr>
        <w:t>质量标准：见投标人须知前附表。</w:t>
      </w:r>
    </w:p>
    <w:p w14:paraId="781C7EE4">
      <w:pPr>
        <w:pStyle w:val="5"/>
        <w:spacing w:line="360" w:lineRule="auto"/>
        <w:ind w:firstLine="0" w:firstLineChars="0"/>
        <w:rPr>
          <w:rFonts w:ascii="宋体" w:hAnsi="宋体" w:eastAsia="宋体" w:cs="宋体"/>
          <w:szCs w:val="24"/>
        </w:rPr>
      </w:pPr>
      <w:bookmarkStart w:id="107" w:name="_Toc3452"/>
      <w:bookmarkStart w:id="108" w:name="_Toc1449"/>
      <w:bookmarkStart w:id="109" w:name="_Toc2674"/>
      <w:bookmarkStart w:id="110" w:name="_Toc2550"/>
      <w:bookmarkStart w:id="111" w:name="_Toc24309"/>
      <w:bookmarkStart w:id="112" w:name="_Toc10416"/>
      <w:bookmarkStart w:id="113" w:name="_Toc21657"/>
      <w:bookmarkStart w:id="114" w:name="_Toc19855"/>
      <w:bookmarkStart w:id="115" w:name="_Toc492300568"/>
      <w:bookmarkStart w:id="116" w:name="_Toc20806"/>
      <w:bookmarkStart w:id="117" w:name="_Toc31590"/>
      <w:r>
        <w:rPr>
          <w:rFonts w:hint="eastAsia" w:ascii="宋体" w:hAnsi="宋体" w:eastAsia="宋体" w:cs="宋体"/>
          <w:szCs w:val="24"/>
        </w:rPr>
        <w:t>1.4投标人资格要求</w:t>
      </w:r>
      <w:bookmarkEnd w:id="107"/>
      <w:bookmarkEnd w:id="108"/>
      <w:bookmarkEnd w:id="109"/>
      <w:bookmarkEnd w:id="110"/>
      <w:bookmarkEnd w:id="111"/>
      <w:bookmarkEnd w:id="112"/>
      <w:bookmarkEnd w:id="113"/>
      <w:bookmarkEnd w:id="114"/>
      <w:bookmarkEnd w:id="115"/>
      <w:bookmarkEnd w:id="116"/>
      <w:bookmarkEnd w:id="117"/>
    </w:p>
    <w:p w14:paraId="761E8DBD">
      <w:pPr>
        <w:spacing w:line="360" w:lineRule="auto"/>
        <w:ind w:firstLine="480" w:firstLineChars="200"/>
        <w:rPr>
          <w:rFonts w:ascii="宋体" w:hAnsi="宋体" w:cs="宋体"/>
          <w:sz w:val="24"/>
          <w:szCs w:val="24"/>
        </w:rPr>
      </w:pPr>
      <w:r>
        <w:rPr>
          <w:rFonts w:ascii="宋体" w:hAnsi="宋体" w:cs="宋体"/>
          <w:sz w:val="24"/>
          <w:szCs w:val="24"/>
        </w:rPr>
        <w:t xml:space="preserve">1.4.1 </w:t>
      </w:r>
      <w:r>
        <w:rPr>
          <w:rFonts w:hint="eastAsia" w:ascii="宋体" w:hAnsi="宋体" w:cs="宋体"/>
          <w:sz w:val="24"/>
          <w:szCs w:val="24"/>
        </w:rPr>
        <w:t>投标人应具备承担本招标项目资质条件、能力和信誉：</w:t>
      </w:r>
    </w:p>
    <w:p w14:paraId="29A4E29E">
      <w:pPr>
        <w:spacing w:line="360" w:lineRule="auto"/>
        <w:ind w:firstLine="480" w:firstLineChars="200"/>
        <w:rPr>
          <w:rFonts w:ascii="宋体" w:hAnsi="宋体" w:cs="宋体"/>
          <w:sz w:val="24"/>
          <w:szCs w:val="24"/>
        </w:rPr>
      </w:pPr>
      <w:r>
        <w:rPr>
          <w:rFonts w:hint="eastAsia" w:ascii="宋体" w:hAnsi="宋体" w:cs="宋体"/>
          <w:sz w:val="24"/>
          <w:szCs w:val="24"/>
        </w:rPr>
        <w:t>（1）资质要求：见投标人须知前附表；</w:t>
      </w:r>
    </w:p>
    <w:p w14:paraId="4FC5DECE">
      <w:pPr>
        <w:spacing w:line="360" w:lineRule="auto"/>
        <w:ind w:firstLine="480" w:firstLineChars="200"/>
        <w:rPr>
          <w:rFonts w:ascii="宋体" w:hAnsi="宋体" w:cs="宋体"/>
          <w:sz w:val="24"/>
          <w:szCs w:val="24"/>
        </w:rPr>
      </w:pPr>
      <w:r>
        <w:rPr>
          <w:rFonts w:hint="eastAsia" w:ascii="宋体" w:hAnsi="宋体" w:cs="宋体"/>
          <w:sz w:val="24"/>
          <w:szCs w:val="24"/>
        </w:rPr>
        <w:t>（2）财务要求：见投标人须知前附表；</w:t>
      </w:r>
    </w:p>
    <w:p w14:paraId="2EF8B418">
      <w:pPr>
        <w:spacing w:line="360" w:lineRule="auto"/>
        <w:ind w:firstLine="480" w:firstLineChars="200"/>
        <w:rPr>
          <w:rFonts w:ascii="宋体" w:hAnsi="宋体" w:cs="宋体"/>
          <w:sz w:val="24"/>
          <w:szCs w:val="24"/>
        </w:rPr>
      </w:pPr>
      <w:r>
        <w:rPr>
          <w:rFonts w:hint="eastAsia" w:ascii="宋体" w:hAnsi="宋体" w:cs="宋体"/>
          <w:sz w:val="24"/>
          <w:szCs w:val="24"/>
        </w:rPr>
        <w:t>（3）业绩要求：见投标人须知前附表；</w:t>
      </w:r>
    </w:p>
    <w:p w14:paraId="1BC01FC3">
      <w:pPr>
        <w:spacing w:line="360" w:lineRule="auto"/>
        <w:ind w:firstLine="480" w:firstLineChars="200"/>
        <w:rPr>
          <w:rFonts w:ascii="宋体" w:hAnsi="宋体" w:cs="宋体"/>
          <w:sz w:val="24"/>
          <w:szCs w:val="24"/>
        </w:rPr>
      </w:pPr>
      <w:r>
        <w:rPr>
          <w:rFonts w:hint="eastAsia" w:ascii="宋体" w:hAnsi="宋体" w:cs="宋体"/>
          <w:sz w:val="24"/>
          <w:szCs w:val="24"/>
        </w:rPr>
        <w:t>（4）信誉要求：见投标人须知前附表；</w:t>
      </w:r>
    </w:p>
    <w:p w14:paraId="3F8EEF0F">
      <w:pPr>
        <w:spacing w:line="360" w:lineRule="auto"/>
        <w:ind w:firstLine="480" w:firstLineChars="200"/>
        <w:rPr>
          <w:rFonts w:ascii="宋体" w:hAnsi="宋体" w:cs="宋体"/>
          <w:sz w:val="24"/>
          <w:szCs w:val="24"/>
        </w:rPr>
      </w:pPr>
      <w:r>
        <w:rPr>
          <w:rFonts w:hint="eastAsia" w:ascii="宋体" w:hAnsi="宋体" w:cs="宋体"/>
          <w:sz w:val="24"/>
          <w:szCs w:val="24"/>
        </w:rPr>
        <w:t>（5）项目负责人的资格要求：具体要求见投标人须知前附表；</w:t>
      </w:r>
    </w:p>
    <w:p w14:paraId="5BB4AAEC">
      <w:pPr>
        <w:spacing w:line="360" w:lineRule="auto"/>
        <w:ind w:firstLine="480" w:firstLineChars="200"/>
        <w:rPr>
          <w:rFonts w:ascii="宋体" w:hAnsi="宋体" w:cs="宋体"/>
          <w:sz w:val="24"/>
          <w:szCs w:val="24"/>
        </w:rPr>
      </w:pPr>
      <w:r>
        <w:rPr>
          <w:rFonts w:hint="eastAsia" w:ascii="宋体" w:hAnsi="宋体" w:cs="宋体"/>
          <w:sz w:val="24"/>
          <w:szCs w:val="24"/>
        </w:rPr>
        <w:t>（6）其他主要人员要求：见投标人须知前附表。</w:t>
      </w:r>
    </w:p>
    <w:p w14:paraId="3E561A14">
      <w:pPr>
        <w:spacing w:line="360" w:lineRule="auto"/>
        <w:ind w:firstLine="480" w:firstLineChars="200"/>
        <w:rPr>
          <w:rFonts w:ascii="宋体" w:hAnsi="宋体" w:cs="宋体"/>
          <w:sz w:val="24"/>
          <w:szCs w:val="24"/>
        </w:rPr>
      </w:pPr>
      <w:r>
        <w:rPr>
          <w:rFonts w:hint="eastAsia" w:ascii="宋体" w:hAnsi="宋体" w:cs="宋体"/>
          <w:sz w:val="24"/>
          <w:szCs w:val="24"/>
        </w:rPr>
        <w:t>（7）试验检测仪器设备要求：见投标人须知前附表。</w:t>
      </w:r>
    </w:p>
    <w:p w14:paraId="56CDBB72">
      <w:pPr>
        <w:spacing w:line="360" w:lineRule="auto"/>
        <w:ind w:firstLine="480" w:firstLineChars="200"/>
        <w:rPr>
          <w:rFonts w:ascii="宋体" w:hAnsi="宋体" w:cs="宋体"/>
          <w:sz w:val="24"/>
          <w:szCs w:val="24"/>
        </w:rPr>
      </w:pPr>
      <w:r>
        <w:rPr>
          <w:rFonts w:hint="eastAsia" w:ascii="宋体" w:hAnsi="宋体" w:cs="宋体"/>
          <w:sz w:val="24"/>
          <w:szCs w:val="24"/>
        </w:rPr>
        <w:t>（8）其他要求：见投标人须知前附表。</w:t>
      </w:r>
    </w:p>
    <w:p w14:paraId="5D5D5238">
      <w:pPr>
        <w:spacing w:line="360" w:lineRule="auto"/>
        <w:ind w:firstLine="480" w:firstLineChars="200"/>
        <w:rPr>
          <w:rFonts w:ascii="宋体" w:hAnsi="宋体" w:cs="宋体"/>
          <w:sz w:val="24"/>
          <w:szCs w:val="24"/>
        </w:rPr>
      </w:pPr>
      <w:r>
        <w:rPr>
          <w:rFonts w:hint="eastAsia" w:ascii="宋体" w:hAnsi="宋体" w:cs="宋体"/>
          <w:sz w:val="24"/>
          <w:szCs w:val="24"/>
        </w:rPr>
        <w:t>需要提交的相关证明材料见本章第3.5款的规定。</w:t>
      </w:r>
    </w:p>
    <w:p w14:paraId="0368C816">
      <w:pPr>
        <w:spacing w:line="360" w:lineRule="auto"/>
        <w:ind w:firstLine="480" w:firstLineChars="200"/>
        <w:rPr>
          <w:rFonts w:ascii="宋体" w:hAnsi="宋体" w:cs="宋体"/>
          <w:sz w:val="24"/>
          <w:szCs w:val="24"/>
        </w:rPr>
      </w:pPr>
      <w:r>
        <w:rPr>
          <w:rFonts w:hint="eastAsia" w:ascii="宋体" w:hAnsi="宋体" w:cs="宋体"/>
          <w:sz w:val="24"/>
          <w:szCs w:val="24"/>
        </w:rPr>
        <w:t>1.4.2投标人须知前附表规定接受联合体投标的，联合体除应符合本章第1.4.1项和投标人须知前附表的要求外，还应遵守以下规定：</w:t>
      </w:r>
    </w:p>
    <w:p w14:paraId="7164C115">
      <w:pPr>
        <w:spacing w:line="360" w:lineRule="auto"/>
        <w:ind w:firstLine="480" w:firstLineChars="200"/>
        <w:rPr>
          <w:rFonts w:ascii="宋体" w:hAnsi="宋体" w:cs="宋体"/>
          <w:sz w:val="24"/>
          <w:szCs w:val="24"/>
        </w:rPr>
      </w:pPr>
      <w:r>
        <w:rPr>
          <w:rFonts w:hint="eastAsia" w:ascii="宋体" w:hAnsi="宋体" w:cs="宋体"/>
          <w:sz w:val="24"/>
          <w:szCs w:val="24"/>
        </w:rPr>
        <w:t>（1）联合体各方应按招标文件提供的格式签订联合体协议书，明确联合体牵头人和各方权利义务，并承诺就中标项目向招标人承担连带责任；</w:t>
      </w:r>
    </w:p>
    <w:p w14:paraId="597EACA1">
      <w:pPr>
        <w:spacing w:line="360" w:lineRule="auto"/>
        <w:ind w:firstLine="480" w:firstLineChars="200"/>
        <w:rPr>
          <w:rFonts w:ascii="宋体" w:hAnsi="宋体" w:cs="宋体"/>
          <w:sz w:val="24"/>
          <w:szCs w:val="24"/>
        </w:rPr>
      </w:pPr>
      <w:r>
        <w:rPr>
          <w:rFonts w:hint="eastAsia" w:ascii="宋体" w:hAnsi="宋体" w:cs="宋体"/>
          <w:sz w:val="24"/>
          <w:szCs w:val="24"/>
        </w:rPr>
        <w:t>（2）由同一专业的单位组成的联合体，按照资质等级较低的单位确定资质等级；</w:t>
      </w:r>
    </w:p>
    <w:p w14:paraId="55BC79FE">
      <w:pPr>
        <w:spacing w:line="360" w:lineRule="auto"/>
        <w:ind w:firstLine="480" w:firstLineChars="200"/>
        <w:rPr>
          <w:rFonts w:ascii="宋体" w:hAnsi="宋体" w:cs="宋体"/>
          <w:sz w:val="24"/>
          <w:szCs w:val="24"/>
        </w:rPr>
      </w:pPr>
      <w:r>
        <w:rPr>
          <w:rFonts w:hint="eastAsia" w:ascii="宋体" w:hAnsi="宋体" w:cs="宋体"/>
          <w:sz w:val="24"/>
          <w:szCs w:val="24"/>
        </w:rPr>
        <w:t>（3）联合体各方不得再以自己名义单独或参加其他联合体在本招标项目中投标，否则各相关投标均无效。</w:t>
      </w:r>
    </w:p>
    <w:p w14:paraId="2206F0CF">
      <w:pPr>
        <w:spacing w:line="360" w:lineRule="auto"/>
        <w:ind w:firstLine="480" w:firstLineChars="200"/>
        <w:rPr>
          <w:rFonts w:ascii="宋体" w:hAnsi="宋体" w:cs="宋体"/>
          <w:sz w:val="24"/>
          <w:szCs w:val="24"/>
        </w:rPr>
      </w:pPr>
      <w:r>
        <w:rPr>
          <w:rFonts w:ascii="宋体" w:hAnsi="宋体" w:cs="宋体"/>
          <w:sz w:val="24"/>
          <w:szCs w:val="24"/>
        </w:rPr>
        <w:t xml:space="preserve">1.4.3 </w:t>
      </w:r>
      <w:r>
        <w:rPr>
          <w:rFonts w:hint="eastAsia" w:ascii="宋体" w:hAnsi="宋体" w:cs="宋体"/>
          <w:sz w:val="24"/>
          <w:szCs w:val="24"/>
        </w:rPr>
        <w:t>投标人不得存在下列情形之一：</w:t>
      </w:r>
    </w:p>
    <w:p w14:paraId="02149A83">
      <w:pPr>
        <w:spacing w:line="360" w:lineRule="auto"/>
        <w:ind w:firstLine="480" w:firstLineChars="200"/>
        <w:rPr>
          <w:rFonts w:ascii="宋体" w:hAnsi="宋体" w:cs="宋体"/>
          <w:sz w:val="24"/>
          <w:szCs w:val="24"/>
        </w:rPr>
      </w:pPr>
      <w:r>
        <w:rPr>
          <w:rFonts w:hint="eastAsia" w:ascii="宋体" w:hAnsi="宋体" w:cs="宋体"/>
          <w:sz w:val="24"/>
          <w:szCs w:val="24"/>
        </w:rPr>
        <w:t>（1）为招标人不具有独立法人资格的附属机构（单位）；</w:t>
      </w:r>
    </w:p>
    <w:p w14:paraId="66464DD3">
      <w:pPr>
        <w:spacing w:line="360" w:lineRule="auto"/>
        <w:ind w:firstLine="480" w:firstLineChars="200"/>
        <w:rPr>
          <w:rFonts w:ascii="宋体" w:hAnsi="宋体" w:cs="宋体"/>
          <w:sz w:val="24"/>
          <w:szCs w:val="24"/>
        </w:rPr>
      </w:pPr>
      <w:r>
        <w:rPr>
          <w:rFonts w:hint="eastAsia" w:ascii="宋体" w:hAnsi="宋体" w:cs="宋体"/>
          <w:sz w:val="24"/>
          <w:szCs w:val="24"/>
        </w:rPr>
        <w:t>（2）与招标人存在利害关系且可能影响招标公正性；</w:t>
      </w:r>
    </w:p>
    <w:p w14:paraId="48C8990D">
      <w:pPr>
        <w:spacing w:line="360" w:lineRule="auto"/>
        <w:ind w:firstLine="480" w:firstLineChars="200"/>
        <w:rPr>
          <w:rFonts w:ascii="宋体" w:hAnsi="宋体" w:cs="宋体"/>
          <w:sz w:val="24"/>
          <w:szCs w:val="24"/>
        </w:rPr>
      </w:pPr>
      <w:r>
        <w:rPr>
          <w:rFonts w:hint="eastAsia" w:ascii="宋体" w:hAnsi="宋体" w:cs="宋体"/>
          <w:sz w:val="24"/>
          <w:szCs w:val="24"/>
        </w:rPr>
        <w:t>（3）与本招标项目的其他投标人为同一个单位负责人；</w:t>
      </w:r>
    </w:p>
    <w:p w14:paraId="5B1542FF">
      <w:pPr>
        <w:spacing w:line="360" w:lineRule="auto"/>
        <w:ind w:firstLine="480" w:firstLineChars="200"/>
        <w:rPr>
          <w:rFonts w:ascii="宋体" w:hAnsi="宋体" w:cs="宋体"/>
          <w:sz w:val="24"/>
          <w:szCs w:val="24"/>
        </w:rPr>
      </w:pPr>
      <w:r>
        <w:rPr>
          <w:rFonts w:hint="eastAsia" w:ascii="宋体" w:hAnsi="宋体" w:cs="宋体"/>
          <w:sz w:val="24"/>
          <w:szCs w:val="24"/>
        </w:rPr>
        <w:t>（4）与本招标项目的其他投标人存在控股、管理关系；</w:t>
      </w:r>
    </w:p>
    <w:p w14:paraId="7D469315">
      <w:pPr>
        <w:spacing w:line="360" w:lineRule="auto"/>
        <w:ind w:firstLine="480" w:firstLineChars="200"/>
        <w:rPr>
          <w:rFonts w:ascii="宋体" w:hAnsi="宋体" w:cs="宋体"/>
          <w:sz w:val="24"/>
          <w:szCs w:val="24"/>
        </w:rPr>
      </w:pPr>
      <w:r>
        <w:rPr>
          <w:rFonts w:hint="eastAsia" w:ascii="宋体" w:hAnsi="宋体" w:cs="宋体"/>
          <w:sz w:val="24"/>
          <w:szCs w:val="24"/>
        </w:rPr>
        <w:t>（5）为本招标项目的代建人；</w:t>
      </w:r>
    </w:p>
    <w:p w14:paraId="0FF2008D">
      <w:pPr>
        <w:spacing w:line="360" w:lineRule="auto"/>
        <w:ind w:firstLine="480" w:firstLineChars="200"/>
        <w:rPr>
          <w:rFonts w:ascii="宋体" w:hAnsi="宋体" w:cs="宋体"/>
          <w:sz w:val="24"/>
          <w:szCs w:val="24"/>
        </w:rPr>
      </w:pPr>
      <w:r>
        <w:rPr>
          <w:rFonts w:hint="eastAsia" w:ascii="宋体" w:hAnsi="宋体" w:cs="宋体"/>
          <w:sz w:val="24"/>
          <w:szCs w:val="24"/>
        </w:rPr>
        <w:t>（6）为本招标项目的招标代理机构；</w:t>
      </w:r>
    </w:p>
    <w:p w14:paraId="730D8401">
      <w:pPr>
        <w:spacing w:line="360" w:lineRule="auto"/>
        <w:ind w:firstLine="480" w:firstLineChars="200"/>
        <w:rPr>
          <w:rFonts w:ascii="宋体" w:hAnsi="宋体" w:cs="宋体"/>
          <w:sz w:val="24"/>
          <w:szCs w:val="24"/>
        </w:rPr>
      </w:pPr>
      <w:r>
        <w:rPr>
          <w:rFonts w:hint="eastAsia" w:ascii="宋体" w:hAnsi="宋体" w:cs="宋体"/>
          <w:sz w:val="24"/>
          <w:szCs w:val="24"/>
        </w:rPr>
        <w:t>（7）与本招标项目的代建人或招标代理机构同为一个法定代表人；</w:t>
      </w:r>
    </w:p>
    <w:p w14:paraId="3E51D4FC">
      <w:pPr>
        <w:spacing w:line="360" w:lineRule="auto"/>
        <w:ind w:firstLine="480" w:firstLineChars="200"/>
        <w:rPr>
          <w:rFonts w:ascii="宋体" w:hAnsi="宋体" w:cs="宋体"/>
          <w:sz w:val="24"/>
          <w:szCs w:val="24"/>
        </w:rPr>
      </w:pPr>
      <w:r>
        <w:rPr>
          <w:rFonts w:hint="eastAsia" w:ascii="宋体" w:hAnsi="宋体" w:cs="宋体"/>
          <w:sz w:val="24"/>
          <w:szCs w:val="24"/>
        </w:rPr>
        <w:t>（8）与本招标项目的代建人或招标代理机构存在控股或参股关系；</w:t>
      </w:r>
    </w:p>
    <w:p w14:paraId="67FC8BC0">
      <w:pPr>
        <w:spacing w:line="360" w:lineRule="auto"/>
        <w:ind w:firstLine="480" w:firstLineChars="200"/>
        <w:rPr>
          <w:rFonts w:ascii="宋体" w:hAnsi="宋体" w:cs="宋体"/>
          <w:sz w:val="24"/>
          <w:szCs w:val="24"/>
        </w:rPr>
      </w:pPr>
      <w:r>
        <w:rPr>
          <w:rFonts w:hint="eastAsia" w:ascii="宋体" w:hAnsi="宋体" w:cs="宋体"/>
          <w:sz w:val="24"/>
          <w:szCs w:val="24"/>
        </w:rPr>
        <w:t>（9）与本招标项目的施工承包人以及建筑材料、建筑构配件和设备供应商有隶属关系或者其他利害关系；</w:t>
      </w:r>
    </w:p>
    <w:p w14:paraId="359615A2">
      <w:pPr>
        <w:spacing w:line="360" w:lineRule="auto"/>
        <w:ind w:firstLine="480" w:firstLineChars="200"/>
        <w:rPr>
          <w:rFonts w:ascii="宋体" w:hAnsi="宋体" w:cs="宋体"/>
          <w:sz w:val="24"/>
          <w:szCs w:val="24"/>
        </w:rPr>
      </w:pPr>
      <w:r>
        <w:rPr>
          <w:rFonts w:hint="eastAsia" w:ascii="宋体" w:hAnsi="宋体" w:cs="宋体"/>
          <w:sz w:val="24"/>
          <w:szCs w:val="24"/>
        </w:rPr>
        <w:t>（10）被依法暂停或者取消投标资格</w:t>
      </w:r>
      <w:r>
        <w:rPr>
          <w:rFonts w:hint="eastAsia" w:ascii="宋体" w:hAnsi="宋体" w:cs="宋体"/>
          <w:sz w:val="24"/>
          <w:szCs w:val="24"/>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sz w:val="24"/>
          <w:szCs w:val="24"/>
        </w:rPr>
        <w:t>；</w:t>
      </w:r>
    </w:p>
    <w:p w14:paraId="3F21D415">
      <w:pPr>
        <w:spacing w:line="360" w:lineRule="auto"/>
        <w:ind w:firstLine="480" w:firstLineChars="200"/>
        <w:rPr>
          <w:rFonts w:ascii="宋体" w:hAnsi="宋体" w:cs="宋体"/>
          <w:sz w:val="24"/>
          <w:szCs w:val="24"/>
        </w:rPr>
      </w:pPr>
      <w:r>
        <w:rPr>
          <w:rFonts w:hint="eastAsia" w:ascii="宋体" w:hAnsi="宋体" w:cs="宋体"/>
          <w:sz w:val="24"/>
          <w:szCs w:val="24"/>
        </w:rPr>
        <w:t>（11）被责令停产停业、暂扣或者吊销许可证、暂扣或者吊销执照</w:t>
      </w:r>
      <w:r>
        <w:rPr>
          <w:rFonts w:hint="eastAsia" w:ascii="宋体" w:hAnsi="宋体" w:cs="宋体"/>
          <w:sz w:val="24"/>
          <w:szCs w:val="24"/>
          <w:u w:val="single"/>
        </w:rPr>
        <w:t>（本项事实应当以根据《中华人民共和国行政处罚法》依法作出并已经生效的行政处罚决定为认定依据）</w:t>
      </w:r>
      <w:r>
        <w:rPr>
          <w:rFonts w:hint="eastAsia" w:ascii="宋体" w:hAnsi="宋体" w:cs="宋体"/>
          <w:sz w:val="24"/>
          <w:szCs w:val="24"/>
        </w:rPr>
        <w:t>；</w:t>
      </w:r>
    </w:p>
    <w:p w14:paraId="5C9595C4">
      <w:pPr>
        <w:spacing w:line="360" w:lineRule="auto"/>
        <w:ind w:firstLine="480" w:firstLineChars="200"/>
        <w:rPr>
          <w:rFonts w:ascii="宋体" w:hAnsi="宋体" w:cs="宋体"/>
          <w:sz w:val="24"/>
          <w:szCs w:val="24"/>
        </w:rPr>
      </w:pPr>
      <w:r>
        <w:rPr>
          <w:rFonts w:hint="eastAsia" w:ascii="宋体" w:hAnsi="宋体" w:cs="宋体"/>
          <w:sz w:val="24"/>
          <w:szCs w:val="24"/>
        </w:rPr>
        <w:t>（12）进入清算程序，或被宣告破产，或其他丧失履约能力的情形；</w:t>
      </w:r>
    </w:p>
    <w:p w14:paraId="701A71D2">
      <w:pPr>
        <w:spacing w:line="360" w:lineRule="auto"/>
        <w:ind w:firstLine="480" w:firstLineChars="200"/>
        <w:rPr>
          <w:rFonts w:ascii="宋体" w:hAnsi="宋体" w:cs="宋体"/>
          <w:sz w:val="24"/>
          <w:szCs w:val="24"/>
        </w:rPr>
      </w:pPr>
      <w:r>
        <w:rPr>
          <w:rFonts w:hint="eastAsia" w:ascii="宋体" w:hAnsi="宋体" w:cs="宋体"/>
          <w:sz w:val="24"/>
          <w:szCs w:val="24"/>
        </w:rPr>
        <w:t>（13）在最近三年内有严重违约或重大质量问题的</w:t>
      </w:r>
      <w:r>
        <w:rPr>
          <w:rFonts w:hint="eastAsia" w:ascii="宋体" w:hAnsi="宋体" w:cs="宋体"/>
          <w:sz w:val="24"/>
          <w:szCs w:val="24"/>
          <w:u w:val="single"/>
        </w:rPr>
        <w:t>（“严重违约”事实应当以司法机关、仲裁机构出具的认定文件为准。“重大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cs="宋体"/>
          <w:sz w:val="24"/>
          <w:szCs w:val="24"/>
        </w:rPr>
        <w:t>；</w:t>
      </w:r>
    </w:p>
    <w:p w14:paraId="61DF814A">
      <w:pPr>
        <w:spacing w:line="360" w:lineRule="auto"/>
        <w:ind w:firstLine="480" w:firstLineChars="200"/>
        <w:rPr>
          <w:rFonts w:ascii="宋体" w:hAnsi="宋体" w:cs="宋体"/>
          <w:sz w:val="24"/>
          <w:szCs w:val="24"/>
        </w:rPr>
      </w:pPr>
      <w:r>
        <w:rPr>
          <w:rFonts w:hint="eastAsia" w:ascii="宋体" w:hAnsi="宋体" w:cs="宋体"/>
          <w:sz w:val="24"/>
          <w:szCs w:val="24"/>
        </w:rPr>
        <w:t>（14）法律法规或投标人须知前附表规定的其他情形。</w:t>
      </w:r>
    </w:p>
    <w:p w14:paraId="24BD49F8">
      <w:pPr>
        <w:pStyle w:val="5"/>
        <w:spacing w:line="360" w:lineRule="auto"/>
        <w:ind w:firstLine="0" w:firstLineChars="0"/>
        <w:rPr>
          <w:rFonts w:ascii="宋体" w:hAnsi="宋体" w:eastAsia="宋体" w:cs="宋体"/>
          <w:szCs w:val="24"/>
        </w:rPr>
      </w:pPr>
      <w:bookmarkStart w:id="118" w:name="_Toc12621"/>
      <w:bookmarkStart w:id="119" w:name="_Toc24418"/>
      <w:bookmarkStart w:id="120" w:name="_Toc7015"/>
      <w:bookmarkStart w:id="121" w:name="_Toc872"/>
      <w:bookmarkStart w:id="122" w:name="_Toc6163"/>
      <w:bookmarkStart w:id="123" w:name="_Toc21274"/>
      <w:bookmarkStart w:id="124" w:name="_Toc492300569"/>
      <w:bookmarkStart w:id="125" w:name="_Toc23833"/>
      <w:bookmarkStart w:id="126" w:name="_Toc20396"/>
      <w:bookmarkStart w:id="127" w:name="_Toc17400"/>
      <w:bookmarkStart w:id="128" w:name="_Toc19434"/>
      <w:r>
        <w:rPr>
          <w:rFonts w:ascii="宋体" w:hAnsi="宋体" w:eastAsia="宋体" w:cs="宋体"/>
          <w:szCs w:val="24"/>
        </w:rPr>
        <w:t xml:space="preserve">1.5 </w:t>
      </w:r>
      <w:r>
        <w:rPr>
          <w:rFonts w:hint="eastAsia" w:ascii="宋体" w:hAnsi="宋体" w:eastAsia="宋体" w:cs="宋体"/>
          <w:szCs w:val="24"/>
        </w:rPr>
        <w:t>费用承担</w:t>
      </w:r>
      <w:bookmarkEnd w:id="118"/>
      <w:bookmarkEnd w:id="119"/>
      <w:bookmarkEnd w:id="120"/>
      <w:bookmarkEnd w:id="121"/>
      <w:bookmarkEnd w:id="122"/>
      <w:bookmarkEnd w:id="123"/>
      <w:bookmarkEnd w:id="124"/>
      <w:bookmarkEnd w:id="125"/>
      <w:bookmarkEnd w:id="126"/>
      <w:bookmarkEnd w:id="127"/>
      <w:bookmarkEnd w:id="128"/>
    </w:p>
    <w:p w14:paraId="05652B36">
      <w:pPr>
        <w:spacing w:line="360" w:lineRule="auto"/>
        <w:ind w:firstLine="480" w:firstLineChars="200"/>
        <w:rPr>
          <w:rFonts w:ascii="宋体" w:hAnsi="宋体" w:cs="宋体"/>
          <w:sz w:val="24"/>
          <w:szCs w:val="24"/>
        </w:rPr>
      </w:pPr>
      <w:r>
        <w:rPr>
          <w:rFonts w:hint="eastAsia" w:ascii="宋体" w:hAnsi="宋体" w:cs="宋体"/>
          <w:sz w:val="24"/>
          <w:szCs w:val="24"/>
        </w:rPr>
        <w:t>投标人准备和参加投标活动发生的费用自理。</w:t>
      </w:r>
    </w:p>
    <w:p w14:paraId="26010F87">
      <w:pPr>
        <w:pStyle w:val="5"/>
        <w:spacing w:line="360" w:lineRule="auto"/>
        <w:ind w:firstLine="0" w:firstLineChars="0"/>
        <w:rPr>
          <w:rFonts w:ascii="宋体" w:hAnsi="宋体" w:eastAsia="宋体" w:cs="宋体"/>
          <w:szCs w:val="24"/>
        </w:rPr>
      </w:pPr>
      <w:bookmarkStart w:id="129" w:name="_Toc27939"/>
      <w:bookmarkStart w:id="130" w:name="_Toc9215"/>
      <w:bookmarkStart w:id="131" w:name="_Toc29749"/>
      <w:bookmarkStart w:id="132" w:name="_Toc2676"/>
      <w:bookmarkStart w:id="133" w:name="_Toc10184"/>
      <w:bookmarkStart w:id="134" w:name="_Toc12237"/>
      <w:bookmarkStart w:id="135" w:name="_Toc4949"/>
      <w:bookmarkStart w:id="136" w:name="_Toc492300570"/>
      <w:bookmarkStart w:id="137" w:name="_Toc19542"/>
      <w:bookmarkStart w:id="138" w:name="_Toc30736"/>
      <w:bookmarkStart w:id="139" w:name="_Toc6809"/>
      <w:r>
        <w:rPr>
          <w:rFonts w:ascii="宋体" w:hAnsi="宋体" w:eastAsia="宋体" w:cs="宋体"/>
          <w:szCs w:val="24"/>
        </w:rPr>
        <w:t>1.6</w:t>
      </w:r>
      <w:r>
        <w:rPr>
          <w:rFonts w:hint="eastAsia" w:ascii="宋体" w:hAnsi="宋体" w:eastAsia="宋体" w:cs="宋体"/>
          <w:szCs w:val="24"/>
        </w:rPr>
        <w:t xml:space="preserve"> 保密</w:t>
      </w:r>
      <w:bookmarkEnd w:id="129"/>
      <w:bookmarkEnd w:id="130"/>
      <w:bookmarkEnd w:id="131"/>
      <w:bookmarkEnd w:id="132"/>
      <w:bookmarkEnd w:id="133"/>
      <w:bookmarkEnd w:id="134"/>
      <w:bookmarkEnd w:id="135"/>
      <w:bookmarkEnd w:id="136"/>
      <w:bookmarkEnd w:id="137"/>
      <w:bookmarkEnd w:id="138"/>
      <w:bookmarkEnd w:id="139"/>
    </w:p>
    <w:p w14:paraId="55AB808B">
      <w:pPr>
        <w:spacing w:line="360" w:lineRule="auto"/>
        <w:ind w:firstLine="480" w:firstLineChars="200"/>
        <w:rPr>
          <w:rFonts w:ascii="宋体" w:hAnsi="宋体" w:cs="宋体"/>
          <w:sz w:val="24"/>
          <w:szCs w:val="24"/>
        </w:rPr>
      </w:pPr>
      <w:r>
        <w:rPr>
          <w:rFonts w:hint="eastAsia" w:ascii="宋体" w:hAnsi="宋体" w:cs="宋体"/>
          <w:sz w:val="24"/>
          <w:szCs w:val="24"/>
        </w:rPr>
        <w:t>参与招标投标活动的各方应对招标文件和投标文件中</w:t>
      </w:r>
      <w:bookmarkStart w:id="140" w:name="_Toc5326"/>
      <w:bookmarkStart w:id="141" w:name="_Toc352691477"/>
      <w:bookmarkStart w:id="142" w:name="_Toc384308214"/>
      <w:bookmarkStart w:id="143" w:name="_Toc361508589"/>
      <w:bookmarkStart w:id="144" w:name="_Toc369531519"/>
      <w:r>
        <w:rPr>
          <w:rFonts w:hint="eastAsia" w:ascii="宋体" w:hAnsi="宋体" w:cs="宋体"/>
          <w:sz w:val="24"/>
          <w:szCs w:val="24"/>
        </w:rPr>
        <w:t>的商业和技术等秘密保密</w:t>
      </w:r>
      <w:bookmarkEnd w:id="140"/>
      <w:bookmarkEnd w:id="141"/>
      <w:bookmarkEnd w:id="142"/>
      <w:bookmarkEnd w:id="143"/>
      <w:bookmarkEnd w:id="144"/>
      <w:r>
        <w:rPr>
          <w:rFonts w:hint="eastAsia" w:ascii="宋体" w:hAnsi="宋体" w:cs="宋体"/>
          <w:sz w:val="24"/>
          <w:szCs w:val="24"/>
        </w:rPr>
        <w:t>，否则应承担相应的法律责任。</w:t>
      </w:r>
    </w:p>
    <w:p w14:paraId="574E7214">
      <w:pPr>
        <w:pStyle w:val="5"/>
        <w:spacing w:line="360" w:lineRule="auto"/>
        <w:ind w:firstLine="0" w:firstLineChars="0"/>
        <w:rPr>
          <w:rFonts w:ascii="宋体" w:hAnsi="宋体" w:eastAsia="宋体" w:cs="宋体"/>
          <w:szCs w:val="24"/>
        </w:rPr>
      </w:pPr>
      <w:bookmarkStart w:id="145" w:name="_Toc24017"/>
      <w:bookmarkStart w:id="146" w:name="_Toc19298"/>
      <w:bookmarkStart w:id="147" w:name="_Toc32094"/>
      <w:bookmarkStart w:id="148" w:name="_Toc657"/>
      <w:bookmarkStart w:id="149" w:name="_Toc492300571"/>
      <w:bookmarkStart w:id="150" w:name="_Toc9017"/>
      <w:bookmarkStart w:id="151" w:name="_Toc6774"/>
      <w:bookmarkStart w:id="152" w:name="_Toc6779"/>
      <w:bookmarkStart w:id="153" w:name="_Toc12300"/>
      <w:bookmarkStart w:id="154" w:name="_Toc24881"/>
      <w:bookmarkStart w:id="155" w:name="_Toc25860"/>
      <w:r>
        <w:rPr>
          <w:rFonts w:ascii="宋体" w:hAnsi="宋体" w:eastAsia="宋体" w:cs="宋体"/>
          <w:szCs w:val="24"/>
        </w:rPr>
        <w:t xml:space="preserve">1.7 </w:t>
      </w:r>
      <w:r>
        <w:rPr>
          <w:rFonts w:hint="eastAsia" w:ascii="宋体" w:hAnsi="宋体" w:eastAsia="宋体" w:cs="宋体"/>
          <w:szCs w:val="24"/>
        </w:rPr>
        <w:t>语言文字</w:t>
      </w:r>
      <w:bookmarkEnd w:id="145"/>
      <w:bookmarkEnd w:id="146"/>
      <w:bookmarkEnd w:id="147"/>
      <w:bookmarkEnd w:id="148"/>
      <w:bookmarkEnd w:id="149"/>
      <w:bookmarkEnd w:id="150"/>
      <w:bookmarkEnd w:id="151"/>
      <w:bookmarkEnd w:id="152"/>
      <w:bookmarkEnd w:id="153"/>
      <w:bookmarkEnd w:id="154"/>
      <w:bookmarkEnd w:id="155"/>
    </w:p>
    <w:p w14:paraId="31D70056">
      <w:pPr>
        <w:spacing w:line="360" w:lineRule="auto"/>
        <w:ind w:firstLine="480" w:firstLineChars="200"/>
        <w:rPr>
          <w:rFonts w:ascii="宋体" w:hAnsi="宋体" w:cs="宋体"/>
          <w:sz w:val="24"/>
          <w:szCs w:val="24"/>
        </w:rPr>
      </w:pPr>
      <w:r>
        <w:rPr>
          <w:rFonts w:hint="eastAsia" w:ascii="宋体" w:hAnsi="宋体" w:cs="宋体"/>
          <w:sz w:val="24"/>
          <w:szCs w:val="24"/>
        </w:rPr>
        <w:t>招标投标文件使用的语言文字为中文。专用术语使用外文的，应附有中文注释。</w:t>
      </w:r>
    </w:p>
    <w:p w14:paraId="40AC6126">
      <w:pPr>
        <w:pStyle w:val="5"/>
        <w:spacing w:line="360" w:lineRule="auto"/>
        <w:ind w:firstLine="0" w:firstLineChars="0"/>
        <w:rPr>
          <w:rFonts w:ascii="宋体" w:hAnsi="宋体" w:eastAsia="宋体" w:cs="宋体"/>
          <w:szCs w:val="24"/>
        </w:rPr>
      </w:pPr>
      <w:bookmarkStart w:id="156" w:name="_Toc27121"/>
      <w:bookmarkStart w:id="157" w:name="_Toc10804"/>
      <w:bookmarkStart w:id="158" w:name="_Toc11561"/>
      <w:bookmarkStart w:id="159" w:name="_Toc26431"/>
      <w:bookmarkStart w:id="160" w:name="_Toc23181"/>
      <w:bookmarkStart w:id="161" w:name="_Toc10746"/>
      <w:bookmarkStart w:id="162" w:name="_Toc26419"/>
      <w:bookmarkStart w:id="163" w:name="_Toc11803"/>
      <w:bookmarkStart w:id="164" w:name="_Toc20276"/>
      <w:bookmarkStart w:id="165" w:name="_Toc3529"/>
      <w:bookmarkStart w:id="166" w:name="_Toc492300572"/>
      <w:r>
        <w:rPr>
          <w:rFonts w:hint="eastAsia" w:ascii="宋体" w:hAnsi="宋体" w:eastAsia="宋体" w:cs="宋体"/>
          <w:szCs w:val="24"/>
        </w:rPr>
        <w:t>1.8 计量单位</w:t>
      </w:r>
      <w:bookmarkEnd w:id="156"/>
      <w:bookmarkEnd w:id="157"/>
      <w:bookmarkEnd w:id="158"/>
      <w:bookmarkEnd w:id="159"/>
      <w:bookmarkEnd w:id="160"/>
      <w:bookmarkEnd w:id="161"/>
      <w:bookmarkEnd w:id="162"/>
      <w:bookmarkEnd w:id="163"/>
      <w:bookmarkEnd w:id="164"/>
      <w:bookmarkEnd w:id="165"/>
      <w:bookmarkEnd w:id="166"/>
    </w:p>
    <w:p w14:paraId="5A1B5F92">
      <w:pPr>
        <w:spacing w:line="360" w:lineRule="auto"/>
        <w:ind w:firstLine="480" w:firstLineChars="200"/>
        <w:rPr>
          <w:rFonts w:ascii="宋体" w:hAnsi="宋体" w:cs="宋体"/>
          <w:sz w:val="24"/>
          <w:szCs w:val="24"/>
        </w:rPr>
      </w:pPr>
      <w:r>
        <w:rPr>
          <w:rFonts w:hint="eastAsia" w:ascii="宋体" w:hAnsi="宋体" w:cs="宋体"/>
          <w:sz w:val="24"/>
          <w:szCs w:val="24"/>
        </w:rPr>
        <w:t>所有计量均采用中华人民共和国法定计量单位。</w:t>
      </w:r>
    </w:p>
    <w:p w14:paraId="18160948">
      <w:pPr>
        <w:pStyle w:val="5"/>
        <w:spacing w:line="360" w:lineRule="auto"/>
        <w:ind w:firstLine="0" w:firstLineChars="0"/>
        <w:rPr>
          <w:rFonts w:ascii="宋体" w:hAnsi="宋体" w:eastAsia="宋体" w:cs="宋体"/>
          <w:szCs w:val="24"/>
        </w:rPr>
      </w:pPr>
      <w:bookmarkStart w:id="167" w:name="_Toc21883"/>
      <w:bookmarkStart w:id="168" w:name="_Toc152045539"/>
      <w:bookmarkStart w:id="169" w:name="_Toc11659"/>
      <w:bookmarkStart w:id="170" w:name="_Toc20483"/>
      <w:bookmarkStart w:id="171" w:name="_Toc370676289"/>
      <w:bookmarkStart w:id="172" w:name="_Toc29515"/>
      <w:bookmarkStart w:id="173" w:name="_Toc492300573"/>
      <w:bookmarkStart w:id="174" w:name="_Toc16766"/>
      <w:bookmarkStart w:id="175" w:name="_Toc384308219"/>
      <w:bookmarkStart w:id="176" w:name="_Toc247513962"/>
      <w:bookmarkStart w:id="177" w:name="_Toc482188480"/>
      <w:bookmarkStart w:id="178" w:name="_Toc361508594"/>
      <w:bookmarkStart w:id="179" w:name="_Toc2057"/>
      <w:bookmarkStart w:id="180" w:name="_Toc391393967"/>
      <w:bookmarkStart w:id="181" w:name="_Toc29990"/>
      <w:bookmarkStart w:id="182" w:name="_Toc247527563"/>
      <w:bookmarkStart w:id="183" w:name="_Toc4326"/>
      <w:bookmarkStart w:id="184" w:name="_Toc5474"/>
      <w:bookmarkStart w:id="185" w:name="_Toc144974507"/>
      <w:bookmarkStart w:id="186" w:name="_Toc10088"/>
      <w:bookmarkStart w:id="187" w:name="_Toc152042315"/>
      <w:bookmarkStart w:id="188" w:name="_Toc300834959"/>
      <w:r>
        <w:rPr>
          <w:rFonts w:ascii="宋体" w:hAnsi="宋体" w:eastAsia="宋体" w:cs="宋体"/>
          <w:szCs w:val="24"/>
        </w:rPr>
        <w:t xml:space="preserve">1.9 </w:t>
      </w:r>
      <w:r>
        <w:rPr>
          <w:rFonts w:hint="eastAsia" w:ascii="宋体" w:hAnsi="宋体" w:eastAsia="宋体" w:cs="宋体"/>
          <w:szCs w:val="24"/>
        </w:rPr>
        <w:t>踏勘现场</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68EF706">
      <w:pPr>
        <w:spacing w:line="360" w:lineRule="auto"/>
        <w:ind w:firstLine="480" w:firstLineChars="200"/>
        <w:rPr>
          <w:rFonts w:ascii="宋体" w:hAnsi="宋体" w:cs="宋体"/>
          <w:sz w:val="24"/>
          <w:szCs w:val="24"/>
        </w:rPr>
      </w:pPr>
      <w:r>
        <w:rPr>
          <w:rFonts w:ascii="宋体" w:hAnsi="宋体" w:cs="宋体"/>
          <w:sz w:val="24"/>
          <w:szCs w:val="24"/>
        </w:rPr>
        <w:t xml:space="preserve">1.9.1 </w:t>
      </w:r>
      <w:r>
        <w:rPr>
          <w:rFonts w:hint="eastAsia" w:ascii="宋体" w:hAnsi="宋体" w:cs="宋体"/>
          <w:sz w:val="24"/>
          <w:szCs w:val="24"/>
        </w:rPr>
        <w:t>投标人须知前附表规定组织踏勘现场的，招标人按投标人须知前附表规定的时间、地点组织投标人踏勘项目现场。部分投标人未按时参加踏勘现场的，不影响踏勘现场的正常进行。</w:t>
      </w:r>
    </w:p>
    <w:p w14:paraId="42907FDA">
      <w:pPr>
        <w:spacing w:line="360" w:lineRule="auto"/>
        <w:ind w:firstLine="480" w:firstLineChars="200"/>
        <w:rPr>
          <w:rFonts w:ascii="宋体" w:hAnsi="宋体" w:cs="宋体"/>
          <w:sz w:val="24"/>
          <w:szCs w:val="24"/>
        </w:rPr>
      </w:pPr>
      <w:r>
        <w:rPr>
          <w:rFonts w:ascii="宋体" w:hAnsi="宋体" w:cs="宋体"/>
          <w:sz w:val="24"/>
          <w:szCs w:val="24"/>
        </w:rPr>
        <w:t xml:space="preserve">1.9.2 </w:t>
      </w:r>
      <w:r>
        <w:rPr>
          <w:rFonts w:hint="eastAsia" w:ascii="宋体" w:hAnsi="宋体" w:cs="宋体"/>
          <w:sz w:val="24"/>
          <w:szCs w:val="24"/>
        </w:rPr>
        <w:t>投标人踏勘现场发生的费用自理。</w:t>
      </w:r>
    </w:p>
    <w:p w14:paraId="30175CCD">
      <w:pPr>
        <w:spacing w:line="360" w:lineRule="auto"/>
        <w:ind w:firstLine="480" w:firstLineChars="200"/>
        <w:rPr>
          <w:rFonts w:ascii="宋体" w:hAnsi="宋体" w:cs="宋体"/>
          <w:sz w:val="24"/>
          <w:szCs w:val="24"/>
        </w:rPr>
      </w:pPr>
      <w:r>
        <w:rPr>
          <w:rFonts w:ascii="宋体" w:hAnsi="宋体" w:cs="宋体"/>
          <w:sz w:val="24"/>
          <w:szCs w:val="24"/>
        </w:rPr>
        <w:t xml:space="preserve">1.9.3 </w:t>
      </w:r>
      <w:r>
        <w:rPr>
          <w:rFonts w:hint="eastAsia" w:ascii="宋体" w:hAnsi="宋体" w:cs="宋体"/>
          <w:sz w:val="24"/>
          <w:szCs w:val="24"/>
        </w:rPr>
        <w:t>除招标人的原因外，投标人自行负责在踏勘现场中所发生的人员伤亡和财产损失。</w:t>
      </w:r>
    </w:p>
    <w:p w14:paraId="68718063">
      <w:pPr>
        <w:spacing w:line="360" w:lineRule="auto"/>
        <w:ind w:firstLine="480" w:firstLineChars="200"/>
        <w:rPr>
          <w:rFonts w:ascii="宋体" w:hAnsi="宋体" w:cs="宋体"/>
          <w:sz w:val="24"/>
          <w:szCs w:val="24"/>
        </w:rPr>
      </w:pPr>
      <w:r>
        <w:rPr>
          <w:rFonts w:ascii="宋体" w:hAnsi="宋体" w:cs="宋体"/>
          <w:sz w:val="24"/>
          <w:szCs w:val="24"/>
        </w:rPr>
        <w:t xml:space="preserve">1.9.4 </w:t>
      </w:r>
      <w:r>
        <w:rPr>
          <w:rFonts w:hint="eastAsia" w:ascii="宋体" w:hAnsi="宋体" w:cs="宋体"/>
          <w:sz w:val="24"/>
          <w:szCs w:val="24"/>
        </w:rPr>
        <w:t>招标人在踏勘现场中介绍的工程场地和相关的周边环境情况，供投标人在编制投标文件时参考，招标人不对投标人据此作出的判断和决策负责。</w:t>
      </w:r>
    </w:p>
    <w:p w14:paraId="16FB9A7D">
      <w:pPr>
        <w:pStyle w:val="5"/>
        <w:spacing w:line="360" w:lineRule="auto"/>
        <w:ind w:firstLine="0" w:firstLineChars="0"/>
        <w:rPr>
          <w:rFonts w:ascii="宋体" w:hAnsi="宋体" w:eastAsia="宋体" w:cs="宋体"/>
          <w:szCs w:val="24"/>
        </w:rPr>
      </w:pPr>
      <w:bookmarkStart w:id="189" w:name="_Toc19565"/>
      <w:bookmarkStart w:id="190" w:name="_Toc11420"/>
      <w:bookmarkStart w:id="191" w:name="_Toc8220"/>
      <w:bookmarkStart w:id="192" w:name="_Toc11535"/>
      <w:bookmarkStart w:id="193" w:name="_Toc9856"/>
      <w:bookmarkStart w:id="194" w:name="_Toc492300574"/>
      <w:bookmarkStart w:id="195" w:name="_Toc23568"/>
      <w:bookmarkStart w:id="196" w:name="_Toc21847"/>
      <w:bookmarkStart w:id="197" w:name="_Toc10652"/>
      <w:bookmarkStart w:id="198" w:name="_Toc3908"/>
      <w:bookmarkStart w:id="199" w:name="_Toc21715"/>
      <w:r>
        <w:rPr>
          <w:rFonts w:hint="eastAsia" w:ascii="宋体" w:hAnsi="宋体" w:eastAsia="宋体" w:cs="宋体"/>
          <w:szCs w:val="24"/>
        </w:rPr>
        <w:t>1.10 投标预备会</w:t>
      </w:r>
      <w:bookmarkEnd w:id="189"/>
      <w:bookmarkEnd w:id="190"/>
      <w:bookmarkEnd w:id="191"/>
      <w:bookmarkEnd w:id="192"/>
      <w:bookmarkEnd w:id="193"/>
      <w:bookmarkEnd w:id="194"/>
      <w:bookmarkEnd w:id="195"/>
      <w:bookmarkEnd w:id="196"/>
      <w:bookmarkEnd w:id="197"/>
      <w:bookmarkEnd w:id="198"/>
      <w:bookmarkEnd w:id="199"/>
    </w:p>
    <w:p w14:paraId="779598F7">
      <w:pPr>
        <w:spacing w:line="360" w:lineRule="auto"/>
        <w:ind w:firstLine="480" w:firstLineChars="200"/>
        <w:rPr>
          <w:rFonts w:ascii="宋体" w:hAnsi="宋体" w:cs="宋体"/>
          <w:sz w:val="24"/>
          <w:szCs w:val="24"/>
        </w:rPr>
      </w:pPr>
      <w:r>
        <w:rPr>
          <w:rFonts w:ascii="宋体" w:hAnsi="宋体" w:cs="宋体"/>
          <w:sz w:val="24"/>
          <w:szCs w:val="24"/>
        </w:rPr>
        <w:t xml:space="preserve">1.10.1 </w:t>
      </w:r>
      <w:r>
        <w:rPr>
          <w:rFonts w:hint="eastAsia" w:ascii="宋体" w:hAnsi="宋体" w:cs="宋体"/>
          <w:sz w:val="24"/>
          <w:szCs w:val="24"/>
        </w:rPr>
        <w:t>投标人须知前附表规定召开投标预备会的，招标人按投标人须知前附表规定的时间和地点召开投标预备会，澄清投标人提出的问题。</w:t>
      </w:r>
    </w:p>
    <w:p w14:paraId="2932A012">
      <w:pPr>
        <w:spacing w:line="360" w:lineRule="auto"/>
        <w:ind w:firstLine="480" w:firstLineChars="200"/>
        <w:rPr>
          <w:rFonts w:ascii="宋体" w:hAnsi="宋体" w:cs="宋体"/>
          <w:sz w:val="24"/>
          <w:szCs w:val="24"/>
        </w:rPr>
      </w:pPr>
      <w:r>
        <w:rPr>
          <w:rFonts w:ascii="宋体" w:hAnsi="宋体" w:cs="宋体"/>
          <w:sz w:val="24"/>
          <w:szCs w:val="24"/>
        </w:rPr>
        <w:t xml:space="preserve">1.10.2 </w:t>
      </w:r>
      <w:r>
        <w:rPr>
          <w:rFonts w:hint="eastAsia" w:ascii="宋体" w:hAnsi="宋体" w:cs="宋体"/>
          <w:sz w:val="24"/>
          <w:szCs w:val="24"/>
        </w:rPr>
        <w:t>投标人应按投标人须知前附表规定的时间和形式将提出的问题送达招标人，以便招标人在会议期间澄清。</w:t>
      </w:r>
    </w:p>
    <w:p w14:paraId="4712412F">
      <w:pPr>
        <w:spacing w:line="360" w:lineRule="auto"/>
        <w:ind w:firstLine="480" w:firstLineChars="200"/>
        <w:rPr>
          <w:rFonts w:ascii="宋体" w:hAnsi="宋体" w:cs="宋体"/>
          <w:sz w:val="24"/>
          <w:szCs w:val="24"/>
        </w:rPr>
      </w:pPr>
      <w:r>
        <w:rPr>
          <w:rFonts w:ascii="宋体" w:hAnsi="宋体" w:cs="宋体"/>
          <w:sz w:val="24"/>
          <w:szCs w:val="24"/>
        </w:rPr>
        <w:t xml:space="preserve">1.10.3 </w:t>
      </w:r>
      <w:r>
        <w:rPr>
          <w:rFonts w:hint="eastAsia" w:ascii="宋体" w:hAnsi="宋体" w:cs="宋体"/>
          <w:sz w:val="24"/>
          <w:szCs w:val="24"/>
        </w:rPr>
        <w:t>投标预备会后，招标人将对投标人所提问题的澄清，以投标人须知前附表规定的形式通知所有购买招标文件的投标人。该澄清内容为招标文件的组成部分。</w:t>
      </w:r>
    </w:p>
    <w:p w14:paraId="5B075437">
      <w:pPr>
        <w:pStyle w:val="5"/>
        <w:spacing w:line="360" w:lineRule="auto"/>
        <w:ind w:firstLine="0" w:firstLineChars="0"/>
        <w:rPr>
          <w:rFonts w:ascii="宋体" w:hAnsi="宋体" w:eastAsia="宋体" w:cs="宋体"/>
          <w:szCs w:val="24"/>
        </w:rPr>
      </w:pPr>
      <w:bookmarkStart w:id="200" w:name="_Toc7636"/>
      <w:bookmarkStart w:id="201" w:name="_Toc492300575"/>
      <w:bookmarkStart w:id="202" w:name="_Toc19968"/>
      <w:bookmarkStart w:id="203" w:name="_Toc25550"/>
      <w:bookmarkStart w:id="204" w:name="_Toc6848"/>
      <w:bookmarkStart w:id="205" w:name="_Toc13598"/>
      <w:bookmarkStart w:id="206" w:name="_Toc22887"/>
      <w:bookmarkStart w:id="207" w:name="_Toc13308"/>
      <w:bookmarkStart w:id="208" w:name="_Toc16569"/>
      <w:bookmarkStart w:id="209" w:name="_Toc11055"/>
      <w:bookmarkStart w:id="210" w:name="_Toc21594"/>
      <w:r>
        <w:rPr>
          <w:rFonts w:ascii="宋体" w:hAnsi="宋体" w:eastAsia="宋体" w:cs="宋体"/>
          <w:szCs w:val="24"/>
        </w:rPr>
        <w:t xml:space="preserve">1.11 </w:t>
      </w:r>
      <w:r>
        <w:rPr>
          <w:rFonts w:hint="eastAsia" w:ascii="宋体" w:hAnsi="宋体" w:eastAsia="宋体" w:cs="宋体"/>
          <w:szCs w:val="24"/>
        </w:rPr>
        <w:t>分包</w:t>
      </w:r>
      <w:bookmarkEnd w:id="200"/>
      <w:bookmarkEnd w:id="201"/>
      <w:bookmarkEnd w:id="202"/>
      <w:bookmarkEnd w:id="203"/>
      <w:bookmarkEnd w:id="204"/>
      <w:bookmarkEnd w:id="205"/>
      <w:bookmarkEnd w:id="206"/>
      <w:bookmarkEnd w:id="207"/>
      <w:bookmarkEnd w:id="208"/>
      <w:bookmarkEnd w:id="209"/>
      <w:bookmarkEnd w:id="210"/>
    </w:p>
    <w:p w14:paraId="2216DA39">
      <w:pPr>
        <w:spacing w:line="360" w:lineRule="auto"/>
        <w:ind w:firstLine="480" w:firstLineChars="200"/>
        <w:rPr>
          <w:rFonts w:ascii="宋体" w:hAnsi="宋体" w:cs="宋体"/>
          <w:sz w:val="24"/>
          <w:szCs w:val="24"/>
        </w:rPr>
      </w:pPr>
      <w:r>
        <w:rPr>
          <w:rFonts w:hint="eastAsia" w:ascii="宋体" w:hAnsi="宋体" w:cs="宋体"/>
          <w:sz w:val="24"/>
          <w:szCs w:val="24"/>
        </w:rPr>
        <w:t>经招标人同意，中标人可以将本检测项目的部分工作依法分包给他人完成。接受分包的检测机构应当具备相应的资格条件，并不得再次分包。但分包项目的检测质量和工期由本合同中标人负责。分包合同原则上由中标人与另一方签订。该部分检测内容纳入本合同一并进行结算。</w:t>
      </w:r>
    </w:p>
    <w:p w14:paraId="6FA372B0">
      <w:pPr>
        <w:pStyle w:val="5"/>
        <w:spacing w:line="360" w:lineRule="auto"/>
        <w:ind w:firstLine="0" w:firstLineChars="0"/>
        <w:rPr>
          <w:rFonts w:ascii="宋体" w:hAnsi="宋体" w:eastAsia="宋体" w:cs="宋体"/>
          <w:szCs w:val="24"/>
        </w:rPr>
      </w:pPr>
      <w:bookmarkStart w:id="211" w:name="_Toc32619"/>
      <w:bookmarkStart w:id="212" w:name="_Toc492300576"/>
      <w:bookmarkStart w:id="213" w:name="_Toc29564"/>
      <w:bookmarkStart w:id="214" w:name="_Toc16032"/>
      <w:bookmarkStart w:id="215" w:name="_Toc7090"/>
      <w:bookmarkStart w:id="216" w:name="_Toc15584"/>
      <w:bookmarkStart w:id="217" w:name="_Toc5747"/>
      <w:bookmarkStart w:id="218" w:name="_Toc9275"/>
      <w:bookmarkStart w:id="219" w:name="_Toc11526"/>
      <w:bookmarkStart w:id="220" w:name="_Toc23487"/>
      <w:bookmarkStart w:id="221" w:name="_Toc995"/>
      <w:r>
        <w:rPr>
          <w:rFonts w:hint="eastAsia" w:ascii="宋体" w:hAnsi="宋体" w:eastAsia="宋体" w:cs="宋体"/>
          <w:szCs w:val="24"/>
        </w:rPr>
        <w:t>1.12响应和偏差</w:t>
      </w:r>
      <w:bookmarkEnd w:id="211"/>
      <w:bookmarkEnd w:id="212"/>
      <w:bookmarkEnd w:id="213"/>
      <w:bookmarkEnd w:id="214"/>
      <w:bookmarkEnd w:id="215"/>
      <w:bookmarkEnd w:id="216"/>
      <w:bookmarkEnd w:id="217"/>
      <w:bookmarkEnd w:id="218"/>
      <w:bookmarkEnd w:id="219"/>
      <w:bookmarkEnd w:id="220"/>
      <w:bookmarkEnd w:id="221"/>
    </w:p>
    <w:p w14:paraId="2F88CBC1">
      <w:pPr>
        <w:spacing w:line="360" w:lineRule="auto"/>
        <w:ind w:firstLine="480" w:firstLineChars="200"/>
        <w:rPr>
          <w:rFonts w:ascii="宋体" w:hAnsi="宋体" w:cs="宋体"/>
          <w:sz w:val="24"/>
          <w:szCs w:val="24"/>
        </w:rPr>
      </w:pPr>
      <w:r>
        <w:rPr>
          <w:rFonts w:hint="eastAsia" w:ascii="宋体" w:hAnsi="宋体" w:cs="宋体"/>
          <w:sz w:val="24"/>
          <w:szCs w:val="24"/>
        </w:rPr>
        <w:t>1.12.1投标文件应当对招标文件的实质性要求和条件作出满足性或更有利于招标人的响应，否则，投标人的投标将被否决。实质性要求和条件见投标人须知前附表。</w:t>
      </w:r>
    </w:p>
    <w:p w14:paraId="3A7F5C64">
      <w:pPr>
        <w:spacing w:line="360" w:lineRule="auto"/>
        <w:ind w:firstLine="480" w:firstLineChars="200"/>
        <w:rPr>
          <w:rFonts w:ascii="宋体" w:hAnsi="宋体" w:cs="宋体"/>
          <w:sz w:val="24"/>
          <w:szCs w:val="24"/>
        </w:rPr>
      </w:pPr>
      <w:r>
        <w:rPr>
          <w:rFonts w:ascii="宋体" w:hAnsi="宋体" w:cs="宋体"/>
          <w:sz w:val="24"/>
          <w:szCs w:val="24"/>
        </w:rPr>
        <w:t xml:space="preserve">1.12.2 </w:t>
      </w:r>
      <w:r>
        <w:rPr>
          <w:rFonts w:hint="eastAsia" w:ascii="宋体" w:hAnsi="宋体" w:cs="宋体"/>
          <w:sz w:val="24"/>
          <w:szCs w:val="24"/>
        </w:rPr>
        <w:t>投标人应根据招标文件的要求提供投标技术服务方案等内容以对招标文件作出响应。</w:t>
      </w:r>
    </w:p>
    <w:p w14:paraId="635F4026">
      <w:pPr>
        <w:spacing w:line="360" w:lineRule="auto"/>
        <w:ind w:firstLine="480" w:firstLineChars="200"/>
        <w:rPr>
          <w:rFonts w:ascii="宋体" w:hAnsi="宋体" w:cs="宋体"/>
          <w:sz w:val="24"/>
          <w:szCs w:val="24"/>
        </w:rPr>
      </w:pPr>
      <w:r>
        <w:rPr>
          <w:rFonts w:hint="eastAsia" w:ascii="宋体" w:hAnsi="宋体" w:cs="宋体"/>
          <w:sz w:val="24"/>
          <w:szCs w:val="24"/>
        </w:rPr>
        <w:t>1.12.3投标人须知前附表允许投标文件偏离招标文件某些要求的，偏差应当符合招标文件规定的偏差范围和幅度。</w:t>
      </w:r>
    </w:p>
    <w:p w14:paraId="06F7CA88">
      <w:pPr>
        <w:pStyle w:val="4"/>
        <w:spacing w:line="360" w:lineRule="auto"/>
        <w:rPr>
          <w:rFonts w:ascii="宋体" w:hAnsi="宋体" w:eastAsia="宋体" w:cs="宋体"/>
          <w:sz w:val="28"/>
          <w:szCs w:val="28"/>
        </w:rPr>
      </w:pPr>
      <w:bookmarkStart w:id="222" w:name="_Toc17578"/>
      <w:bookmarkStart w:id="223" w:name="_Toc4355"/>
      <w:bookmarkStart w:id="224" w:name="_Toc12512"/>
      <w:bookmarkStart w:id="225" w:name="_Toc4157"/>
      <w:bookmarkStart w:id="226" w:name="_Toc2551"/>
      <w:bookmarkStart w:id="227" w:name="_Toc30626"/>
      <w:bookmarkStart w:id="228" w:name="_Toc13086"/>
      <w:bookmarkStart w:id="229" w:name="_Toc21018"/>
      <w:bookmarkStart w:id="230" w:name="_Toc3361"/>
      <w:bookmarkStart w:id="231" w:name="_Toc32110"/>
      <w:bookmarkStart w:id="232" w:name="_Toc492300577"/>
      <w:r>
        <w:rPr>
          <w:rFonts w:ascii="宋体" w:hAnsi="宋体" w:eastAsia="宋体" w:cs="宋体"/>
          <w:sz w:val="28"/>
          <w:szCs w:val="28"/>
        </w:rPr>
        <w:t xml:space="preserve">2. </w:t>
      </w:r>
      <w:r>
        <w:rPr>
          <w:rFonts w:hint="eastAsia" w:ascii="宋体" w:hAnsi="宋体" w:eastAsia="宋体" w:cs="宋体"/>
          <w:sz w:val="28"/>
          <w:szCs w:val="28"/>
        </w:rPr>
        <w:t>招标文件</w:t>
      </w:r>
      <w:bookmarkEnd w:id="222"/>
      <w:bookmarkEnd w:id="223"/>
      <w:bookmarkEnd w:id="224"/>
      <w:bookmarkEnd w:id="225"/>
      <w:bookmarkEnd w:id="226"/>
      <w:bookmarkEnd w:id="227"/>
      <w:bookmarkEnd w:id="228"/>
      <w:bookmarkEnd w:id="229"/>
      <w:bookmarkEnd w:id="230"/>
      <w:bookmarkEnd w:id="231"/>
      <w:bookmarkEnd w:id="232"/>
    </w:p>
    <w:p w14:paraId="5AA89512">
      <w:pPr>
        <w:pStyle w:val="5"/>
        <w:spacing w:line="360" w:lineRule="auto"/>
        <w:ind w:firstLine="0" w:firstLineChars="0"/>
        <w:rPr>
          <w:rFonts w:ascii="宋体" w:hAnsi="宋体" w:eastAsia="宋体" w:cs="宋体"/>
          <w:szCs w:val="24"/>
        </w:rPr>
      </w:pPr>
      <w:bookmarkStart w:id="233" w:name="_Toc492300578"/>
      <w:bookmarkStart w:id="234" w:name="_Toc32308"/>
      <w:bookmarkStart w:id="235" w:name="_Toc18046"/>
      <w:bookmarkStart w:id="236" w:name="_Toc29609"/>
      <w:bookmarkStart w:id="237" w:name="_Toc21412"/>
      <w:bookmarkStart w:id="238" w:name="_Toc21453"/>
      <w:bookmarkStart w:id="239" w:name="_Toc25240"/>
      <w:bookmarkStart w:id="240" w:name="_Toc7909"/>
      <w:bookmarkStart w:id="241" w:name="_Toc28644"/>
      <w:bookmarkStart w:id="242" w:name="_Toc1039"/>
      <w:bookmarkStart w:id="243" w:name="_Toc7923"/>
      <w:r>
        <w:rPr>
          <w:rFonts w:ascii="宋体" w:hAnsi="宋体" w:eastAsia="宋体" w:cs="宋体"/>
          <w:szCs w:val="24"/>
        </w:rPr>
        <w:t xml:space="preserve">2.1 </w:t>
      </w:r>
      <w:r>
        <w:rPr>
          <w:rFonts w:hint="eastAsia" w:ascii="宋体" w:hAnsi="宋体" w:eastAsia="宋体" w:cs="宋体"/>
          <w:szCs w:val="24"/>
        </w:rPr>
        <w:t>招标文件的组成</w:t>
      </w:r>
      <w:bookmarkEnd w:id="233"/>
      <w:bookmarkEnd w:id="234"/>
      <w:bookmarkEnd w:id="235"/>
      <w:bookmarkEnd w:id="236"/>
      <w:bookmarkEnd w:id="237"/>
      <w:bookmarkEnd w:id="238"/>
      <w:bookmarkEnd w:id="239"/>
      <w:bookmarkEnd w:id="240"/>
      <w:bookmarkEnd w:id="241"/>
      <w:bookmarkEnd w:id="242"/>
      <w:bookmarkEnd w:id="243"/>
    </w:p>
    <w:p w14:paraId="59805BAD">
      <w:pPr>
        <w:spacing w:line="360" w:lineRule="auto"/>
        <w:ind w:firstLine="480" w:firstLineChars="200"/>
        <w:rPr>
          <w:rFonts w:ascii="宋体" w:hAnsi="宋体" w:cs="宋体"/>
          <w:sz w:val="24"/>
          <w:szCs w:val="24"/>
        </w:rPr>
      </w:pPr>
      <w:r>
        <w:rPr>
          <w:rFonts w:hint="eastAsia" w:ascii="宋体" w:hAnsi="宋体" w:cs="宋体"/>
          <w:sz w:val="24"/>
          <w:szCs w:val="24"/>
        </w:rPr>
        <w:t>本招标文件包括：</w:t>
      </w:r>
    </w:p>
    <w:p w14:paraId="62A3762B">
      <w:pPr>
        <w:spacing w:line="360" w:lineRule="auto"/>
        <w:ind w:firstLine="480" w:firstLineChars="200"/>
        <w:rPr>
          <w:rFonts w:ascii="宋体" w:hAnsi="宋体" w:cs="宋体"/>
          <w:sz w:val="24"/>
          <w:szCs w:val="24"/>
        </w:rPr>
      </w:pPr>
      <w:r>
        <w:rPr>
          <w:rFonts w:hint="eastAsia" w:ascii="宋体" w:hAnsi="宋体" w:cs="宋体"/>
          <w:sz w:val="24"/>
          <w:szCs w:val="24"/>
        </w:rPr>
        <w:t>（1）招标公告；</w:t>
      </w:r>
    </w:p>
    <w:p w14:paraId="74A6E2D5">
      <w:pPr>
        <w:spacing w:line="360" w:lineRule="auto"/>
        <w:ind w:firstLine="480" w:firstLineChars="200"/>
        <w:rPr>
          <w:rFonts w:ascii="宋体" w:hAnsi="宋体" w:cs="宋体"/>
          <w:sz w:val="24"/>
          <w:szCs w:val="24"/>
        </w:rPr>
      </w:pPr>
      <w:r>
        <w:rPr>
          <w:rFonts w:hint="eastAsia" w:ascii="宋体" w:hAnsi="宋体" w:cs="宋体"/>
          <w:sz w:val="24"/>
          <w:szCs w:val="24"/>
        </w:rPr>
        <w:t>（2）投标人须知；</w:t>
      </w:r>
    </w:p>
    <w:p w14:paraId="5EF01532">
      <w:pPr>
        <w:spacing w:line="360" w:lineRule="auto"/>
        <w:ind w:firstLine="480" w:firstLineChars="200"/>
        <w:rPr>
          <w:rFonts w:ascii="宋体" w:hAnsi="宋体" w:cs="宋体"/>
          <w:sz w:val="24"/>
          <w:szCs w:val="24"/>
        </w:rPr>
      </w:pPr>
      <w:r>
        <w:rPr>
          <w:rFonts w:hint="eastAsia" w:ascii="宋体" w:hAnsi="宋体" w:cs="宋体"/>
          <w:sz w:val="24"/>
          <w:szCs w:val="24"/>
        </w:rPr>
        <w:t>（3）评标办法；</w:t>
      </w:r>
    </w:p>
    <w:p w14:paraId="79423287">
      <w:pPr>
        <w:spacing w:line="360" w:lineRule="auto"/>
        <w:ind w:firstLine="480" w:firstLineChars="200"/>
        <w:rPr>
          <w:rFonts w:ascii="宋体" w:hAnsi="宋体" w:cs="宋体"/>
          <w:sz w:val="24"/>
          <w:szCs w:val="24"/>
        </w:rPr>
      </w:pPr>
      <w:r>
        <w:rPr>
          <w:rFonts w:hint="eastAsia" w:ascii="宋体" w:hAnsi="宋体" w:cs="宋体"/>
          <w:sz w:val="24"/>
          <w:szCs w:val="24"/>
        </w:rPr>
        <w:t>（4）合同条款及格式；</w:t>
      </w:r>
    </w:p>
    <w:p w14:paraId="489FF66B">
      <w:pPr>
        <w:spacing w:line="360" w:lineRule="auto"/>
        <w:ind w:firstLine="480" w:firstLineChars="200"/>
        <w:rPr>
          <w:rFonts w:ascii="宋体" w:hAnsi="宋体" w:cs="宋体"/>
          <w:sz w:val="24"/>
          <w:szCs w:val="24"/>
        </w:rPr>
      </w:pPr>
      <w:r>
        <w:rPr>
          <w:rFonts w:hint="eastAsia" w:ascii="宋体" w:hAnsi="宋体" w:cs="宋体"/>
          <w:sz w:val="24"/>
          <w:szCs w:val="24"/>
        </w:rPr>
        <w:t>（5）委托人要求；</w:t>
      </w:r>
    </w:p>
    <w:p w14:paraId="1FD0282C">
      <w:pPr>
        <w:spacing w:line="360" w:lineRule="auto"/>
        <w:ind w:firstLine="480" w:firstLineChars="200"/>
        <w:rPr>
          <w:rFonts w:ascii="宋体" w:hAnsi="宋体" w:cs="宋体"/>
          <w:sz w:val="24"/>
          <w:szCs w:val="24"/>
        </w:rPr>
      </w:pPr>
      <w:r>
        <w:rPr>
          <w:rFonts w:hint="eastAsia" w:ascii="宋体" w:hAnsi="宋体" w:cs="宋体"/>
          <w:sz w:val="24"/>
          <w:szCs w:val="24"/>
        </w:rPr>
        <w:t>（6）投标文件格式；</w:t>
      </w:r>
    </w:p>
    <w:p w14:paraId="0BB01AF1">
      <w:pPr>
        <w:spacing w:line="360" w:lineRule="auto"/>
        <w:ind w:firstLine="480" w:firstLineChars="200"/>
        <w:rPr>
          <w:rFonts w:ascii="宋体" w:hAnsi="宋体" w:cs="宋体"/>
          <w:sz w:val="24"/>
          <w:szCs w:val="24"/>
        </w:rPr>
      </w:pPr>
      <w:r>
        <w:rPr>
          <w:rFonts w:hint="eastAsia" w:ascii="宋体" w:hAnsi="宋体" w:cs="宋体"/>
          <w:sz w:val="24"/>
          <w:szCs w:val="24"/>
        </w:rPr>
        <w:t>（7）投标人须知前附表规定的其他资料。</w:t>
      </w:r>
    </w:p>
    <w:p w14:paraId="4BE7922A">
      <w:pPr>
        <w:spacing w:line="360" w:lineRule="auto"/>
        <w:ind w:firstLine="480" w:firstLineChars="200"/>
        <w:rPr>
          <w:rFonts w:ascii="宋体" w:hAnsi="宋体" w:cs="宋体"/>
          <w:sz w:val="24"/>
          <w:szCs w:val="24"/>
        </w:rPr>
      </w:pPr>
      <w:r>
        <w:rPr>
          <w:rFonts w:hint="eastAsia" w:ascii="宋体" w:hAnsi="宋体" w:cs="宋体"/>
          <w:sz w:val="24"/>
          <w:szCs w:val="24"/>
        </w:rPr>
        <w:t>根据本章第1.10款、第2.2款和第2.3款对招标文件所作的澄清、修改，构成招标文件的组成部分。</w:t>
      </w:r>
    </w:p>
    <w:p w14:paraId="47CB3A7F">
      <w:pPr>
        <w:pStyle w:val="5"/>
        <w:spacing w:line="360" w:lineRule="auto"/>
        <w:ind w:firstLine="0" w:firstLineChars="0"/>
        <w:rPr>
          <w:rFonts w:ascii="宋体" w:hAnsi="宋体" w:eastAsia="宋体" w:cs="宋体"/>
          <w:szCs w:val="24"/>
        </w:rPr>
      </w:pPr>
      <w:bookmarkStart w:id="244" w:name="_Toc492300579"/>
      <w:bookmarkStart w:id="245" w:name="_Toc17542"/>
      <w:bookmarkStart w:id="246" w:name="_Toc30224"/>
      <w:bookmarkStart w:id="247" w:name="_Toc31226"/>
      <w:bookmarkStart w:id="248" w:name="_Toc32418"/>
      <w:bookmarkStart w:id="249" w:name="_Toc20512"/>
      <w:bookmarkStart w:id="250" w:name="_Toc29033"/>
      <w:bookmarkStart w:id="251" w:name="_Toc32400"/>
      <w:bookmarkStart w:id="252" w:name="_Toc21017"/>
      <w:bookmarkStart w:id="253" w:name="_Toc27084"/>
      <w:bookmarkStart w:id="254" w:name="_Toc20370"/>
      <w:r>
        <w:rPr>
          <w:rFonts w:ascii="宋体" w:hAnsi="宋体" w:eastAsia="宋体" w:cs="宋体"/>
          <w:szCs w:val="24"/>
        </w:rPr>
        <w:t xml:space="preserve">2.2 </w:t>
      </w:r>
      <w:r>
        <w:rPr>
          <w:rFonts w:hint="eastAsia" w:ascii="宋体" w:hAnsi="宋体" w:eastAsia="宋体" w:cs="宋体"/>
          <w:szCs w:val="24"/>
        </w:rPr>
        <w:t>招标文件的澄清</w:t>
      </w:r>
      <w:bookmarkEnd w:id="244"/>
      <w:bookmarkEnd w:id="245"/>
      <w:bookmarkEnd w:id="246"/>
      <w:bookmarkEnd w:id="247"/>
      <w:bookmarkEnd w:id="248"/>
      <w:bookmarkEnd w:id="249"/>
      <w:bookmarkEnd w:id="250"/>
      <w:bookmarkEnd w:id="251"/>
      <w:bookmarkEnd w:id="252"/>
      <w:bookmarkEnd w:id="253"/>
      <w:bookmarkEnd w:id="254"/>
    </w:p>
    <w:p w14:paraId="17236484">
      <w:pPr>
        <w:spacing w:line="360" w:lineRule="auto"/>
        <w:ind w:firstLine="480" w:firstLineChars="200"/>
        <w:rPr>
          <w:rFonts w:ascii="宋体" w:hAnsi="宋体" w:cs="宋体"/>
          <w:sz w:val="24"/>
          <w:szCs w:val="24"/>
        </w:rPr>
      </w:pPr>
      <w:r>
        <w:rPr>
          <w:rFonts w:ascii="宋体" w:hAnsi="宋体" w:cs="宋体"/>
          <w:sz w:val="24"/>
          <w:szCs w:val="24"/>
        </w:rPr>
        <w:t xml:space="preserve">2.2.1 </w:t>
      </w:r>
      <w:r>
        <w:rPr>
          <w:rFonts w:hint="eastAsia" w:ascii="宋体" w:hAnsi="宋体" w:cs="宋体"/>
          <w:sz w:val="24"/>
          <w:szCs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18DA33A">
      <w:pPr>
        <w:spacing w:line="360" w:lineRule="auto"/>
        <w:ind w:firstLine="480" w:firstLineChars="200"/>
        <w:rPr>
          <w:rFonts w:ascii="宋体" w:hAnsi="宋体" w:cs="宋体"/>
          <w:sz w:val="24"/>
          <w:szCs w:val="24"/>
        </w:rPr>
      </w:pPr>
      <w:bookmarkStart w:id="255" w:name="_Hlk136176439"/>
      <w:r>
        <w:rPr>
          <w:rFonts w:hint="eastAsia" w:ascii="宋体" w:hAnsi="宋体" w:cs="宋体"/>
          <w:sz w:val="24"/>
          <w:szCs w:val="24"/>
        </w:rPr>
        <w:t>2.2.2招标文件的澄清以投标人须知前附表规定的形式发给所有购买招标文件的投标人，但不指明澄清问题的来源。澄清发出的时间距本章第</w:t>
      </w:r>
      <w:r>
        <w:rPr>
          <w:rFonts w:ascii="宋体" w:hAnsi="宋体" w:cs="宋体"/>
          <w:sz w:val="24"/>
          <w:szCs w:val="24"/>
        </w:rPr>
        <w:t>4.2.1项规定的投标截止时间不足15日的，并且澄清内容可能影响投标文件编制的，将相应延长投标截止时间。</w:t>
      </w:r>
    </w:p>
    <w:bookmarkEnd w:id="255"/>
    <w:p w14:paraId="11094CDE">
      <w:pPr>
        <w:spacing w:line="360" w:lineRule="auto"/>
        <w:ind w:firstLine="480" w:firstLineChars="200"/>
        <w:rPr>
          <w:rFonts w:ascii="宋体" w:hAnsi="宋体" w:cs="宋体"/>
          <w:sz w:val="24"/>
          <w:szCs w:val="24"/>
        </w:rPr>
      </w:pPr>
      <w:r>
        <w:rPr>
          <w:rFonts w:ascii="宋体" w:hAnsi="宋体" w:cs="宋体"/>
          <w:sz w:val="24"/>
          <w:szCs w:val="24"/>
        </w:rPr>
        <w:t xml:space="preserve">2.2.3 </w:t>
      </w:r>
      <w:r>
        <w:rPr>
          <w:rFonts w:hint="eastAsia" w:ascii="宋体" w:hAnsi="宋体" w:cs="宋体"/>
          <w:sz w:val="24"/>
          <w:szCs w:val="24"/>
        </w:rPr>
        <w:t>投标人在收到澄清后，应按投标人须知前附表规定的时间和形式通知招标人，确认已收到该澄清。</w:t>
      </w:r>
    </w:p>
    <w:p w14:paraId="1A3ED3CD">
      <w:pPr>
        <w:spacing w:line="360" w:lineRule="auto"/>
        <w:ind w:firstLine="480" w:firstLineChars="200"/>
        <w:rPr>
          <w:rFonts w:ascii="宋体" w:hAnsi="宋体" w:cs="宋体"/>
          <w:sz w:val="24"/>
          <w:szCs w:val="24"/>
        </w:rPr>
      </w:pPr>
      <w:r>
        <w:rPr>
          <w:rFonts w:ascii="宋体" w:hAnsi="宋体" w:cs="宋体"/>
          <w:sz w:val="24"/>
          <w:szCs w:val="24"/>
        </w:rPr>
        <w:t xml:space="preserve">2.2.4 </w:t>
      </w:r>
      <w:r>
        <w:rPr>
          <w:rFonts w:hint="eastAsia" w:ascii="宋体" w:hAnsi="宋体" w:cs="宋体"/>
          <w:sz w:val="24"/>
          <w:szCs w:val="24"/>
        </w:rPr>
        <w:t>除非招标人认为确有必要答复，否则，招标人有权拒绝回复投标人在本章第2.2.1项规定的时间后的任何澄清要求。</w:t>
      </w:r>
    </w:p>
    <w:p w14:paraId="255A833A">
      <w:pPr>
        <w:pStyle w:val="5"/>
        <w:spacing w:line="360" w:lineRule="auto"/>
        <w:ind w:firstLine="0" w:firstLineChars="0"/>
        <w:rPr>
          <w:rFonts w:ascii="宋体" w:hAnsi="宋体" w:eastAsia="宋体" w:cs="宋体"/>
          <w:szCs w:val="24"/>
        </w:rPr>
      </w:pPr>
      <w:bookmarkStart w:id="256" w:name="_Toc492300580"/>
      <w:bookmarkStart w:id="257" w:name="_Toc1982"/>
      <w:bookmarkStart w:id="258" w:name="_Toc19220"/>
      <w:bookmarkStart w:id="259" w:name="_Toc21906"/>
      <w:bookmarkStart w:id="260" w:name="_Toc28678"/>
      <w:bookmarkStart w:id="261" w:name="_Toc6375"/>
      <w:bookmarkStart w:id="262" w:name="_Toc3354"/>
      <w:bookmarkStart w:id="263" w:name="_Toc1427"/>
      <w:bookmarkStart w:id="264" w:name="_Toc16341"/>
      <w:bookmarkStart w:id="265" w:name="_Toc7145"/>
      <w:bookmarkStart w:id="266" w:name="_Toc11529"/>
      <w:bookmarkStart w:id="267" w:name="_Toc352691479"/>
      <w:r>
        <w:rPr>
          <w:rFonts w:ascii="宋体" w:hAnsi="宋体" w:eastAsia="宋体" w:cs="宋体"/>
          <w:szCs w:val="24"/>
        </w:rPr>
        <w:t xml:space="preserve">2.3 </w:t>
      </w:r>
      <w:r>
        <w:rPr>
          <w:rFonts w:hint="eastAsia" w:ascii="宋体" w:hAnsi="宋体" w:eastAsia="宋体" w:cs="宋体"/>
          <w:szCs w:val="24"/>
        </w:rPr>
        <w:t>招标文件的修</w:t>
      </w:r>
      <w:bookmarkStart w:id="268" w:name="_Toc369531521"/>
      <w:bookmarkStart w:id="269" w:name="_Toc16514"/>
      <w:r>
        <w:rPr>
          <w:rFonts w:hint="eastAsia" w:ascii="宋体" w:hAnsi="宋体" w:eastAsia="宋体" w:cs="宋体"/>
          <w:szCs w:val="24"/>
        </w:rPr>
        <w:t>改</w:t>
      </w:r>
      <w:bookmarkEnd w:id="256"/>
      <w:bookmarkEnd w:id="257"/>
      <w:bookmarkEnd w:id="258"/>
      <w:bookmarkEnd w:id="259"/>
      <w:bookmarkEnd w:id="260"/>
      <w:bookmarkEnd w:id="261"/>
      <w:bookmarkEnd w:id="262"/>
      <w:bookmarkEnd w:id="263"/>
      <w:bookmarkEnd w:id="264"/>
      <w:bookmarkEnd w:id="265"/>
      <w:bookmarkEnd w:id="266"/>
    </w:p>
    <w:p w14:paraId="747A69B9">
      <w:pPr>
        <w:spacing w:line="360" w:lineRule="auto"/>
        <w:ind w:firstLine="480" w:firstLineChars="200"/>
        <w:rPr>
          <w:rFonts w:ascii="宋体" w:hAnsi="宋体" w:cs="宋体"/>
          <w:sz w:val="24"/>
          <w:szCs w:val="24"/>
        </w:rPr>
      </w:pPr>
      <w:r>
        <w:rPr>
          <w:rFonts w:hint="eastAsia" w:ascii="宋体" w:hAnsi="宋体" w:cs="宋体"/>
          <w:sz w:val="24"/>
          <w:szCs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267"/>
    <w:bookmarkEnd w:id="268"/>
    <w:bookmarkEnd w:id="269"/>
    <w:p w14:paraId="63236E82">
      <w:pPr>
        <w:spacing w:line="360" w:lineRule="auto"/>
        <w:ind w:firstLine="480" w:firstLineChars="200"/>
        <w:rPr>
          <w:rFonts w:ascii="宋体" w:hAnsi="宋体" w:cs="宋体"/>
          <w:sz w:val="24"/>
          <w:szCs w:val="24"/>
        </w:rPr>
      </w:pPr>
      <w:r>
        <w:rPr>
          <w:rFonts w:ascii="宋体" w:hAnsi="宋体" w:cs="宋体"/>
          <w:sz w:val="24"/>
          <w:szCs w:val="24"/>
        </w:rPr>
        <w:t xml:space="preserve">2.3.2 </w:t>
      </w:r>
      <w:r>
        <w:rPr>
          <w:rFonts w:hint="eastAsia" w:ascii="宋体" w:hAnsi="宋体" w:cs="宋体"/>
          <w:sz w:val="24"/>
          <w:szCs w:val="24"/>
        </w:rPr>
        <w:t>投标人收到修改内容</w:t>
      </w:r>
      <w:bookmarkStart w:id="270" w:name="_Toc384308218"/>
      <w:bookmarkStart w:id="271" w:name="_Toc144974506"/>
      <w:bookmarkStart w:id="272" w:name="_Toc247527562"/>
      <w:bookmarkStart w:id="273" w:name="_Toc152042314"/>
      <w:bookmarkStart w:id="274" w:name="_Toc247513961"/>
      <w:bookmarkStart w:id="275" w:name="_Toc152045538"/>
      <w:bookmarkStart w:id="276" w:name="_Toc361508593"/>
      <w:bookmarkStart w:id="277" w:name="_Toc24632"/>
      <w:bookmarkStart w:id="278" w:name="_Toc369531524"/>
      <w:bookmarkStart w:id="279" w:name="_Toc300834958"/>
      <w:bookmarkStart w:id="280" w:name="_Toc352691482"/>
      <w:r>
        <w:rPr>
          <w:rFonts w:hint="eastAsia" w:ascii="宋体" w:hAnsi="宋体" w:cs="宋体"/>
          <w:sz w:val="24"/>
          <w:szCs w:val="24"/>
        </w:rPr>
        <w:t>后，</w:t>
      </w:r>
      <w:bookmarkEnd w:id="270"/>
      <w:bookmarkEnd w:id="271"/>
      <w:bookmarkEnd w:id="272"/>
      <w:bookmarkEnd w:id="273"/>
      <w:bookmarkEnd w:id="274"/>
      <w:bookmarkEnd w:id="275"/>
      <w:bookmarkEnd w:id="276"/>
      <w:bookmarkEnd w:id="277"/>
      <w:bookmarkEnd w:id="278"/>
      <w:bookmarkEnd w:id="279"/>
      <w:bookmarkEnd w:id="280"/>
      <w:bookmarkStart w:id="281" w:name="_Toc144974508"/>
      <w:bookmarkStart w:id="282" w:name="_Toc247513963"/>
      <w:bookmarkStart w:id="283" w:name="_Toc352691484"/>
      <w:bookmarkStart w:id="284" w:name="_Toc152045540"/>
      <w:bookmarkStart w:id="285" w:name="_Toc152042316"/>
      <w:bookmarkStart w:id="286" w:name="_Toc247527564"/>
      <w:bookmarkStart w:id="287" w:name="_Toc361508595"/>
      <w:bookmarkStart w:id="288" w:name="_Toc300834960"/>
      <w:bookmarkStart w:id="289" w:name="_Toc369531526"/>
      <w:bookmarkStart w:id="290" w:name="_Toc384308220"/>
      <w:bookmarkStart w:id="291" w:name="_Toc16623"/>
      <w:r>
        <w:rPr>
          <w:rFonts w:hint="eastAsia" w:ascii="宋体" w:hAnsi="宋体" w:cs="宋体"/>
          <w:sz w:val="24"/>
          <w:szCs w:val="24"/>
        </w:rPr>
        <w:t>应按投标人须知前附表规定的时间和形式通知招标人，确认已收到该修改。</w:t>
      </w:r>
    </w:p>
    <w:p w14:paraId="71821EDA">
      <w:pPr>
        <w:pStyle w:val="5"/>
        <w:spacing w:line="360" w:lineRule="auto"/>
        <w:ind w:firstLine="0" w:firstLineChars="0"/>
        <w:rPr>
          <w:rFonts w:ascii="宋体" w:hAnsi="宋体" w:eastAsia="宋体" w:cs="宋体"/>
          <w:szCs w:val="24"/>
        </w:rPr>
      </w:pPr>
      <w:bookmarkStart w:id="292" w:name="_Toc17249"/>
      <w:bookmarkStart w:id="293" w:name="_Toc22512"/>
      <w:bookmarkStart w:id="294" w:name="_Toc11612"/>
      <w:bookmarkStart w:id="295" w:name="_Toc30063"/>
      <w:bookmarkStart w:id="296" w:name="_Toc30892"/>
      <w:bookmarkStart w:id="297" w:name="_Toc492300581"/>
      <w:bookmarkStart w:id="298" w:name="_Toc32698"/>
      <w:bookmarkStart w:id="299" w:name="_Toc12303"/>
      <w:bookmarkStart w:id="300" w:name="_Toc333"/>
      <w:bookmarkStart w:id="301" w:name="_Toc9879"/>
      <w:bookmarkStart w:id="302" w:name="_Toc24120"/>
      <w:bookmarkStart w:id="303" w:name="_Hlk136176469"/>
      <w:r>
        <w:rPr>
          <w:rFonts w:ascii="宋体" w:hAnsi="宋体" w:eastAsia="宋体" w:cs="宋体"/>
          <w:szCs w:val="24"/>
        </w:rPr>
        <w:t>2.</w:t>
      </w:r>
      <w:bookmarkEnd w:id="281"/>
      <w:bookmarkEnd w:id="282"/>
      <w:bookmarkEnd w:id="283"/>
      <w:bookmarkEnd w:id="284"/>
      <w:bookmarkEnd w:id="285"/>
      <w:bookmarkEnd w:id="286"/>
      <w:bookmarkEnd w:id="287"/>
      <w:bookmarkEnd w:id="288"/>
      <w:bookmarkEnd w:id="289"/>
      <w:bookmarkEnd w:id="290"/>
      <w:bookmarkEnd w:id="291"/>
      <w:r>
        <w:rPr>
          <w:rFonts w:ascii="宋体" w:hAnsi="宋体" w:eastAsia="宋体" w:cs="宋体"/>
          <w:szCs w:val="24"/>
        </w:rPr>
        <w:t xml:space="preserve">4 </w:t>
      </w:r>
      <w:r>
        <w:rPr>
          <w:rFonts w:hint="eastAsia" w:ascii="宋体" w:hAnsi="宋体" w:eastAsia="宋体" w:cs="宋体"/>
          <w:szCs w:val="24"/>
        </w:rPr>
        <w:t>招标文件的异议</w:t>
      </w:r>
      <w:bookmarkEnd w:id="292"/>
      <w:bookmarkEnd w:id="293"/>
      <w:bookmarkEnd w:id="294"/>
      <w:bookmarkEnd w:id="295"/>
      <w:bookmarkEnd w:id="296"/>
      <w:bookmarkEnd w:id="297"/>
      <w:bookmarkEnd w:id="298"/>
      <w:bookmarkEnd w:id="299"/>
      <w:bookmarkEnd w:id="300"/>
      <w:bookmarkEnd w:id="301"/>
      <w:bookmarkEnd w:id="302"/>
    </w:p>
    <w:p w14:paraId="705037F4">
      <w:pPr>
        <w:spacing w:line="360" w:lineRule="auto"/>
        <w:ind w:firstLine="480" w:firstLineChars="200"/>
        <w:rPr>
          <w:rFonts w:ascii="Times New Roman" w:hAnsi="Times New Roman"/>
          <w:sz w:val="24"/>
          <w:szCs w:val="24"/>
        </w:rPr>
      </w:pPr>
      <w:r>
        <w:rPr>
          <w:rFonts w:hint="eastAsia" w:ascii="宋体" w:hAnsi="宋体" w:cs="宋体"/>
          <w:sz w:val="24"/>
          <w:szCs w:val="24"/>
        </w:rPr>
        <w:t>投标</w:t>
      </w:r>
      <w:r>
        <w:rPr>
          <w:rFonts w:ascii="Times New Roman" w:hAnsi="Times New Roman"/>
          <w:sz w:val="24"/>
          <w:szCs w:val="24"/>
        </w:rPr>
        <w:t>人或者其他利害关系人对招标文件有异议的，应当在投标截止时间10日前以书面形式</w:t>
      </w:r>
      <w:r>
        <w:rPr>
          <w:rFonts w:hint="eastAsia" w:ascii="宋体" w:hAnsi="宋体" w:cs="宋体"/>
          <w:sz w:val="24"/>
          <w:szCs w:val="24"/>
          <w:u w:val="single"/>
        </w:rPr>
        <w:t>或线上的形式</w:t>
      </w:r>
      <w:r>
        <w:rPr>
          <w:rFonts w:ascii="Times New Roman" w:hAnsi="Times New Roman"/>
          <w:sz w:val="24"/>
          <w:szCs w:val="24"/>
        </w:rPr>
        <w:t>提出。招标人将在收到异议之日起3日内作出答复；作出答复前，将暂停招标投标活动。</w:t>
      </w:r>
    </w:p>
    <w:p w14:paraId="4101053B">
      <w:pPr>
        <w:spacing w:line="360" w:lineRule="auto"/>
        <w:ind w:firstLine="480" w:firstLineChars="200"/>
        <w:rPr>
          <w:rFonts w:ascii="宋体" w:hAnsi="宋体" w:cs="宋体"/>
          <w:sz w:val="24"/>
          <w:szCs w:val="24"/>
        </w:rPr>
      </w:pPr>
      <w:r>
        <w:rPr>
          <w:rFonts w:hint="eastAsia" w:ascii="宋体" w:hAnsi="宋体" w:cs="宋体"/>
          <w:sz w:val="24"/>
          <w:szCs w:val="24"/>
          <w:u w:val="single"/>
        </w:rPr>
        <w:t>注：潜在投标人或利害关系人可以通过线下或线上的形式提出异议。线上提出异议的，应通过广交易建设工程电子交易系统提交，招标人也应通过广交易建设工程电子交易系统答复线上提出的异议。具体按照广交易建设工程电子交易系统相关指南进行操作。作出答复前，应当暂停招标投标活动。</w:t>
      </w:r>
    </w:p>
    <w:bookmarkEnd w:id="303"/>
    <w:p w14:paraId="0E417D03">
      <w:pPr>
        <w:pStyle w:val="4"/>
        <w:spacing w:line="360" w:lineRule="auto"/>
        <w:rPr>
          <w:rFonts w:ascii="宋体" w:hAnsi="宋体" w:eastAsia="宋体" w:cs="宋体"/>
          <w:sz w:val="28"/>
          <w:szCs w:val="28"/>
        </w:rPr>
      </w:pPr>
      <w:bookmarkStart w:id="304" w:name="_Toc23844"/>
      <w:bookmarkStart w:id="305" w:name="_Toc27522"/>
      <w:bookmarkStart w:id="306" w:name="_Toc23493"/>
      <w:bookmarkStart w:id="307" w:name="_Toc18605"/>
      <w:bookmarkStart w:id="308" w:name="_Toc32598"/>
      <w:bookmarkStart w:id="309" w:name="_Toc492300582"/>
      <w:bookmarkStart w:id="310" w:name="_Toc8793"/>
      <w:bookmarkStart w:id="311" w:name="_Toc570"/>
      <w:bookmarkStart w:id="312" w:name="_Toc27869"/>
      <w:bookmarkStart w:id="313" w:name="_Toc11693"/>
      <w:bookmarkStart w:id="314" w:name="_Toc18998"/>
      <w:r>
        <w:rPr>
          <w:rFonts w:ascii="宋体" w:hAnsi="宋体" w:eastAsia="宋体" w:cs="宋体"/>
          <w:sz w:val="28"/>
          <w:szCs w:val="28"/>
        </w:rPr>
        <w:t xml:space="preserve">3. </w:t>
      </w:r>
      <w:r>
        <w:rPr>
          <w:rFonts w:hint="eastAsia" w:ascii="宋体" w:hAnsi="宋体" w:eastAsia="宋体" w:cs="宋体"/>
          <w:sz w:val="28"/>
          <w:szCs w:val="28"/>
        </w:rPr>
        <w:t>投标文件</w:t>
      </w:r>
      <w:bookmarkEnd w:id="304"/>
      <w:bookmarkEnd w:id="305"/>
      <w:bookmarkEnd w:id="306"/>
      <w:bookmarkEnd w:id="307"/>
      <w:bookmarkEnd w:id="308"/>
      <w:bookmarkEnd w:id="309"/>
      <w:bookmarkEnd w:id="310"/>
      <w:bookmarkEnd w:id="311"/>
      <w:bookmarkEnd w:id="312"/>
      <w:bookmarkEnd w:id="313"/>
      <w:bookmarkEnd w:id="314"/>
    </w:p>
    <w:p w14:paraId="26A221E8">
      <w:pPr>
        <w:pStyle w:val="5"/>
        <w:spacing w:line="360" w:lineRule="auto"/>
        <w:ind w:firstLine="0" w:firstLineChars="0"/>
        <w:rPr>
          <w:rFonts w:ascii="宋体" w:hAnsi="宋体" w:eastAsia="宋体" w:cs="宋体"/>
          <w:szCs w:val="24"/>
        </w:rPr>
      </w:pPr>
      <w:bookmarkStart w:id="315" w:name="_Toc31064"/>
      <w:bookmarkStart w:id="316" w:name="_Toc22448"/>
      <w:bookmarkStart w:id="317" w:name="_Toc32"/>
      <w:bookmarkStart w:id="318" w:name="_Toc30059"/>
      <w:bookmarkStart w:id="319" w:name="_Toc14035"/>
      <w:bookmarkStart w:id="320" w:name="_Toc24454"/>
      <w:bookmarkStart w:id="321" w:name="_Toc492300583"/>
      <w:bookmarkStart w:id="322" w:name="_Toc8333"/>
      <w:bookmarkStart w:id="323" w:name="_Toc26587"/>
      <w:bookmarkStart w:id="324" w:name="_Toc26287"/>
      <w:bookmarkStart w:id="325" w:name="_Toc16439"/>
      <w:r>
        <w:rPr>
          <w:rFonts w:ascii="宋体" w:hAnsi="宋体" w:eastAsia="宋体" w:cs="宋体"/>
          <w:szCs w:val="24"/>
        </w:rPr>
        <w:t xml:space="preserve">3.1 </w:t>
      </w:r>
      <w:r>
        <w:rPr>
          <w:rFonts w:hint="eastAsia" w:ascii="宋体" w:hAnsi="宋体" w:eastAsia="宋体" w:cs="宋体"/>
          <w:szCs w:val="24"/>
        </w:rPr>
        <w:t>投标文件的组成</w:t>
      </w:r>
      <w:bookmarkEnd w:id="315"/>
      <w:bookmarkEnd w:id="316"/>
      <w:bookmarkEnd w:id="317"/>
      <w:bookmarkEnd w:id="318"/>
      <w:bookmarkEnd w:id="319"/>
      <w:bookmarkEnd w:id="320"/>
      <w:bookmarkEnd w:id="321"/>
      <w:bookmarkEnd w:id="322"/>
      <w:bookmarkEnd w:id="323"/>
      <w:bookmarkEnd w:id="324"/>
      <w:bookmarkEnd w:id="325"/>
    </w:p>
    <w:p w14:paraId="7DF9BDF0">
      <w:pPr>
        <w:spacing w:line="360" w:lineRule="auto"/>
        <w:ind w:firstLine="480" w:firstLineChars="200"/>
        <w:rPr>
          <w:rFonts w:ascii="宋体" w:hAnsi="宋体" w:cs="宋体"/>
          <w:sz w:val="24"/>
          <w:szCs w:val="24"/>
        </w:rPr>
      </w:pPr>
      <w:r>
        <w:rPr>
          <w:rFonts w:ascii="宋体" w:hAnsi="宋体" w:cs="宋体"/>
          <w:sz w:val="24"/>
          <w:szCs w:val="24"/>
        </w:rPr>
        <w:t xml:space="preserve">3.1.1 </w:t>
      </w:r>
      <w:r>
        <w:rPr>
          <w:rFonts w:hint="eastAsia" w:ascii="宋体" w:hAnsi="宋体" w:cs="宋体"/>
          <w:sz w:val="24"/>
          <w:szCs w:val="24"/>
        </w:rPr>
        <w:t>投标文件应包括下列内容：</w:t>
      </w:r>
    </w:p>
    <w:p w14:paraId="7BC9A4CB">
      <w:pPr>
        <w:spacing w:line="360" w:lineRule="auto"/>
        <w:ind w:firstLine="480" w:firstLineChars="200"/>
        <w:rPr>
          <w:rFonts w:ascii="宋体" w:hAnsi="宋体" w:cs="宋体"/>
          <w:sz w:val="24"/>
          <w:szCs w:val="24"/>
        </w:rPr>
      </w:pPr>
      <w:r>
        <w:rPr>
          <w:rFonts w:hint="eastAsia" w:ascii="宋体" w:hAnsi="宋体" w:cs="宋体"/>
          <w:sz w:val="24"/>
          <w:szCs w:val="24"/>
        </w:rPr>
        <w:t>（1）投标函及投标函附录；</w:t>
      </w:r>
    </w:p>
    <w:p w14:paraId="747F60DE">
      <w:pPr>
        <w:spacing w:line="360" w:lineRule="auto"/>
        <w:ind w:firstLine="480" w:firstLineChars="200"/>
        <w:rPr>
          <w:rFonts w:ascii="宋体" w:hAnsi="宋体" w:cs="宋体"/>
          <w:sz w:val="24"/>
          <w:szCs w:val="24"/>
        </w:rPr>
      </w:pPr>
      <w:r>
        <w:rPr>
          <w:rFonts w:hint="eastAsia" w:ascii="宋体" w:hAnsi="宋体" w:cs="宋体"/>
          <w:sz w:val="24"/>
          <w:szCs w:val="24"/>
        </w:rPr>
        <w:t>（2）法定代表人身份证明或授权委托书；</w:t>
      </w:r>
    </w:p>
    <w:p w14:paraId="579F527F">
      <w:pPr>
        <w:spacing w:line="360" w:lineRule="auto"/>
        <w:ind w:firstLine="480" w:firstLineChars="200"/>
        <w:rPr>
          <w:rFonts w:ascii="宋体" w:hAnsi="宋体" w:cs="宋体"/>
          <w:strike/>
          <w:sz w:val="24"/>
          <w:szCs w:val="24"/>
        </w:rPr>
      </w:pPr>
      <w:r>
        <w:rPr>
          <w:rFonts w:hint="eastAsia" w:ascii="宋体" w:hAnsi="宋体" w:cs="宋体"/>
          <w:strike/>
          <w:sz w:val="24"/>
          <w:szCs w:val="24"/>
        </w:rPr>
        <w:t>（3）联合体协议书（如有）；</w:t>
      </w:r>
    </w:p>
    <w:p w14:paraId="3E17C568">
      <w:pPr>
        <w:spacing w:line="360" w:lineRule="auto"/>
        <w:ind w:firstLine="480" w:firstLineChars="200"/>
        <w:rPr>
          <w:rFonts w:ascii="宋体" w:hAnsi="宋体" w:cs="宋体"/>
          <w:strike/>
          <w:sz w:val="24"/>
          <w:szCs w:val="24"/>
        </w:rPr>
      </w:pPr>
      <w:r>
        <w:rPr>
          <w:rFonts w:hint="eastAsia" w:ascii="宋体" w:hAnsi="宋体" w:cs="宋体"/>
          <w:strike/>
          <w:sz w:val="24"/>
          <w:szCs w:val="24"/>
        </w:rPr>
        <w:t>（4）投标保证金（如有）；</w:t>
      </w:r>
    </w:p>
    <w:p w14:paraId="542AB2C1">
      <w:pPr>
        <w:spacing w:line="360" w:lineRule="auto"/>
        <w:ind w:firstLine="480" w:firstLineChars="200"/>
        <w:rPr>
          <w:rFonts w:ascii="宋体" w:hAnsi="宋体" w:cs="宋体"/>
          <w:sz w:val="24"/>
          <w:szCs w:val="24"/>
        </w:rPr>
      </w:pPr>
      <w:r>
        <w:rPr>
          <w:rFonts w:hint="eastAsia" w:ascii="宋体" w:hAnsi="宋体" w:cs="宋体"/>
          <w:sz w:val="24"/>
          <w:szCs w:val="24"/>
        </w:rPr>
        <w:t>（5）投标报价表；</w:t>
      </w:r>
    </w:p>
    <w:p w14:paraId="4E878314">
      <w:pPr>
        <w:spacing w:line="360" w:lineRule="auto"/>
        <w:ind w:firstLine="480" w:firstLineChars="200"/>
        <w:rPr>
          <w:rFonts w:ascii="宋体" w:hAnsi="宋体" w:cs="宋体"/>
          <w:sz w:val="24"/>
          <w:szCs w:val="24"/>
        </w:rPr>
      </w:pPr>
      <w:r>
        <w:rPr>
          <w:rFonts w:hint="eastAsia" w:ascii="宋体" w:hAnsi="宋体" w:cs="宋体"/>
          <w:sz w:val="24"/>
          <w:szCs w:val="24"/>
        </w:rPr>
        <w:t>（6）资格审查资料；</w:t>
      </w:r>
    </w:p>
    <w:p w14:paraId="78A9C73C">
      <w:pPr>
        <w:spacing w:line="360" w:lineRule="auto"/>
        <w:ind w:firstLine="480" w:firstLineChars="200"/>
        <w:rPr>
          <w:rFonts w:ascii="宋体" w:hAnsi="宋体" w:cs="宋体"/>
          <w:sz w:val="24"/>
          <w:szCs w:val="24"/>
        </w:rPr>
      </w:pPr>
      <w:r>
        <w:rPr>
          <w:rFonts w:hint="eastAsia" w:ascii="宋体" w:hAnsi="宋体" w:cs="宋体"/>
          <w:sz w:val="24"/>
          <w:szCs w:val="24"/>
        </w:rPr>
        <w:t>（7）技术服务方案；</w:t>
      </w:r>
    </w:p>
    <w:p w14:paraId="3367F1D9">
      <w:pPr>
        <w:spacing w:line="360" w:lineRule="auto"/>
        <w:ind w:firstLine="480" w:firstLineChars="200"/>
        <w:rPr>
          <w:rFonts w:ascii="宋体" w:hAnsi="宋体" w:cs="宋体"/>
          <w:sz w:val="24"/>
          <w:szCs w:val="24"/>
        </w:rPr>
      </w:pPr>
      <w:r>
        <w:rPr>
          <w:rFonts w:hint="eastAsia" w:ascii="宋体" w:hAnsi="宋体" w:cs="宋体"/>
          <w:sz w:val="24"/>
          <w:szCs w:val="24"/>
        </w:rPr>
        <w:t>（8）其他资料。</w:t>
      </w:r>
    </w:p>
    <w:p w14:paraId="0D6E3D53">
      <w:pPr>
        <w:spacing w:line="360" w:lineRule="auto"/>
        <w:ind w:firstLine="480" w:firstLineChars="200"/>
        <w:rPr>
          <w:rFonts w:ascii="宋体" w:hAnsi="宋体" w:cs="宋体"/>
          <w:sz w:val="24"/>
          <w:szCs w:val="24"/>
        </w:rPr>
      </w:pPr>
      <w:r>
        <w:rPr>
          <w:rFonts w:hint="eastAsia" w:ascii="宋体" w:hAnsi="宋体" w:cs="宋体"/>
          <w:sz w:val="24"/>
          <w:szCs w:val="24"/>
        </w:rPr>
        <w:t>投标人在评标过程中作出的符合法律法规和招标文件规定的澄清确认，构成投标文件的组成部分。</w:t>
      </w:r>
    </w:p>
    <w:p w14:paraId="3EDF2842">
      <w:pPr>
        <w:spacing w:line="360" w:lineRule="auto"/>
        <w:ind w:firstLine="480" w:firstLineChars="200"/>
        <w:rPr>
          <w:rFonts w:ascii="宋体" w:hAnsi="宋体" w:cs="宋体"/>
          <w:strike/>
          <w:sz w:val="24"/>
          <w:szCs w:val="24"/>
        </w:rPr>
      </w:pPr>
      <w:r>
        <w:rPr>
          <w:rFonts w:ascii="宋体" w:hAnsi="宋体" w:cs="宋体"/>
          <w:strike/>
          <w:sz w:val="24"/>
          <w:szCs w:val="24"/>
        </w:rPr>
        <w:t xml:space="preserve">3.1.2 </w:t>
      </w:r>
      <w:r>
        <w:rPr>
          <w:rFonts w:hint="eastAsia" w:ascii="宋体" w:hAnsi="宋体" w:cs="宋体"/>
          <w:strike/>
          <w:sz w:val="24"/>
          <w:szCs w:val="24"/>
        </w:rPr>
        <w:t>投标人须知前附表规定不接受联合体投标的，或投标人没有组成联合体的，投标文件不包括本章第3.1.1（3）目所指的联合体协议书。</w:t>
      </w:r>
    </w:p>
    <w:p w14:paraId="76904ECE">
      <w:pPr>
        <w:spacing w:line="360" w:lineRule="auto"/>
        <w:ind w:firstLine="480" w:firstLineChars="200"/>
        <w:rPr>
          <w:rFonts w:ascii="宋体" w:hAnsi="宋体" w:cs="宋体"/>
          <w:strike/>
          <w:sz w:val="24"/>
          <w:szCs w:val="24"/>
        </w:rPr>
      </w:pPr>
      <w:r>
        <w:rPr>
          <w:rFonts w:ascii="宋体" w:hAnsi="宋体" w:cs="宋体"/>
          <w:strike/>
          <w:sz w:val="24"/>
          <w:szCs w:val="24"/>
        </w:rPr>
        <w:t xml:space="preserve">3.1.3 </w:t>
      </w:r>
      <w:r>
        <w:rPr>
          <w:rFonts w:hint="eastAsia" w:ascii="宋体" w:hAnsi="宋体" w:cs="宋体"/>
          <w:strike/>
          <w:sz w:val="24"/>
          <w:szCs w:val="24"/>
        </w:rPr>
        <w:t>投标人须知前附表未要求提交投标保证金的，投标文件不包括本章第3.1.1（4）目所指的投标保证金。</w:t>
      </w:r>
    </w:p>
    <w:p w14:paraId="43CF43B7">
      <w:pPr>
        <w:pStyle w:val="5"/>
        <w:spacing w:line="360" w:lineRule="auto"/>
        <w:ind w:firstLine="0" w:firstLineChars="0"/>
        <w:rPr>
          <w:rFonts w:ascii="宋体" w:hAnsi="宋体" w:eastAsia="宋体" w:cs="宋体"/>
          <w:szCs w:val="24"/>
        </w:rPr>
      </w:pPr>
      <w:bookmarkStart w:id="326" w:name="_Toc7205"/>
      <w:bookmarkStart w:id="327" w:name="_Toc492300584"/>
      <w:bookmarkStart w:id="328" w:name="_Toc4291"/>
      <w:bookmarkStart w:id="329" w:name="_Toc27272"/>
      <w:bookmarkStart w:id="330" w:name="_Toc792"/>
      <w:bookmarkStart w:id="331" w:name="_Toc32515"/>
      <w:bookmarkStart w:id="332" w:name="_Toc13408"/>
      <w:bookmarkStart w:id="333" w:name="_Toc2013"/>
      <w:bookmarkStart w:id="334" w:name="_Toc27845"/>
      <w:bookmarkStart w:id="335" w:name="_Toc28363"/>
      <w:bookmarkStart w:id="336" w:name="_Toc15851"/>
      <w:r>
        <w:rPr>
          <w:rFonts w:ascii="宋体" w:hAnsi="宋体" w:eastAsia="宋体" w:cs="宋体"/>
          <w:szCs w:val="24"/>
        </w:rPr>
        <w:t xml:space="preserve">3.2 </w:t>
      </w:r>
      <w:r>
        <w:rPr>
          <w:rFonts w:hint="eastAsia" w:ascii="宋体" w:hAnsi="宋体" w:eastAsia="宋体" w:cs="宋体"/>
          <w:szCs w:val="24"/>
        </w:rPr>
        <w:t>投标报价</w:t>
      </w:r>
      <w:bookmarkEnd w:id="326"/>
      <w:bookmarkEnd w:id="327"/>
      <w:bookmarkEnd w:id="328"/>
      <w:bookmarkEnd w:id="329"/>
      <w:bookmarkEnd w:id="330"/>
      <w:bookmarkEnd w:id="331"/>
      <w:bookmarkEnd w:id="332"/>
      <w:bookmarkEnd w:id="333"/>
      <w:bookmarkEnd w:id="334"/>
      <w:bookmarkEnd w:id="335"/>
      <w:bookmarkEnd w:id="336"/>
    </w:p>
    <w:p w14:paraId="21554477">
      <w:pPr>
        <w:spacing w:line="360" w:lineRule="auto"/>
        <w:ind w:firstLine="480" w:firstLineChars="200"/>
        <w:rPr>
          <w:rFonts w:ascii="宋体" w:hAnsi="宋体" w:cs="宋体"/>
          <w:sz w:val="24"/>
          <w:szCs w:val="24"/>
        </w:rPr>
      </w:pPr>
      <w:r>
        <w:rPr>
          <w:rFonts w:hint="eastAsia" w:ascii="宋体" w:hAnsi="宋体" w:cs="宋体"/>
          <w:sz w:val="24"/>
          <w:szCs w:val="24"/>
        </w:rPr>
        <w:t>3.2.1投标报价应包括国家规定的增值税税金，除投标人须知前附表另有规定外，增值税税金按一般计税方法计算。投标人应按第六章“投标文件格式”的要求在投标函中进行报价并填写投标报价表。</w:t>
      </w:r>
    </w:p>
    <w:p w14:paraId="4299BFB3">
      <w:pPr>
        <w:spacing w:line="360" w:lineRule="auto"/>
        <w:ind w:firstLine="480" w:firstLineChars="200"/>
        <w:rPr>
          <w:rFonts w:ascii="宋体" w:hAnsi="宋体" w:cs="宋体"/>
          <w:sz w:val="24"/>
          <w:szCs w:val="24"/>
        </w:rPr>
      </w:pPr>
      <w:r>
        <w:rPr>
          <w:rFonts w:ascii="宋体" w:hAnsi="宋体" w:cs="宋体"/>
          <w:sz w:val="24"/>
          <w:szCs w:val="24"/>
        </w:rPr>
        <w:t xml:space="preserve">3.2.2 </w:t>
      </w:r>
      <w:r>
        <w:rPr>
          <w:rFonts w:hint="eastAsia" w:ascii="宋体" w:hAnsi="宋体" w:cs="宋体"/>
          <w:sz w:val="24"/>
          <w:szCs w:val="24"/>
        </w:rPr>
        <w:t>投标人应充分了解该项目的总体情况以及影响投标报价的其他要素。</w:t>
      </w:r>
    </w:p>
    <w:p w14:paraId="329844E5">
      <w:pPr>
        <w:spacing w:line="360" w:lineRule="auto"/>
        <w:ind w:firstLine="480" w:firstLineChars="200"/>
        <w:rPr>
          <w:rFonts w:ascii="宋体" w:hAnsi="宋体" w:cs="宋体"/>
          <w:sz w:val="24"/>
          <w:szCs w:val="24"/>
        </w:rPr>
      </w:pPr>
      <w:r>
        <w:rPr>
          <w:rFonts w:ascii="宋体" w:hAnsi="宋体" w:cs="宋体"/>
          <w:sz w:val="24"/>
          <w:szCs w:val="24"/>
        </w:rPr>
        <w:t>3.2.3</w:t>
      </w:r>
      <w:bookmarkStart w:id="337" w:name="_Toc152045543"/>
      <w:bookmarkEnd w:id="337"/>
      <w:bookmarkStart w:id="338" w:name="_Toc247527568"/>
      <w:bookmarkEnd w:id="338"/>
      <w:bookmarkStart w:id="339" w:name="_Toc15242"/>
      <w:bookmarkEnd w:id="339"/>
      <w:bookmarkStart w:id="340" w:name="_Toc369531530"/>
      <w:bookmarkEnd w:id="340"/>
      <w:bookmarkStart w:id="341" w:name="_Toc247513967"/>
      <w:bookmarkEnd w:id="341"/>
      <w:bookmarkStart w:id="342" w:name="_Toc361508599"/>
      <w:bookmarkEnd w:id="342"/>
      <w:bookmarkStart w:id="343" w:name="_Toc384308224"/>
      <w:bookmarkEnd w:id="343"/>
      <w:bookmarkStart w:id="344" w:name="_Toc300834964"/>
      <w:bookmarkEnd w:id="344"/>
      <w:bookmarkStart w:id="345" w:name="_Toc352691487"/>
      <w:bookmarkEnd w:id="345"/>
      <w:bookmarkStart w:id="346" w:name="_Toc144974511"/>
      <w:bookmarkEnd w:id="346"/>
      <w:bookmarkStart w:id="347" w:name="_Toc152042319"/>
      <w:bookmarkEnd w:id="347"/>
      <w:r>
        <w:rPr>
          <w:rFonts w:hint="eastAsia" w:ascii="宋体" w:hAnsi="宋体" w:cs="宋体"/>
          <w:sz w:val="24"/>
          <w:szCs w:val="24"/>
        </w:rPr>
        <w:t xml:space="preserve"> 本项目的报价方式见投标人须知前附表。投标人在投标截止时间前修改投标函中的投标报价总额，应同时修改投标文件“投标报价表”中的相应报价。此修改须符合本章第4.3款的有关要求。</w:t>
      </w:r>
    </w:p>
    <w:p w14:paraId="73C22AF6">
      <w:pPr>
        <w:spacing w:line="360" w:lineRule="auto"/>
        <w:ind w:firstLine="480" w:firstLineChars="200"/>
        <w:rPr>
          <w:rFonts w:ascii="宋体" w:hAnsi="宋体" w:cs="宋体"/>
          <w:sz w:val="24"/>
          <w:szCs w:val="24"/>
        </w:rPr>
      </w:pPr>
      <w:r>
        <w:rPr>
          <w:rFonts w:ascii="宋体" w:hAnsi="宋体" w:cs="宋体"/>
          <w:sz w:val="24"/>
          <w:szCs w:val="24"/>
        </w:rPr>
        <w:t>3.2.4</w:t>
      </w:r>
      <w:r>
        <w:rPr>
          <w:rFonts w:hint="eastAsia" w:ascii="宋体" w:hAnsi="宋体" w:cs="宋体"/>
          <w:sz w:val="24"/>
          <w:szCs w:val="24"/>
        </w:rPr>
        <w:t>招标人设有最高投标限价的，投标人的投标报价不得超过最高投标限价，最高投标限价在投标</w:t>
      </w:r>
      <w:bookmarkStart w:id="348" w:name="_Toc361508600"/>
      <w:bookmarkStart w:id="349" w:name="_Toc152042320"/>
      <w:bookmarkStart w:id="350" w:name="_Toc369531531"/>
      <w:bookmarkStart w:id="351" w:name="_Toc384308225"/>
      <w:bookmarkStart w:id="352" w:name="_Toc352691488"/>
      <w:bookmarkStart w:id="353" w:name="_Toc300834965"/>
      <w:bookmarkStart w:id="354" w:name="_Toc247513968"/>
      <w:bookmarkStart w:id="355" w:name="_Toc10429"/>
      <w:bookmarkStart w:id="356" w:name="_Toc144974512"/>
      <w:bookmarkStart w:id="357" w:name="_Toc152045544"/>
      <w:bookmarkStart w:id="358" w:name="_Toc247527569"/>
      <w:r>
        <w:rPr>
          <w:rFonts w:hint="eastAsia" w:ascii="宋体" w:hAnsi="宋体" w:cs="宋体"/>
          <w:sz w:val="24"/>
          <w:szCs w:val="24"/>
        </w:rPr>
        <w:t>人须知前附表中载明。</w:t>
      </w:r>
      <w:bookmarkEnd w:id="348"/>
      <w:bookmarkEnd w:id="349"/>
      <w:bookmarkEnd w:id="350"/>
      <w:bookmarkEnd w:id="351"/>
      <w:bookmarkEnd w:id="352"/>
      <w:bookmarkEnd w:id="353"/>
      <w:bookmarkEnd w:id="354"/>
      <w:bookmarkEnd w:id="355"/>
      <w:bookmarkEnd w:id="356"/>
      <w:bookmarkEnd w:id="357"/>
      <w:bookmarkEnd w:id="358"/>
    </w:p>
    <w:p w14:paraId="259054EA">
      <w:pPr>
        <w:spacing w:line="360" w:lineRule="auto"/>
        <w:ind w:firstLine="480" w:firstLineChars="200"/>
        <w:rPr>
          <w:rFonts w:ascii="宋体" w:hAnsi="宋体" w:cs="宋体"/>
          <w:sz w:val="24"/>
          <w:szCs w:val="24"/>
        </w:rPr>
      </w:pPr>
      <w:r>
        <w:rPr>
          <w:rFonts w:ascii="宋体" w:hAnsi="宋体" w:cs="宋体"/>
          <w:sz w:val="24"/>
          <w:szCs w:val="24"/>
        </w:rPr>
        <w:t xml:space="preserve">3.2.5 </w:t>
      </w:r>
      <w:r>
        <w:rPr>
          <w:rFonts w:hint="eastAsia" w:ascii="宋体" w:hAnsi="宋体" w:cs="宋体"/>
          <w:sz w:val="24"/>
          <w:szCs w:val="24"/>
        </w:rPr>
        <w:t>投标报价的其他要求见投标人须知前附表。</w:t>
      </w:r>
    </w:p>
    <w:p w14:paraId="19AE5561">
      <w:pPr>
        <w:pStyle w:val="5"/>
        <w:spacing w:line="360" w:lineRule="auto"/>
        <w:ind w:firstLine="0" w:firstLineChars="0"/>
        <w:rPr>
          <w:rFonts w:ascii="宋体" w:hAnsi="宋体" w:eastAsia="宋体" w:cs="宋体"/>
          <w:szCs w:val="24"/>
        </w:rPr>
      </w:pPr>
      <w:bookmarkStart w:id="359" w:name="_Toc24303"/>
      <w:bookmarkStart w:id="360" w:name="_Toc14738"/>
      <w:bookmarkStart w:id="361" w:name="_Toc27035"/>
      <w:bookmarkStart w:id="362" w:name="_Toc20912"/>
      <w:bookmarkStart w:id="363" w:name="_Toc492300585"/>
      <w:bookmarkStart w:id="364" w:name="_Toc11271"/>
      <w:bookmarkStart w:id="365" w:name="_Toc10185"/>
      <w:bookmarkStart w:id="366" w:name="_Toc2810"/>
      <w:bookmarkStart w:id="367" w:name="_Toc25774"/>
      <w:bookmarkStart w:id="368" w:name="_Toc30660"/>
      <w:bookmarkStart w:id="369" w:name="_Toc4335"/>
      <w:r>
        <w:rPr>
          <w:rFonts w:ascii="宋体" w:hAnsi="宋体" w:eastAsia="宋体" w:cs="宋体"/>
          <w:szCs w:val="24"/>
        </w:rPr>
        <w:t xml:space="preserve">3.3 </w:t>
      </w:r>
      <w:r>
        <w:rPr>
          <w:rFonts w:hint="eastAsia" w:ascii="宋体" w:hAnsi="宋体" w:eastAsia="宋体" w:cs="宋体"/>
          <w:szCs w:val="24"/>
        </w:rPr>
        <w:t>投标有效期</w:t>
      </w:r>
      <w:bookmarkEnd w:id="359"/>
      <w:bookmarkEnd w:id="360"/>
      <w:bookmarkEnd w:id="361"/>
      <w:bookmarkEnd w:id="362"/>
      <w:bookmarkEnd w:id="363"/>
      <w:bookmarkEnd w:id="364"/>
      <w:bookmarkEnd w:id="365"/>
      <w:bookmarkEnd w:id="366"/>
      <w:bookmarkEnd w:id="367"/>
      <w:bookmarkEnd w:id="368"/>
      <w:bookmarkEnd w:id="369"/>
    </w:p>
    <w:p w14:paraId="678F0942">
      <w:pPr>
        <w:spacing w:line="360" w:lineRule="auto"/>
        <w:ind w:firstLine="480" w:firstLineChars="200"/>
        <w:rPr>
          <w:rFonts w:ascii="宋体" w:hAnsi="宋体" w:cs="宋体"/>
          <w:sz w:val="24"/>
          <w:szCs w:val="24"/>
        </w:rPr>
      </w:pPr>
      <w:r>
        <w:rPr>
          <w:rFonts w:ascii="宋体" w:hAnsi="宋体" w:cs="宋体"/>
          <w:sz w:val="24"/>
          <w:szCs w:val="24"/>
        </w:rPr>
        <w:t xml:space="preserve">3.3.1 </w:t>
      </w:r>
      <w:r>
        <w:rPr>
          <w:rFonts w:hint="eastAsia" w:ascii="宋体" w:hAnsi="宋体" w:cs="宋体"/>
          <w:sz w:val="24"/>
          <w:szCs w:val="24"/>
        </w:rPr>
        <w:t>除投标人须知前附表另有规定外，投标有效期为90天。</w:t>
      </w:r>
    </w:p>
    <w:p w14:paraId="241F1514">
      <w:pPr>
        <w:spacing w:line="360" w:lineRule="auto"/>
        <w:ind w:firstLine="480" w:firstLineChars="200"/>
        <w:rPr>
          <w:rFonts w:ascii="宋体" w:hAnsi="宋体" w:cs="宋体"/>
          <w:sz w:val="24"/>
          <w:szCs w:val="24"/>
        </w:rPr>
      </w:pPr>
      <w:r>
        <w:rPr>
          <w:rFonts w:ascii="宋体" w:hAnsi="宋体" w:cs="宋体"/>
          <w:sz w:val="24"/>
          <w:szCs w:val="24"/>
        </w:rPr>
        <w:t xml:space="preserve">3.3.2 </w:t>
      </w:r>
      <w:r>
        <w:rPr>
          <w:rFonts w:hint="eastAsia" w:ascii="宋体" w:hAnsi="宋体" w:cs="宋体"/>
          <w:sz w:val="24"/>
          <w:szCs w:val="24"/>
        </w:rPr>
        <w:t>在投标有效期内，投标人撤销投标文件的，应承担招标文件和法律规定的责任。</w:t>
      </w:r>
    </w:p>
    <w:p w14:paraId="7788FBF1">
      <w:pPr>
        <w:spacing w:line="360" w:lineRule="auto"/>
        <w:ind w:firstLine="480" w:firstLineChars="200"/>
        <w:rPr>
          <w:rFonts w:ascii="宋体" w:hAnsi="宋体" w:cs="宋体"/>
          <w:sz w:val="24"/>
          <w:szCs w:val="24"/>
        </w:rPr>
      </w:pPr>
      <w:r>
        <w:rPr>
          <w:rFonts w:ascii="宋体" w:hAnsi="宋体" w:cs="宋体"/>
          <w:sz w:val="24"/>
          <w:szCs w:val="24"/>
        </w:rPr>
        <w:t xml:space="preserve">3.3.3 </w:t>
      </w:r>
      <w:r>
        <w:rPr>
          <w:rFonts w:hint="eastAsia" w:ascii="宋体" w:hAnsi="宋体" w:cs="宋体"/>
          <w:sz w:val="24"/>
          <w:szCs w:val="24"/>
        </w:rPr>
        <w:t>出现特殊情况需要延长投标有效期的，招标人以书面形式通知所有投标人延长投标有效期。投标人应予以书面答复，同意延长的不得要求或被允许修改其投标文件；投标人拒绝延长的，其投标失效。</w:t>
      </w:r>
    </w:p>
    <w:p w14:paraId="50CD0166">
      <w:pPr>
        <w:pStyle w:val="5"/>
        <w:spacing w:line="360" w:lineRule="auto"/>
        <w:ind w:firstLine="0" w:firstLineChars="0"/>
        <w:rPr>
          <w:rFonts w:ascii="宋体" w:hAnsi="宋体" w:eastAsia="宋体" w:cs="宋体"/>
          <w:szCs w:val="24"/>
        </w:rPr>
      </w:pPr>
      <w:bookmarkStart w:id="370" w:name="_Toc16740"/>
      <w:bookmarkStart w:id="371" w:name="_Toc12714"/>
      <w:bookmarkStart w:id="372" w:name="_Toc5522"/>
      <w:bookmarkStart w:id="373" w:name="_Toc29543"/>
      <w:bookmarkStart w:id="374" w:name="_Toc26401"/>
      <w:bookmarkStart w:id="375" w:name="_Toc13582"/>
      <w:bookmarkStart w:id="376" w:name="_Toc27738"/>
      <w:bookmarkStart w:id="377" w:name="_Toc492300586"/>
      <w:bookmarkStart w:id="378" w:name="_Toc25672"/>
      <w:bookmarkStart w:id="379" w:name="_Toc311"/>
      <w:bookmarkStart w:id="380" w:name="_Toc30597"/>
      <w:r>
        <w:rPr>
          <w:rFonts w:ascii="宋体" w:hAnsi="宋体" w:eastAsia="宋体" w:cs="宋体"/>
          <w:szCs w:val="24"/>
        </w:rPr>
        <w:t xml:space="preserve">3.4 </w:t>
      </w:r>
      <w:r>
        <w:rPr>
          <w:rFonts w:hint="eastAsia" w:ascii="宋体" w:hAnsi="宋体" w:eastAsia="宋体" w:cs="宋体"/>
          <w:szCs w:val="24"/>
        </w:rPr>
        <w:t>投标保证金</w:t>
      </w:r>
      <w:bookmarkEnd w:id="370"/>
      <w:bookmarkEnd w:id="371"/>
      <w:bookmarkEnd w:id="372"/>
      <w:bookmarkEnd w:id="373"/>
      <w:bookmarkEnd w:id="374"/>
      <w:bookmarkEnd w:id="375"/>
      <w:bookmarkEnd w:id="376"/>
      <w:bookmarkEnd w:id="377"/>
      <w:bookmarkEnd w:id="378"/>
      <w:bookmarkEnd w:id="379"/>
      <w:bookmarkEnd w:id="380"/>
    </w:p>
    <w:p w14:paraId="19590231">
      <w:pPr>
        <w:spacing w:line="360" w:lineRule="auto"/>
        <w:ind w:firstLine="480" w:firstLineChars="200"/>
        <w:rPr>
          <w:rFonts w:ascii="Times New Roman" w:hAnsi="Times New Roman"/>
          <w:strike/>
          <w:sz w:val="24"/>
          <w:szCs w:val="24"/>
          <w:u w:val="single"/>
        </w:rPr>
      </w:pPr>
      <w:r>
        <w:rPr>
          <w:rFonts w:hint="eastAsia" w:ascii="Times New Roman" w:hAnsi="Times New Roman"/>
          <w:sz w:val="24"/>
          <w:szCs w:val="24"/>
          <w:u w:val="single"/>
        </w:rPr>
        <w:t>本项目不</w:t>
      </w:r>
      <w:r>
        <w:rPr>
          <w:rFonts w:ascii="Times New Roman" w:hAnsi="Times New Roman"/>
          <w:sz w:val="24"/>
          <w:szCs w:val="24"/>
          <w:u w:val="single"/>
        </w:rPr>
        <w:t>要求提交投标保证金</w:t>
      </w:r>
      <w:r>
        <w:rPr>
          <w:rFonts w:hint="eastAsia" w:ascii="Times New Roman" w:hAnsi="Times New Roman"/>
          <w:sz w:val="24"/>
          <w:szCs w:val="24"/>
          <w:u w:val="single"/>
        </w:rPr>
        <w:t>。</w:t>
      </w:r>
    </w:p>
    <w:p w14:paraId="6F98FA3B">
      <w:pPr>
        <w:spacing w:line="360" w:lineRule="auto"/>
        <w:ind w:firstLine="480" w:firstLineChars="200"/>
        <w:rPr>
          <w:rFonts w:ascii="宋体" w:hAnsi="宋体" w:cs="宋体"/>
          <w:strike/>
          <w:sz w:val="24"/>
          <w:szCs w:val="24"/>
        </w:rPr>
      </w:pPr>
      <w:r>
        <w:rPr>
          <w:rFonts w:ascii="宋体" w:hAnsi="宋体" w:cs="宋体"/>
          <w:strike/>
          <w:sz w:val="24"/>
          <w:szCs w:val="24"/>
        </w:rPr>
        <w:t xml:space="preserve">3.4.1 </w:t>
      </w:r>
      <w:r>
        <w:rPr>
          <w:rFonts w:hint="eastAsia" w:ascii="宋体" w:hAnsi="宋体" w:cs="宋体"/>
          <w:strike/>
          <w:sz w:val="24"/>
          <w:szCs w:val="24"/>
        </w:rPr>
        <w:t>投标人在递交投标文件的同时，应按投标人须知前附表规定的金额</w:t>
      </w:r>
      <w:bookmarkStart w:id="381" w:name="_Toc361508601"/>
      <w:bookmarkStart w:id="382" w:name="_Toc369531532"/>
      <w:bookmarkStart w:id="383" w:name="_Toc144974513"/>
      <w:bookmarkStart w:id="384" w:name="_Toc352691489"/>
      <w:bookmarkStart w:id="385" w:name="_Toc384308226"/>
      <w:bookmarkStart w:id="386" w:name="_Toc247513969"/>
      <w:bookmarkStart w:id="387" w:name="_Toc4592"/>
      <w:bookmarkStart w:id="388" w:name="_Toc300834966"/>
      <w:bookmarkStart w:id="389" w:name="_Toc247527570"/>
      <w:bookmarkStart w:id="390" w:name="_Toc152045545"/>
      <w:bookmarkStart w:id="391" w:name="_Toc152042321"/>
      <w:r>
        <w:rPr>
          <w:rFonts w:hint="eastAsia" w:ascii="宋体" w:hAnsi="宋体" w:cs="宋体"/>
          <w:strike/>
          <w:sz w:val="24"/>
          <w:szCs w:val="24"/>
        </w:rPr>
        <w:t>、形式和第六章“投标文</w:t>
      </w:r>
      <w:bookmarkEnd w:id="381"/>
      <w:bookmarkEnd w:id="382"/>
      <w:bookmarkEnd w:id="383"/>
      <w:bookmarkEnd w:id="384"/>
      <w:bookmarkEnd w:id="385"/>
      <w:bookmarkEnd w:id="386"/>
      <w:bookmarkEnd w:id="387"/>
      <w:bookmarkEnd w:id="388"/>
      <w:bookmarkEnd w:id="389"/>
      <w:bookmarkEnd w:id="390"/>
      <w:bookmarkEnd w:id="391"/>
      <w:r>
        <w:rPr>
          <w:rFonts w:hint="eastAsia" w:ascii="宋体" w:hAnsi="宋体" w:cs="宋体"/>
          <w:strike/>
          <w:sz w:val="24"/>
          <w:szCs w:val="24"/>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14307AA">
      <w:pPr>
        <w:spacing w:line="360" w:lineRule="auto"/>
        <w:ind w:firstLine="480" w:firstLineChars="200"/>
        <w:rPr>
          <w:rFonts w:ascii="宋体" w:hAnsi="宋体" w:cs="宋体"/>
          <w:strike/>
          <w:sz w:val="24"/>
          <w:szCs w:val="24"/>
        </w:rPr>
      </w:pPr>
      <w:r>
        <w:rPr>
          <w:rFonts w:ascii="宋体" w:hAnsi="宋体" w:cs="宋体"/>
          <w:strike/>
          <w:sz w:val="24"/>
          <w:szCs w:val="24"/>
        </w:rPr>
        <w:t xml:space="preserve">3.4.2 </w:t>
      </w:r>
      <w:r>
        <w:rPr>
          <w:rFonts w:hint="eastAsia" w:ascii="宋体" w:hAnsi="宋体" w:cs="宋体"/>
          <w:strike/>
          <w:sz w:val="24"/>
          <w:szCs w:val="24"/>
        </w:rPr>
        <w:t>投标人不按本章第3.4.1项</w:t>
      </w:r>
      <w:bookmarkStart w:id="392" w:name="_Toc29025"/>
      <w:bookmarkStart w:id="393" w:name="_Toc369531533"/>
      <w:bookmarkStart w:id="394" w:name="_Toc384308227"/>
      <w:bookmarkStart w:id="395" w:name="_Toc361508602"/>
      <w:bookmarkStart w:id="396" w:name="_Toc352691490"/>
      <w:r>
        <w:rPr>
          <w:rFonts w:hint="eastAsia" w:ascii="宋体" w:hAnsi="宋体" w:cs="宋体"/>
          <w:strike/>
          <w:sz w:val="24"/>
          <w:szCs w:val="24"/>
        </w:rPr>
        <w:t>要求提交投标保证金的，</w:t>
      </w:r>
      <w:bookmarkEnd w:id="392"/>
      <w:bookmarkEnd w:id="393"/>
      <w:bookmarkEnd w:id="394"/>
      <w:bookmarkEnd w:id="395"/>
      <w:bookmarkEnd w:id="396"/>
      <w:r>
        <w:rPr>
          <w:rFonts w:hint="eastAsia" w:ascii="宋体" w:hAnsi="宋体" w:cs="宋体"/>
          <w:strike/>
          <w:sz w:val="24"/>
          <w:szCs w:val="24"/>
        </w:rPr>
        <w:t>评标委员会将否决其投标。</w:t>
      </w:r>
    </w:p>
    <w:p w14:paraId="2CD22768">
      <w:pPr>
        <w:spacing w:line="360" w:lineRule="auto"/>
        <w:ind w:firstLine="480" w:firstLineChars="200"/>
        <w:rPr>
          <w:rFonts w:ascii="宋体" w:hAnsi="宋体" w:cs="宋体"/>
          <w:strike/>
          <w:sz w:val="24"/>
          <w:szCs w:val="24"/>
        </w:rPr>
      </w:pPr>
      <w:r>
        <w:rPr>
          <w:rFonts w:ascii="宋体" w:hAnsi="宋体" w:cs="宋体"/>
          <w:strike/>
          <w:sz w:val="24"/>
          <w:szCs w:val="24"/>
        </w:rPr>
        <w:t xml:space="preserve">3.4.3 </w:t>
      </w:r>
      <w:r>
        <w:rPr>
          <w:rFonts w:hint="eastAsia" w:ascii="宋体" w:hAnsi="宋体" w:cs="宋体"/>
          <w:strike/>
          <w:sz w:val="24"/>
          <w:szCs w:val="24"/>
        </w:rPr>
        <w:t>招标人最迟将在与中标人</w:t>
      </w:r>
      <w:bookmarkStart w:id="397" w:name="_Toc369531534"/>
      <w:bookmarkStart w:id="398" w:name="_Toc247513970"/>
      <w:bookmarkStart w:id="399" w:name="_Toc152045546"/>
      <w:bookmarkStart w:id="400" w:name="_Toc361508603"/>
      <w:bookmarkStart w:id="401" w:name="_Toc384308228"/>
      <w:bookmarkStart w:id="402" w:name="_Toc14751"/>
      <w:bookmarkStart w:id="403" w:name="_Toc152042322"/>
      <w:bookmarkStart w:id="404" w:name="_Toc247527571"/>
      <w:bookmarkStart w:id="405" w:name="_Toc144974514"/>
      <w:bookmarkStart w:id="406" w:name="_Toc300834967"/>
      <w:bookmarkStart w:id="407" w:name="_Toc352691491"/>
      <w:r>
        <w:rPr>
          <w:rFonts w:hint="eastAsia" w:ascii="宋体" w:hAnsi="宋体" w:cs="宋体"/>
          <w:strike/>
          <w:sz w:val="24"/>
          <w:szCs w:val="24"/>
        </w:rPr>
        <w:t>签订合同后5日</w:t>
      </w:r>
      <w:bookmarkEnd w:id="397"/>
      <w:bookmarkEnd w:id="398"/>
      <w:bookmarkEnd w:id="399"/>
      <w:bookmarkEnd w:id="400"/>
      <w:bookmarkEnd w:id="401"/>
      <w:bookmarkEnd w:id="402"/>
      <w:bookmarkEnd w:id="403"/>
      <w:bookmarkEnd w:id="404"/>
      <w:bookmarkEnd w:id="405"/>
      <w:bookmarkEnd w:id="406"/>
      <w:bookmarkEnd w:id="407"/>
      <w:r>
        <w:rPr>
          <w:rFonts w:hint="eastAsia" w:ascii="宋体" w:hAnsi="宋体" w:cs="宋体"/>
          <w:strike/>
          <w:sz w:val="24"/>
          <w:szCs w:val="24"/>
        </w:rPr>
        <w:t>内</w:t>
      </w:r>
      <w:bookmarkStart w:id="408" w:name="_Toc352691492"/>
      <w:bookmarkStart w:id="409" w:name="_Toc144974515"/>
      <w:bookmarkStart w:id="410" w:name="_Toc247513971"/>
      <w:bookmarkStart w:id="411" w:name="_Toc384308229"/>
      <w:bookmarkStart w:id="412" w:name="_Toc300834968"/>
      <w:bookmarkStart w:id="413" w:name="_Toc17952"/>
      <w:bookmarkStart w:id="414" w:name="_Toc369531535"/>
      <w:bookmarkStart w:id="415" w:name="_Toc247527572"/>
      <w:bookmarkStart w:id="416" w:name="_Toc152045547"/>
      <w:bookmarkStart w:id="417" w:name="_Toc152042323"/>
      <w:bookmarkStart w:id="418" w:name="_Toc361508604"/>
      <w:r>
        <w:rPr>
          <w:rFonts w:hint="eastAsia" w:ascii="宋体" w:hAnsi="宋体" w:cs="宋体"/>
          <w:strike/>
          <w:sz w:val="24"/>
          <w:szCs w:val="24"/>
        </w:rPr>
        <w:t>，向未中标的投标人和中</w:t>
      </w:r>
      <w:bookmarkEnd w:id="408"/>
      <w:bookmarkEnd w:id="409"/>
      <w:bookmarkEnd w:id="410"/>
      <w:bookmarkEnd w:id="411"/>
      <w:bookmarkEnd w:id="412"/>
      <w:bookmarkEnd w:id="413"/>
      <w:bookmarkEnd w:id="414"/>
      <w:bookmarkEnd w:id="415"/>
      <w:bookmarkEnd w:id="416"/>
      <w:bookmarkEnd w:id="417"/>
      <w:bookmarkEnd w:id="418"/>
      <w:r>
        <w:rPr>
          <w:rFonts w:hint="eastAsia" w:ascii="宋体" w:hAnsi="宋体" w:cs="宋体"/>
          <w:strike/>
          <w:sz w:val="24"/>
          <w:szCs w:val="24"/>
        </w:rPr>
        <w:t>标人退还投标保证金。投标保证金以现金或者支票形式递交的，还应退还银行同期存款利息。</w:t>
      </w:r>
    </w:p>
    <w:p w14:paraId="5902E46E">
      <w:pPr>
        <w:spacing w:line="360" w:lineRule="auto"/>
        <w:ind w:firstLine="480" w:firstLineChars="200"/>
        <w:rPr>
          <w:rFonts w:ascii="宋体" w:hAnsi="宋体" w:cs="宋体"/>
          <w:strike/>
          <w:sz w:val="24"/>
          <w:szCs w:val="24"/>
        </w:rPr>
      </w:pPr>
      <w:r>
        <w:rPr>
          <w:rFonts w:ascii="宋体" w:hAnsi="宋体" w:cs="宋体"/>
          <w:strike/>
          <w:sz w:val="24"/>
          <w:szCs w:val="24"/>
        </w:rPr>
        <w:t xml:space="preserve">3.4.4 </w:t>
      </w:r>
      <w:r>
        <w:rPr>
          <w:rFonts w:hint="eastAsia" w:ascii="宋体" w:hAnsi="宋体" w:cs="宋体"/>
          <w:strike/>
          <w:sz w:val="24"/>
          <w:szCs w:val="24"/>
        </w:rPr>
        <w:t>有下列情形之一的，投标保证金将不予退还：</w:t>
      </w:r>
    </w:p>
    <w:p w14:paraId="0964CE2F">
      <w:pPr>
        <w:spacing w:line="360" w:lineRule="auto"/>
        <w:ind w:firstLine="480" w:firstLineChars="200"/>
        <w:rPr>
          <w:rFonts w:ascii="宋体" w:hAnsi="宋体" w:cs="宋体"/>
          <w:strike/>
          <w:sz w:val="24"/>
          <w:szCs w:val="24"/>
        </w:rPr>
      </w:pPr>
      <w:r>
        <w:rPr>
          <w:rFonts w:hint="eastAsia" w:ascii="宋体" w:hAnsi="宋体" w:cs="宋体"/>
          <w:strike/>
          <w:sz w:val="24"/>
          <w:szCs w:val="24"/>
        </w:rPr>
        <w:t>（1）投标人在投标有效期内撤销投标文件；</w:t>
      </w:r>
    </w:p>
    <w:p w14:paraId="5ED75E99">
      <w:pPr>
        <w:spacing w:line="360" w:lineRule="auto"/>
        <w:ind w:firstLine="480" w:firstLineChars="200"/>
        <w:rPr>
          <w:rFonts w:ascii="宋体" w:hAnsi="宋体" w:cs="宋体"/>
          <w:strike/>
          <w:sz w:val="24"/>
          <w:szCs w:val="24"/>
        </w:rPr>
      </w:pPr>
      <w:r>
        <w:rPr>
          <w:rFonts w:hint="eastAsia" w:ascii="宋体" w:hAnsi="宋体" w:cs="宋体"/>
          <w:strike/>
          <w:sz w:val="24"/>
          <w:szCs w:val="24"/>
        </w:rPr>
        <w:t>（2）中标人在收到中标通知书后，无正当理由不与招标人订立合同，在签订合同时向招标人提出附加条件，或者不按照招标文件要求提交履约保证金；</w:t>
      </w:r>
    </w:p>
    <w:p w14:paraId="5DDEBF8F">
      <w:pPr>
        <w:spacing w:line="360" w:lineRule="auto"/>
        <w:ind w:firstLine="480" w:firstLineChars="200"/>
        <w:rPr>
          <w:rFonts w:ascii="宋体" w:hAnsi="宋体" w:cs="宋体"/>
          <w:strike/>
          <w:sz w:val="24"/>
          <w:szCs w:val="24"/>
        </w:rPr>
      </w:pPr>
      <w:r>
        <w:rPr>
          <w:rFonts w:hint="eastAsia" w:ascii="宋体" w:hAnsi="宋体" w:cs="宋体"/>
          <w:strike/>
          <w:sz w:val="24"/>
          <w:szCs w:val="24"/>
        </w:rPr>
        <w:t>（3）发生投标人须知前附表规定的其他可以不予退还投标保证金的情形。</w:t>
      </w:r>
    </w:p>
    <w:p w14:paraId="2A32F9BF">
      <w:pPr>
        <w:pStyle w:val="5"/>
        <w:spacing w:line="360" w:lineRule="auto"/>
        <w:ind w:firstLine="0" w:firstLineChars="0"/>
        <w:rPr>
          <w:rFonts w:ascii="宋体" w:hAnsi="宋体" w:eastAsia="宋体" w:cs="宋体"/>
          <w:szCs w:val="24"/>
        </w:rPr>
      </w:pPr>
      <w:bookmarkStart w:id="419" w:name="_Toc24524"/>
      <w:bookmarkStart w:id="420" w:name="_Toc15036"/>
      <w:bookmarkStart w:id="421" w:name="_Toc12079"/>
      <w:bookmarkStart w:id="422" w:name="_Toc492300588"/>
      <w:bookmarkStart w:id="423" w:name="_Toc5941"/>
      <w:bookmarkStart w:id="424" w:name="_Toc30937"/>
      <w:bookmarkStart w:id="425" w:name="_Toc26503"/>
      <w:bookmarkStart w:id="426" w:name="_Toc5639"/>
      <w:bookmarkStart w:id="427" w:name="_Toc11489"/>
      <w:bookmarkStart w:id="428" w:name="_Toc7646"/>
      <w:bookmarkStart w:id="429" w:name="_Toc19882"/>
      <w:bookmarkStart w:id="430" w:name="_Hlk136177837"/>
      <w:r>
        <w:rPr>
          <w:rFonts w:ascii="宋体" w:hAnsi="宋体" w:eastAsia="宋体" w:cs="宋体"/>
          <w:szCs w:val="24"/>
        </w:rPr>
        <w:t xml:space="preserve">3.5 </w:t>
      </w:r>
      <w:r>
        <w:rPr>
          <w:rFonts w:hint="eastAsia" w:ascii="宋体" w:hAnsi="宋体" w:eastAsia="宋体" w:cs="宋体"/>
          <w:szCs w:val="24"/>
        </w:rPr>
        <w:t>资格审查资料（适用于未进行资格预审的）</w:t>
      </w:r>
      <w:bookmarkEnd w:id="419"/>
      <w:bookmarkEnd w:id="420"/>
      <w:bookmarkEnd w:id="421"/>
      <w:bookmarkEnd w:id="422"/>
      <w:bookmarkEnd w:id="423"/>
      <w:bookmarkEnd w:id="424"/>
      <w:bookmarkEnd w:id="425"/>
      <w:bookmarkEnd w:id="426"/>
      <w:bookmarkEnd w:id="427"/>
      <w:bookmarkEnd w:id="428"/>
      <w:bookmarkEnd w:id="429"/>
    </w:p>
    <w:bookmarkEnd w:id="430"/>
    <w:p w14:paraId="3E849FD4">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3.5.1 投标人参加投标的意思表达清楚，投标人代表被授权有效。</w:t>
      </w:r>
    </w:p>
    <w:p w14:paraId="761EAC9C">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3.5.2 投标人具有独立法人资格，持有事业单位登记管理部门核发的事业单位法人证书或工商行政（市场监督）管理部门核发的企业法人营业执照，按国家法律经营。</w:t>
      </w:r>
    </w:p>
    <w:p w14:paraId="5EE28909">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3.5.3 投标人须具备有效期内的质量技术监督部门颁发的计量认证（CMA）资质认定证书。</w:t>
      </w:r>
    </w:p>
    <w:p w14:paraId="0DF5E682">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3.5.4 投标人拟委派项目负责人要求具备环境类专业工程师或以上职称。</w:t>
      </w:r>
    </w:p>
    <w:p w14:paraId="361FA6B0">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3.5.5 投标人已按规定格式签名盖章《投标人声明》（格式见招标公告附件一）。</w:t>
      </w:r>
    </w:p>
    <w:p w14:paraId="2B8EAD2C">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3.5.6 资格审查前，投标人须在广州公共资源交易中心办理企业信息登记，企业信息取自投标截止时间投标人在广州公共资源交易中心企业库内登记的信息。</w:t>
      </w:r>
    </w:p>
    <w:p w14:paraId="16B5845D">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3.5.7 投标人未被列入拖欠农民工工资失信联合惩戒对象名单（投标人无需提供资料，按交易系统比对的结果进行评审）。</w:t>
      </w:r>
    </w:p>
    <w:p w14:paraId="774E4588">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3.5.8 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643BC972">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3.5.9关于联合体投标：本项目不接受联合体投标。</w:t>
      </w:r>
    </w:p>
    <w:p w14:paraId="3C5C8299">
      <w:pPr>
        <w:pStyle w:val="5"/>
        <w:spacing w:line="360" w:lineRule="auto"/>
        <w:ind w:firstLine="0" w:firstLineChars="0"/>
        <w:rPr>
          <w:rFonts w:ascii="宋体" w:hAnsi="宋体" w:eastAsia="宋体" w:cs="宋体"/>
          <w:szCs w:val="24"/>
        </w:rPr>
      </w:pPr>
      <w:bookmarkStart w:id="431" w:name="_Toc18999"/>
      <w:bookmarkStart w:id="432" w:name="_Toc21646"/>
      <w:bookmarkStart w:id="433" w:name="_Toc21637"/>
      <w:bookmarkStart w:id="434" w:name="_Toc22361"/>
      <w:bookmarkStart w:id="435" w:name="_Toc8890"/>
      <w:bookmarkStart w:id="436" w:name="_Toc896"/>
      <w:bookmarkStart w:id="437" w:name="_Toc24690"/>
      <w:bookmarkStart w:id="438" w:name="_Toc14983"/>
      <w:bookmarkStart w:id="439" w:name="_Toc492300589"/>
      <w:bookmarkStart w:id="440" w:name="_Toc19100"/>
      <w:bookmarkStart w:id="441" w:name="_Toc15775"/>
      <w:r>
        <w:rPr>
          <w:rFonts w:ascii="宋体" w:hAnsi="宋体" w:eastAsia="宋体" w:cs="宋体"/>
          <w:szCs w:val="24"/>
        </w:rPr>
        <w:t xml:space="preserve">3.6 </w:t>
      </w:r>
      <w:r>
        <w:rPr>
          <w:rFonts w:hint="eastAsia" w:ascii="宋体" w:hAnsi="宋体" w:eastAsia="宋体" w:cs="宋体"/>
          <w:szCs w:val="24"/>
        </w:rPr>
        <w:t>备选投标方案</w:t>
      </w:r>
      <w:bookmarkEnd w:id="431"/>
      <w:bookmarkEnd w:id="432"/>
      <w:bookmarkEnd w:id="433"/>
      <w:bookmarkEnd w:id="434"/>
      <w:bookmarkEnd w:id="435"/>
      <w:bookmarkEnd w:id="436"/>
      <w:bookmarkEnd w:id="437"/>
      <w:bookmarkEnd w:id="438"/>
      <w:bookmarkEnd w:id="439"/>
      <w:bookmarkEnd w:id="440"/>
      <w:bookmarkEnd w:id="441"/>
    </w:p>
    <w:p w14:paraId="1AFD62CD">
      <w:pPr>
        <w:spacing w:line="360" w:lineRule="auto"/>
        <w:ind w:firstLine="480" w:firstLineChars="200"/>
        <w:rPr>
          <w:rFonts w:ascii="宋体" w:hAnsi="宋体" w:cs="宋体"/>
          <w:sz w:val="24"/>
          <w:szCs w:val="24"/>
        </w:rPr>
      </w:pPr>
      <w:r>
        <w:rPr>
          <w:rFonts w:ascii="宋体" w:hAnsi="宋体" w:cs="宋体"/>
          <w:sz w:val="24"/>
          <w:szCs w:val="24"/>
        </w:rPr>
        <w:t xml:space="preserve">3.6.1 </w:t>
      </w:r>
      <w:r>
        <w:rPr>
          <w:rFonts w:hint="eastAsia" w:ascii="宋体" w:hAnsi="宋体" w:cs="宋体"/>
          <w:sz w:val="24"/>
          <w:szCs w:val="24"/>
        </w:rPr>
        <w:t>除投标人须知前附表规定允许外，投标人不得递交备选投标方案，否则其投标将被否决。</w:t>
      </w:r>
    </w:p>
    <w:p w14:paraId="13EBA68D">
      <w:pPr>
        <w:spacing w:line="360" w:lineRule="auto"/>
        <w:ind w:firstLine="480" w:firstLineChars="200"/>
        <w:rPr>
          <w:rFonts w:ascii="宋体" w:hAnsi="宋体" w:cs="宋体"/>
          <w:sz w:val="24"/>
          <w:szCs w:val="24"/>
        </w:rPr>
      </w:pPr>
      <w:r>
        <w:rPr>
          <w:rFonts w:ascii="宋体" w:hAnsi="宋体" w:cs="宋体"/>
          <w:sz w:val="24"/>
          <w:szCs w:val="24"/>
        </w:rPr>
        <w:t xml:space="preserve">3.6.2 </w:t>
      </w:r>
      <w:r>
        <w:rPr>
          <w:rFonts w:hint="eastAsia" w:ascii="宋体" w:hAnsi="宋体" w:cs="宋体"/>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75BBCB2C">
      <w:pPr>
        <w:spacing w:line="360" w:lineRule="auto"/>
        <w:ind w:firstLine="480" w:firstLineChars="200"/>
        <w:rPr>
          <w:rFonts w:ascii="宋体" w:hAnsi="宋体" w:cs="宋体"/>
          <w:sz w:val="24"/>
          <w:szCs w:val="24"/>
        </w:rPr>
      </w:pPr>
      <w:r>
        <w:rPr>
          <w:rFonts w:ascii="宋体" w:hAnsi="宋体" w:cs="宋体"/>
          <w:sz w:val="24"/>
          <w:szCs w:val="24"/>
        </w:rPr>
        <w:t xml:space="preserve">3.6.3 </w:t>
      </w:r>
      <w:r>
        <w:rPr>
          <w:rFonts w:hint="eastAsia" w:ascii="宋体" w:hAnsi="宋体" w:cs="宋体"/>
          <w:sz w:val="24"/>
          <w:szCs w:val="24"/>
        </w:rPr>
        <w:t>投标人提供两个或两个以上投标报价，或者在投标文件中提供一个报价，但同时提供两个或两个以上</w:t>
      </w:r>
      <w:bookmarkStart w:id="442" w:name="_Toc369531538"/>
      <w:bookmarkStart w:id="443" w:name="_Toc152042326"/>
      <w:bookmarkStart w:id="444" w:name="_Toc29902"/>
      <w:bookmarkStart w:id="445" w:name="_Toc300834971"/>
      <w:bookmarkStart w:id="446" w:name="_Toc247513974"/>
      <w:bookmarkStart w:id="447" w:name="_Toc152045550"/>
      <w:bookmarkStart w:id="448" w:name="_Toc352691495"/>
      <w:bookmarkStart w:id="449" w:name="_Toc361508607"/>
      <w:bookmarkStart w:id="450" w:name="_Toc144974518"/>
      <w:bookmarkStart w:id="451" w:name="_Toc384308232"/>
      <w:bookmarkStart w:id="452" w:name="_Toc247527575"/>
      <w:r>
        <w:rPr>
          <w:rFonts w:hint="eastAsia" w:ascii="宋体" w:hAnsi="宋体" w:cs="宋体"/>
          <w:sz w:val="24"/>
          <w:szCs w:val="24"/>
        </w:rPr>
        <w:t>技术服务方案的</w:t>
      </w:r>
      <w:bookmarkEnd w:id="442"/>
      <w:bookmarkEnd w:id="443"/>
      <w:bookmarkEnd w:id="444"/>
      <w:bookmarkEnd w:id="445"/>
      <w:bookmarkEnd w:id="446"/>
      <w:bookmarkEnd w:id="447"/>
      <w:bookmarkEnd w:id="448"/>
      <w:bookmarkEnd w:id="449"/>
      <w:bookmarkEnd w:id="450"/>
      <w:bookmarkEnd w:id="451"/>
      <w:bookmarkEnd w:id="452"/>
      <w:r>
        <w:rPr>
          <w:rFonts w:hint="eastAsia" w:ascii="宋体" w:hAnsi="宋体" w:cs="宋体"/>
          <w:sz w:val="24"/>
          <w:szCs w:val="24"/>
        </w:rPr>
        <w:t>，视为提供备选方案。</w:t>
      </w:r>
    </w:p>
    <w:p w14:paraId="5B957C58">
      <w:pPr>
        <w:pStyle w:val="5"/>
        <w:spacing w:line="360" w:lineRule="auto"/>
        <w:ind w:firstLine="0" w:firstLineChars="0"/>
        <w:rPr>
          <w:rFonts w:ascii="宋体" w:hAnsi="宋体" w:eastAsia="宋体" w:cs="宋体"/>
          <w:szCs w:val="24"/>
        </w:rPr>
      </w:pPr>
      <w:bookmarkStart w:id="453" w:name="_Toc29791"/>
      <w:bookmarkStart w:id="454" w:name="_Toc19346"/>
      <w:bookmarkStart w:id="455" w:name="_Toc15838"/>
      <w:bookmarkStart w:id="456" w:name="_Toc12491"/>
      <w:bookmarkStart w:id="457" w:name="_Toc6577"/>
      <w:bookmarkStart w:id="458" w:name="_Toc18115"/>
      <w:bookmarkStart w:id="459" w:name="_Toc21879"/>
      <w:bookmarkStart w:id="460" w:name="_Toc18836"/>
      <w:bookmarkStart w:id="461" w:name="_Toc19725"/>
      <w:bookmarkStart w:id="462" w:name="_Toc492300590"/>
      <w:bookmarkStart w:id="463" w:name="_Toc28209"/>
      <w:r>
        <w:rPr>
          <w:rFonts w:ascii="宋体" w:hAnsi="宋体" w:eastAsia="宋体" w:cs="宋体"/>
          <w:szCs w:val="24"/>
        </w:rPr>
        <w:t xml:space="preserve">3.7 </w:t>
      </w:r>
      <w:r>
        <w:rPr>
          <w:rFonts w:hint="eastAsia" w:ascii="宋体" w:hAnsi="宋体" w:eastAsia="宋体" w:cs="宋体"/>
          <w:szCs w:val="24"/>
        </w:rPr>
        <w:t>投标文件的编制</w:t>
      </w:r>
      <w:bookmarkEnd w:id="453"/>
      <w:bookmarkEnd w:id="454"/>
      <w:bookmarkEnd w:id="455"/>
      <w:bookmarkEnd w:id="456"/>
      <w:bookmarkEnd w:id="457"/>
      <w:bookmarkEnd w:id="458"/>
      <w:bookmarkEnd w:id="459"/>
      <w:bookmarkEnd w:id="460"/>
      <w:bookmarkEnd w:id="461"/>
      <w:bookmarkEnd w:id="462"/>
      <w:bookmarkEnd w:id="463"/>
    </w:p>
    <w:p w14:paraId="455D426A">
      <w:pPr>
        <w:spacing w:line="360" w:lineRule="auto"/>
        <w:ind w:firstLine="480" w:firstLineChars="200"/>
        <w:rPr>
          <w:rFonts w:ascii="宋体" w:hAnsi="宋体" w:cs="宋体"/>
          <w:sz w:val="24"/>
          <w:szCs w:val="24"/>
        </w:rPr>
      </w:pPr>
      <w:r>
        <w:rPr>
          <w:rFonts w:ascii="宋体" w:hAnsi="宋体" w:cs="宋体"/>
          <w:sz w:val="24"/>
          <w:szCs w:val="24"/>
        </w:rPr>
        <w:t xml:space="preserve">3.7.1 </w:t>
      </w:r>
      <w:r>
        <w:rPr>
          <w:rFonts w:hint="eastAsia" w:ascii="宋体" w:hAnsi="宋体" w:cs="宋体"/>
          <w:sz w:val="24"/>
          <w:szCs w:val="24"/>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479C0876">
      <w:pPr>
        <w:spacing w:line="360" w:lineRule="auto"/>
        <w:ind w:firstLine="480" w:firstLineChars="200"/>
        <w:rPr>
          <w:rFonts w:ascii="宋体" w:hAnsi="宋体" w:cs="宋体"/>
          <w:sz w:val="24"/>
          <w:szCs w:val="24"/>
        </w:rPr>
      </w:pPr>
      <w:r>
        <w:rPr>
          <w:rFonts w:ascii="宋体" w:hAnsi="宋体" w:cs="宋体"/>
          <w:sz w:val="24"/>
          <w:szCs w:val="24"/>
        </w:rPr>
        <w:t xml:space="preserve">3.7.2 </w:t>
      </w:r>
      <w:r>
        <w:rPr>
          <w:rFonts w:hint="eastAsia" w:ascii="宋体" w:hAnsi="宋体" w:cs="宋体"/>
          <w:sz w:val="24"/>
          <w:szCs w:val="24"/>
        </w:rPr>
        <w:t>投标文件应当对招标文件有关服务期限、投标有效期、委托人要求、招标范围等实质性内容作出响应。</w:t>
      </w:r>
    </w:p>
    <w:p w14:paraId="1305BF0A">
      <w:pPr>
        <w:spacing w:line="360" w:lineRule="auto"/>
        <w:ind w:firstLine="480" w:firstLineChars="200"/>
        <w:rPr>
          <w:rFonts w:ascii="宋体" w:hAnsi="宋体" w:cs="宋体"/>
          <w:strike/>
          <w:sz w:val="24"/>
          <w:szCs w:val="24"/>
        </w:rPr>
      </w:pPr>
      <w:r>
        <w:rPr>
          <w:rFonts w:hint="eastAsia" w:ascii="宋体" w:hAnsi="宋体" w:cs="宋体"/>
          <w:strike/>
          <w:sz w:val="24"/>
          <w:szCs w:val="24"/>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6BC6A182">
      <w:pPr>
        <w:spacing w:line="360" w:lineRule="auto"/>
        <w:ind w:firstLine="480" w:firstLineChars="200"/>
        <w:rPr>
          <w:rFonts w:ascii="宋体" w:hAnsi="宋体" w:cs="宋体"/>
          <w:strike/>
          <w:sz w:val="24"/>
          <w:szCs w:val="24"/>
        </w:rPr>
      </w:pPr>
      <w:r>
        <w:rPr>
          <w:rFonts w:hint="eastAsia" w:ascii="宋体" w:hAnsi="宋体" w:cs="宋体"/>
          <w:strike/>
          <w:sz w:val="24"/>
          <w:szCs w:val="24"/>
        </w:rPr>
        <w:t>（2）投标文件正本一份，副本份数见投标人须知前附表。正本和副本的封面</w:t>
      </w:r>
      <w:r>
        <w:rPr>
          <w:rStyle w:val="24"/>
          <w:rFonts w:hint="eastAsia" w:ascii="宋体" w:hAnsi="宋体" w:cs="宋体"/>
          <w:strike/>
          <w:kern w:val="0"/>
          <w:sz w:val="24"/>
          <w:szCs w:val="24"/>
        </w:rPr>
        <w:t>右上角</w:t>
      </w:r>
      <w:r>
        <w:rPr>
          <w:rFonts w:hint="eastAsia" w:ascii="宋体" w:hAnsi="宋体" w:cs="宋体"/>
          <w:strike/>
          <w:sz w:val="24"/>
          <w:szCs w:val="24"/>
        </w:rPr>
        <w:t>上应清楚地标记“正本”或“副本”的字样。投标人应根据投标人须知前附表要求提供电子版文件。当副本和正本不一致或电子版文件和纸质正本文件不一致时，以纸质正本文件为准。</w:t>
      </w:r>
    </w:p>
    <w:p w14:paraId="62A5F8AC">
      <w:pPr>
        <w:spacing w:line="360" w:lineRule="auto"/>
        <w:ind w:firstLine="480" w:firstLineChars="200"/>
        <w:rPr>
          <w:rFonts w:ascii="宋体" w:hAnsi="宋体" w:cs="宋体"/>
          <w:strike/>
          <w:sz w:val="24"/>
          <w:szCs w:val="24"/>
        </w:rPr>
      </w:pPr>
      <w:r>
        <w:rPr>
          <w:rFonts w:hint="eastAsia" w:ascii="宋体" w:hAnsi="宋体" w:cs="宋体"/>
          <w:strike/>
          <w:sz w:val="24"/>
          <w:szCs w:val="24"/>
        </w:rPr>
        <w:t>（3）投标文件的正本与副本应分别装订，并编制目录，投标文件需分册装订的，具体分册装订要求见投标人须知前附表规定。</w:t>
      </w:r>
    </w:p>
    <w:p w14:paraId="5E8B7733">
      <w:pPr>
        <w:spacing w:line="360" w:lineRule="auto"/>
        <w:ind w:firstLine="480" w:firstLineChars="200"/>
        <w:rPr>
          <w:rFonts w:ascii="宋体" w:hAnsi="宋体" w:cs="宋体"/>
          <w:sz w:val="24"/>
          <w:szCs w:val="24"/>
        </w:rPr>
      </w:pPr>
      <w:r>
        <w:rPr>
          <w:rFonts w:hint="eastAsia" w:ascii="宋体" w:hAnsi="宋体" w:cs="宋体"/>
          <w:sz w:val="24"/>
          <w:szCs w:val="24"/>
        </w:rPr>
        <w:t>3.7.3（B）投标文件全部采用电子文档，除投标人须知前附表另有规定外，投标文件所附证书证件均为清晰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1767773C">
      <w:pPr>
        <w:pStyle w:val="4"/>
        <w:spacing w:line="360" w:lineRule="auto"/>
        <w:rPr>
          <w:rFonts w:ascii="宋体" w:hAnsi="宋体" w:eastAsia="宋体" w:cs="宋体"/>
          <w:sz w:val="28"/>
          <w:szCs w:val="28"/>
        </w:rPr>
      </w:pPr>
      <w:bookmarkStart w:id="464" w:name="_Toc30332"/>
      <w:bookmarkStart w:id="465" w:name="_Toc16173"/>
      <w:bookmarkStart w:id="466" w:name="_Toc5182"/>
      <w:bookmarkStart w:id="467" w:name="_Toc10101"/>
      <w:bookmarkStart w:id="468" w:name="_Toc1464"/>
      <w:bookmarkStart w:id="469" w:name="_Toc26591"/>
      <w:bookmarkStart w:id="470" w:name="_Toc21771"/>
      <w:bookmarkStart w:id="471" w:name="_Toc492300591"/>
      <w:bookmarkStart w:id="472" w:name="_Toc31476"/>
      <w:bookmarkStart w:id="473" w:name="_Toc3720"/>
      <w:bookmarkStart w:id="474" w:name="_Toc10003"/>
      <w:r>
        <w:rPr>
          <w:rFonts w:ascii="宋体" w:hAnsi="宋体" w:eastAsia="宋体" w:cs="宋体"/>
          <w:sz w:val="28"/>
          <w:szCs w:val="28"/>
        </w:rPr>
        <w:t xml:space="preserve">4. </w:t>
      </w:r>
      <w:r>
        <w:rPr>
          <w:rFonts w:hint="eastAsia" w:ascii="宋体" w:hAnsi="宋体" w:eastAsia="宋体" w:cs="宋体"/>
          <w:sz w:val="28"/>
          <w:szCs w:val="28"/>
        </w:rPr>
        <w:t>投标</w:t>
      </w:r>
      <w:bookmarkEnd w:id="464"/>
      <w:bookmarkEnd w:id="465"/>
      <w:bookmarkEnd w:id="466"/>
      <w:bookmarkEnd w:id="467"/>
      <w:bookmarkEnd w:id="468"/>
      <w:bookmarkEnd w:id="469"/>
      <w:bookmarkEnd w:id="470"/>
      <w:bookmarkEnd w:id="471"/>
      <w:bookmarkEnd w:id="472"/>
      <w:bookmarkEnd w:id="473"/>
      <w:bookmarkEnd w:id="474"/>
    </w:p>
    <w:p w14:paraId="2CC30DDB">
      <w:pPr>
        <w:pStyle w:val="5"/>
        <w:spacing w:line="360" w:lineRule="auto"/>
        <w:ind w:firstLine="0" w:firstLineChars="0"/>
        <w:rPr>
          <w:rFonts w:ascii="宋体" w:hAnsi="宋体" w:eastAsia="宋体" w:cs="宋体"/>
          <w:szCs w:val="24"/>
        </w:rPr>
      </w:pPr>
      <w:bookmarkStart w:id="475" w:name="_Toc21559"/>
      <w:bookmarkStart w:id="476" w:name="_Toc492300592"/>
      <w:bookmarkStart w:id="477" w:name="_Toc747"/>
      <w:bookmarkStart w:id="478" w:name="_Toc1661"/>
      <w:bookmarkStart w:id="479" w:name="_Toc22374"/>
      <w:bookmarkStart w:id="480" w:name="_Toc20798"/>
      <w:bookmarkStart w:id="481" w:name="_Toc16071"/>
      <w:bookmarkStart w:id="482" w:name="_Toc31527"/>
      <w:bookmarkStart w:id="483" w:name="_Toc26160"/>
      <w:bookmarkStart w:id="484" w:name="_Toc24968"/>
      <w:bookmarkStart w:id="485" w:name="_Toc13412"/>
      <w:r>
        <w:rPr>
          <w:rFonts w:ascii="宋体" w:hAnsi="宋体" w:eastAsia="宋体" w:cs="宋体"/>
          <w:szCs w:val="24"/>
        </w:rPr>
        <w:t xml:space="preserve">4.1 </w:t>
      </w:r>
      <w:r>
        <w:rPr>
          <w:rFonts w:hint="eastAsia" w:ascii="宋体" w:hAnsi="宋体" w:eastAsia="宋体" w:cs="宋体"/>
          <w:szCs w:val="24"/>
        </w:rPr>
        <w:t>投标文件的密封和标记</w:t>
      </w:r>
      <w:bookmarkEnd w:id="475"/>
      <w:bookmarkEnd w:id="476"/>
      <w:bookmarkEnd w:id="477"/>
      <w:bookmarkEnd w:id="478"/>
      <w:bookmarkEnd w:id="479"/>
      <w:bookmarkEnd w:id="480"/>
      <w:bookmarkEnd w:id="481"/>
      <w:bookmarkEnd w:id="482"/>
      <w:bookmarkEnd w:id="483"/>
      <w:bookmarkEnd w:id="484"/>
      <w:bookmarkEnd w:id="485"/>
    </w:p>
    <w:p w14:paraId="49C8C30B">
      <w:pPr>
        <w:spacing w:line="360" w:lineRule="auto"/>
        <w:ind w:firstLine="480" w:firstLineChars="200"/>
        <w:rPr>
          <w:rFonts w:ascii="宋体" w:hAnsi="宋体" w:cs="宋体"/>
          <w:strike/>
          <w:sz w:val="24"/>
          <w:szCs w:val="24"/>
        </w:rPr>
      </w:pPr>
      <w:r>
        <w:rPr>
          <w:rFonts w:ascii="宋体" w:hAnsi="宋体" w:cs="宋体"/>
          <w:strike/>
          <w:sz w:val="24"/>
          <w:szCs w:val="24"/>
        </w:rPr>
        <w:t xml:space="preserve">4.1.1 </w:t>
      </w:r>
      <w:r>
        <w:rPr>
          <w:rFonts w:hint="eastAsia" w:ascii="宋体" w:hAnsi="宋体" w:cs="宋体"/>
          <w:strike/>
          <w:sz w:val="24"/>
          <w:szCs w:val="24"/>
        </w:rPr>
        <w:t>（A）投标文件应密封包装，并在封套的封口处加盖投标人单位章或由投标人的法定代表人或其授权的代理人签字。</w:t>
      </w:r>
    </w:p>
    <w:p w14:paraId="3614211D">
      <w:pPr>
        <w:spacing w:line="360" w:lineRule="auto"/>
        <w:ind w:firstLine="480" w:firstLineChars="200"/>
        <w:rPr>
          <w:rFonts w:ascii="宋体" w:hAnsi="宋体" w:cs="宋体"/>
          <w:sz w:val="24"/>
          <w:szCs w:val="24"/>
        </w:rPr>
      </w:pPr>
      <w:r>
        <w:rPr>
          <w:rFonts w:ascii="宋体" w:hAnsi="宋体" w:cs="宋体"/>
          <w:sz w:val="24"/>
          <w:szCs w:val="24"/>
        </w:rPr>
        <w:t xml:space="preserve">4.1.1 </w:t>
      </w:r>
      <w:r>
        <w:rPr>
          <w:rFonts w:hint="eastAsia" w:ascii="宋体" w:hAnsi="宋体" w:cs="宋体"/>
          <w:sz w:val="24"/>
          <w:szCs w:val="24"/>
        </w:rPr>
        <w:t>（B）投标人应当按照招标文件和电子招标投标交易平台的要求加密投标文件，具体要求见投标人须知前附表。</w:t>
      </w:r>
    </w:p>
    <w:p w14:paraId="03047AF1">
      <w:pPr>
        <w:spacing w:line="360" w:lineRule="auto"/>
        <w:ind w:firstLine="480" w:firstLineChars="200"/>
        <w:rPr>
          <w:rFonts w:ascii="宋体" w:hAnsi="宋体" w:cs="宋体"/>
          <w:sz w:val="24"/>
          <w:szCs w:val="24"/>
        </w:rPr>
      </w:pPr>
      <w:r>
        <w:rPr>
          <w:rFonts w:ascii="宋体" w:hAnsi="宋体" w:cs="宋体"/>
          <w:sz w:val="24"/>
          <w:szCs w:val="24"/>
        </w:rPr>
        <w:t xml:space="preserve">4.1.2 </w:t>
      </w:r>
      <w:r>
        <w:rPr>
          <w:rFonts w:hint="eastAsia" w:ascii="宋体" w:hAnsi="宋体" w:cs="宋体"/>
          <w:sz w:val="24"/>
          <w:szCs w:val="24"/>
        </w:rPr>
        <w:t>投标文件封套上应写明的内容见投标人须知前附表。</w:t>
      </w:r>
    </w:p>
    <w:p w14:paraId="46AB14F4">
      <w:pPr>
        <w:spacing w:line="360" w:lineRule="auto"/>
        <w:ind w:firstLine="480" w:firstLineChars="200"/>
        <w:rPr>
          <w:rFonts w:ascii="宋体" w:hAnsi="宋体" w:cs="宋体"/>
          <w:sz w:val="24"/>
          <w:szCs w:val="24"/>
        </w:rPr>
      </w:pPr>
      <w:r>
        <w:rPr>
          <w:rFonts w:ascii="宋体" w:hAnsi="宋体" w:cs="宋体"/>
          <w:sz w:val="24"/>
          <w:szCs w:val="24"/>
        </w:rPr>
        <w:t xml:space="preserve">4.1.3 </w:t>
      </w:r>
      <w:r>
        <w:rPr>
          <w:rFonts w:hint="eastAsia" w:ascii="宋体" w:hAnsi="宋体" w:cs="宋体"/>
          <w:sz w:val="24"/>
          <w:szCs w:val="24"/>
        </w:rPr>
        <w:t>未按本章第4.1.1项要求密封的投标文件，招标人将予以拒收。</w:t>
      </w:r>
    </w:p>
    <w:p w14:paraId="082D81F1">
      <w:pPr>
        <w:pStyle w:val="5"/>
        <w:spacing w:line="360" w:lineRule="auto"/>
        <w:ind w:firstLine="0" w:firstLineChars="0"/>
        <w:rPr>
          <w:rFonts w:ascii="宋体" w:hAnsi="宋体" w:eastAsia="宋体" w:cs="宋体"/>
          <w:szCs w:val="24"/>
        </w:rPr>
      </w:pPr>
      <w:bookmarkStart w:id="486" w:name="_Toc8542"/>
      <w:bookmarkStart w:id="487" w:name="_Toc492300593"/>
      <w:bookmarkStart w:id="488" w:name="_Toc21455"/>
      <w:bookmarkStart w:id="489" w:name="_Toc28965"/>
      <w:bookmarkStart w:id="490" w:name="_Toc767"/>
      <w:bookmarkStart w:id="491" w:name="_Toc18806"/>
      <w:bookmarkStart w:id="492" w:name="_Toc5726"/>
      <w:bookmarkStart w:id="493" w:name="_Toc3735"/>
      <w:bookmarkStart w:id="494" w:name="_Toc6415"/>
      <w:bookmarkStart w:id="495" w:name="_Toc22506"/>
      <w:bookmarkStart w:id="496" w:name="_Toc29912"/>
      <w:r>
        <w:rPr>
          <w:rFonts w:ascii="宋体" w:hAnsi="宋体" w:eastAsia="宋体" w:cs="宋体"/>
          <w:szCs w:val="24"/>
        </w:rPr>
        <w:t xml:space="preserve">4.2 </w:t>
      </w:r>
      <w:r>
        <w:rPr>
          <w:rFonts w:hint="eastAsia" w:ascii="宋体" w:hAnsi="宋体" w:eastAsia="宋体" w:cs="宋体"/>
          <w:szCs w:val="24"/>
        </w:rPr>
        <w:t>投标文件的递交</w:t>
      </w:r>
      <w:bookmarkEnd w:id="486"/>
      <w:bookmarkEnd w:id="487"/>
      <w:bookmarkEnd w:id="488"/>
      <w:bookmarkEnd w:id="489"/>
      <w:bookmarkEnd w:id="490"/>
      <w:bookmarkEnd w:id="491"/>
      <w:bookmarkEnd w:id="492"/>
      <w:bookmarkEnd w:id="493"/>
      <w:bookmarkEnd w:id="494"/>
      <w:bookmarkEnd w:id="495"/>
      <w:bookmarkEnd w:id="496"/>
    </w:p>
    <w:p w14:paraId="03A96BDD">
      <w:pPr>
        <w:spacing w:line="360" w:lineRule="auto"/>
        <w:ind w:firstLine="480" w:firstLineChars="200"/>
        <w:rPr>
          <w:rFonts w:ascii="宋体" w:hAnsi="宋体" w:cs="宋体"/>
          <w:sz w:val="24"/>
          <w:szCs w:val="24"/>
        </w:rPr>
      </w:pPr>
      <w:r>
        <w:rPr>
          <w:rFonts w:ascii="宋体" w:hAnsi="宋体" w:cs="宋体"/>
          <w:sz w:val="24"/>
          <w:szCs w:val="24"/>
        </w:rPr>
        <w:t xml:space="preserve">4.2.1 </w:t>
      </w:r>
      <w:r>
        <w:rPr>
          <w:rFonts w:hint="eastAsia" w:ascii="宋体" w:hAnsi="宋体" w:cs="宋体"/>
          <w:sz w:val="24"/>
          <w:szCs w:val="24"/>
        </w:rPr>
        <w:t>投标人应在投标人须知前附表规定的投标截止时间前递交投标文件。</w:t>
      </w:r>
    </w:p>
    <w:p w14:paraId="1E95D97C">
      <w:pPr>
        <w:spacing w:line="360" w:lineRule="auto"/>
        <w:ind w:firstLine="480" w:firstLineChars="200"/>
        <w:rPr>
          <w:rFonts w:ascii="宋体" w:hAnsi="宋体" w:cs="宋体"/>
          <w:strike/>
          <w:sz w:val="24"/>
          <w:szCs w:val="24"/>
        </w:rPr>
      </w:pPr>
      <w:r>
        <w:rPr>
          <w:rFonts w:ascii="宋体" w:hAnsi="宋体" w:cs="宋体"/>
          <w:strike/>
          <w:sz w:val="24"/>
          <w:szCs w:val="24"/>
        </w:rPr>
        <w:t xml:space="preserve">4.2.2 </w:t>
      </w:r>
      <w:r>
        <w:rPr>
          <w:rFonts w:hint="eastAsia" w:ascii="宋体" w:hAnsi="宋体" w:cs="宋体"/>
          <w:strike/>
          <w:sz w:val="24"/>
          <w:szCs w:val="24"/>
        </w:rPr>
        <w:t>（A）投标人递交投标文件的地点：见投标人须知前附表。</w:t>
      </w:r>
    </w:p>
    <w:p w14:paraId="3762D75A">
      <w:pPr>
        <w:spacing w:line="360" w:lineRule="auto"/>
        <w:ind w:firstLine="480" w:firstLineChars="200"/>
        <w:rPr>
          <w:rFonts w:ascii="宋体" w:hAnsi="宋体" w:cs="宋体"/>
          <w:sz w:val="24"/>
          <w:szCs w:val="24"/>
        </w:rPr>
      </w:pPr>
      <w:r>
        <w:rPr>
          <w:rFonts w:ascii="宋体" w:hAnsi="宋体" w:cs="宋体"/>
          <w:sz w:val="24"/>
          <w:szCs w:val="24"/>
        </w:rPr>
        <w:t xml:space="preserve">4.2.2 </w:t>
      </w:r>
      <w:r>
        <w:rPr>
          <w:rFonts w:hint="eastAsia" w:ascii="宋体" w:hAnsi="宋体" w:cs="宋体"/>
          <w:sz w:val="24"/>
          <w:szCs w:val="24"/>
        </w:rPr>
        <w:t>（B）</w:t>
      </w:r>
      <w:r>
        <w:rPr>
          <w:rFonts w:hint="eastAsia" w:ascii="宋体" w:hAnsi="宋体" w:cs="宋体"/>
          <w:bCs/>
          <w:iCs/>
          <w:sz w:val="24"/>
          <w:szCs w:val="24"/>
        </w:rPr>
        <w:t>投标人通过下载招标文件的电子招标投标交易平台递交电子投标文件。</w:t>
      </w:r>
    </w:p>
    <w:p w14:paraId="25874A27">
      <w:pPr>
        <w:spacing w:line="360" w:lineRule="auto"/>
        <w:ind w:firstLine="480" w:firstLineChars="200"/>
        <w:rPr>
          <w:rFonts w:ascii="宋体" w:hAnsi="宋体" w:cs="宋体"/>
          <w:sz w:val="24"/>
          <w:szCs w:val="24"/>
        </w:rPr>
      </w:pPr>
      <w:r>
        <w:rPr>
          <w:rFonts w:ascii="宋体" w:hAnsi="宋体" w:cs="宋体"/>
          <w:sz w:val="24"/>
          <w:szCs w:val="24"/>
        </w:rPr>
        <w:t xml:space="preserve">4.2.3 </w:t>
      </w:r>
      <w:r>
        <w:rPr>
          <w:rFonts w:hint="eastAsia" w:ascii="宋体" w:hAnsi="宋体" w:cs="宋体"/>
          <w:sz w:val="24"/>
          <w:szCs w:val="24"/>
        </w:rPr>
        <w:t>除投标人须知前附表另有规定外，投标人所递交的投标文件不予退还。</w:t>
      </w:r>
    </w:p>
    <w:p w14:paraId="6BBD97A1">
      <w:pPr>
        <w:spacing w:line="360" w:lineRule="auto"/>
        <w:ind w:firstLine="480" w:firstLineChars="200"/>
        <w:rPr>
          <w:rFonts w:ascii="宋体" w:hAnsi="宋体" w:cs="宋体"/>
          <w:strike/>
          <w:sz w:val="24"/>
          <w:szCs w:val="24"/>
        </w:rPr>
      </w:pPr>
      <w:r>
        <w:rPr>
          <w:rFonts w:ascii="宋体" w:hAnsi="宋体" w:cs="宋体"/>
          <w:strike/>
          <w:sz w:val="24"/>
          <w:szCs w:val="24"/>
        </w:rPr>
        <w:t xml:space="preserve">4.2.4 </w:t>
      </w:r>
      <w:r>
        <w:rPr>
          <w:rFonts w:hint="eastAsia" w:ascii="宋体" w:hAnsi="宋体" w:cs="宋体"/>
          <w:strike/>
          <w:sz w:val="24"/>
          <w:szCs w:val="24"/>
        </w:rPr>
        <w:t>（A）招标人收到投标文件后，向投标人出具签收凭证。</w:t>
      </w:r>
    </w:p>
    <w:p w14:paraId="00BB7C8A">
      <w:pPr>
        <w:spacing w:line="360" w:lineRule="auto"/>
        <w:ind w:firstLine="480" w:firstLineChars="200"/>
        <w:rPr>
          <w:rFonts w:ascii="宋体" w:hAnsi="宋体" w:cs="宋体"/>
          <w:sz w:val="24"/>
          <w:szCs w:val="24"/>
        </w:rPr>
      </w:pPr>
      <w:r>
        <w:rPr>
          <w:rFonts w:ascii="宋体" w:hAnsi="宋体" w:cs="宋体"/>
          <w:sz w:val="24"/>
          <w:szCs w:val="24"/>
        </w:rPr>
        <w:t xml:space="preserve">4.2.4 </w:t>
      </w:r>
      <w:r>
        <w:rPr>
          <w:rFonts w:hint="eastAsia" w:ascii="宋体" w:hAnsi="宋体" w:cs="宋体"/>
          <w:sz w:val="24"/>
          <w:szCs w:val="24"/>
        </w:rPr>
        <w:t>（B）投标人完成电子投标文件上传后，</w:t>
      </w:r>
      <w:r>
        <w:rPr>
          <w:rFonts w:hint="eastAsia" w:ascii="宋体" w:hAnsi="宋体" w:cs="宋体"/>
          <w:bCs/>
          <w:iCs/>
          <w:sz w:val="24"/>
          <w:szCs w:val="24"/>
        </w:rPr>
        <w:t>电子招标投标交易平台</w:t>
      </w:r>
      <w:r>
        <w:rPr>
          <w:rFonts w:hint="eastAsia" w:ascii="宋体" w:hAnsi="宋体" w:cs="宋体"/>
          <w:sz w:val="24"/>
          <w:szCs w:val="24"/>
        </w:rPr>
        <w:t>即时向投标人发出递交回执通知。递交时间以递交回执通知载明的传输完成时间为准。</w:t>
      </w:r>
    </w:p>
    <w:p w14:paraId="0B676F7E">
      <w:pPr>
        <w:spacing w:line="360" w:lineRule="auto"/>
        <w:ind w:firstLine="480" w:firstLineChars="200"/>
        <w:rPr>
          <w:rFonts w:ascii="宋体" w:hAnsi="宋体" w:cs="宋体"/>
          <w:strike/>
          <w:sz w:val="24"/>
          <w:szCs w:val="24"/>
        </w:rPr>
      </w:pPr>
      <w:r>
        <w:rPr>
          <w:rFonts w:ascii="宋体" w:hAnsi="宋体" w:cs="宋体"/>
          <w:strike/>
          <w:sz w:val="24"/>
          <w:szCs w:val="24"/>
        </w:rPr>
        <w:t xml:space="preserve">4.2.5 </w:t>
      </w:r>
      <w:r>
        <w:rPr>
          <w:rFonts w:hint="eastAsia" w:ascii="宋体" w:hAnsi="宋体" w:cs="宋体"/>
          <w:strike/>
          <w:sz w:val="24"/>
          <w:szCs w:val="24"/>
        </w:rPr>
        <w:t>（A）逾期送达的投标文件，招标人将予以拒收。</w:t>
      </w:r>
    </w:p>
    <w:p w14:paraId="05A3D885">
      <w:pPr>
        <w:spacing w:line="360" w:lineRule="auto"/>
        <w:ind w:firstLine="480" w:firstLineChars="200"/>
        <w:rPr>
          <w:rFonts w:ascii="宋体" w:hAnsi="宋体" w:cs="宋体"/>
          <w:sz w:val="24"/>
          <w:szCs w:val="24"/>
        </w:rPr>
      </w:pPr>
      <w:r>
        <w:rPr>
          <w:rFonts w:ascii="宋体" w:hAnsi="宋体" w:cs="宋体"/>
          <w:sz w:val="24"/>
          <w:szCs w:val="24"/>
        </w:rPr>
        <w:t xml:space="preserve">4.2.5 </w:t>
      </w:r>
      <w:r>
        <w:rPr>
          <w:rFonts w:hint="eastAsia" w:ascii="宋体" w:hAnsi="宋体" w:cs="宋体"/>
          <w:sz w:val="24"/>
          <w:szCs w:val="24"/>
        </w:rPr>
        <w:t>（B）逾期送达的投标文件，电子招标投标交易平台将予以拒收。</w:t>
      </w:r>
    </w:p>
    <w:p w14:paraId="5255E63C">
      <w:pPr>
        <w:pStyle w:val="5"/>
        <w:spacing w:line="360" w:lineRule="auto"/>
        <w:ind w:firstLine="0" w:firstLineChars="0"/>
        <w:rPr>
          <w:rFonts w:ascii="宋体" w:hAnsi="宋体" w:eastAsia="宋体" w:cs="宋体"/>
          <w:szCs w:val="24"/>
        </w:rPr>
      </w:pPr>
      <w:bookmarkStart w:id="497" w:name="_Toc4752"/>
      <w:bookmarkStart w:id="498" w:name="_Toc492300594"/>
      <w:bookmarkStart w:id="499" w:name="_Toc26387"/>
      <w:bookmarkStart w:id="500" w:name="_Toc526"/>
      <w:bookmarkStart w:id="501" w:name="_Toc5000"/>
      <w:bookmarkStart w:id="502" w:name="_Toc10715"/>
      <w:bookmarkStart w:id="503" w:name="_Toc23826"/>
      <w:bookmarkStart w:id="504" w:name="_Toc15299"/>
      <w:bookmarkStart w:id="505" w:name="_Toc27687"/>
      <w:bookmarkStart w:id="506" w:name="_Toc1607"/>
      <w:bookmarkStart w:id="507" w:name="_Toc16381"/>
      <w:r>
        <w:rPr>
          <w:rFonts w:ascii="宋体" w:hAnsi="宋体" w:eastAsia="宋体" w:cs="宋体"/>
          <w:szCs w:val="24"/>
        </w:rPr>
        <w:t xml:space="preserve">4.3 </w:t>
      </w:r>
      <w:r>
        <w:rPr>
          <w:rFonts w:hint="eastAsia" w:ascii="宋体" w:hAnsi="宋体" w:eastAsia="宋体" w:cs="宋体"/>
          <w:szCs w:val="24"/>
        </w:rPr>
        <w:t>投标文件的修改与撤回</w:t>
      </w:r>
      <w:bookmarkEnd w:id="497"/>
      <w:bookmarkEnd w:id="498"/>
      <w:bookmarkEnd w:id="499"/>
      <w:bookmarkEnd w:id="500"/>
      <w:bookmarkEnd w:id="501"/>
      <w:bookmarkEnd w:id="502"/>
      <w:bookmarkEnd w:id="503"/>
      <w:bookmarkEnd w:id="504"/>
      <w:bookmarkEnd w:id="505"/>
      <w:bookmarkEnd w:id="506"/>
      <w:bookmarkEnd w:id="507"/>
    </w:p>
    <w:p w14:paraId="0D4ADA3A">
      <w:pPr>
        <w:spacing w:line="360" w:lineRule="auto"/>
        <w:ind w:firstLine="480" w:firstLineChars="200"/>
        <w:rPr>
          <w:rFonts w:ascii="宋体" w:hAnsi="宋体" w:cs="宋体"/>
          <w:sz w:val="24"/>
          <w:szCs w:val="24"/>
        </w:rPr>
      </w:pPr>
      <w:r>
        <w:rPr>
          <w:rFonts w:ascii="宋体" w:hAnsi="宋体" w:cs="宋体"/>
          <w:sz w:val="24"/>
          <w:szCs w:val="24"/>
        </w:rPr>
        <w:t xml:space="preserve">4.3.1 </w:t>
      </w:r>
      <w:r>
        <w:rPr>
          <w:rFonts w:hint="eastAsia" w:ascii="宋体" w:hAnsi="宋体" w:cs="宋体"/>
          <w:sz w:val="24"/>
          <w:szCs w:val="24"/>
        </w:rPr>
        <w:t>在本章第4.2.1项规定的投标截止时间前，投标人可以修改或撤回已递交的投标文件，但应以书面形式通知招标人。</w:t>
      </w:r>
    </w:p>
    <w:p w14:paraId="785D0C6C">
      <w:pPr>
        <w:spacing w:line="360" w:lineRule="auto"/>
        <w:ind w:firstLine="480" w:firstLineChars="200"/>
        <w:rPr>
          <w:rFonts w:ascii="宋体" w:hAnsi="宋体" w:cs="宋体"/>
          <w:strike/>
          <w:sz w:val="24"/>
          <w:szCs w:val="24"/>
        </w:rPr>
      </w:pPr>
      <w:r>
        <w:rPr>
          <w:rFonts w:ascii="宋体" w:hAnsi="宋体" w:cs="宋体"/>
          <w:strike/>
          <w:sz w:val="24"/>
          <w:szCs w:val="24"/>
        </w:rPr>
        <w:t xml:space="preserve">4.3.2 </w:t>
      </w:r>
      <w:r>
        <w:rPr>
          <w:rFonts w:hint="eastAsia" w:ascii="宋体" w:hAnsi="宋体" w:cs="宋体"/>
          <w:strike/>
          <w:sz w:val="24"/>
          <w:szCs w:val="24"/>
        </w:rPr>
        <w:t>（A）投标人修改或撤回已递交投标文件的书面通知应按照本章第3.7.3（A）项的要求签字或盖章。招标人收到书面通知后，向投标人出具签收凭证。</w:t>
      </w:r>
    </w:p>
    <w:p w14:paraId="6406AB8F">
      <w:pPr>
        <w:spacing w:line="360" w:lineRule="auto"/>
        <w:ind w:firstLine="480" w:firstLineChars="200"/>
        <w:rPr>
          <w:rFonts w:ascii="宋体" w:hAnsi="宋体" w:cs="宋体"/>
          <w:sz w:val="24"/>
          <w:szCs w:val="24"/>
        </w:rPr>
      </w:pPr>
      <w:r>
        <w:rPr>
          <w:rFonts w:ascii="宋体" w:hAnsi="宋体" w:cs="宋体"/>
          <w:sz w:val="24"/>
          <w:szCs w:val="24"/>
        </w:rPr>
        <w:t xml:space="preserve">4.3.2 </w:t>
      </w:r>
      <w:r>
        <w:rPr>
          <w:rFonts w:hint="eastAsia" w:ascii="宋体" w:hAnsi="宋体" w:cs="宋体"/>
          <w:sz w:val="24"/>
          <w:szCs w:val="24"/>
        </w:rPr>
        <w:t>（B）投标人修改或撤回已递交投标文件的通知，应按照本章第3.7.3（B）项的要求加盖电子印章。</w:t>
      </w:r>
      <w:r>
        <w:rPr>
          <w:rFonts w:hint="eastAsia" w:ascii="宋体" w:hAnsi="宋体" w:cs="宋体"/>
          <w:bCs/>
          <w:iCs/>
          <w:sz w:val="24"/>
          <w:szCs w:val="24"/>
        </w:rPr>
        <w:t>电子招标投标交易平台收到通知后，</w:t>
      </w:r>
      <w:r>
        <w:rPr>
          <w:rFonts w:hint="eastAsia" w:ascii="宋体" w:hAnsi="宋体" w:cs="宋体"/>
          <w:sz w:val="24"/>
          <w:szCs w:val="24"/>
        </w:rPr>
        <w:t>即时向投标人发出确认回执通知。</w:t>
      </w:r>
    </w:p>
    <w:p w14:paraId="335E3389">
      <w:pPr>
        <w:spacing w:line="360" w:lineRule="auto"/>
        <w:ind w:firstLine="480" w:firstLineChars="200"/>
        <w:rPr>
          <w:rFonts w:ascii="宋体" w:hAnsi="宋体" w:cs="宋体"/>
          <w:strike/>
          <w:sz w:val="24"/>
          <w:szCs w:val="24"/>
        </w:rPr>
      </w:pPr>
      <w:r>
        <w:rPr>
          <w:rFonts w:ascii="宋体" w:hAnsi="宋体" w:cs="宋体"/>
          <w:strike/>
          <w:sz w:val="24"/>
          <w:szCs w:val="24"/>
        </w:rPr>
        <w:t xml:space="preserve">4.3.3 </w:t>
      </w:r>
      <w:r>
        <w:rPr>
          <w:rFonts w:hint="eastAsia" w:ascii="宋体" w:hAnsi="宋体" w:cs="宋体"/>
          <w:strike/>
          <w:sz w:val="24"/>
          <w:szCs w:val="24"/>
        </w:rPr>
        <w:t>投标人撤回投标文件的，招标人自收到投标人书面撤回通知之日起5日内退还已收取的投标保证金。</w:t>
      </w:r>
    </w:p>
    <w:p w14:paraId="7FFB12FC">
      <w:pPr>
        <w:spacing w:line="360" w:lineRule="auto"/>
        <w:ind w:firstLine="480" w:firstLineChars="200"/>
        <w:rPr>
          <w:rFonts w:ascii="宋体" w:hAnsi="宋体" w:cs="宋体"/>
          <w:sz w:val="24"/>
          <w:szCs w:val="24"/>
        </w:rPr>
      </w:pPr>
      <w:r>
        <w:rPr>
          <w:rFonts w:ascii="宋体" w:hAnsi="宋体" w:cs="宋体"/>
          <w:sz w:val="24"/>
          <w:szCs w:val="24"/>
        </w:rPr>
        <w:t>4.3.</w:t>
      </w:r>
      <w:bookmarkStart w:id="508" w:name="_Toc144974521"/>
      <w:bookmarkStart w:id="509" w:name="_Toc369531541"/>
      <w:bookmarkStart w:id="510" w:name="_Toc352691497"/>
      <w:bookmarkStart w:id="511" w:name="_Toc247513977"/>
      <w:bookmarkStart w:id="512" w:name="_Toc384308235"/>
      <w:bookmarkStart w:id="513" w:name="_Toc19203"/>
      <w:bookmarkStart w:id="514" w:name="_Toc300834974"/>
      <w:bookmarkStart w:id="515" w:name="_Toc247527578"/>
      <w:bookmarkStart w:id="516" w:name="_Toc152045553"/>
      <w:bookmarkStart w:id="517" w:name="_Toc361508610"/>
      <w:bookmarkStart w:id="518" w:name="_Toc152042329"/>
      <w:r>
        <w:rPr>
          <w:rFonts w:ascii="宋体" w:hAnsi="宋体" w:cs="宋体"/>
          <w:sz w:val="24"/>
          <w:szCs w:val="24"/>
        </w:rPr>
        <w:t xml:space="preserve">4 </w:t>
      </w:r>
      <w:r>
        <w:rPr>
          <w:rFonts w:hint="eastAsia" w:ascii="宋体" w:hAnsi="宋体" w:cs="宋体"/>
          <w:sz w:val="24"/>
          <w:szCs w:val="24"/>
        </w:rPr>
        <w:t>修改的内容为投标</w:t>
      </w:r>
      <w:bookmarkEnd w:id="508"/>
      <w:bookmarkEnd w:id="509"/>
      <w:bookmarkEnd w:id="510"/>
      <w:bookmarkEnd w:id="511"/>
      <w:bookmarkEnd w:id="512"/>
      <w:bookmarkEnd w:id="513"/>
      <w:bookmarkEnd w:id="514"/>
      <w:bookmarkEnd w:id="515"/>
      <w:bookmarkEnd w:id="516"/>
      <w:bookmarkEnd w:id="517"/>
      <w:bookmarkEnd w:id="518"/>
      <w:r>
        <w:rPr>
          <w:rFonts w:hint="eastAsia" w:ascii="宋体" w:hAnsi="宋体" w:cs="宋体"/>
          <w:sz w:val="24"/>
          <w:szCs w:val="24"/>
        </w:rPr>
        <w:t>文件的组成部分。修改的投标文件应按照本章第3条、第4条的规定进行编制、密封、标记和递交，并标明“修改”字样。</w:t>
      </w:r>
    </w:p>
    <w:p w14:paraId="5750CEAF">
      <w:pPr>
        <w:pStyle w:val="4"/>
        <w:spacing w:line="360" w:lineRule="auto"/>
        <w:rPr>
          <w:rFonts w:ascii="宋体" w:hAnsi="宋体" w:eastAsia="宋体" w:cs="宋体"/>
          <w:sz w:val="28"/>
          <w:szCs w:val="28"/>
        </w:rPr>
      </w:pPr>
      <w:bookmarkStart w:id="519" w:name="_Toc24926"/>
      <w:bookmarkStart w:id="520" w:name="_Toc20390"/>
      <w:bookmarkStart w:id="521" w:name="_Toc266"/>
      <w:bookmarkStart w:id="522" w:name="_Toc22337"/>
      <w:bookmarkStart w:id="523" w:name="_Toc12162"/>
      <w:bookmarkStart w:id="524" w:name="_Toc2136"/>
      <w:bookmarkStart w:id="525" w:name="_Toc23409"/>
      <w:bookmarkStart w:id="526" w:name="_Toc17579"/>
      <w:bookmarkStart w:id="527" w:name="_Toc16835"/>
      <w:bookmarkStart w:id="528" w:name="_Toc453"/>
      <w:bookmarkStart w:id="529" w:name="_Toc492300595"/>
      <w:r>
        <w:rPr>
          <w:rFonts w:ascii="宋体" w:hAnsi="宋体" w:eastAsia="宋体" w:cs="宋体"/>
          <w:sz w:val="28"/>
          <w:szCs w:val="28"/>
        </w:rPr>
        <w:t xml:space="preserve">5. </w:t>
      </w:r>
      <w:r>
        <w:rPr>
          <w:rFonts w:hint="eastAsia" w:ascii="宋体" w:hAnsi="宋体" w:eastAsia="宋体" w:cs="宋体"/>
          <w:sz w:val="28"/>
          <w:szCs w:val="28"/>
        </w:rPr>
        <w:t>开标</w:t>
      </w:r>
      <w:bookmarkEnd w:id="519"/>
      <w:bookmarkEnd w:id="520"/>
      <w:bookmarkEnd w:id="521"/>
      <w:bookmarkEnd w:id="522"/>
      <w:bookmarkEnd w:id="523"/>
      <w:bookmarkEnd w:id="524"/>
      <w:bookmarkEnd w:id="525"/>
      <w:bookmarkEnd w:id="526"/>
      <w:bookmarkEnd w:id="527"/>
      <w:bookmarkEnd w:id="528"/>
      <w:bookmarkEnd w:id="529"/>
    </w:p>
    <w:p w14:paraId="6E653059">
      <w:pPr>
        <w:pStyle w:val="5"/>
        <w:spacing w:line="360" w:lineRule="auto"/>
        <w:ind w:firstLine="0" w:firstLineChars="0"/>
        <w:rPr>
          <w:rFonts w:ascii="宋体" w:hAnsi="宋体" w:eastAsia="宋体" w:cs="宋体"/>
          <w:strike/>
          <w:szCs w:val="24"/>
        </w:rPr>
      </w:pPr>
      <w:bookmarkStart w:id="530" w:name="_Toc15899"/>
      <w:bookmarkStart w:id="531" w:name="_Toc18135"/>
      <w:bookmarkStart w:id="532" w:name="_Toc21815"/>
      <w:bookmarkStart w:id="533" w:name="_Toc8961"/>
      <w:bookmarkStart w:id="534" w:name="_Toc26374"/>
      <w:bookmarkStart w:id="535" w:name="_Toc492300596"/>
      <w:bookmarkStart w:id="536" w:name="_Toc2684"/>
      <w:bookmarkStart w:id="537" w:name="_Toc11763"/>
      <w:bookmarkStart w:id="538" w:name="_Toc18721"/>
      <w:bookmarkStart w:id="539" w:name="_Toc20761"/>
      <w:bookmarkStart w:id="540" w:name="_Toc2691"/>
      <w:r>
        <w:rPr>
          <w:rFonts w:ascii="宋体" w:hAnsi="宋体" w:eastAsia="宋体" w:cs="宋体"/>
          <w:strike/>
          <w:szCs w:val="24"/>
        </w:rPr>
        <w:t xml:space="preserve">5.1 </w:t>
      </w:r>
      <w:r>
        <w:rPr>
          <w:rFonts w:hint="eastAsia" w:ascii="宋体" w:hAnsi="宋体" w:eastAsia="宋体" w:cs="宋体"/>
          <w:strike/>
          <w:szCs w:val="24"/>
        </w:rPr>
        <w:t>开标时间和地点（A）</w:t>
      </w:r>
      <w:bookmarkEnd w:id="530"/>
      <w:bookmarkEnd w:id="531"/>
      <w:bookmarkEnd w:id="532"/>
      <w:bookmarkEnd w:id="533"/>
      <w:bookmarkEnd w:id="534"/>
      <w:bookmarkEnd w:id="535"/>
      <w:bookmarkEnd w:id="536"/>
      <w:bookmarkEnd w:id="537"/>
      <w:bookmarkEnd w:id="538"/>
      <w:bookmarkEnd w:id="539"/>
      <w:bookmarkEnd w:id="540"/>
    </w:p>
    <w:p w14:paraId="7D428EE2">
      <w:pPr>
        <w:spacing w:line="360" w:lineRule="auto"/>
        <w:ind w:firstLine="480" w:firstLineChars="200"/>
        <w:rPr>
          <w:rFonts w:ascii="宋体" w:hAnsi="宋体" w:cs="宋体"/>
          <w:strike/>
          <w:sz w:val="24"/>
          <w:szCs w:val="24"/>
        </w:rPr>
      </w:pPr>
      <w:r>
        <w:rPr>
          <w:rFonts w:hint="eastAsia" w:ascii="宋体" w:hAnsi="宋体" w:cs="宋体"/>
          <w:strike/>
          <w:sz w:val="24"/>
          <w:szCs w:val="24"/>
        </w:rPr>
        <w:t>招标人在本章第4.2.1项规定的投标截止时间（开标时间）和投标人须知前附表规定的地点公开开标，并邀请所有投标人的法定代表人或其委托代理人准时参加。</w:t>
      </w:r>
    </w:p>
    <w:p w14:paraId="3D73B3C1">
      <w:pPr>
        <w:pStyle w:val="5"/>
        <w:spacing w:line="360" w:lineRule="auto"/>
        <w:ind w:firstLine="0" w:firstLineChars="0"/>
        <w:rPr>
          <w:rFonts w:ascii="宋体" w:hAnsi="宋体" w:eastAsia="宋体" w:cs="宋体"/>
          <w:szCs w:val="24"/>
        </w:rPr>
      </w:pPr>
      <w:bookmarkStart w:id="541" w:name="_Toc492300597"/>
      <w:bookmarkStart w:id="542" w:name="_Toc24094"/>
      <w:bookmarkStart w:id="543" w:name="_Toc7349"/>
      <w:bookmarkStart w:id="544" w:name="_Toc23813"/>
      <w:bookmarkStart w:id="545" w:name="_Toc27321"/>
      <w:bookmarkStart w:id="546" w:name="_Toc3913"/>
      <w:bookmarkStart w:id="547" w:name="_Toc20139"/>
      <w:bookmarkStart w:id="548" w:name="_Toc27378"/>
      <w:bookmarkStart w:id="549" w:name="_Toc7772"/>
      <w:bookmarkStart w:id="550" w:name="_Toc23556"/>
      <w:bookmarkStart w:id="551" w:name="_Toc22209"/>
      <w:r>
        <w:rPr>
          <w:rFonts w:ascii="宋体" w:hAnsi="宋体" w:eastAsia="宋体" w:cs="宋体"/>
          <w:szCs w:val="24"/>
        </w:rPr>
        <w:t xml:space="preserve">5.1 </w:t>
      </w:r>
      <w:r>
        <w:rPr>
          <w:rFonts w:hint="eastAsia" w:ascii="宋体" w:hAnsi="宋体" w:eastAsia="宋体" w:cs="宋体"/>
          <w:szCs w:val="24"/>
        </w:rPr>
        <w:t>开标时间和地点（B）</w:t>
      </w:r>
      <w:bookmarkEnd w:id="541"/>
      <w:bookmarkEnd w:id="542"/>
      <w:bookmarkEnd w:id="543"/>
      <w:bookmarkEnd w:id="544"/>
      <w:bookmarkEnd w:id="545"/>
      <w:bookmarkEnd w:id="546"/>
      <w:bookmarkEnd w:id="547"/>
      <w:bookmarkEnd w:id="548"/>
      <w:bookmarkEnd w:id="549"/>
      <w:bookmarkEnd w:id="550"/>
      <w:bookmarkEnd w:id="551"/>
    </w:p>
    <w:p w14:paraId="5F8538FF">
      <w:pPr>
        <w:spacing w:line="360" w:lineRule="auto"/>
        <w:ind w:firstLine="480" w:firstLineChars="200"/>
        <w:rPr>
          <w:rFonts w:ascii="宋体" w:hAnsi="宋体" w:cs="宋体"/>
          <w:sz w:val="24"/>
          <w:szCs w:val="24"/>
        </w:rPr>
      </w:pPr>
      <w:r>
        <w:rPr>
          <w:rFonts w:hint="eastAsia" w:ascii="宋体" w:hAnsi="宋体" w:cs="宋体"/>
          <w:sz w:val="24"/>
          <w:szCs w:val="24"/>
        </w:rPr>
        <w:t>招标人在本章第4.2.1项规定的投标截止时间（开标时间）,通过电子招标投标交易平台公开开标，所有投标人的法定代表人或其委托代理人应当准时参加。</w:t>
      </w:r>
    </w:p>
    <w:p w14:paraId="1341C56F">
      <w:pPr>
        <w:pStyle w:val="5"/>
        <w:spacing w:line="360" w:lineRule="auto"/>
        <w:ind w:firstLine="0" w:firstLineChars="0"/>
        <w:rPr>
          <w:rFonts w:ascii="宋体" w:hAnsi="宋体" w:eastAsia="宋体" w:cs="宋体"/>
          <w:szCs w:val="24"/>
        </w:rPr>
      </w:pPr>
      <w:bookmarkStart w:id="552" w:name="_Toc7734"/>
      <w:bookmarkStart w:id="553" w:name="_Toc2757"/>
      <w:bookmarkStart w:id="554" w:name="_Toc25527"/>
      <w:bookmarkStart w:id="555" w:name="_Toc19468"/>
      <w:bookmarkStart w:id="556" w:name="_Toc24429"/>
      <w:bookmarkStart w:id="557" w:name="_Toc1756"/>
      <w:bookmarkStart w:id="558" w:name="_Toc14285"/>
      <w:bookmarkStart w:id="559" w:name="_Toc25404"/>
      <w:bookmarkStart w:id="560" w:name="_Toc6316"/>
      <w:bookmarkStart w:id="561" w:name="_Toc492300598"/>
      <w:bookmarkStart w:id="562" w:name="_Toc1229"/>
      <w:r>
        <w:rPr>
          <w:rFonts w:ascii="宋体" w:hAnsi="宋体" w:eastAsia="宋体" w:cs="宋体"/>
          <w:szCs w:val="24"/>
        </w:rPr>
        <w:t xml:space="preserve">5.2 </w:t>
      </w:r>
      <w:r>
        <w:rPr>
          <w:rFonts w:hint="eastAsia" w:ascii="宋体" w:hAnsi="宋体" w:eastAsia="宋体" w:cs="宋体"/>
          <w:szCs w:val="24"/>
        </w:rPr>
        <w:t>开标程序</w:t>
      </w:r>
      <w:bookmarkEnd w:id="552"/>
      <w:bookmarkEnd w:id="553"/>
      <w:bookmarkEnd w:id="554"/>
      <w:bookmarkEnd w:id="555"/>
      <w:bookmarkEnd w:id="556"/>
      <w:bookmarkEnd w:id="557"/>
      <w:bookmarkEnd w:id="558"/>
      <w:bookmarkEnd w:id="559"/>
      <w:bookmarkEnd w:id="560"/>
      <w:bookmarkEnd w:id="561"/>
      <w:bookmarkEnd w:id="562"/>
    </w:p>
    <w:p w14:paraId="725740B8">
      <w:pPr>
        <w:spacing w:line="360" w:lineRule="auto"/>
        <w:ind w:firstLine="480" w:firstLineChars="200"/>
        <w:rPr>
          <w:rFonts w:ascii="宋体" w:hAnsi="宋体" w:cs="宋体"/>
          <w:sz w:val="24"/>
          <w:szCs w:val="24"/>
        </w:rPr>
      </w:pPr>
      <w:r>
        <w:rPr>
          <w:rFonts w:hint="eastAsia" w:ascii="宋体" w:hAnsi="宋体" w:cs="宋体"/>
          <w:sz w:val="24"/>
          <w:szCs w:val="24"/>
        </w:rPr>
        <w:t>主持人按下列程序进行开标：</w:t>
      </w:r>
    </w:p>
    <w:p w14:paraId="0B514BB5">
      <w:pPr>
        <w:spacing w:line="360" w:lineRule="auto"/>
        <w:ind w:firstLine="480" w:firstLineChars="200"/>
        <w:rPr>
          <w:rFonts w:ascii="宋体" w:hAnsi="宋体" w:cs="宋体"/>
          <w:sz w:val="24"/>
          <w:szCs w:val="24"/>
        </w:rPr>
      </w:pPr>
      <w:r>
        <w:rPr>
          <w:rFonts w:hint="eastAsia" w:ascii="宋体" w:hAnsi="宋体" w:cs="宋体"/>
          <w:sz w:val="24"/>
          <w:szCs w:val="24"/>
        </w:rPr>
        <w:t>（1）宣布开标纪律；</w:t>
      </w:r>
    </w:p>
    <w:p w14:paraId="3AE06A66">
      <w:pPr>
        <w:spacing w:line="360" w:lineRule="auto"/>
        <w:ind w:firstLine="480" w:firstLineChars="200"/>
        <w:rPr>
          <w:rFonts w:ascii="宋体" w:hAnsi="宋体" w:cs="宋体"/>
          <w:sz w:val="24"/>
          <w:szCs w:val="24"/>
        </w:rPr>
      </w:pPr>
      <w:r>
        <w:rPr>
          <w:rFonts w:hint="eastAsia" w:ascii="宋体" w:hAnsi="宋体" w:cs="宋体"/>
          <w:sz w:val="24"/>
          <w:szCs w:val="24"/>
        </w:rPr>
        <w:t>（2）公布在投标截止时间前递交投标文件的投标人名称；</w:t>
      </w:r>
    </w:p>
    <w:p w14:paraId="6E7CF627">
      <w:pPr>
        <w:spacing w:line="360" w:lineRule="auto"/>
        <w:ind w:firstLine="480" w:firstLineChars="200"/>
        <w:rPr>
          <w:rFonts w:ascii="宋体" w:hAnsi="宋体" w:cs="宋体"/>
          <w:sz w:val="24"/>
          <w:szCs w:val="24"/>
        </w:rPr>
      </w:pPr>
      <w:r>
        <w:rPr>
          <w:rFonts w:hint="eastAsia" w:ascii="宋体" w:hAnsi="宋体" w:cs="宋体"/>
          <w:sz w:val="24"/>
          <w:szCs w:val="24"/>
        </w:rPr>
        <w:t>（3）宣布</w:t>
      </w:r>
      <w:bookmarkStart w:id="563" w:name="_Toc384308236"/>
      <w:bookmarkStart w:id="564" w:name="_Toc144974522"/>
      <w:bookmarkStart w:id="565" w:name="_Toc352691498"/>
      <w:bookmarkStart w:id="566" w:name="_Toc247527579"/>
      <w:bookmarkStart w:id="567" w:name="_Toc152045554"/>
      <w:bookmarkStart w:id="568" w:name="_Toc22119"/>
      <w:bookmarkStart w:id="569" w:name="_Toc300834975"/>
      <w:bookmarkStart w:id="570" w:name="_Toc152042330"/>
      <w:bookmarkStart w:id="571" w:name="_Toc247513978"/>
      <w:bookmarkStart w:id="572" w:name="_Toc361508611"/>
      <w:bookmarkStart w:id="573" w:name="_Toc369531542"/>
      <w:r>
        <w:rPr>
          <w:rFonts w:hint="eastAsia" w:ascii="宋体" w:hAnsi="宋体" w:cs="宋体"/>
          <w:sz w:val="24"/>
          <w:szCs w:val="24"/>
        </w:rPr>
        <w:t>开标人、唱标人、记录人</w:t>
      </w:r>
      <w:bookmarkEnd w:id="563"/>
      <w:bookmarkEnd w:id="564"/>
      <w:bookmarkEnd w:id="565"/>
      <w:bookmarkEnd w:id="566"/>
      <w:bookmarkEnd w:id="567"/>
      <w:bookmarkEnd w:id="568"/>
      <w:bookmarkEnd w:id="569"/>
      <w:bookmarkEnd w:id="570"/>
      <w:bookmarkEnd w:id="571"/>
      <w:bookmarkEnd w:id="572"/>
      <w:bookmarkEnd w:id="573"/>
      <w:r>
        <w:rPr>
          <w:rFonts w:hint="eastAsia" w:ascii="宋体" w:hAnsi="宋体" w:cs="宋体"/>
          <w:sz w:val="24"/>
          <w:szCs w:val="24"/>
        </w:rPr>
        <w:t>、监标人等有关人员姓名；</w:t>
      </w:r>
    </w:p>
    <w:p w14:paraId="7B6DD248">
      <w:pPr>
        <w:spacing w:line="360" w:lineRule="auto"/>
        <w:ind w:firstLine="480" w:firstLineChars="200"/>
        <w:rPr>
          <w:rFonts w:ascii="宋体" w:hAnsi="宋体" w:cs="宋体"/>
          <w:strike/>
          <w:sz w:val="24"/>
          <w:szCs w:val="24"/>
        </w:rPr>
      </w:pPr>
      <w:r>
        <w:rPr>
          <w:rFonts w:hint="eastAsia" w:ascii="宋体" w:hAnsi="宋体" w:cs="宋体"/>
          <w:strike/>
          <w:sz w:val="24"/>
          <w:szCs w:val="24"/>
        </w:rPr>
        <w:t>（4）（A）检查投标文件的密封情况，按照投标人须知前附表规定的开标顺序当众开标，公布招标项目名称、投标人名称、投标保证金的递交情况、投标报价、服务期限及其他内容，并记录在案；</w:t>
      </w:r>
    </w:p>
    <w:p w14:paraId="7BC0D589">
      <w:pPr>
        <w:spacing w:line="360" w:lineRule="auto"/>
        <w:ind w:firstLine="480" w:firstLineChars="200"/>
        <w:rPr>
          <w:rFonts w:ascii="宋体" w:hAnsi="宋体" w:cs="宋体"/>
          <w:sz w:val="24"/>
          <w:szCs w:val="24"/>
        </w:rPr>
      </w:pPr>
      <w:r>
        <w:rPr>
          <w:rFonts w:hint="eastAsia" w:ascii="宋体" w:hAnsi="宋体" w:cs="宋体"/>
          <w:sz w:val="24"/>
          <w:szCs w:val="24"/>
        </w:rPr>
        <w:t>（4）（B）投标人通过电子招标投标交易平台对已递交的电子投标文件进行解密，公布招标项目名称、投标人名称、投标报价、服务期限及其他内容，并记录在案；</w:t>
      </w:r>
    </w:p>
    <w:p w14:paraId="1FC96660">
      <w:pPr>
        <w:spacing w:line="360" w:lineRule="auto"/>
        <w:ind w:firstLine="480" w:firstLineChars="200"/>
        <w:rPr>
          <w:rFonts w:ascii="宋体" w:hAnsi="宋体" w:cs="宋体"/>
          <w:sz w:val="24"/>
          <w:szCs w:val="24"/>
        </w:rPr>
      </w:pPr>
      <w:r>
        <w:rPr>
          <w:rFonts w:hint="eastAsia" w:ascii="宋体" w:hAnsi="宋体" w:cs="宋体"/>
          <w:sz w:val="24"/>
          <w:szCs w:val="24"/>
        </w:rPr>
        <w:t>（5）（A）投标人代表、招标人代表、监标人、记录人等有关人员在开标记录上签字确认；</w:t>
      </w:r>
    </w:p>
    <w:p w14:paraId="654EFA80">
      <w:pPr>
        <w:spacing w:line="360" w:lineRule="auto"/>
        <w:ind w:firstLine="480" w:firstLineChars="200"/>
        <w:rPr>
          <w:rFonts w:ascii="宋体" w:hAnsi="宋体" w:cs="宋体"/>
          <w:strike/>
          <w:sz w:val="24"/>
          <w:szCs w:val="24"/>
        </w:rPr>
      </w:pPr>
      <w:r>
        <w:rPr>
          <w:rFonts w:hint="eastAsia" w:ascii="宋体" w:hAnsi="宋体" w:cs="宋体"/>
          <w:strike/>
          <w:sz w:val="24"/>
          <w:szCs w:val="24"/>
        </w:rPr>
        <w:t>（5）（B）投标人代表、招标人代表、监标人、记录人等有关人员使用本人的电子印章在开标记录上签字确认；</w:t>
      </w:r>
    </w:p>
    <w:p w14:paraId="31B484C3">
      <w:pPr>
        <w:spacing w:line="360" w:lineRule="auto"/>
        <w:ind w:firstLine="480" w:firstLineChars="200"/>
        <w:rPr>
          <w:rFonts w:ascii="宋体" w:hAnsi="宋体" w:cs="宋体"/>
          <w:sz w:val="24"/>
          <w:szCs w:val="24"/>
        </w:rPr>
      </w:pPr>
      <w:r>
        <w:rPr>
          <w:rFonts w:hint="eastAsia" w:ascii="宋体" w:hAnsi="宋体" w:cs="宋体"/>
          <w:sz w:val="24"/>
          <w:szCs w:val="24"/>
        </w:rPr>
        <w:t>（6）开标结束。</w:t>
      </w:r>
    </w:p>
    <w:p w14:paraId="19AE4A7F">
      <w:pPr>
        <w:pStyle w:val="5"/>
        <w:spacing w:line="360" w:lineRule="auto"/>
        <w:ind w:firstLine="0" w:firstLineChars="0"/>
        <w:rPr>
          <w:rFonts w:ascii="宋体" w:hAnsi="宋体" w:eastAsia="宋体" w:cs="宋体"/>
          <w:szCs w:val="24"/>
        </w:rPr>
      </w:pPr>
      <w:bookmarkStart w:id="574" w:name="_Toc492300599"/>
      <w:bookmarkStart w:id="575" w:name="_Toc17039"/>
      <w:bookmarkStart w:id="576" w:name="_Toc27376"/>
      <w:bookmarkStart w:id="577" w:name="_Toc14189"/>
      <w:bookmarkStart w:id="578" w:name="_Toc8923"/>
      <w:bookmarkStart w:id="579" w:name="_Toc18357"/>
      <w:bookmarkStart w:id="580" w:name="_Toc18350"/>
      <w:bookmarkStart w:id="581" w:name="_Toc22136"/>
      <w:bookmarkStart w:id="582" w:name="_Toc18956"/>
      <w:bookmarkStart w:id="583" w:name="_Toc18586"/>
      <w:bookmarkStart w:id="584" w:name="_Toc8792"/>
      <w:r>
        <w:rPr>
          <w:rFonts w:ascii="宋体" w:hAnsi="宋体" w:eastAsia="宋体" w:cs="宋体"/>
          <w:szCs w:val="24"/>
        </w:rPr>
        <w:t xml:space="preserve">5.3 </w:t>
      </w:r>
      <w:r>
        <w:rPr>
          <w:rFonts w:hint="eastAsia" w:ascii="宋体" w:hAnsi="宋体" w:eastAsia="宋体" w:cs="宋体"/>
          <w:szCs w:val="24"/>
        </w:rPr>
        <w:t>开标异议</w:t>
      </w:r>
      <w:bookmarkEnd w:id="574"/>
      <w:bookmarkEnd w:id="575"/>
      <w:bookmarkEnd w:id="576"/>
      <w:bookmarkEnd w:id="577"/>
      <w:bookmarkEnd w:id="578"/>
      <w:bookmarkEnd w:id="579"/>
      <w:bookmarkEnd w:id="580"/>
      <w:bookmarkEnd w:id="581"/>
      <w:bookmarkEnd w:id="582"/>
      <w:bookmarkEnd w:id="583"/>
      <w:bookmarkEnd w:id="584"/>
    </w:p>
    <w:p w14:paraId="376042AD">
      <w:pPr>
        <w:spacing w:line="360" w:lineRule="auto"/>
        <w:ind w:firstLine="480" w:firstLineChars="200"/>
        <w:rPr>
          <w:rFonts w:ascii="宋体" w:hAnsi="宋体" w:cs="宋体"/>
          <w:sz w:val="24"/>
          <w:szCs w:val="24"/>
          <w:u w:val="single"/>
        </w:rPr>
      </w:pPr>
      <w:r>
        <w:rPr>
          <w:rFonts w:ascii="Times New Roman" w:hAnsi="Times New Roman"/>
          <w:sz w:val="24"/>
          <w:szCs w:val="24"/>
          <w:u w:val="single"/>
        </w:rPr>
        <w:t>投标人对开标有异议的，应当在开标现场提出，</w:t>
      </w:r>
      <w:r>
        <w:rPr>
          <w:rFonts w:hint="eastAsia" w:ascii="宋体" w:hAnsi="宋体" w:cs="宋体"/>
          <w:sz w:val="24"/>
          <w:szCs w:val="24"/>
          <w:u w:val="single"/>
        </w:rPr>
        <w:t>同时出示本人身份证原件,</w:t>
      </w:r>
      <w:r>
        <w:rPr>
          <w:rFonts w:ascii="Times New Roman" w:hAnsi="Times New Roman"/>
          <w:sz w:val="24"/>
          <w:szCs w:val="24"/>
          <w:u w:val="single"/>
        </w:rPr>
        <w:t>招标人当场作出答复，并制作记录。</w:t>
      </w:r>
      <w:r>
        <w:rPr>
          <w:rFonts w:hint="eastAsia" w:ascii="Times New Roman" w:hAnsi="Times New Roman"/>
          <w:sz w:val="24"/>
          <w:szCs w:val="24"/>
          <w:u w:val="single"/>
        </w:rPr>
        <w:t>参加在线开标的，投标人应通过广交易建设工程电子开标系统在线提出，招标人应通过广交易建设工程电子开标系统答复，答复后方可结束开标</w:t>
      </w:r>
      <w:r>
        <w:rPr>
          <w:rFonts w:hint="eastAsia" w:ascii="宋体" w:hAnsi="宋体" w:cs="宋体"/>
          <w:sz w:val="24"/>
          <w:szCs w:val="24"/>
        </w:rPr>
        <w:t>。</w:t>
      </w:r>
    </w:p>
    <w:p w14:paraId="5019022D">
      <w:pPr>
        <w:pStyle w:val="4"/>
        <w:spacing w:line="360" w:lineRule="auto"/>
        <w:rPr>
          <w:rFonts w:ascii="宋体" w:hAnsi="宋体" w:eastAsia="宋体" w:cs="宋体"/>
          <w:sz w:val="28"/>
          <w:szCs w:val="28"/>
        </w:rPr>
      </w:pPr>
      <w:bookmarkStart w:id="585" w:name="_Toc492300600"/>
      <w:bookmarkStart w:id="586" w:name="_Toc29152"/>
      <w:bookmarkStart w:id="587" w:name="_Toc9100"/>
      <w:bookmarkStart w:id="588" w:name="_Toc7982"/>
      <w:bookmarkStart w:id="589" w:name="_Toc4522"/>
      <w:bookmarkStart w:id="590" w:name="_Toc21275"/>
      <w:bookmarkStart w:id="591" w:name="_Toc598"/>
      <w:bookmarkStart w:id="592" w:name="_Toc3701"/>
      <w:bookmarkStart w:id="593" w:name="_Toc23928"/>
      <w:bookmarkStart w:id="594" w:name="_Toc3417"/>
      <w:bookmarkStart w:id="595" w:name="_Toc21251"/>
      <w:r>
        <w:rPr>
          <w:rFonts w:ascii="宋体" w:hAnsi="宋体" w:eastAsia="宋体" w:cs="宋体"/>
          <w:sz w:val="28"/>
          <w:szCs w:val="28"/>
        </w:rPr>
        <w:t xml:space="preserve">6. </w:t>
      </w:r>
      <w:r>
        <w:rPr>
          <w:rFonts w:hint="eastAsia" w:ascii="宋体" w:hAnsi="宋体" w:eastAsia="宋体" w:cs="宋体"/>
          <w:sz w:val="28"/>
          <w:szCs w:val="28"/>
        </w:rPr>
        <w:t>评标</w:t>
      </w:r>
      <w:bookmarkEnd w:id="585"/>
      <w:bookmarkEnd w:id="586"/>
      <w:bookmarkEnd w:id="587"/>
      <w:bookmarkEnd w:id="588"/>
      <w:bookmarkEnd w:id="589"/>
      <w:bookmarkEnd w:id="590"/>
      <w:bookmarkEnd w:id="591"/>
      <w:bookmarkEnd w:id="592"/>
      <w:bookmarkEnd w:id="593"/>
      <w:bookmarkEnd w:id="594"/>
      <w:bookmarkEnd w:id="595"/>
    </w:p>
    <w:p w14:paraId="676EE08B">
      <w:pPr>
        <w:pStyle w:val="5"/>
        <w:spacing w:line="360" w:lineRule="auto"/>
        <w:ind w:firstLine="0" w:firstLineChars="0"/>
        <w:rPr>
          <w:rFonts w:ascii="宋体" w:hAnsi="宋体" w:eastAsia="宋体" w:cs="宋体"/>
          <w:szCs w:val="24"/>
        </w:rPr>
      </w:pPr>
      <w:bookmarkStart w:id="596" w:name="_Toc9698"/>
      <w:bookmarkStart w:id="597" w:name="_Toc24623"/>
      <w:bookmarkStart w:id="598" w:name="_Toc15424"/>
      <w:bookmarkStart w:id="599" w:name="_Toc25472"/>
      <w:bookmarkStart w:id="600" w:name="_Toc1011"/>
      <w:bookmarkStart w:id="601" w:name="_Toc20498"/>
      <w:bookmarkStart w:id="602" w:name="_Toc6806"/>
      <w:bookmarkStart w:id="603" w:name="_Toc349"/>
      <w:bookmarkStart w:id="604" w:name="_Toc29125"/>
      <w:bookmarkStart w:id="605" w:name="_Toc492300601"/>
      <w:bookmarkStart w:id="606" w:name="_Toc5367"/>
      <w:r>
        <w:rPr>
          <w:rFonts w:ascii="宋体" w:hAnsi="宋体" w:eastAsia="宋体" w:cs="宋体"/>
          <w:szCs w:val="24"/>
        </w:rPr>
        <w:t xml:space="preserve">6.1 </w:t>
      </w:r>
      <w:r>
        <w:rPr>
          <w:rFonts w:hint="eastAsia" w:ascii="宋体" w:hAnsi="宋体" w:eastAsia="宋体" w:cs="宋体"/>
          <w:szCs w:val="24"/>
        </w:rPr>
        <w:t>评标委员会</w:t>
      </w:r>
      <w:bookmarkEnd w:id="596"/>
      <w:bookmarkEnd w:id="597"/>
      <w:bookmarkEnd w:id="598"/>
      <w:bookmarkEnd w:id="599"/>
      <w:bookmarkEnd w:id="600"/>
      <w:bookmarkEnd w:id="601"/>
      <w:bookmarkEnd w:id="602"/>
      <w:bookmarkEnd w:id="603"/>
      <w:bookmarkEnd w:id="604"/>
      <w:bookmarkEnd w:id="605"/>
      <w:bookmarkEnd w:id="606"/>
    </w:p>
    <w:p w14:paraId="3A4C7B47">
      <w:pPr>
        <w:spacing w:line="360" w:lineRule="auto"/>
        <w:ind w:firstLine="480" w:firstLineChars="200"/>
        <w:rPr>
          <w:rFonts w:ascii="宋体" w:hAnsi="宋体" w:cs="宋体"/>
          <w:sz w:val="24"/>
          <w:szCs w:val="24"/>
        </w:rPr>
      </w:pPr>
      <w:r>
        <w:rPr>
          <w:rFonts w:ascii="宋体" w:hAnsi="宋体" w:cs="宋体"/>
          <w:sz w:val="24"/>
          <w:szCs w:val="24"/>
        </w:rPr>
        <w:t xml:space="preserve">6.1.1 </w:t>
      </w:r>
      <w:r>
        <w:rPr>
          <w:rFonts w:hint="eastAsia" w:ascii="宋体" w:hAnsi="宋体" w:cs="宋体"/>
          <w:sz w:val="24"/>
          <w:szCs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5256737">
      <w:pPr>
        <w:spacing w:line="360" w:lineRule="auto"/>
        <w:ind w:firstLine="480" w:firstLineChars="200"/>
        <w:rPr>
          <w:rFonts w:ascii="宋体" w:hAnsi="宋体" w:cs="宋体"/>
          <w:sz w:val="24"/>
          <w:szCs w:val="24"/>
        </w:rPr>
      </w:pPr>
      <w:r>
        <w:rPr>
          <w:rFonts w:ascii="宋体" w:hAnsi="宋体" w:cs="宋体"/>
          <w:sz w:val="24"/>
          <w:szCs w:val="24"/>
        </w:rPr>
        <w:t xml:space="preserve">6.1.2 </w:t>
      </w:r>
      <w:r>
        <w:rPr>
          <w:rFonts w:hint="eastAsia" w:ascii="宋体" w:hAnsi="宋体" w:cs="宋体"/>
          <w:sz w:val="24"/>
          <w:szCs w:val="24"/>
        </w:rPr>
        <w:t>评标委员会成员有下列情形之一的，应当回避：</w:t>
      </w:r>
    </w:p>
    <w:p w14:paraId="34A134D7">
      <w:pPr>
        <w:spacing w:line="360" w:lineRule="auto"/>
        <w:ind w:firstLine="480" w:firstLineChars="200"/>
        <w:rPr>
          <w:rFonts w:ascii="宋体" w:hAnsi="宋体" w:cs="宋体"/>
          <w:sz w:val="24"/>
          <w:szCs w:val="24"/>
        </w:rPr>
      </w:pPr>
      <w:r>
        <w:rPr>
          <w:rFonts w:hint="eastAsia" w:ascii="宋体" w:hAnsi="宋体" w:cs="宋体"/>
          <w:sz w:val="24"/>
          <w:szCs w:val="24"/>
        </w:rPr>
        <w:t>（1）投标人或投标人主要负责人的近亲属；</w:t>
      </w:r>
    </w:p>
    <w:p w14:paraId="55133A93">
      <w:pPr>
        <w:spacing w:line="360" w:lineRule="auto"/>
        <w:ind w:firstLine="480" w:firstLineChars="200"/>
        <w:rPr>
          <w:rFonts w:ascii="宋体" w:hAnsi="宋体" w:cs="宋体"/>
          <w:sz w:val="24"/>
          <w:szCs w:val="24"/>
        </w:rPr>
      </w:pPr>
      <w:r>
        <w:rPr>
          <w:rFonts w:hint="eastAsia" w:ascii="宋体" w:hAnsi="宋体" w:cs="宋体"/>
          <w:sz w:val="24"/>
          <w:szCs w:val="24"/>
        </w:rPr>
        <w:t>（2）项目主管部门或者行政监督部门的人员；</w:t>
      </w:r>
    </w:p>
    <w:p w14:paraId="4BDCC017">
      <w:pPr>
        <w:spacing w:line="360" w:lineRule="auto"/>
        <w:ind w:firstLine="480" w:firstLineChars="200"/>
        <w:rPr>
          <w:rFonts w:ascii="宋体" w:hAnsi="宋体" w:cs="宋体"/>
          <w:sz w:val="24"/>
          <w:szCs w:val="24"/>
        </w:rPr>
      </w:pPr>
      <w:r>
        <w:rPr>
          <w:rFonts w:hint="eastAsia" w:ascii="宋体" w:hAnsi="宋体" w:cs="宋体"/>
          <w:sz w:val="24"/>
          <w:szCs w:val="24"/>
        </w:rPr>
        <w:t>（3）与投标人有经济利益关系，可能影响对投标公正评审的；</w:t>
      </w:r>
    </w:p>
    <w:p w14:paraId="2DABDF34">
      <w:pPr>
        <w:spacing w:line="360" w:lineRule="auto"/>
        <w:ind w:firstLine="480" w:firstLineChars="200"/>
        <w:rPr>
          <w:rFonts w:ascii="宋体" w:hAnsi="宋体" w:cs="宋体"/>
          <w:sz w:val="24"/>
          <w:szCs w:val="24"/>
        </w:rPr>
      </w:pPr>
      <w:r>
        <w:rPr>
          <w:rFonts w:hint="eastAsia" w:ascii="宋体" w:hAnsi="宋体" w:cs="宋体"/>
          <w:sz w:val="24"/>
          <w:szCs w:val="24"/>
        </w:rPr>
        <w:t>（4）曾因在招标、评</w:t>
      </w:r>
      <w:bookmarkStart w:id="607" w:name="_Toc352691499"/>
      <w:bookmarkStart w:id="608" w:name="_Toc369531543"/>
      <w:bookmarkStart w:id="609" w:name="_Toc144974523"/>
      <w:bookmarkStart w:id="610" w:name="_Toc300834976"/>
      <w:bookmarkStart w:id="611" w:name="_Toc6230"/>
      <w:bookmarkStart w:id="612" w:name="_Toc384308237"/>
      <w:bookmarkStart w:id="613" w:name="_Toc361508612"/>
      <w:bookmarkStart w:id="614" w:name="_Toc152045555"/>
      <w:bookmarkStart w:id="615" w:name="_Toc247527580"/>
      <w:bookmarkStart w:id="616" w:name="_Toc152042331"/>
      <w:bookmarkStart w:id="617" w:name="_Toc247513979"/>
      <w:r>
        <w:rPr>
          <w:rFonts w:hint="eastAsia" w:ascii="宋体" w:hAnsi="宋体" w:cs="宋体"/>
          <w:sz w:val="24"/>
          <w:szCs w:val="24"/>
        </w:rPr>
        <w:t>标以及其他</w:t>
      </w:r>
      <w:bookmarkEnd w:id="607"/>
      <w:bookmarkEnd w:id="608"/>
      <w:bookmarkEnd w:id="609"/>
      <w:bookmarkEnd w:id="610"/>
      <w:bookmarkEnd w:id="611"/>
      <w:bookmarkEnd w:id="612"/>
      <w:bookmarkEnd w:id="613"/>
      <w:bookmarkEnd w:id="614"/>
      <w:bookmarkEnd w:id="615"/>
      <w:bookmarkEnd w:id="616"/>
      <w:bookmarkEnd w:id="617"/>
      <w:r>
        <w:rPr>
          <w:rFonts w:hint="eastAsia" w:ascii="宋体" w:hAnsi="宋体" w:cs="宋体"/>
          <w:sz w:val="24"/>
          <w:szCs w:val="24"/>
        </w:rPr>
        <w:t>与</w:t>
      </w:r>
      <w:bookmarkStart w:id="618" w:name="_Toc247513980"/>
      <w:bookmarkStart w:id="619" w:name="_Toc361508613"/>
      <w:bookmarkStart w:id="620" w:name="_Toc384308238"/>
      <w:bookmarkStart w:id="621" w:name="_Toc247527581"/>
      <w:bookmarkStart w:id="622" w:name="_Toc352691500"/>
      <w:bookmarkStart w:id="623" w:name="_Toc17703"/>
      <w:bookmarkStart w:id="624" w:name="_Toc152042332"/>
      <w:bookmarkStart w:id="625" w:name="_Toc369531544"/>
      <w:bookmarkStart w:id="626" w:name="_Toc300834977"/>
      <w:bookmarkStart w:id="627" w:name="_Toc144974524"/>
      <w:bookmarkStart w:id="628" w:name="_Toc152045556"/>
      <w:r>
        <w:rPr>
          <w:rFonts w:hint="eastAsia" w:ascii="宋体" w:hAnsi="宋体" w:cs="宋体"/>
          <w:sz w:val="24"/>
          <w:szCs w:val="24"/>
        </w:rPr>
        <w:t>招标投标有关活动中从事违法行</w:t>
      </w:r>
      <w:bookmarkEnd w:id="618"/>
      <w:bookmarkEnd w:id="619"/>
      <w:bookmarkEnd w:id="620"/>
      <w:bookmarkEnd w:id="621"/>
      <w:bookmarkEnd w:id="622"/>
      <w:bookmarkEnd w:id="623"/>
      <w:bookmarkEnd w:id="624"/>
      <w:bookmarkEnd w:id="625"/>
      <w:bookmarkEnd w:id="626"/>
      <w:bookmarkEnd w:id="627"/>
      <w:bookmarkEnd w:id="628"/>
      <w:r>
        <w:rPr>
          <w:rFonts w:hint="eastAsia" w:ascii="宋体" w:hAnsi="宋体" w:cs="宋体"/>
          <w:sz w:val="24"/>
          <w:szCs w:val="24"/>
        </w:rPr>
        <w:t>为而受过行政处罚或刑事处罚的；</w:t>
      </w:r>
    </w:p>
    <w:p w14:paraId="6930DF47">
      <w:pPr>
        <w:spacing w:line="360" w:lineRule="auto"/>
        <w:ind w:firstLine="480" w:firstLineChars="200"/>
        <w:rPr>
          <w:rFonts w:ascii="宋体" w:hAnsi="宋体" w:cs="宋体"/>
          <w:sz w:val="24"/>
          <w:szCs w:val="24"/>
        </w:rPr>
      </w:pPr>
      <w:r>
        <w:rPr>
          <w:rFonts w:hint="eastAsia" w:ascii="宋体" w:hAnsi="宋体" w:cs="宋体"/>
          <w:sz w:val="24"/>
          <w:szCs w:val="24"/>
        </w:rPr>
        <w:t>（5）与投标人有其他利害关系。</w:t>
      </w:r>
    </w:p>
    <w:p w14:paraId="16844ED5">
      <w:pPr>
        <w:spacing w:line="360" w:lineRule="auto"/>
        <w:ind w:firstLine="480" w:firstLineChars="200"/>
        <w:rPr>
          <w:rFonts w:ascii="宋体" w:hAnsi="宋体" w:cs="宋体"/>
          <w:sz w:val="24"/>
          <w:szCs w:val="24"/>
        </w:rPr>
      </w:pPr>
      <w:r>
        <w:rPr>
          <w:rFonts w:ascii="宋体" w:hAnsi="宋体" w:cs="宋体"/>
          <w:sz w:val="24"/>
          <w:szCs w:val="24"/>
        </w:rPr>
        <w:t xml:space="preserve">6.1.3 </w:t>
      </w:r>
      <w:r>
        <w:rPr>
          <w:rFonts w:hint="eastAsia" w:ascii="宋体" w:hAnsi="宋体" w:cs="宋体"/>
          <w:sz w:val="24"/>
          <w:szCs w:val="24"/>
        </w:rPr>
        <w:t>评标过程中，评标委员会成员有回避事由、擅离职守或者因健康等原因不能继续评标的，招标人有权更换。被更换的评标委员会成员作出的评审结论无效，由更换后的评标委员会成员重新进行评审。</w:t>
      </w:r>
    </w:p>
    <w:p w14:paraId="6CDDCA45">
      <w:pPr>
        <w:pStyle w:val="5"/>
        <w:spacing w:line="360" w:lineRule="auto"/>
        <w:ind w:firstLine="0" w:firstLineChars="0"/>
        <w:rPr>
          <w:rFonts w:ascii="宋体" w:hAnsi="宋体" w:eastAsia="宋体" w:cs="宋体"/>
          <w:szCs w:val="24"/>
        </w:rPr>
      </w:pPr>
      <w:bookmarkStart w:id="629" w:name="_Toc11730"/>
      <w:bookmarkStart w:id="630" w:name="_Toc419"/>
      <w:bookmarkStart w:id="631" w:name="_Toc19021"/>
      <w:bookmarkStart w:id="632" w:name="_Toc492300602"/>
      <w:bookmarkStart w:id="633" w:name="_Toc31284"/>
      <w:bookmarkStart w:id="634" w:name="_Toc13705"/>
      <w:bookmarkStart w:id="635" w:name="_Toc1118"/>
      <w:bookmarkStart w:id="636" w:name="_Toc1254"/>
      <w:bookmarkStart w:id="637" w:name="_Toc7627"/>
      <w:bookmarkStart w:id="638" w:name="_Toc4771"/>
      <w:bookmarkStart w:id="639" w:name="_Toc32590"/>
      <w:r>
        <w:rPr>
          <w:rFonts w:ascii="宋体" w:hAnsi="宋体" w:eastAsia="宋体" w:cs="宋体"/>
          <w:szCs w:val="24"/>
        </w:rPr>
        <w:t xml:space="preserve">6.2 </w:t>
      </w:r>
      <w:r>
        <w:rPr>
          <w:rFonts w:hint="eastAsia" w:ascii="宋体" w:hAnsi="宋体" w:eastAsia="宋体" w:cs="宋体"/>
          <w:szCs w:val="24"/>
        </w:rPr>
        <w:t>评标原则</w:t>
      </w:r>
      <w:bookmarkEnd w:id="629"/>
      <w:bookmarkEnd w:id="630"/>
      <w:bookmarkEnd w:id="631"/>
      <w:bookmarkEnd w:id="632"/>
      <w:bookmarkEnd w:id="633"/>
      <w:bookmarkEnd w:id="634"/>
      <w:bookmarkEnd w:id="635"/>
      <w:bookmarkEnd w:id="636"/>
      <w:bookmarkEnd w:id="637"/>
      <w:bookmarkEnd w:id="638"/>
      <w:bookmarkEnd w:id="639"/>
    </w:p>
    <w:p w14:paraId="2422612B">
      <w:pPr>
        <w:spacing w:line="360" w:lineRule="auto"/>
        <w:ind w:firstLine="480" w:firstLineChars="200"/>
        <w:rPr>
          <w:rFonts w:ascii="宋体" w:hAnsi="宋体" w:cs="宋体"/>
          <w:sz w:val="24"/>
          <w:szCs w:val="24"/>
        </w:rPr>
      </w:pPr>
      <w:r>
        <w:rPr>
          <w:rFonts w:hint="eastAsia" w:ascii="宋体" w:hAnsi="宋体" w:cs="宋体"/>
          <w:sz w:val="24"/>
          <w:szCs w:val="24"/>
        </w:rPr>
        <w:t>评标活动遵循公平、公正、科学和择优的原</w:t>
      </w:r>
      <w:bookmarkStart w:id="640" w:name="_Toc247513981"/>
      <w:bookmarkStart w:id="641" w:name="_Toc384308239"/>
      <w:bookmarkStart w:id="642" w:name="_Toc361508614"/>
      <w:bookmarkStart w:id="643" w:name="_Toc352691501"/>
      <w:bookmarkStart w:id="644" w:name="_Toc369531545"/>
      <w:bookmarkStart w:id="645" w:name="_Toc18949"/>
      <w:bookmarkStart w:id="646" w:name="_Toc152042333"/>
      <w:bookmarkStart w:id="647" w:name="_Toc247527582"/>
      <w:bookmarkStart w:id="648" w:name="_Toc300834978"/>
      <w:bookmarkStart w:id="649" w:name="_Toc152045557"/>
      <w:bookmarkStart w:id="650" w:name="_Toc144974525"/>
      <w:r>
        <w:rPr>
          <w:rFonts w:hint="eastAsia" w:ascii="宋体" w:hAnsi="宋体" w:cs="宋体"/>
          <w:sz w:val="24"/>
          <w:szCs w:val="24"/>
        </w:rPr>
        <w:t>则。</w:t>
      </w:r>
    </w:p>
    <w:p w14:paraId="05F6E223">
      <w:pPr>
        <w:pStyle w:val="5"/>
        <w:spacing w:line="360" w:lineRule="auto"/>
        <w:ind w:firstLine="0" w:firstLineChars="0"/>
        <w:rPr>
          <w:rFonts w:ascii="宋体" w:hAnsi="宋体" w:eastAsia="宋体" w:cs="宋体"/>
          <w:szCs w:val="24"/>
        </w:rPr>
      </w:pPr>
      <w:bookmarkStart w:id="651" w:name="_Toc4047"/>
      <w:bookmarkStart w:id="652" w:name="_Toc2802"/>
      <w:bookmarkStart w:id="653" w:name="_Toc29486"/>
      <w:bookmarkStart w:id="654" w:name="_Toc14614"/>
      <w:bookmarkStart w:id="655" w:name="_Toc492300603"/>
      <w:bookmarkStart w:id="656" w:name="_Toc26119"/>
      <w:bookmarkStart w:id="657" w:name="_Toc29396"/>
      <w:bookmarkStart w:id="658" w:name="_Toc10558"/>
      <w:bookmarkStart w:id="659" w:name="_Toc8640"/>
      <w:bookmarkStart w:id="660" w:name="_Toc8776"/>
      <w:bookmarkStart w:id="661" w:name="_Toc30279"/>
      <w:r>
        <w:rPr>
          <w:rFonts w:ascii="宋体" w:hAnsi="宋体" w:eastAsia="宋体" w:cs="宋体"/>
          <w:szCs w:val="24"/>
        </w:rPr>
        <w:t xml:space="preserve">6.3 </w:t>
      </w:r>
      <w:r>
        <w:rPr>
          <w:rFonts w:hint="eastAsia" w:ascii="宋体" w:hAnsi="宋体" w:eastAsia="宋体" w:cs="宋体"/>
          <w:szCs w:val="24"/>
        </w:rPr>
        <w:t>评标</w:t>
      </w:r>
      <w:bookmarkEnd w:id="651"/>
      <w:bookmarkEnd w:id="652"/>
      <w:bookmarkEnd w:id="653"/>
      <w:bookmarkEnd w:id="654"/>
      <w:bookmarkEnd w:id="655"/>
      <w:bookmarkEnd w:id="656"/>
      <w:bookmarkEnd w:id="657"/>
      <w:bookmarkEnd w:id="658"/>
      <w:bookmarkEnd w:id="659"/>
      <w:bookmarkEnd w:id="660"/>
      <w:bookmarkEnd w:id="661"/>
    </w:p>
    <w:p w14:paraId="30EA9A23">
      <w:pPr>
        <w:spacing w:line="360" w:lineRule="auto"/>
        <w:ind w:firstLine="480" w:firstLineChars="200"/>
        <w:rPr>
          <w:rFonts w:ascii="宋体" w:hAnsi="宋体" w:cs="宋体"/>
          <w:sz w:val="24"/>
          <w:szCs w:val="24"/>
        </w:rPr>
      </w:pPr>
      <w:r>
        <w:rPr>
          <w:rFonts w:ascii="宋体" w:hAnsi="宋体" w:cs="宋体"/>
          <w:sz w:val="24"/>
          <w:szCs w:val="24"/>
        </w:rPr>
        <w:t>6</w:t>
      </w:r>
      <w:bookmarkEnd w:id="640"/>
      <w:bookmarkEnd w:id="641"/>
      <w:bookmarkEnd w:id="642"/>
      <w:bookmarkEnd w:id="643"/>
      <w:bookmarkEnd w:id="644"/>
      <w:bookmarkEnd w:id="645"/>
      <w:bookmarkEnd w:id="646"/>
      <w:bookmarkEnd w:id="647"/>
      <w:bookmarkEnd w:id="648"/>
      <w:bookmarkEnd w:id="649"/>
      <w:bookmarkEnd w:id="650"/>
      <w:r>
        <w:rPr>
          <w:rFonts w:hint="eastAsia" w:ascii="宋体" w:hAnsi="宋体" w:cs="宋体"/>
          <w:sz w:val="24"/>
          <w:szCs w:val="24"/>
        </w:rPr>
        <w:t>.3.1评标委员会按照第三章“评标办法”规定的方法、评审因素、标准和程序对投标文件进行评审。第三章“评标办法”没有规定的方法、评审因素和标准，不作为评标依据。</w:t>
      </w:r>
    </w:p>
    <w:p w14:paraId="33D555EB">
      <w:pPr>
        <w:spacing w:line="360" w:lineRule="auto"/>
        <w:ind w:firstLine="480" w:firstLineChars="200"/>
        <w:rPr>
          <w:rFonts w:ascii="宋体" w:hAnsi="宋体" w:cs="宋体"/>
          <w:sz w:val="24"/>
          <w:szCs w:val="24"/>
        </w:rPr>
      </w:pPr>
      <w:r>
        <w:rPr>
          <w:rFonts w:hint="eastAsia" w:ascii="宋体" w:hAnsi="宋体" w:cs="宋体"/>
          <w:sz w:val="24"/>
          <w:szCs w:val="24"/>
        </w:rPr>
        <w:t>6.3.2评标完成后，评标委员会应当向招标人提交书面评标报告和中标候选人名单。评标委员会推荐中标</w:t>
      </w:r>
      <w:bookmarkStart w:id="662" w:name="_Toc247513982"/>
      <w:bookmarkStart w:id="663" w:name="_Toc352691502"/>
      <w:bookmarkStart w:id="664" w:name="_Toc144974526"/>
      <w:bookmarkStart w:id="665" w:name="_Toc384308240"/>
      <w:bookmarkStart w:id="666" w:name="_Toc152042334"/>
      <w:bookmarkStart w:id="667" w:name="_Toc247527583"/>
      <w:bookmarkStart w:id="668" w:name="_Toc361508615"/>
      <w:bookmarkStart w:id="669" w:name="_Toc12259"/>
      <w:bookmarkStart w:id="670" w:name="_Toc152045558"/>
      <w:bookmarkStart w:id="671" w:name="_Toc300834979"/>
      <w:bookmarkStart w:id="672" w:name="_Toc369531546"/>
      <w:r>
        <w:rPr>
          <w:rFonts w:hint="eastAsia" w:ascii="宋体" w:hAnsi="宋体" w:cs="宋体"/>
          <w:sz w:val="24"/>
          <w:szCs w:val="24"/>
        </w:rPr>
        <w:t>候选人的人数见投标人须知前附</w:t>
      </w:r>
      <w:bookmarkEnd w:id="662"/>
      <w:bookmarkEnd w:id="663"/>
      <w:bookmarkEnd w:id="664"/>
      <w:bookmarkEnd w:id="665"/>
      <w:bookmarkEnd w:id="666"/>
      <w:bookmarkEnd w:id="667"/>
      <w:bookmarkEnd w:id="668"/>
      <w:bookmarkEnd w:id="669"/>
      <w:bookmarkEnd w:id="670"/>
      <w:bookmarkEnd w:id="671"/>
      <w:bookmarkEnd w:id="672"/>
      <w:r>
        <w:rPr>
          <w:rFonts w:hint="eastAsia" w:ascii="宋体" w:hAnsi="宋体" w:cs="宋体"/>
          <w:sz w:val="24"/>
          <w:szCs w:val="24"/>
        </w:rPr>
        <w:t>表。</w:t>
      </w:r>
    </w:p>
    <w:p w14:paraId="6B99CC0F">
      <w:pPr>
        <w:pStyle w:val="4"/>
        <w:spacing w:line="360" w:lineRule="auto"/>
        <w:rPr>
          <w:rFonts w:ascii="宋体" w:hAnsi="宋体" w:eastAsia="宋体" w:cs="宋体"/>
          <w:sz w:val="28"/>
          <w:szCs w:val="28"/>
        </w:rPr>
      </w:pPr>
      <w:bookmarkStart w:id="673" w:name="_Toc492300604"/>
      <w:bookmarkStart w:id="674" w:name="_Toc8659"/>
      <w:bookmarkStart w:id="675" w:name="_Toc5657"/>
      <w:bookmarkStart w:id="676" w:name="_Toc16732"/>
      <w:bookmarkStart w:id="677" w:name="_Toc28355"/>
      <w:bookmarkStart w:id="678" w:name="_Toc7020"/>
      <w:bookmarkStart w:id="679" w:name="_Toc15335"/>
      <w:bookmarkStart w:id="680" w:name="_Toc22635"/>
      <w:bookmarkStart w:id="681" w:name="_Toc10110"/>
      <w:bookmarkStart w:id="682" w:name="_Toc15386"/>
      <w:bookmarkStart w:id="683" w:name="_Toc25633"/>
      <w:r>
        <w:rPr>
          <w:rFonts w:ascii="宋体" w:hAnsi="宋体" w:eastAsia="宋体" w:cs="宋体"/>
          <w:sz w:val="28"/>
          <w:szCs w:val="28"/>
        </w:rPr>
        <w:t xml:space="preserve">7. </w:t>
      </w:r>
      <w:r>
        <w:rPr>
          <w:rFonts w:hint="eastAsia" w:ascii="宋体" w:hAnsi="宋体" w:eastAsia="宋体" w:cs="宋体"/>
          <w:sz w:val="28"/>
          <w:szCs w:val="28"/>
        </w:rPr>
        <w:t>合同授予</w:t>
      </w:r>
      <w:bookmarkEnd w:id="673"/>
      <w:bookmarkEnd w:id="674"/>
      <w:bookmarkEnd w:id="675"/>
      <w:bookmarkEnd w:id="676"/>
      <w:bookmarkEnd w:id="677"/>
      <w:bookmarkEnd w:id="678"/>
      <w:bookmarkEnd w:id="679"/>
      <w:bookmarkEnd w:id="680"/>
      <w:bookmarkEnd w:id="681"/>
      <w:bookmarkEnd w:id="682"/>
      <w:bookmarkEnd w:id="683"/>
    </w:p>
    <w:p w14:paraId="3229F9E3">
      <w:pPr>
        <w:pStyle w:val="5"/>
        <w:spacing w:line="360" w:lineRule="auto"/>
        <w:ind w:firstLine="0" w:firstLineChars="0"/>
        <w:rPr>
          <w:rFonts w:ascii="宋体" w:hAnsi="宋体" w:eastAsia="宋体" w:cs="宋体"/>
          <w:szCs w:val="24"/>
        </w:rPr>
      </w:pPr>
      <w:bookmarkStart w:id="684" w:name="_Toc9762"/>
      <w:bookmarkStart w:id="685" w:name="_Toc16687"/>
      <w:bookmarkStart w:id="686" w:name="_Toc26938"/>
      <w:bookmarkStart w:id="687" w:name="_Toc30180"/>
      <w:bookmarkStart w:id="688" w:name="_Toc22584"/>
      <w:bookmarkStart w:id="689" w:name="_Toc1924"/>
      <w:bookmarkStart w:id="690" w:name="_Toc9013"/>
      <w:bookmarkStart w:id="691" w:name="_Toc958"/>
      <w:bookmarkStart w:id="692" w:name="_Toc492300605"/>
      <w:bookmarkStart w:id="693" w:name="_Toc11364"/>
      <w:bookmarkStart w:id="694" w:name="_Toc3854"/>
      <w:r>
        <w:rPr>
          <w:rFonts w:ascii="宋体" w:hAnsi="宋体" w:eastAsia="宋体" w:cs="宋体"/>
          <w:szCs w:val="24"/>
        </w:rPr>
        <w:t xml:space="preserve">7.1 </w:t>
      </w:r>
      <w:r>
        <w:rPr>
          <w:rFonts w:hint="eastAsia" w:ascii="宋体" w:hAnsi="宋体" w:eastAsia="宋体" w:cs="宋体"/>
          <w:szCs w:val="24"/>
        </w:rPr>
        <w:t>中标候选人公示</w:t>
      </w:r>
      <w:bookmarkEnd w:id="684"/>
      <w:bookmarkEnd w:id="685"/>
      <w:bookmarkEnd w:id="686"/>
      <w:bookmarkEnd w:id="687"/>
      <w:bookmarkEnd w:id="688"/>
      <w:bookmarkEnd w:id="689"/>
      <w:bookmarkEnd w:id="690"/>
      <w:bookmarkEnd w:id="691"/>
      <w:bookmarkEnd w:id="692"/>
      <w:bookmarkEnd w:id="693"/>
      <w:bookmarkEnd w:id="694"/>
    </w:p>
    <w:p w14:paraId="052A4D7A">
      <w:pPr>
        <w:spacing w:line="360" w:lineRule="auto"/>
        <w:ind w:firstLine="480" w:firstLineChars="200"/>
        <w:rPr>
          <w:rFonts w:ascii="宋体" w:hAnsi="宋体" w:cs="宋体"/>
          <w:sz w:val="24"/>
          <w:szCs w:val="24"/>
        </w:rPr>
      </w:pPr>
      <w:r>
        <w:rPr>
          <w:rFonts w:hint="eastAsia" w:ascii="宋体" w:hAnsi="宋体" w:cs="宋体"/>
          <w:sz w:val="24"/>
          <w:szCs w:val="24"/>
        </w:rPr>
        <w:t>招标人在收到评标报告之日起3日内，按照投标人须知前附表规定的公示媒介和期限公示中标候选人，公示期不得少于3天</w:t>
      </w:r>
      <w:r>
        <w:rPr>
          <w:rFonts w:hint="eastAsia" w:ascii="Times New Roman" w:hAnsi="Times New Roman"/>
          <w:sz w:val="24"/>
          <w:szCs w:val="24"/>
        </w:rPr>
        <w:t>（最后一天为工作天）</w:t>
      </w:r>
      <w:r>
        <w:rPr>
          <w:rFonts w:hint="eastAsia" w:ascii="宋体" w:hAnsi="宋体" w:cs="宋体"/>
          <w:sz w:val="24"/>
          <w:szCs w:val="24"/>
        </w:rPr>
        <w:t>。</w:t>
      </w:r>
    </w:p>
    <w:p w14:paraId="2CDA1BCD">
      <w:pPr>
        <w:pStyle w:val="5"/>
        <w:spacing w:line="360" w:lineRule="auto"/>
        <w:ind w:firstLine="0" w:firstLineChars="0"/>
        <w:rPr>
          <w:rFonts w:ascii="宋体" w:hAnsi="宋体" w:eastAsia="宋体" w:cs="宋体"/>
          <w:szCs w:val="24"/>
        </w:rPr>
      </w:pPr>
      <w:bookmarkStart w:id="695" w:name="_Toc492300606"/>
      <w:bookmarkStart w:id="696" w:name="_Toc72"/>
      <w:bookmarkStart w:id="697" w:name="_Toc19277"/>
      <w:bookmarkStart w:id="698" w:name="_Toc1246"/>
      <w:bookmarkStart w:id="699" w:name="_Toc26910"/>
      <w:bookmarkStart w:id="700" w:name="_Toc2875"/>
      <w:bookmarkStart w:id="701" w:name="_Toc19700"/>
      <w:bookmarkStart w:id="702" w:name="_Toc15404"/>
      <w:bookmarkStart w:id="703" w:name="_Toc14112"/>
      <w:bookmarkStart w:id="704" w:name="_Toc11891"/>
      <w:bookmarkStart w:id="705" w:name="_Toc16494"/>
      <w:r>
        <w:rPr>
          <w:rFonts w:ascii="宋体" w:hAnsi="宋体" w:eastAsia="宋体" w:cs="宋体"/>
          <w:szCs w:val="24"/>
        </w:rPr>
        <w:t xml:space="preserve">7.2 </w:t>
      </w:r>
      <w:r>
        <w:rPr>
          <w:rFonts w:hint="eastAsia" w:ascii="宋体" w:hAnsi="宋体" w:eastAsia="宋体" w:cs="宋体"/>
          <w:szCs w:val="24"/>
        </w:rPr>
        <w:t>评标结果异议</w:t>
      </w:r>
      <w:bookmarkEnd w:id="695"/>
      <w:bookmarkEnd w:id="696"/>
      <w:bookmarkEnd w:id="697"/>
      <w:bookmarkEnd w:id="698"/>
      <w:bookmarkEnd w:id="699"/>
      <w:bookmarkEnd w:id="700"/>
      <w:bookmarkEnd w:id="701"/>
      <w:bookmarkEnd w:id="702"/>
      <w:bookmarkEnd w:id="703"/>
      <w:bookmarkEnd w:id="704"/>
      <w:bookmarkEnd w:id="705"/>
    </w:p>
    <w:p w14:paraId="26C8E3A9">
      <w:pPr>
        <w:spacing w:line="360" w:lineRule="auto"/>
        <w:ind w:firstLine="480" w:firstLineChars="200"/>
        <w:rPr>
          <w:rFonts w:ascii="宋体" w:hAnsi="宋体" w:cs="宋体"/>
          <w:sz w:val="24"/>
          <w:szCs w:val="24"/>
        </w:rPr>
      </w:pPr>
      <w:r>
        <w:rPr>
          <w:rFonts w:hint="eastAsia" w:ascii="宋体" w:hAnsi="宋体" w:cs="宋体"/>
          <w:sz w:val="24"/>
          <w:szCs w:val="24"/>
        </w:rPr>
        <w:t>投标人或者其他利</w:t>
      </w:r>
      <w:bookmarkStart w:id="706" w:name="_Toc247527586"/>
      <w:bookmarkStart w:id="707" w:name="_Toc247513985"/>
      <w:bookmarkStart w:id="708" w:name="_Toc144974529"/>
      <w:bookmarkStart w:id="709" w:name="_Toc152042337"/>
      <w:bookmarkStart w:id="710" w:name="_Toc361508618"/>
      <w:bookmarkStart w:id="711" w:name="_Toc384308243"/>
      <w:bookmarkStart w:id="712" w:name="_Toc300834982"/>
      <w:bookmarkStart w:id="713" w:name="_Toc352691505"/>
      <w:bookmarkStart w:id="714" w:name="_Toc152045561"/>
      <w:bookmarkStart w:id="715" w:name="_Toc30095"/>
      <w:bookmarkStart w:id="716" w:name="_Toc369531549"/>
      <w:r>
        <w:rPr>
          <w:rFonts w:hint="eastAsia" w:ascii="宋体" w:hAnsi="宋体" w:cs="宋体"/>
          <w:sz w:val="24"/>
          <w:szCs w:val="24"/>
        </w:rPr>
        <w:t>害关系人对评标结</w:t>
      </w:r>
      <w:bookmarkEnd w:id="706"/>
      <w:bookmarkEnd w:id="707"/>
      <w:bookmarkEnd w:id="708"/>
      <w:bookmarkEnd w:id="709"/>
      <w:bookmarkEnd w:id="710"/>
      <w:bookmarkEnd w:id="711"/>
      <w:bookmarkEnd w:id="712"/>
      <w:bookmarkEnd w:id="713"/>
      <w:bookmarkEnd w:id="714"/>
      <w:bookmarkEnd w:id="715"/>
      <w:bookmarkEnd w:id="716"/>
      <w:r>
        <w:rPr>
          <w:rFonts w:hint="eastAsia" w:ascii="宋体" w:hAnsi="宋体" w:cs="宋体"/>
          <w:sz w:val="24"/>
          <w:szCs w:val="24"/>
        </w:rPr>
        <w:t>果有异议的，应当在中标候选人公示期间提出。招标人将在收到异议之日起</w:t>
      </w:r>
      <w:r>
        <w:rPr>
          <w:rFonts w:ascii="宋体" w:hAnsi="宋体" w:cs="宋体"/>
          <w:sz w:val="24"/>
          <w:szCs w:val="24"/>
        </w:rPr>
        <w:t>3日内</w:t>
      </w:r>
      <w:r>
        <w:rPr>
          <w:rFonts w:hint="eastAsia" w:ascii="宋体" w:hAnsi="宋体" w:cs="宋体"/>
          <w:sz w:val="24"/>
          <w:szCs w:val="24"/>
        </w:rPr>
        <w:t>作出答复；作出答复前，将暂停招标投标活动。</w:t>
      </w:r>
    </w:p>
    <w:p w14:paraId="2C0C309B">
      <w:pPr>
        <w:spacing w:line="360" w:lineRule="auto"/>
        <w:ind w:firstLine="480" w:firstLineChars="200"/>
        <w:rPr>
          <w:rFonts w:ascii="宋体" w:hAnsi="宋体" w:cs="宋体"/>
          <w:sz w:val="24"/>
          <w:szCs w:val="24"/>
        </w:rPr>
      </w:pPr>
      <w:r>
        <w:rPr>
          <w:rFonts w:hint="eastAsia" w:ascii="宋体" w:hAnsi="宋体" w:cs="宋体"/>
          <w:sz w:val="24"/>
          <w:szCs w:val="24"/>
          <w:u w:val="single"/>
        </w:rPr>
        <w:t>注：投标人或其他利害关系人对评标结果有异议的，应当在中标候选人公示期间提出，可以通过线下或线上的形式提出异议。线上提交的，应通过广交易建设工程电子交易系统进行，招标人也应通过广交易建设工程电子交易系统答复线上提交的异议。作出答复前，应当暂停招标投标活动。</w:t>
      </w:r>
    </w:p>
    <w:p w14:paraId="6A88F621">
      <w:pPr>
        <w:pStyle w:val="5"/>
        <w:spacing w:line="360" w:lineRule="auto"/>
        <w:ind w:firstLine="0" w:firstLineChars="0"/>
        <w:rPr>
          <w:rFonts w:ascii="宋体" w:hAnsi="宋体" w:eastAsia="宋体" w:cs="宋体"/>
          <w:szCs w:val="24"/>
        </w:rPr>
      </w:pPr>
      <w:bookmarkStart w:id="717" w:name="_Toc11242"/>
      <w:bookmarkStart w:id="718" w:name="_Toc12436"/>
      <w:bookmarkStart w:id="719" w:name="_Toc20125"/>
      <w:bookmarkStart w:id="720" w:name="_Toc10747"/>
      <w:bookmarkStart w:id="721" w:name="_Toc8456"/>
      <w:bookmarkStart w:id="722" w:name="_Toc24306"/>
      <w:bookmarkStart w:id="723" w:name="_Toc492300607"/>
      <w:bookmarkStart w:id="724" w:name="_Toc9218"/>
      <w:bookmarkStart w:id="725" w:name="_Toc19392"/>
      <w:bookmarkStart w:id="726" w:name="_Toc7255"/>
      <w:bookmarkStart w:id="727" w:name="_Toc4223"/>
      <w:r>
        <w:rPr>
          <w:rFonts w:ascii="宋体" w:hAnsi="宋体" w:eastAsia="宋体" w:cs="宋体"/>
          <w:szCs w:val="24"/>
        </w:rPr>
        <w:t xml:space="preserve">7.3 </w:t>
      </w:r>
      <w:r>
        <w:rPr>
          <w:rFonts w:hint="eastAsia" w:ascii="宋体" w:hAnsi="宋体" w:eastAsia="宋体" w:cs="宋体"/>
          <w:szCs w:val="24"/>
        </w:rPr>
        <w:t>中标候选人履约能力审查</w:t>
      </w:r>
      <w:bookmarkEnd w:id="717"/>
      <w:bookmarkEnd w:id="718"/>
      <w:bookmarkEnd w:id="719"/>
      <w:bookmarkEnd w:id="720"/>
      <w:bookmarkEnd w:id="721"/>
      <w:bookmarkEnd w:id="722"/>
      <w:bookmarkEnd w:id="723"/>
      <w:bookmarkEnd w:id="724"/>
      <w:bookmarkEnd w:id="725"/>
      <w:bookmarkEnd w:id="726"/>
      <w:bookmarkEnd w:id="727"/>
    </w:p>
    <w:p w14:paraId="75697703">
      <w:pPr>
        <w:spacing w:line="360" w:lineRule="auto"/>
        <w:ind w:firstLine="480" w:firstLineChars="200"/>
        <w:rPr>
          <w:rFonts w:ascii="宋体" w:hAnsi="宋体" w:cs="宋体"/>
          <w:sz w:val="24"/>
          <w:szCs w:val="24"/>
        </w:rPr>
      </w:pPr>
      <w:r>
        <w:rPr>
          <w:rFonts w:hint="eastAsia" w:ascii="宋体" w:hAnsi="宋体" w:cs="宋体"/>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7E864D1B">
      <w:pPr>
        <w:pStyle w:val="5"/>
        <w:spacing w:line="360" w:lineRule="auto"/>
        <w:ind w:firstLine="0" w:firstLineChars="0"/>
        <w:rPr>
          <w:rFonts w:ascii="宋体" w:hAnsi="宋体" w:eastAsia="宋体" w:cs="宋体"/>
          <w:szCs w:val="24"/>
        </w:rPr>
      </w:pPr>
      <w:bookmarkStart w:id="728" w:name="_Toc24755"/>
      <w:bookmarkStart w:id="729" w:name="_Toc492300608"/>
      <w:bookmarkStart w:id="730" w:name="_Toc11284"/>
      <w:bookmarkStart w:id="731" w:name="_Toc13911"/>
      <w:bookmarkStart w:id="732" w:name="_Toc25871"/>
      <w:bookmarkStart w:id="733" w:name="_Toc21272"/>
      <w:bookmarkStart w:id="734" w:name="_Toc26023"/>
      <w:bookmarkStart w:id="735" w:name="_Toc9704"/>
      <w:bookmarkStart w:id="736" w:name="_Toc18639"/>
      <w:bookmarkStart w:id="737" w:name="_Toc16645"/>
      <w:bookmarkStart w:id="738" w:name="_Toc20037"/>
      <w:r>
        <w:rPr>
          <w:rFonts w:ascii="宋体" w:hAnsi="宋体" w:eastAsia="宋体" w:cs="宋体"/>
          <w:szCs w:val="24"/>
        </w:rPr>
        <w:t xml:space="preserve">7.4 </w:t>
      </w:r>
      <w:r>
        <w:rPr>
          <w:rFonts w:hint="eastAsia" w:ascii="宋体" w:hAnsi="宋体" w:eastAsia="宋体" w:cs="宋体"/>
          <w:szCs w:val="24"/>
        </w:rPr>
        <w:t>定标</w:t>
      </w:r>
      <w:bookmarkEnd w:id="728"/>
      <w:bookmarkEnd w:id="729"/>
      <w:bookmarkEnd w:id="730"/>
      <w:bookmarkEnd w:id="731"/>
      <w:bookmarkEnd w:id="732"/>
      <w:bookmarkEnd w:id="733"/>
      <w:bookmarkEnd w:id="734"/>
      <w:bookmarkEnd w:id="735"/>
      <w:bookmarkEnd w:id="736"/>
      <w:bookmarkEnd w:id="737"/>
      <w:bookmarkEnd w:id="738"/>
    </w:p>
    <w:p w14:paraId="1A47C2C7">
      <w:pPr>
        <w:spacing w:line="360" w:lineRule="auto"/>
        <w:ind w:firstLine="480" w:firstLineChars="200"/>
        <w:rPr>
          <w:rFonts w:ascii="宋体" w:hAnsi="宋体" w:cs="宋体"/>
          <w:sz w:val="24"/>
          <w:szCs w:val="24"/>
        </w:rPr>
      </w:pPr>
      <w:r>
        <w:rPr>
          <w:rFonts w:hint="eastAsia" w:ascii="宋体" w:hAnsi="宋体" w:cs="宋体"/>
          <w:sz w:val="24"/>
          <w:szCs w:val="24"/>
        </w:rPr>
        <w:t>按照投标人须知前附表的规定，招标人或招标人授权的评标委员会依法确定中标人。</w:t>
      </w:r>
    </w:p>
    <w:p w14:paraId="050BC8C3">
      <w:pPr>
        <w:pStyle w:val="5"/>
        <w:spacing w:line="360" w:lineRule="auto"/>
        <w:ind w:firstLine="0" w:firstLineChars="0"/>
        <w:rPr>
          <w:rFonts w:ascii="宋体" w:hAnsi="宋体" w:eastAsia="宋体" w:cs="宋体"/>
          <w:szCs w:val="24"/>
        </w:rPr>
      </w:pPr>
      <w:bookmarkStart w:id="739" w:name="_Toc22074"/>
      <w:bookmarkStart w:id="740" w:name="_Toc20477"/>
      <w:bookmarkStart w:id="741" w:name="_Toc9194"/>
      <w:bookmarkStart w:id="742" w:name="_Toc31128"/>
      <w:bookmarkStart w:id="743" w:name="_Toc22955"/>
      <w:bookmarkStart w:id="744" w:name="_Toc9845"/>
      <w:bookmarkStart w:id="745" w:name="_Toc2936"/>
      <w:bookmarkStart w:id="746" w:name="_Toc12343"/>
      <w:bookmarkStart w:id="747" w:name="_Toc1487"/>
      <w:bookmarkStart w:id="748" w:name="_Toc492300609"/>
      <w:bookmarkStart w:id="749" w:name="_Toc27861"/>
      <w:r>
        <w:rPr>
          <w:rFonts w:ascii="宋体" w:hAnsi="宋体" w:eastAsia="宋体" w:cs="宋体"/>
          <w:szCs w:val="24"/>
        </w:rPr>
        <w:t xml:space="preserve">7.5 </w:t>
      </w:r>
      <w:r>
        <w:rPr>
          <w:rFonts w:hint="eastAsia" w:ascii="宋体" w:hAnsi="宋体" w:eastAsia="宋体" w:cs="宋体"/>
          <w:szCs w:val="24"/>
        </w:rPr>
        <w:t>中标通知</w:t>
      </w:r>
      <w:bookmarkEnd w:id="739"/>
      <w:bookmarkEnd w:id="740"/>
      <w:bookmarkEnd w:id="741"/>
      <w:bookmarkEnd w:id="742"/>
      <w:bookmarkEnd w:id="743"/>
      <w:bookmarkEnd w:id="744"/>
      <w:bookmarkEnd w:id="745"/>
      <w:bookmarkEnd w:id="746"/>
      <w:bookmarkEnd w:id="747"/>
      <w:bookmarkEnd w:id="748"/>
      <w:bookmarkEnd w:id="749"/>
    </w:p>
    <w:p w14:paraId="370959FE">
      <w:pPr>
        <w:spacing w:line="360" w:lineRule="auto"/>
        <w:ind w:firstLine="480" w:firstLineChars="200"/>
        <w:rPr>
          <w:rFonts w:ascii="宋体" w:hAnsi="宋体" w:cs="宋体"/>
          <w:sz w:val="24"/>
          <w:szCs w:val="24"/>
        </w:rPr>
      </w:pPr>
      <w:r>
        <w:rPr>
          <w:rFonts w:hint="eastAsia" w:ascii="宋体" w:hAnsi="宋体" w:cs="宋体"/>
          <w:sz w:val="24"/>
          <w:szCs w:val="24"/>
        </w:rPr>
        <w:t>在本章第3.3款规定的投标有效期内，招标人以书面形式向中标人发出中标</w:t>
      </w:r>
      <w:bookmarkStart w:id="750" w:name="_Toc361508619"/>
      <w:bookmarkStart w:id="751" w:name="_Toc5668"/>
      <w:bookmarkStart w:id="752" w:name="_Toc300834983"/>
      <w:bookmarkStart w:id="753" w:name="_Toc352691506"/>
      <w:bookmarkStart w:id="754" w:name="_Toc384308244"/>
      <w:bookmarkStart w:id="755" w:name="_Toc369531550"/>
      <w:r>
        <w:rPr>
          <w:rFonts w:hint="eastAsia" w:ascii="宋体" w:hAnsi="宋体" w:cs="宋体"/>
          <w:sz w:val="24"/>
          <w:szCs w:val="24"/>
        </w:rPr>
        <w:t>通知书，同时将中</w:t>
      </w:r>
      <w:bookmarkEnd w:id="750"/>
      <w:bookmarkEnd w:id="751"/>
      <w:bookmarkEnd w:id="752"/>
      <w:bookmarkEnd w:id="753"/>
      <w:bookmarkEnd w:id="754"/>
      <w:bookmarkEnd w:id="755"/>
      <w:r>
        <w:rPr>
          <w:rFonts w:hint="eastAsia" w:ascii="宋体" w:hAnsi="宋体" w:cs="宋体"/>
          <w:sz w:val="24"/>
          <w:szCs w:val="24"/>
        </w:rPr>
        <w:t>标结果通知未中标的投标人。</w:t>
      </w:r>
    </w:p>
    <w:p w14:paraId="1DB22710">
      <w:pPr>
        <w:pStyle w:val="5"/>
        <w:spacing w:line="360" w:lineRule="auto"/>
        <w:ind w:firstLine="0" w:firstLineChars="0"/>
        <w:rPr>
          <w:rFonts w:ascii="宋体" w:hAnsi="宋体" w:eastAsia="宋体" w:cs="宋体"/>
          <w:szCs w:val="24"/>
        </w:rPr>
      </w:pPr>
      <w:bookmarkStart w:id="756" w:name="_Toc492300610"/>
      <w:bookmarkStart w:id="757" w:name="_Toc29460"/>
      <w:bookmarkStart w:id="758" w:name="_Toc28838"/>
      <w:bookmarkStart w:id="759" w:name="_Toc8209"/>
      <w:bookmarkStart w:id="760" w:name="_Toc14148"/>
      <w:bookmarkStart w:id="761" w:name="_Toc31786"/>
      <w:bookmarkStart w:id="762" w:name="_Toc10579"/>
      <w:bookmarkStart w:id="763" w:name="_Toc7444"/>
      <w:bookmarkStart w:id="764" w:name="_Toc20992"/>
      <w:bookmarkStart w:id="765" w:name="_Toc32695"/>
      <w:bookmarkStart w:id="766" w:name="_Toc11461"/>
      <w:r>
        <w:rPr>
          <w:rFonts w:ascii="宋体" w:hAnsi="宋体" w:eastAsia="宋体" w:cs="宋体"/>
          <w:szCs w:val="24"/>
        </w:rPr>
        <w:t xml:space="preserve">7.6 </w:t>
      </w:r>
      <w:r>
        <w:rPr>
          <w:rFonts w:hint="eastAsia" w:ascii="宋体" w:hAnsi="宋体" w:eastAsia="宋体" w:cs="宋体"/>
          <w:szCs w:val="24"/>
        </w:rPr>
        <w:t>履约保证金</w:t>
      </w:r>
      <w:bookmarkEnd w:id="756"/>
      <w:bookmarkEnd w:id="757"/>
      <w:bookmarkEnd w:id="758"/>
      <w:bookmarkEnd w:id="759"/>
      <w:bookmarkEnd w:id="760"/>
      <w:bookmarkEnd w:id="761"/>
      <w:bookmarkEnd w:id="762"/>
      <w:bookmarkEnd w:id="763"/>
      <w:bookmarkEnd w:id="764"/>
      <w:bookmarkEnd w:id="765"/>
      <w:bookmarkEnd w:id="766"/>
    </w:p>
    <w:p w14:paraId="567E5CAA">
      <w:pPr>
        <w:spacing w:line="360" w:lineRule="auto"/>
        <w:ind w:firstLine="480" w:firstLineChars="200"/>
        <w:rPr>
          <w:rFonts w:ascii="Times New Roman" w:hAnsi="Times New Roman"/>
          <w:strike/>
          <w:sz w:val="24"/>
          <w:szCs w:val="24"/>
          <w:u w:val="single"/>
        </w:rPr>
      </w:pPr>
      <w:r>
        <w:rPr>
          <w:rFonts w:hint="eastAsia" w:ascii="Times New Roman" w:hAnsi="Times New Roman"/>
          <w:sz w:val="24"/>
          <w:szCs w:val="24"/>
          <w:u w:val="single"/>
        </w:rPr>
        <w:t>本项目不</w:t>
      </w:r>
      <w:r>
        <w:rPr>
          <w:rFonts w:ascii="Times New Roman" w:hAnsi="Times New Roman"/>
          <w:sz w:val="24"/>
          <w:szCs w:val="24"/>
          <w:u w:val="single"/>
        </w:rPr>
        <w:t>要求提交</w:t>
      </w:r>
      <w:r>
        <w:rPr>
          <w:rFonts w:hint="eastAsia" w:ascii="Times New Roman" w:hAnsi="Times New Roman"/>
          <w:sz w:val="24"/>
          <w:szCs w:val="24"/>
          <w:u w:val="single"/>
        </w:rPr>
        <w:t>履约</w:t>
      </w:r>
      <w:r>
        <w:rPr>
          <w:rFonts w:ascii="Times New Roman" w:hAnsi="Times New Roman"/>
          <w:sz w:val="24"/>
          <w:szCs w:val="24"/>
          <w:u w:val="single"/>
        </w:rPr>
        <w:t>保证金</w:t>
      </w:r>
      <w:r>
        <w:rPr>
          <w:rFonts w:hint="eastAsia" w:ascii="Times New Roman" w:hAnsi="Times New Roman"/>
          <w:sz w:val="24"/>
          <w:szCs w:val="24"/>
          <w:u w:val="single"/>
        </w:rPr>
        <w:t>。</w:t>
      </w:r>
    </w:p>
    <w:p w14:paraId="4AB9A566">
      <w:pPr>
        <w:spacing w:line="360" w:lineRule="auto"/>
        <w:ind w:firstLine="480" w:firstLineChars="200"/>
        <w:rPr>
          <w:rFonts w:ascii="宋体" w:hAnsi="宋体" w:cs="宋体"/>
          <w:strike/>
          <w:sz w:val="24"/>
          <w:szCs w:val="24"/>
        </w:rPr>
      </w:pPr>
      <w:r>
        <w:rPr>
          <w:rFonts w:ascii="宋体" w:hAnsi="宋体" w:cs="宋体"/>
          <w:strike/>
          <w:sz w:val="24"/>
          <w:szCs w:val="24"/>
        </w:rPr>
        <w:t xml:space="preserve">7.6.1 </w:t>
      </w:r>
      <w:r>
        <w:rPr>
          <w:rFonts w:hint="eastAsia" w:ascii="宋体" w:hAnsi="宋体" w:cs="宋体"/>
          <w:strike/>
          <w:sz w:val="24"/>
          <w:szCs w:val="24"/>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25713E2">
      <w:pPr>
        <w:spacing w:line="360" w:lineRule="auto"/>
        <w:ind w:firstLine="480" w:firstLineChars="200"/>
        <w:rPr>
          <w:rFonts w:ascii="宋体" w:hAnsi="宋体" w:cs="宋体"/>
          <w:strike/>
          <w:sz w:val="24"/>
          <w:szCs w:val="24"/>
        </w:rPr>
      </w:pPr>
      <w:r>
        <w:rPr>
          <w:rFonts w:ascii="宋体" w:hAnsi="宋体" w:cs="宋体"/>
          <w:strike/>
          <w:sz w:val="24"/>
          <w:szCs w:val="24"/>
        </w:rPr>
        <w:t xml:space="preserve">7.6.2 </w:t>
      </w:r>
      <w:r>
        <w:rPr>
          <w:rFonts w:hint="eastAsia" w:ascii="宋体" w:hAnsi="宋体" w:cs="宋体"/>
          <w:strike/>
          <w:sz w:val="24"/>
          <w:szCs w:val="24"/>
        </w:rPr>
        <w:t>中标人不能按本章第7.6.1项要求提交履约保证金的，视为放弃中标，其投标保证金不予退还，给招标人造成的损失超过投标保证金数额的，中标人还应当对超过部分予以赔偿。</w:t>
      </w:r>
    </w:p>
    <w:p w14:paraId="72696681">
      <w:pPr>
        <w:pStyle w:val="5"/>
        <w:spacing w:line="360" w:lineRule="auto"/>
        <w:ind w:firstLine="0" w:firstLineChars="0"/>
        <w:rPr>
          <w:rFonts w:ascii="宋体" w:hAnsi="宋体" w:eastAsia="宋体" w:cs="宋体"/>
          <w:szCs w:val="24"/>
        </w:rPr>
      </w:pPr>
      <w:bookmarkStart w:id="767" w:name="_Toc6210"/>
      <w:bookmarkStart w:id="768" w:name="_Toc1608"/>
      <w:bookmarkStart w:id="769" w:name="_Toc22239"/>
      <w:bookmarkStart w:id="770" w:name="_Toc25308"/>
      <w:bookmarkStart w:id="771" w:name="_Toc25434"/>
      <w:bookmarkStart w:id="772" w:name="_Toc23355"/>
      <w:bookmarkStart w:id="773" w:name="_Toc4249"/>
      <w:bookmarkStart w:id="774" w:name="_Toc492300611"/>
      <w:bookmarkStart w:id="775" w:name="_Toc9702"/>
      <w:bookmarkStart w:id="776" w:name="_Toc28497"/>
      <w:bookmarkStart w:id="777" w:name="_Toc21668"/>
      <w:r>
        <w:rPr>
          <w:rFonts w:ascii="宋体" w:hAnsi="宋体" w:eastAsia="宋体" w:cs="宋体"/>
          <w:szCs w:val="24"/>
        </w:rPr>
        <w:t xml:space="preserve">7.7 </w:t>
      </w:r>
      <w:r>
        <w:rPr>
          <w:rFonts w:hint="eastAsia" w:ascii="宋体" w:hAnsi="宋体" w:eastAsia="宋体" w:cs="宋体"/>
          <w:szCs w:val="24"/>
        </w:rPr>
        <w:t>签订合同</w:t>
      </w:r>
      <w:bookmarkEnd w:id="767"/>
      <w:bookmarkEnd w:id="768"/>
      <w:bookmarkEnd w:id="769"/>
      <w:bookmarkEnd w:id="770"/>
      <w:bookmarkEnd w:id="771"/>
      <w:bookmarkEnd w:id="772"/>
      <w:bookmarkEnd w:id="773"/>
      <w:bookmarkEnd w:id="774"/>
      <w:bookmarkEnd w:id="775"/>
      <w:bookmarkEnd w:id="776"/>
      <w:bookmarkEnd w:id="777"/>
    </w:p>
    <w:p w14:paraId="1C3F0800">
      <w:pPr>
        <w:spacing w:line="360" w:lineRule="auto"/>
        <w:ind w:firstLine="480" w:firstLineChars="200"/>
        <w:rPr>
          <w:rFonts w:ascii="宋体" w:hAnsi="宋体" w:cs="宋体"/>
          <w:sz w:val="24"/>
          <w:szCs w:val="24"/>
        </w:rPr>
      </w:pPr>
      <w:r>
        <w:rPr>
          <w:rFonts w:ascii="宋体" w:hAnsi="宋体" w:cs="宋体"/>
          <w:sz w:val="24"/>
          <w:szCs w:val="24"/>
        </w:rPr>
        <w:t xml:space="preserve">7.7.1 </w:t>
      </w:r>
      <w:r>
        <w:rPr>
          <w:rFonts w:hint="eastAsia" w:ascii="宋体" w:hAnsi="宋体" w:cs="宋体"/>
          <w:sz w:val="24"/>
          <w:szCs w:val="24"/>
        </w:rPr>
        <w:t>招标人和中标人应当在中标通知书发出之日起30日内，根据招标文件和中标人的投标文件订立书面合同。中标人无正当理由拒签合同，在签订合同时向招标人提出附加条件，</w:t>
      </w:r>
      <w:r>
        <w:rPr>
          <w:rFonts w:hint="eastAsia" w:ascii="宋体" w:hAnsi="宋体" w:cs="宋体"/>
          <w:strike/>
          <w:sz w:val="24"/>
          <w:szCs w:val="24"/>
        </w:rPr>
        <w:t>或者不按照招标文件要求提交履约保证金的，</w:t>
      </w:r>
      <w:r>
        <w:rPr>
          <w:rFonts w:hint="eastAsia" w:ascii="宋体" w:hAnsi="宋体" w:cs="宋体"/>
          <w:sz w:val="24"/>
          <w:szCs w:val="24"/>
        </w:rPr>
        <w:t>招标人有权取消其中标资格，</w:t>
      </w:r>
      <w:r>
        <w:rPr>
          <w:rFonts w:hint="eastAsia" w:ascii="宋体" w:hAnsi="宋体" w:cs="宋体"/>
          <w:strike/>
          <w:sz w:val="24"/>
          <w:szCs w:val="24"/>
        </w:rPr>
        <w:t>其投标保证金不予退还；</w:t>
      </w:r>
      <w:r>
        <w:rPr>
          <w:rFonts w:hint="eastAsia" w:ascii="宋体" w:hAnsi="宋体" w:cs="宋体"/>
          <w:sz w:val="24"/>
          <w:szCs w:val="24"/>
          <w:u w:val="single"/>
        </w:rPr>
        <w:t>给招标人造成损的，中标人还应当予以赔偿</w:t>
      </w:r>
      <w:r>
        <w:rPr>
          <w:rFonts w:hint="eastAsia" w:ascii="宋体" w:hAnsi="宋体" w:cs="宋体"/>
          <w:sz w:val="24"/>
          <w:szCs w:val="24"/>
        </w:rPr>
        <w:t>。</w:t>
      </w:r>
    </w:p>
    <w:p w14:paraId="6A69EA1E">
      <w:pPr>
        <w:spacing w:line="360" w:lineRule="auto"/>
        <w:ind w:firstLine="480" w:firstLineChars="200"/>
        <w:rPr>
          <w:rFonts w:ascii="宋体" w:hAnsi="宋体" w:cs="宋体"/>
          <w:sz w:val="24"/>
          <w:szCs w:val="24"/>
        </w:rPr>
      </w:pPr>
      <w:r>
        <w:rPr>
          <w:rFonts w:ascii="宋体" w:hAnsi="宋体" w:cs="宋体"/>
          <w:sz w:val="24"/>
          <w:szCs w:val="24"/>
        </w:rPr>
        <w:t xml:space="preserve">7.7.2 </w:t>
      </w:r>
      <w:r>
        <w:rPr>
          <w:rFonts w:hint="eastAsia" w:ascii="宋体" w:hAnsi="宋体" w:cs="宋体"/>
          <w:sz w:val="24"/>
          <w:szCs w:val="24"/>
        </w:rPr>
        <w:t>发出中标通知书后，招标人无正当理由拒签合同，或者在签订合同时向中标人提出附加条件的给中标人造成损失的，还应当赔偿损失。</w:t>
      </w:r>
    </w:p>
    <w:p w14:paraId="1AE32504">
      <w:pPr>
        <w:spacing w:line="360" w:lineRule="auto"/>
        <w:ind w:firstLine="480" w:firstLineChars="200"/>
        <w:rPr>
          <w:rFonts w:ascii="宋体" w:hAnsi="宋体" w:cs="宋体"/>
          <w:strike/>
          <w:sz w:val="24"/>
          <w:szCs w:val="24"/>
        </w:rPr>
      </w:pPr>
      <w:r>
        <w:rPr>
          <w:rFonts w:ascii="宋体" w:hAnsi="宋体" w:cs="宋体"/>
          <w:strike/>
          <w:sz w:val="24"/>
          <w:szCs w:val="24"/>
        </w:rPr>
        <w:t>7.7.3</w:t>
      </w:r>
      <w:r>
        <w:rPr>
          <w:rFonts w:hint="eastAsia" w:ascii="宋体" w:hAnsi="宋体" w:cs="宋体"/>
          <w:strike/>
          <w:sz w:val="24"/>
          <w:szCs w:val="24"/>
        </w:rPr>
        <w:t>联合体中标的，联合体各方应当</w:t>
      </w:r>
      <w:r>
        <w:rPr>
          <w:rFonts w:ascii="宋体" w:hAnsi="宋体" w:cs="宋体"/>
          <w:strike/>
          <w:sz w:val="24"/>
          <w:szCs w:val="24"/>
        </w:rPr>
        <w:t>共同</w:t>
      </w:r>
      <w:r>
        <w:rPr>
          <w:rFonts w:hint="eastAsia" w:ascii="宋体" w:hAnsi="宋体" w:cs="宋体"/>
          <w:strike/>
          <w:sz w:val="24"/>
          <w:szCs w:val="24"/>
        </w:rPr>
        <w:t>与招标人签订合同，就中标项目向招标人承担连带责任。</w:t>
      </w:r>
    </w:p>
    <w:p w14:paraId="30598B22">
      <w:pPr>
        <w:pStyle w:val="4"/>
        <w:spacing w:line="360" w:lineRule="auto"/>
        <w:rPr>
          <w:rFonts w:ascii="宋体" w:hAnsi="宋体" w:eastAsia="宋体" w:cs="宋体"/>
          <w:sz w:val="28"/>
          <w:szCs w:val="28"/>
        </w:rPr>
      </w:pPr>
      <w:bookmarkStart w:id="778" w:name="_Toc384308252"/>
      <w:bookmarkStart w:id="779" w:name="_Toc24067"/>
      <w:bookmarkStart w:id="780" w:name="_Toc361508627"/>
      <w:bookmarkStart w:id="781" w:name="_Toc16626"/>
      <w:bookmarkStart w:id="782" w:name="_Toc5631"/>
      <w:bookmarkStart w:id="783" w:name="_Toc15381"/>
      <w:bookmarkStart w:id="784" w:name="_Toc25547"/>
      <w:bookmarkStart w:id="785" w:name="_Toc642"/>
      <w:bookmarkStart w:id="786" w:name="_Toc15061"/>
      <w:bookmarkStart w:id="787" w:name="_Toc492300612"/>
      <w:bookmarkStart w:id="788" w:name="_Toc3395"/>
      <w:bookmarkStart w:id="789" w:name="_Toc5519"/>
      <w:bookmarkStart w:id="790" w:name="_Toc31097"/>
      <w:bookmarkStart w:id="791" w:name="_Toc12616"/>
      <w:bookmarkStart w:id="792" w:name="_Toc247527593"/>
      <w:bookmarkStart w:id="793" w:name="_Toc152042344"/>
      <w:bookmarkStart w:id="794" w:name="_Toc300834991"/>
      <w:bookmarkStart w:id="795" w:name="_Toc152045568"/>
      <w:bookmarkStart w:id="796" w:name="_Toc247513992"/>
      <w:bookmarkStart w:id="797" w:name="_Toc144974536"/>
      <w:r>
        <w:rPr>
          <w:rFonts w:ascii="宋体" w:hAnsi="宋体" w:eastAsia="宋体" w:cs="宋体"/>
          <w:sz w:val="28"/>
          <w:szCs w:val="28"/>
        </w:rPr>
        <w:t>8.</w:t>
      </w:r>
      <w:bookmarkEnd w:id="778"/>
      <w:bookmarkEnd w:id="779"/>
      <w:bookmarkEnd w:id="780"/>
      <w:r>
        <w:rPr>
          <w:rFonts w:hint="eastAsia" w:ascii="宋体" w:hAnsi="宋体" w:eastAsia="宋体" w:cs="宋体"/>
          <w:sz w:val="28"/>
          <w:szCs w:val="28"/>
        </w:rPr>
        <w:t>纪律和监督</w:t>
      </w:r>
      <w:bookmarkEnd w:id="781"/>
      <w:bookmarkEnd w:id="782"/>
      <w:bookmarkEnd w:id="783"/>
      <w:bookmarkEnd w:id="784"/>
      <w:bookmarkEnd w:id="785"/>
      <w:bookmarkEnd w:id="786"/>
      <w:bookmarkEnd w:id="787"/>
      <w:bookmarkEnd w:id="788"/>
      <w:bookmarkEnd w:id="789"/>
      <w:bookmarkEnd w:id="790"/>
      <w:bookmarkEnd w:id="791"/>
    </w:p>
    <w:p w14:paraId="1BA15428">
      <w:pPr>
        <w:pStyle w:val="5"/>
        <w:spacing w:line="360" w:lineRule="auto"/>
        <w:ind w:firstLine="0" w:firstLineChars="0"/>
        <w:rPr>
          <w:rFonts w:ascii="宋体" w:hAnsi="宋体" w:eastAsia="宋体" w:cs="宋体"/>
          <w:szCs w:val="24"/>
        </w:rPr>
      </w:pPr>
      <w:bookmarkStart w:id="798" w:name="_Toc32544"/>
      <w:bookmarkStart w:id="799" w:name="_Toc9299"/>
      <w:bookmarkStart w:id="800" w:name="_Toc24397"/>
      <w:bookmarkStart w:id="801" w:name="_Toc20993"/>
      <w:bookmarkStart w:id="802" w:name="_Toc492300613"/>
      <w:bookmarkStart w:id="803" w:name="_Toc15883"/>
      <w:bookmarkStart w:id="804" w:name="_Toc18110"/>
      <w:bookmarkStart w:id="805" w:name="_Toc23120"/>
      <w:bookmarkStart w:id="806" w:name="_Toc4178"/>
      <w:bookmarkStart w:id="807" w:name="_Toc21921"/>
      <w:bookmarkStart w:id="808" w:name="_Toc11398"/>
      <w:r>
        <w:rPr>
          <w:rFonts w:ascii="宋体" w:hAnsi="宋体" w:eastAsia="宋体" w:cs="宋体"/>
          <w:szCs w:val="24"/>
        </w:rPr>
        <w:t xml:space="preserve">8.1 </w:t>
      </w:r>
      <w:r>
        <w:rPr>
          <w:rFonts w:hint="eastAsia" w:ascii="宋体" w:hAnsi="宋体" w:eastAsia="宋体" w:cs="宋体"/>
          <w:szCs w:val="24"/>
        </w:rPr>
        <w:t>对招标人的纪律要求</w:t>
      </w:r>
      <w:bookmarkEnd w:id="798"/>
      <w:bookmarkEnd w:id="799"/>
      <w:bookmarkEnd w:id="800"/>
      <w:bookmarkEnd w:id="801"/>
      <w:bookmarkEnd w:id="802"/>
      <w:bookmarkEnd w:id="803"/>
      <w:bookmarkEnd w:id="804"/>
      <w:bookmarkEnd w:id="805"/>
      <w:bookmarkEnd w:id="806"/>
      <w:bookmarkEnd w:id="807"/>
      <w:bookmarkEnd w:id="808"/>
    </w:p>
    <w:p w14:paraId="7BB11010">
      <w:pPr>
        <w:spacing w:line="360" w:lineRule="auto"/>
        <w:ind w:firstLine="480" w:firstLineChars="200"/>
        <w:rPr>
          <w:rFonts w:ascii="宋体" w:hAnsi="宋体" w:cs="宋体"/>
          <w:sz w:val="24"/>
          <w:szCs w:val="24"/>
        </w:rPr>
      </w:pPr>
      <w:r>
        <w:rPr>
          <w:rFonts w:hint="eastAsia" w:ascii="宋体" w:hAnsi="宋体" w:cs="宋体"/>
          <w:sz w:val="24"/>
          <w:szCs w:val="24"/>
        </w:rPr>
        <w:t>招标人不得泄露招标投标活动中应当保密的情况和资料，不得与投标人串通损害国家利益、社会公共利益或者他人合法权益。</w:t>
      </w:r>
    </w:p>
    <w:p w14:paraId="6613EB7B">
      <w:pPr>
        <w:pStyle w:val="5"/>
        <w:spacing w:line="360" w:lineRule="auto"/>
        <w:ind w:firstLine="0" w:firstLineChars="0"/>
        <w:rPr>
          <w:rFonts w:ascii="宋体" w:hAnsi="宋体" w:eastAsia="宋体" w:cs="宋体"/>
          <w:szCs w:val="24"/>
        </w:rPr>
      </w:pPr>
      <w:bookmarkStart w:id="809" w:name="_Toc31983"/>
      <w:bookmarkStart w:id="810" w:name="_Toc23526"/>
      <w:bookmarkStart w:id="811" w:name="_Toc28671"/>
      <w:bookmarkStart w:id="812" w:name="_Toc7748"/>
      <w:bookmarkStart w:id="813" w:name="_Toc28353"/>
      <w:bookmarkStart w:id="814" w:name="_Toc32615"/>
      <w:bookmarkStart w:id="815" w:name="_Toc14517"/>
      <w:bookmarkStart w:id="816" w:name="_Toc492300614"/>
      <w:bookmarkStart w:id="817" w:name="_Toc6541"/>
      <w:bookmarkStart w:id="818" w:name="_Toc31887"/>
      <w:bookmarkStart w:id="819" w:name="_Toc8183"/>
      <w:r>
        <w:rPr>
          <w:rFonts w:ascii="宋体" w:hAnsi="宋体" w:eastAsia="宋体" w:cs="宋体"/>
          <w:szCs w:val="24"/>
        </w:rPr>
        <w:t xml:space="preserve">8.2 </w:t>
      </w:r>
      <w:r>
        <w:rPr>
          <w:rFonts w:hint="eastAsia" w:ascii="宋体" w:hAnsi="宋体" w:eastAsia="宋体" w:cs="宋体"/>
          <w:szCs w:val="24"/>
        </w:rPr>
        <w:t>对投标人的纪律要求</w:t>
      </w:r>
      <w:bookmarkEnd w:id="809"/>
      <w:bookmarkEnd w:id="810"/>
      <w:bookmarkEnd w:id="811"/>
      <w:bookmarkEnd w:id="812"/>
      <w:bookmarkEnd w:id="813"/>
      <w:bookmarkEnd w:id="814"/>
      <w:bookmarkEnd w:id="815"/>
      <w:bookmarkEnd w:id="816"/>
      <w:bookmarkEnd w:id="817"/>
      <w:bookmarkEnd w:id="818"/>
      <w:bookmarkEnd w:id="819"/>
    </w:p>
    <w:p w14:paraId="17970179">
      <w:pPr>
        <w:spacing w:line="360" w:lineRule="auto"/>
        <w:ind w:firstLine="480" w:firstLineChars="200"/>
        <w:rPr>
          <w:rFonts w:ascii="宋体" w:hAnsi="宋体" w:cs="宋体"/>
          <w:sz w:val="24"/>
          <w:szCs w:val="24"/>
        </w:rPr>
      </w:pPr>
      <w:r>
        <w:rPr>
          <w:rFonts w:hint="eastAsia" w:ascii="宋体" w:hAnsi="宋体" w:cs="宋体"/>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9A8185D">
      <w:pPr>
        <w:pStyle w:val="5"/>
        <w:spacing w:line="360" w:lineRule="auto"/>
        <w:ind w:firstLine="0" w:firstLineChars="0"/>
        <w:rPr>
          <w:rFonts w:ascii="宋体" w:hAnsi="宋体" w:eastAsia="宋体" w:cs="宋体"/>
          <w:szCs w:val="24"/>
        </w:rPr>
      </w:pPr>
      <w:bookmarkStart w:id="820" w:name="_Toc20150"/>
      <w:bookmarkStart w:id="821" w:name="_Toc15814"/>
      <w:bookmarkStart w:id="822" w:name="_Toc1865"/>
      <w:bookmarkStart w:id="823" w:name="_Toc28223"/>
      <w:bookmarkStart w:id="824" w:name="_Toc10298"/>
      <w:bookmarkStart w:id="825" w:name="_Toc25078"/>
      <w:bookmarkStart w:id="826" w:name="_Toc492300615"/>
      <w:bookmarkStart w:id="827" w:name="_Toc30851"/>
      <w:bookmarkStart w:id="828" w:name="_Toc6527"/>
      <w:bookmarkStart w:id="829" w:name="_Toc7612"/>
      <w:bookmarkStart w:id="830" w:name="_Toc1318"/>
      <w:r>
        <w:rPr>
          <w:rFonts w:ascii="宋体" w:hAnsi="宋体" w:eastAsia="宋体" w:cs="宋体"/>
          <w:szCs w:val="24"/>
        </w:rPr>
        <w:t xml:space="preserve">8.3 </w:t>
      </w:r>
      <w:r>
        <w:rPr>
          <w:rFonts w:hint="eastAsia" w:ascii="宋体" w:hAnsi="宋体" w:eastAsia="宋体" w:cs="宋体"/>
          <w:szCs w:val="24"/>
        </w:rPr>
        <w:t>对评标委员会成员的纪律要求</w:t>
      </w:r>
      <w:bookmarkEnd w:id="820"/>
      <w:bookmarkEnd w:id="821"/>
      <w:bookmarkEnd w:id="822"/>
      <w:bookmarkEnd w:id="823"/>
      <w:bookmarkEnd w:id="824"/>
      <w:bookmarkEnd w:id="825"/>
      <w:bookmarkEnd w:id="826"/>
      <w:bookmarkEnd w:id="827"/>
      <w:bookmarkEnd w:id="828"/>
      <w:bookmarkEnd w:id="829"/>
      <w:bookmarkEnd w:id="830"/>
    </w:p>
    <w:p w14:paraId="0647A0B9">
      <w:pPr>
        <w:spacing w:line="360" w:lineRule="auto"/>
        <w:ind w:firstLine="480" w:firstLineChars="200"/>
        <w:rPr>
          <w:rFonts w:ascii="宋体" w:hAnsi="宋体" w:cs="宋体"/>
          <w:sz w:val="24"/>
          <w:szCs w:val="24"/>
        </w:rPr>
      </w:pPr>
      <w:r>
        <w:rPr>
          <w:rFonts w:hint="eastAsia" w:ascii="宋体" w:hAnsi="宋体" w:cs="宋体"/>
          <w:sz w:val="24"/>
          <w:szCs w:val="24"/>
        </w:rPr>
        <w:t>评标委员会成员不得收受他人的财物或者其他好处，不得向他人透露对投标文件的评审</w:t>
      </w:r>
      <w:bookmarkStart w:id="831" w:name="_Toc369531559"/>
      <w:bookmarkStart w:id="832" w:name="_Toc361508628"/>
      <w:bookmarkStart w:id="833" w:name="_Toc352691515"/>
      <w:bookmarkStart w:id="834" w:name="_Toc384308253"/>
      <w:bookmarkStart w:id="835" w:name="_Toc13644"/>
      <w:r>
        <w:rPr>
          <w:rFonts w:hint="eastAsia" w:ascii="宋体" w:hAnsi="宋体" w:cs="宋体"/>
          <w:sz w:val="24"/>
          <w:szCs w:val="24"/>
        </w:rPr>
        <w:t>和比较、中标候选人</w:t>
      </w:r>
      <w:bookmarkEnd w:id="792"/>
      <w:bookmarkEnd w:id="793"/>
      <w:bookmarkEnd w:id="794"/>
      <w:bookmarkEnd w:id="795"/>
      <w:bookmarkEnd w:id="796"/>
      <w:bookmarkEnd w:id="797"/>
      <w:bookmarkEnd w:id="831"/>
      <w:bookmarkEnd w:id="832"/>
      <w:bookmarkEnd w:id="833"/>
      <w:bookmarkEnd w:id="834"/>
      <w:bookmarkEnd w:id="835"/>
      <w:r>
        <w:rPr>
          <w:rFonts w:hint="eastAsia" w:ascii="宋体" w:hAnsi="宋体" w:cs="宋体"/>
          <w:sz w:val="24"/>
          <w:szCs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98D6462">
      <w:pPr>
        <w:pStyle w:val="5"/>
        <w:spacing w:line="360" w:lineRule="auto"/>
        <w:ind w:firstLine="0" w:firstLineChars="0"/>
        <w:rPr>
          <w:rFonts w:ascii="宋体" w:hAnsi="宋体" w:eastAsia="宋体" w:cs="宋体"/>
          <w:szCs w:val="24"/>
        </w:rPr>
      </w:pPr>
      <w:bookmarkStart w:id="836" w:name="_Toc28320"/>
      <w:bookmarkStart w:id="837" w:name="_Toc27753"/>
      <w:bookmarkStart w:id="838" w:name="_Toc282"/>
      <w:bookmarkStart w:id="839" w:name="_Toc684"/>
      <w:bookmarkStart w:id="840" w:name="_Toc26504"/>
      <w:bookmarkStart w:id="841" w:name="_Toc5380"/>
      <w:bookmarkStart w:id="842" w:name="_Toc3593"/>
      <w:bookmarkStart w:id="843" w:name="_Toc30798"/>
      <w:bookmarkStart w:id="844" w:name="_Toc492300616"/>
      <w:bookmarkStart w:id="845" w:name="_Toc22625"/>
      <w:bookmarkStart w:id="846" w:name="_Toc9084"/>
      <w:r>
        <w:rPr>
          <w:rFonts w:ascii="宋体" w:hAnsi="宋体" w:eastAsia="宋体" w:cs="宋体"/>
          <w:szCs w:val="24"/>
        </w:rPr>
        <w:t xml:space="preserve">8.4 </w:t>
      </w:r>
      <w:r>
        <w:rPr>
          <w:rFonts w:hint="eastAsia" w:ascii="宋体" w:hAnsi="宋体" w:eastAsia="宋体" w:cs="宋体"/>
          <w:szCs w:val="24"/>
        </w:rPr>
        <w:t>对与评标活动有关的工作人员的纪律要求</w:t>
      </w:r>
      <w:bookmarkEnd w:id="836"/>
      <w:bookmarkEnd w:id="837"/>
      <w:bookmarkEnd w:id="838"/>
      <w:bookmarkEnd w:id="839"/>
      <w:bookmarkEnd w:id="840"/>
      <w:bookmarkEnd w:id="841"/>
      <w:bookmarkEnd w:id="842"/>
      <w:bookmarkEnd w:id="843"/>
      <w:bookmarkEnd w:id="844"/>
      <w:bookmarkEnd w:id="845"/>
      <w:bookmarkEnd w:id="846"/>
    </w:p>
    <w:p w14:paraId="22971BE3">
      <w:pPr>
        <w:spacing w:line="360" w:lineRule="auto"/>
        <w:ind w:firstLine="480" w:firstLineChars="200"/>
        <w:rPr>
          <w:rFonts w:ascii="宋体" w:hAnsi="宋体" w:cs="宋体"/>
          <w:sz w:val="24"/>
          <w:szCs w:val="24"/>
        </w:rPr>
      </w:pPr>
      <w:r>
        <w:rPr>
          <w:rFonts w:hint="eastAsia" w:ascii="宋体" w:hAnsi="宋体" w:cs="宋体"/>
          <w:sz w:val="24"/>
          <w:szCs w:val="24"/>
        </w:rPr>
        <w:t>与评标活动有关的工作人员不得收受他人的财物或者其他好处，不得向他人透露对投标文件</w:t>
      </w:r>
      <w:bookmarkStart w:id="847" w:name="_Toc247513993"/>
      <w:bookmarkStart w:id="848" w:name="_Toc300834992"/>
      <w:bookmarkStart w:id="849" w:name="_Toc247527594"/>
      <w:bookmarkStart w:id="850" w:name="_Toc19429"/>
      <w:bookmarkStart w:id="851" w:name="_Toc152042345"/>
      <w:bookmarkStart w:id="852" w:name="_Toc361508629"/>
      <w:bookmarkStart w:id="853" w:name="_Toc352691516"/>
      <w:bookmarkStart w:id="854" w:name="_Toc384308254"/>
      <w:bookmarkStart w:id="855" w:name="_Toc144974537"/>
      <w:bookmarkStart w:id="856" w:name="_Toc369531560"/>
      <w:bookmarkStart w:id="857" w:name="_Toc152045569"/>
      <w:r>
        <w:rPr>
          <w:rFonts w:hint="eastAsia" w:ascii="宋体" w:hAnsi="宋体" w:cs="宋体"/>
          <w:sz w:val="24"/>
          <w:szCs w:val="24"/>
        </w:rPr>
        <w:t>的评审和比较、中标</w:t>
      </w:r>
      <w:bookmarkEnd w:id="847"/>
      <w:bookmarkEnd w:id="848"/>
      <w:bookmarkEnd w:id="849"/>
      <w:bookmarkEnd w:id="850"/>
      <w:bookmarkEnd w:id="851"/>
      <w:bookmarkEnd w:id="852"/>
      <w:bookmarkEnd w:id="853"/>
      <w:bookmarkEnd w:id="854"/>
      <w:bookmarkEnd w:id="855"/>
      <w:bookmarkEnd w:id="856"/>
      <w:bookmarkEnd w:id="857"/>
      <w:r>
        <w:rPr>
          <w:rFonts w:hint="eastAsia" w:ascii="宋体" w:hAnsi="宋体" w:cs="宋体"/>
          <w:sz w:val="24"/>
          <w:szCs w:val="24"/>
        </w:rPr>
        <w:t>候选人的推荐情况以及评标有关的其他情况。在评标活动中，与评标活动有关的工作人员不得擅离职守，影响评标程序正常进行。</w:t>
      </w:r>
    </w:p>
    <w:p w14:paraId="4FB098C7">
      <w:pPr>
        <w:pStyle w:val="5"/>
        <w:spacing w:line="360" w:lineRule="auto"/>
        <w:ind w:firstLine="0" w:firstLineChars="0"/>
        <w:rPr>
          <w:rFonts w:ascii="宋体" w:hAnsi="宋体" w:eastAsia="宋体" w:cs="宋体"/>
          <w:szCs w:val="24"/>
        </w:rPr>
      </w:pPr>
      <w:bookmarkStart w:id="858" w:name="_Toc19832"/>
      <w:bookmarkStart w:id="859" w:name="_Toc27306"/>
      <w:bookmarkStart w:id="860" w:name="_Toc28054"/>
      <w:bookmarkStart w:id="861" w:name="_Toc14715"/>
      <w:bookmarkStart w:id="862" w:name="_Toc22474"/>
      <w:bookmarkStart w:id="863" w:name="_Toc2062"/>
      <w:bookmarkStart w:id="864" w:name="_Toc24577"/>
      <w:bookmarkStart w:id="865" w:name="_Toc2142"/>
      <w:bookmarkStart w:id="866" w:name="_Toc1751"/>
      <w:bookmarkStart w:id="867" w:name="_Toc15494"/>
      <w:bookmarkStart w:id="868" w:name="_Toc492300617"/>
      <w:r>
        <w:rPr>
          <w:rFonts w:ascii="宋体" w:hAnsi="宋体" w:eastAsia="宋体" w:cs="宋体"/>
          <w:szCs w:val="24"/>
        </w:rPr>
        <w:t xml:space="preserve">8.5 </w:t>
      </w:r>
      <w:r>
        <w:rPr>
          <w:rFonts w:hint="eastAsia" w:ascii="宋体" w:hAnsi="宋体" w:eastAsia="宋体" w:cs="宋体"/>
          <w:szCs w:val="24"/>
        </w:rPr>
        <w:t>投诉</w:t>
      </w:r>
      <w:bookmarkEnd w:id="858"/>
      <w:bookmarkEnd w:id="859"/>
      <w:bookmarkEnd w:id="860"/>
      <w:bookmarkEnd w:id="861"/>
      <w:bookmarkEnd w:id="862"/>
      <w:bookmarkEnd w:id="863"/>
      <w:bookmarkEnd w:id="864"/>
      <w:bookmarkEnd w:id="865"/>
      <w:bookmarkEnd w:id="866"/>
      <w:bookmarkEnd w:id="867"/>
      <w:bookmarkEnd w:id="868"/>
    </w:p>
    <w:p w14:paraId="78F0A5E9">
      <w:pPr>
        <w:spacing w:line="360" w:lineRule="auto"/>
        <w:ind w:firstLine="480" w:firstLineChars="200"/>
        <w:rPr>
          <w:rFonts w:ascii="宋体" w:hAnsi="宋体" w:cs="宋体"/>
          <w:sz w:val="24"/>
          <w:szCs w:val="24"/>
        </w:rPr>
      </w:pPr>
      <w:r>
        <w:rPr>
          <w:rFonts w:ascii="宋体" w:hAnsi="宋体" w:cs="宋体"/>
          <w:sz w:val="24"/>
          <w:szCs w:val="24"/>
        </w:rPr>
        <w:t xml:space="preserve">8.5.1 </w:t>
      </w:r>
      <w:r>
        <w:rPr>
          <w:rFonts w:hint="eastAsia" w:ascii="宋体" w:hAnsi="宋体" w:cs="宋体"/>
          <w:sz w:val="24"/>
          <w:szCs w:val="24"/>
        </w:rPr>
        <w:t>投标人或者其他利害关系人认为招标投标活动不符合法律、行政法规规定的，可以自知道或者应当知道之日起10日内向有关行政监督部门投诉。投诉应当有明确的请求和必要的证明材料。</w:t>
      </w:r>
    </w:p>
    <w:p w14:paraId="71C41E74">
      <w:pPr>
        <w:spacing w:line="360" w:lineRule="auto"/>
        <w:ind w:firstLine="480" w:firstLineChars="200"/>
        <w:rPr>
          <w:rFonts w:ascii="宋体" w:hAnsi="宋体" w:cs="宋体"/>
          <w:sz w:val="24"/>
          <w:szCs w:val="24"/>
        </w:rPr>
      </w:pPr>
      <w:r>
        <w:rPr>
          <w:rFonts w:ascii="宋体" w:hAnsi="宋体" w:cs="宋体"/>
          <w:sz w:val="24"/>
          <w:szCs w:val="24"/>
        </w:rPr>
        <w:t xml:space="preserve">8.5.2 </w:t>
      </w:r>
      <w:r>
        <w:rPr>
          <w:rFonts w:hint="eastAsia" w:ascii="宋体" w:hAnsi="宋体" w:cs="宋体"/>
          <w:sz w:val="24"/>
          <w:szCs w:val="24"/>
        </w:rPr>
        <w:t>投标人或者其他利害关系人对招标文件、开标和评标结果提出投诉的，应当按照投标人须知第2.4款、第5.3款和第7.2款的规定先向招标人提出异议。异议答复期间</w:t>
      </w:r>
      <w:bookmarkStart w:id="869" w:name="_Toc247527595"/>
      <w:bookmarkStart w:id="870" w:name="_Toc300834993"/>
      <w:bookmarkStart w:id="871" w:name="_Toc369531561"/>
      <w:bookmarkStart w:id="872" w:name="_Toc152042346"/>
      <w:bookmarkStart w:id="873" w:name="_Toc352691517"/>
      <w:bookmarkStart w:id="874" w:name="_Toc152045570"/>
      <w:bookmarkStart w:id="875" w:name="_Toc12776"/>
      <w:bookmarkStart w:id="876" w:name="_Toc361508630"/>
      <w:bookmarkStart w:id="877" w:name="_Toc144974538"/>
      <w:bookmarkStart w:id="878" w:name="_Toc247513994"/>
      <w:bookmarkStart w:id="879" w:name="_Toc384308255"/>
      <w:r>
        <w:rPr>
          <w:rFonts w:hint="eastAsia" w:ascii="宋体" w:hAnsi="宋体" w:cs="宋体"/>
          <w:sz w:val="24"/>
          <w:szCs w:val="24"/>
        </w:rPr>
        <w:t>不计算在第8.5.</w:t>
      </w:r>
      <w:bookmarkEnd w:id="869"/>
      <w:bookmarkEnd w:id="870"/>
      <w:bookmarkEnd w:id="871"/>
      <w:bookmarkEnd w:id="872"/>
      <w:bookmarkEnd w:id="873"/>
      <w:bookmarkEnd w:id="874"/>
      <w:bookmarkEnd w:id="875"/>
      <w:bookmarkEnd w:id="876"/>
      <w:bookmarkEnd w:id="877"/>
      <w:bookmarkEnd w:id="878"/>
      <w:bookmarkEnd w:id="879"/>
      <w:r>
        <w:rPr>
          <w:rFonts w:hint="eastAsia" w:ascii="宋体" w:hAnsi="宋体" w:cs="宋体"/>
          <w:sz w:val="24"/>
          <w:szCs w:val="24"/>
        </w:rPr>
        <w:t>1项规定的期限内。</w:t>
      </w:r>
    </w:p>
    <w:p w14:paraId="44624973">
      <w:pPr>
        <w:pStyle w:val="4"/>
        <w:spacing w:line="360" w:lineRule="auto"/>
        <w:rPr>
          <w:rFonts w:ascii="宋体" w:hAnsi="宋体" w:eastAsia="宋体" w:cs="宋体"/>
          <w:sz w:val="28"/>
          <w:szCs w:val="28"/>
        </w:rPr>
      </w:pPr>
      <w:bookmarkStart w:id="880" w:name="_Toc21761"/>
      <w:bookmarkStart w:id="881" w:name="_Toc23565"/>
      <w:bookmarkStart w:id="882" w:name="_Toc9137"/>
      <w:bookmarkStart w:id="883" w:name="_Toc25914"/>
      <w:bookmarkStart w:id="884" w:name="_Toc17880"/>
      <w:bookmarkStart w:id="885" w:name="_Toc8988"/>
      <w:bookmarkStart w:id="886" w:name="_Toc6758"/>
      <w:bookmarkStart w:id="887" w:name="_Toc477134992"/>
      <w:bookmarkStart w:id="888" w:name="_Toc12204"/>
      <w:bookmarkStart w:id="889" w:name="_Toc21121"/>
      <w:bookmarkStart w:id="890" w:name="_Toc742"/>
      <w:bookmarkStart w:id="891" w:name="_Toc492300618"/>
      <w:r>
        <w:rPr>
          <w:rFonts w:ascii="宋体" w:hAnsi="宋体" w:eastAsia="宋体" w:cs="宋体"/>
          <w:sz w:val="28"/>
          <w:szCs w:val="28"/>
        </w:rPr>
        <w:t xml:space="preserve">9. </w:t>
      </w:r>
      <w:r>
        <w:rPr>
          <w:rFonts w:hint="eastAsia" w:ascii="宋体" w:hAnsi="宋体" w:eastAsia="宋体" w:cs="宋体"/>
          <w:sz w:val="28"/>
          <w:szCs w:val="28"/>
        </w:rPr>
        <w:t>是否采用电子招标投标</w:t>
      </w:r>
      <w:bookmarkEnd w:id="880"/>
      <w:bookmarkEnd w:id="881"/>
      <w:bookmarkEnd w:id="882"/>
      <w:bookmarkEnd w:id="883"/>
      <w:bookmarkEnd w:id="884"/>
      <w:bookmarkEnd w:id="885"/>
      <w:bookmarkEnd w:id="886"/>
      <w:bookmarkEnd w:id="887"/>
      <w:bookmarkEnd w:id="888"/>
      <w:bookmarkEnd w:id="889"/>
      <w:bookmarkEnd w:id="890"/>
      <w:bookmarkEnd w:id="891"/>
    </w:p>
    <w:p w14:paraId="5517169D">
      <w:pPr>
        <w:spacing w:line="360" w:lineRule="auto"/>
        <w:ind w:firstLine="480" w:firstLineChars="200"/>
        <w:rPr>
          <w:rFonts w:ascii="宋体" w:hAnsi="宋体" w:cs="宋体"/>
          <w:sz w:val="24"/>
          <w:szCs w:val="24"/>
        </w:rPr>
      </w:pPr>
      <w:r>
        <w:rPr>
          <w:rFonts w:hint="eastAsia" w:ascii="宋体" w:hAnsi="宋体" w:cs="宋体"/>
          <w:sz w:val="24"/>
          <w:szCs w:val="24"/>
        </w:rPr>
        <w:t>本招标项目是否采用电子招标投标方式，见投标人须知前附表。</w:t>
      </w:r>
    </w:p>
    <w:p w14:paraId="6283D9E3">
      <w:pPr>
        <w:pStyle w:val="4"/>
        <w:spacing w:line="360" w:lineRule="auto"/>
        <w:rPr>
          <w:rFonts w:ascii="宋体" w:hAnsi="宋体" w:eastAsia="宋体" w:cs="宋体"/>
          <w:sz w:val="28"/>
          <w:szCs w:val="28"/>
        </w:rPr>
      </w:pPr>
      <w:bookmarkStart w:id="892" w:name="_Toc9413"/>
      <w:bookmarkStart w:id="893" w:name="_Toc21051"/>
      <w:bookmarkStart w:id="894" w:name="_Toc30975"/>
      <w:bookmarkStart w:id="895" w:name="_Toc21221"/>
      <w:bookmarkStart w:id="896" w:name="_Toc17964"/>
      <w:bookmarkStart w:id="897" w:name="_Toc14161"/>
      <w:bookmarkStart w:id="898" w:name="_Toc12439"/>
      <w:bookmarkStart w:id="899" w:name="_Toc492300619"/>
      <w:bookmarkStart w:id="900" w:name="_Toc1446"/>
      <w:bookmarkStart w:id="901" w:name="_Toc32593"/>
      <w:bookmarkStart w:id="902" w:name="_Toc21107"/>
      <w:r>
        <w:rPr>
          <w:rFonts w:ascii="宋体" w:hAnsi="宋体" w:eastAsia="宋体" w:cs="宋体"/>
          <w:sz w:val="28"/>
          <w:szCs w:val="28"/>
        </w:rPr>
        <w:t xml:space="preserve">10. </w:t>
      </w:r>
      <w:r>
        <w:rPr>
          <w:rFonts w:hint="eastAsia" w:ascii="宋体" w:hAnsi="宋体" w:eastAsia="宋体" w:cs="宋体"/>
          <w:sz w:val="28"/>
          <w:szCs w:val="28"/>
        </w:rPr>
        <w:t>需要补充的其他内容</w:t>
      </w:r>
      <w:bookmarkEnd w:id="892"/>
      <w:bookmarkEnd w:id="893"/>
      <w:bookmarkEnd w:id="894"/>
      <w:bookmarkEnd w:id="895"/>
      <w:bookmarkEnd w:id="896"/>
      <w:bookmarkEnd w:id="897"/>
      <w:bookmarkEnd w:id="898"/>
      <w:bookmarkEnd w:id="899"/>
      <w:bookmarkEnd w:id="900"/>
      <w:bookmarkEnd w:id="901"/>
      <w:bookmarkEnd w:id="902"/>
    </w:p>
    <w:p w14:paraId="164B1EC0">
      <w:pPr>
        <w:spacing w:line="360" w:lineRule="auto"/>
        <w:ind w:firstLine="480" w:firstLineChars="200"/>
        <w:rPr>
          <w:rFonts w:ascii="宋体" w:hAnsi="宋体" w:cs="宋体"/>
          <w:sz w:val="24"/>
          <w:szCs w:val="24"/>
        </w:rPr>
      </w:pPr>
      <w:r>
        <w:rPr>
          <w:rFonts w:hint="eastAsia" w:ascii="宋体" w:hAnsi="宋体" w:cs="宋体"/>
          <w:sz w:val="24"/>
          <w:szCs w:val="24"/>
        </w:rPr>
        <w:t>需要补充的其他内容：见投标人须知前附表。</w:t>
      </w:r>
    </w:p>
    <w:p w14:paraId="59D6300E"/>
    <w:bookmarkEnd w:id="70"/>
    <w:bookmarkEnd w:id="71"/>
    <w:bookmarkEnd w:id="72"/>
    <w:bookmarkEnd w:id="73"/>
    <w:p w14:paraId="24D311DC"/>
    <w:p w14:paraId="65EB4B0D">
      <w:pPr>
        <w:pStyle w:val="5"/>
        <w:keepNext w:val="0"/>
        <w:keepLines w:val="0"/>
        <w:ind w:firstLine="137"/>
        <w:rPr>
          <w:rFonts w:ascii="Times New Roman" w:hAnsi="Times New Roman"/>
        </w:rPr>
      </w:pPr>
      <w:bookmarkStart w:id="903" w:name="_Toc527028503"/>
      <w:r>
        <w:rPr>
          <w:rFonts w:ascii="Times New Roman" w:hAnsi="Times New Roman"/>
        </w:rPr>
        <w:br w:type="page"/>
      </w:r>
      <w:bookmarkStart w:id="904" w:name="_Toc13243"/>
      <w:bookmarkStart w:id="905" w:name="_Toc31167"/>
      <w:bookmarkStart w:id="906" w:name="_Toc23876"/>
      <w:bookmarkStart w:id="907" w:name="_Toc20332"/>
      <w:bookmarkStart w:id="908" w:name="_Toc15566"/>
      <w:r>
        <w:rPr>
          <w:rFonts w:ascii="Times New Roman" w:hAnsi="Times New Roman"/>
        </w:rPr>
        <w:t>附件一：开标记录表</w:t>
      </w:r>
      <w:bookmarkEnd w:id="903"/>
      <w:r>
        <w:rPr>
          <w:rFonts w:hint="eastAsia" w:ascii="Times New Roman" w:hAnsi="Times New Roman"/>
        </w:rPr>
        <w:t>（按广州公共资源交易中心开标记录表格式）</w:t>
      </w:r>
      <w:bookmarkEnd w:id="904"/>
      <w:bookmarkEnd w:id="905"/>
      <w:bookmarkEnd w:id="906"/>
      <w:bookmarkEnd w:id="907"/>
      <w:bookmarkEnd w:id="908"/>
    </w:p>
    <w:p w14:paraId="0A44AE71">
      <w:pPr>
        <w:spacing w:line="440" w:lineRule="exact"/>
        <w:jc w:val="center"/>
        <w:rPr>
          <w:rFonts w:ascii="Times New Roman" w:hAnsi="Times New Roman" w:eastAsia="黑体"/>
          <w:sz w:val="28"/>
        </w:rPr>
      </w:pPr>
      <w:r>
        <w:rPr>
          <w:rFonts w:ascii="Times New Roman" w:hAnsi="Times New Roman" w:eastAsia="黑体"/>
          <w:sz w:val="28"/>
        </w:rPr>
        <w:t>开标记录表</w:t>
      </w:r>
    </w:p>
    <w:p w14:paraId="3239848E">
      <w:pPr>
        <w:spacing w:before="120" w:beforeLines="50" w:after="120" w:afterLines="50" w:line="400" w:lineRule="exact"/>
        <w:ind w:right="420"/>
        <w:jc w:val="right"/>
        <w:rPr>
          <w:rFonts w:ascii="Times New Roman" w:hAnsi="Times New Roman"/>
        </w:rPr>
      </w:pPr>
      <w:r>
        <w:rPr>
          <w:rFonts w:ascii="Times New Roman" w:hAnsi="Times New Roman"/>
        </w:rPr>
        <w:t>开标时间：</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w:t>
      </w:r>
      <w:r>
        <w:rPr>
          <w:rFonts w:ascii="Times New Roman" w:hAnsi="Times New Roman"/>
          <w:u w:val="single"/>
        </w:rPr>
        <w:t xml:space="preserve">         </w:t>
      </w:r>
      <w:r>
        <w:rPr>
          <w:rFonts w:ascii="Times New Roman" w:hAnsi="Times New Roman"/>
        </w:rPr>
        <w:t>分　　　</w:t>
      </w:r>
    </w:p>
    <w:tbl>
      <w:tblPr>
        <w:tblStyle w:val="21"/>
        <w:tblW w:w="9121" w:type="dxa"/>
        <w:jc w:val="center"/>
        <w:tblLayout w:type="fixed"/>
        <w:tblCellMar>
          <w:top w:w="0" w:type="dxa"/>
          <w:left w:w="108" w:type="dxa"/>
          <w:bottom w:w="0" w:type="dxa"/>
          <w:right w:w="108" w:type="dxa"/>
        </w:tblCellMar>
      </w:tblPr>
      <w:tblGrid>
        <w:gridCol w:w="649"/>
        <w:gridCol w:w="2011"/>
        <w:gridCol w:w="1693"/>
        <w:gridCol w:w="1316"/>
        <w:gridCol w:w="1527"/>
        <w:gridCol w:w="758"/>
        <w:gridCol w:w="1167"/>
      </w:tblGrid>
      <w:tr w14:paraId="154E5987">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vAlign w:val="center"/>
          </w:tcPr>
          <w:p w14:paraId="3E40B22E">
            <w:pPr>
              <w:spacing w:line="500" w:lineRule="exact"/>
              <w:jc w:val="center"/>
              <w:rPr>
                <w:rFonts w:ascii="Times New Roman" w:hAnsi="Times New Roman"/>
                <w:sz w:val="18"/>
              </w:rPr>
            </w:pPr>
            <w:r>
              <w:rPr>
                <w:rFonts w:ascii="Times New Roman" w:hAnsi="Times New Roman"/>
                <w:sz w:val="18"/>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5D9E024D">
            <w:pPr>
              <w:spacing w:line="500" w:lineRule="exact"/>
              <w:jc w:val="center"/>
              <w:rPr>
                <w:rFonts w:ascii="Times New Roman" w:hAnsi="Times New Roman"/>
                <w:sz w:val="18"/>
              </w:rPr>
            </w:pPr>
            <w:r>
              <w:rPr>
                <w:rFonts w:ascii="Times New Roman" w:hAnsi="Times New Roman"/>
                <w:sz w:val="18"/>
              </w:rPr>
              <w:t>投标人</w:t>
            </w:r>
          </w:p>
        </w:tc>
        <w:tc>
          <w:tcPr>
            <w:tcW w:w="1693" w:type="dxa"/>
            <w:tcBorders>
              <w:top w:val="single" w:color="auto" w:sz="4" w:space="0"/>
              <w:left w:val="single" w:color="auto" w:sz="4" w:space="0"/>
              <w:bottom w:val="single" w:color="auto" w:sz="4" w:space="0"/>
              <w:right w:val="single" w:color="auto" w:sz="4" w:space="0"/>
            </w:tcBorders>
            <w:vAlign w:val="center"/>
          </w:tcPr>
          <w:p w14:paraId="22A0D60C">
            <w:pPr>
              <w:spacing w:line="500" w:lineRule="exact"/>
              <w:jc w:val="center"/>
              <w:rPr>
                <w:rFonts w:ascii="Times New Roman" w:hAnsi="Times New Roman"/>
                <w:sz w:val="18"/>
              </w:rPr>
            </w:pPr>
            <w:r>
              <w:rPr>
                <w:rFonts w:ascii="Times New Roman" w:hAnsi="Times New Roman"/>
                <w:sz w:val="18"/>
              </w:rPr>
              <w:t>投标报价</w:t>
            </w:r>
          </w:p>
          <w:p w14:paraId="7F3DFB94">
            <w:pPr>
              <w:spacing w:line="500" w:lineRule="exact"/>
              <w:jc w:val="center"/>
              <w:rPr>
                <w:rFonts w:ascii="Times New Roman" w:hAnsi="Times New Roman"/>
                <w:sz w:val="18"/>
              </w:rPr>
            </w:pPr>
            <w:r>
              <w:rPr>
                <w:rFonts w:ascii="Times New Roman" w:hAnsi="Times New Roman"/>
                <w:sz w:val="18"/>
              </w:rPr>
              <w:t>（元）</w:t>
            </w:r>
          </w:p>
        </w:tc>
        <w:tc>
          <w:tcPr>
            <w:tcW w:w="1316" w:type="dxa"/>
            <w:tcBorders>
              <w:top w:val="single" w:color="auto" w:sz="4" w:space="0"/>
              <w:left w:val="single" w:color="auto" w:sz="4" w:space="0"/>
              <w:bottom w:val="single" w:color="auto" w:sz="4" w:space="0"/>
              <w:right w:val="single" w:color="auto" w:sz="4" w:space="0"/>
            </w:tcBorders>
            <w:vAlign w:val="center"/>
          </w:tcPr>
          <w:p w14:paraId="169062F8">
            <w:pPr>
              <w:spacing w:line="500" w:lineRule="exact"/>
              <w:jc w:val="center"/>
              <w:rPr>
                <w:rFonts w:ascii="Times New Roman" w:hAnsi="Times New Roman"/>
                <w:sz w:val="18"/>
              </w:rPr>
            </w:pPr>
            <w:r>
              <w:rPr>
                <w:rFonts w:hint="eastAsia" w:ascii="Times New Roman" w:hAnsi="Times New Roman"/>
                <w:sz w:val="18"/>
              </w:rPr>
              <w:t>项目负责人</w:t>
            </w:r>
          </w:p>
        </w:tc>
        <w:tc>
          <w:tcPr>
            <w:tcW w:w="1527" w:type="dxa"/>
            <w:tcBorders>
              <w:top w:val="single" w:color="auto" w:sz="4" w:space="0"/>
              <w:left w:val="single" w:color="auto" w:sz="4" w:space="0"/>
              <w:bottom w:val="single" w:color="auto" w:sz="4" w:space="0"/>
              <w:right w:val="single" w:color="auto" w:sz="4" w:space="0"/>
            </w:tcBorders>
            <w:vAlign w:val="center"/>
          </w:tcPr>
          <w:p w14:paraId="16EF15B4">
            <w:pPr>
              <w:spacing w:line="500" w:lineRule="exact"/>
              <w:jc w:val="center"/>
              <w:rPr>
                <w:rFonts w:ascii="Times New Roman" w:hAnsi="Times New Roman"/>
                <w:sz w:val="18"/>
              </w:rPr>
            </w:pPr>
            <w:r>
              <w:rPr>
                <w:rFonts w:ascii="Times New Roman" w:hAnsi="Times New Roman"/>
                <w:sz w:val="18"/>
              </w:rPr>
              <w:t>服务期限</w:t>
            </w:r>
          </w:p>
        </w:tc>
        <w:tc>
          <w:tcPr>
            <w:tcW w:w="758" w:type="dxa"/>
            <w:tcBorders>
              <w:top w:val="single" w:color="auto" w:sz="4" w:space="0"/>
              <w:left w:val="single" w:color="auto" w:sz="4" w:space="0"/>
              <w:bottom w:val="single" w:color="auto" w:sz="4" w:space="0"/>
              <w:right w:val="single" w:color="auto" w:sz="4" w:space="0"/>
            </w:tcBorders>
            <w:vAlign w:val="center"/>
          </w:tcPr>
          <w:p w14:paraId="730A99C4">
            <w:pPr>
              <w:spacing w:line="500" w:lineRule="exact"/>
              <w:jc w:val="center"/>
              <w:rPr>
                <w:rFonts w:ascii="Times New Roman" w:hAnsi="Times New Roman"/>
                <w:sz w:val="18"/>
              </w:rPr>
            </w:pPr>
            <w:r>
              <w:rPr>
                <w:rFonts w:ascii="Times New Roman" w:hAnsi="Times New Roman"/>
                <w:sz w:val="18"/>
              </w:rPr>
              <w:t>备注</w:t>
            </w:r>
          </w:p>
        </w:tc>
        <w:tc>
          <w:tcPr>
            <w:tcW w:w="1167" w:type="dxa"/>
            <w:tcBorders>
              <w:top w:val="single" w:color="auto" w:sz="4" w:space="0"/>
              <w:left w:val="single" w:color="auto" w:sz="4" w:space="0"/>
              <w:bottom w:val="single" w:color="auto" w:sz="4" w:space="0"/>
              <w:right w:val="single" w:color="auto" w:sz="4" w:space="0"/>
            </w:tcBorders>
            <w:vAlign w:val="center"/>
          </w:tcPr>
          <w:p w14:paraId="43995076">
            <w:pPr>
              <w:spacing w:line="500" w:lineRule="exact"/>
              <w:jc w:val="center"/>
              <w:rPr>
                <w:rFonts w:ascii="Times New Roman" w:hAnsi="Times New Roman"/>
                <w:sz w:val="18"/>
              </w:rPr>
            </w:pPr>
            <w:r>
              <w:rPr>
                <w:rFonts w:ascii="Times New Roman" w:hAnsi="Times New Roman"/>
                <w:sz w:val="18"/>
              </w:rPr>
              <w:t>投标人代表签名</w:t>
            </w:r>
          </w:p>
        </w:tc>
      </w:tr>
      <w:tr w14:paraId="7D8C144E">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40F9A8CA">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04DB0323">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5F703E4F">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18600DD3">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5F41E562">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2FC55DFD">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0DCA9EA3">
            <w:pPr>
              <w:spacing w:line="500" w:lineRule="exact"/>
              <w:jc w:val="left"/>
              <w:rPr>
                <w:rFonts w:ascii="Times New Roman" w:hAnsi="Times New Roman"/>
              </w:rPr>
            </w:pPr>
          </w:p>
        </w:tc>
      </w:tr>
      <w:tr w14:paraId="00233DDB">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7C42DB80">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699063ED">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68535B32">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487766A9">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0C38C590">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5A60F613">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196B46A1">
            <w:pPr>
              <w:spacing w:line="500" w:lineRule="exact"/>
              <w:jc w:val="left"/>
              <w:rPr>
                <w:rFonts w:ascii="Times New Roman" w:hAnsi="Times New Roman"/>
              </w:rPr>
            </w:pPr>
          </w:p>
        </w:tc>
      </w:tr>
      <w:tr w14:paraId="4FC20B66">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6DEF7E28">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6478BC5D">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6691D215">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56D5820C">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43D13EA7">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4AA2D2D1">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2BD0C449">
            <w:pPr>
              <w:spacing w:line="500" w:lineRule="exact"/>
              <w:jc w:val="left"/>
              <w:rPr>
                <w:rFonts w:ascii="Times New Roman" w:hAnsi="Times New Roman"/>
              </w:rPr>
            </w:pPr>
          </w:p>
        </w:tc>
      </w:tr>
      <w:tr w14:paraId="669BE0E5">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101C6C6C">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3E5ADA08">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39F1A680">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2831AF30">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19A52F93">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1DAD6982">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2BC0AFDF">
            <w:pPr>
              <w:spacing w:line="500" w:lineRule="exact"/>
              <w:jc w:val="left"/>
              <w:rPr>
                <w:rFonts w:ascii="Times New Roman" w:hAnsi="Times New Roman"/>
              </w:rPr>
            </w:pPr>
          </w:p>
        </w:tc>
      </w:tr>
      <w:tr w14:paraId="3BA37E58">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6AB24333">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6DF7B49A">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6254213D">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362224CD">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7BCD32C5">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7D05CC5D">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67437BAF">
            <w:pPr>
              <w:spacing w:line="500" w:lineRule="exact"/>
              <w:jc w:val="left"/>
              <w:rPr>
                <w:rFonts w:ascii="Times New Roman" w:hAnsi="Times New Roman"/>
              </w:rPr>
            </w:pPr>
          </w:p>
        </w:tc>
      </w:tr>
      <w:tr w14:paraId="01974E76">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670AF343">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61B1C0EC">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42F4971A">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69580922">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2DE9CF71">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20D56345">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7F54ACD6">
            <w:pPr>
              <w:spacing w:line="500" w:lineRule="exact"/>
              <w:jc w:val="left"/>
              <w:rPr>
                <w:rFonts w:ascii="Times New Roman" w:hAnsi="Times New Roman"/>
              </w:rPr>
            </w:pPr>
          </w:p>
        </w:tc>
      </w:tr>
      <w:tr w14:paraId="07E011A7">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42DFCE57">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038EF78B">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764E0694">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52B6D1DC">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3722AC52">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27977F5B">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41B6AE0D">
            <w:pPr>
              <w:spacing w:line="500" w:lineRule="exact"/>
              <w:jc w:val="left"/>
              <w:rPr>
                <w:rFonts w:ascii="Times New Roman" w:hAnsi="Times New Roman"/>
              </w:rPr>
            </w:pPr>
          </w:p>
        </w:tc>
      </w:tr>
      <w:tr w14:paraId="02441410">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3E29E086">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111222C8">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68DBC51D">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09CCA6CE">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1D72389C">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688D6E56">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7C26531E">
            <w:pPr>
              <w:spacing w:line="500" w:lineRule="exact"/>
              <w:jc w:val="left"/>
              <w:rPr>
                <w:rFonts w:ascii="Times New Roman" w:hAnsi="Times New Roman"/>
              </w:rPr>
            </w:pPr>
          </w:p>
        </w:tc>
      </w:tr>
      <w:tr w14:paraId="10ED92F0">
        <w:tblPrEx>
          <w:tblCellMar>
            <w:top w:w="0" w:type="dxa"/>
            <w:left w:w="108" w:type="dxa"/>
            <w:bottom w:w="0" w:type="dxa"/>
            <w:right w:w="108" w:type="dxa"/>
          </w:tblCellMar>
        </w:tblPrEx>
        <w:trPr>
          <w:trHeight w:val="502" w:hRule="atLeast"/>
          <w:jc w:val="center"/>
        </w:trPr>
        <w:tc>
          <w:tcPr>
            <w:tcW w:w="649" w:type="dxa"/>
            <w:tcBorders>
              <w:top w:val="single" w:color="auto" w:sz="4" w:space="0"/>
              <w:left w:val="single" w:color="auto" w:sz="4" w:space="0"/>
              <w:bottom w:val="single" w:color="auto" w:sz="4" w:space="0"/>
              <w:right w:val="single" w:color="auto" w:sz="4" w:space="0"/>
            </w:tcBorders>
          </w:tcPr>
          <w:p w14:paraId="4441D435">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161405DE">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4CF914A5">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7C9EEBF2">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0C182E5D">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70EB9A25">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0D027A6F">
            <w:pPr>
              <w:spacing w:line="500" w:lineRule="exact"/>
              <w:jc w:val="left"/>
              <w:rPr>
                <w:rFonts w:ascii="Times New Roman" w:hAnsi="Times New Roman"/>
              </w:rPr>
            </w:pPr>
          </w:p>
        </w:tc>
      </w:tr>
      <w:tr w14:paraId="45389296">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0F995604">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0314FDF0">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07304E6F">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10E27E86">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2FD01484">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32392D2F">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29BCD4A0">
            <w:pPr>
              <w:spacing w:line="500" w:lineRule="exact"/>
              <w:jc w:val="left"/>
              <w:rPr>
                <w:rFonts w:ascii="Times New Roman" w:hAnsi="Times New Roman"/>
              </w:rPr>
            </w:pPr>
          </w:p>
        </w:tc>
      </w:tr>
      <w:tr w14:paraId="68C31D02">
        <w:tblPrEx>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14:paraId="67618DBB">
            <w:pPr>
              <w:spacing w:line="500" w:lineRule="exact"/>
              <w:jc w:val="left"/>
              <w:rPr>
                <w:rFonts w:ascii="Times New Roman" w:hAnsi="Times New Roman"/>
              </w:rPr>
            </w:pPr>
          </w:p>
        </w:tc>
        <w:tc>
          <w:tcPr>
            <w:tcW w:w="2011" w:type="dxa"/>
            <w:tcBorders>
              <w:top w:val="single" w:color="auto" w:sz="4" w:space="0"/>
              <w:left w:val="single" w:color="auto" w:sz="4" w:space="0"/>
              <w:bottom w:val="single" w:color="auto" w:sz="4" w:space="0"/>
              <w:right w:val="single" w:color="auto" w:sz="4" w:space="0"/>
            </w:tcBorders>
          </w:tcPr>
          <w:p w14:paraId="3122BD7C">
            <w:pPr>
              <w:spacing w:line="500" w:lineRule="exact"/>
              <w:jc w:val="left"/>
              <w:rPr>
                <w:rFonts w:ascii="Times New Roman" w:hAnsi="Times New Roman"/>
              </w:rPr>
            </w:pPr>
          </w:p>
        </w:tc>
        <w:tc>
          <w:tcPr>
            <w:tcW w:w="1693" w:type="dxa"/>
            <w:tcBorders>
              <w:top w:val="single" w:color="auto" w:sz="4" w:space="0"/>
              <w:left w:val="single" w:color="auto" w:sz="4" w:space="0"/>
              <w:bottom w:val="single" w:color="auto" w:sz="4" w:space="0"/>
              <w:right w:val="single" w:color="auto" w:sz="4" w:space="0"/>
            </w:tcBorders>
          </w:tcPr>
          <w:p w14:paraId="524FCB7E">
            <w:pPr>
              <w:spacing w:line="500" w:lineRule="exact"/>
              <w:jc w:val="left"/>
              <w:rPr>
                <w:rFonts w:ascii="Times New Roman" w:hAnsi="Times New Roman"/>
              </w:rPr>
            </w:pPr>
          </w:p>
        </w:tc>
        <w:tc>
          <w:tcPr>
            <w:tcW w:w="1316" w:type="dxa"/>
            <w:tcBorders>
              <w:top w:val="single" w:color="auto" w:sz="4" w:space="0"/>
              <w:left w:val="single" w:color="auto" w:sz="4" w:space="0"/>
              <w:bottom w:val="single" w:color="auto" w:sz="4" w:space="0"/>
              <w:right w:val="single" w:color="auto" w:sz="4" w:space="0"/>
            </w:tcBorders>
          </w:tcPr>
          <w:p w14:paraId="6E79B691">
            <w:pPr>
              <w:spacing w:line="500" w:lineRule="exact"/>
              <w:jc w:val="left"/>
              <w:rPr>
                <w:rFonts w:ascii="Times New Roman" w:hAnsi="Times New Roman"/>
              </w:rPr>
            </w:pPr>
          </w:p>
        </w:tc>
        <w:tc>
          <w:tcPr>
            <w:tcW w:w="1527" w:type="dxa"/>
            <w:tcBorders>
              <w:top w:val="single" w:color="auto" w:sz="4" w:space="0"/>
              <w:left w:val="single" w:color="auto" w:sz="4" w:space="0"/>
              <w:bottom w:val="single" w:color="auto" w:sz="4" w:space="0"/>
              <w:right w:val="single" w:color="auto" w:sz="4" w:space="0"/>
            </w:tcBorders>
          </w:tcPr>
          <w:p w14:paraId="4FE2B4FE">
            <w:pPr>
              <w:spacing w:line="500" w:lineRule="exact"/>
              <w:jc w:val="left"/>
              <w:rPr>
                <w:rFonts w:ascii="Times New Roman" w:hAnsi="Times New Roman"/>
              </w:rPr>
            </w:pPr>
          </w:p>
        </w:tc>
        <w:tc>
          <w:tcPr>
            <w:tcW w:w="758" w:type="dxa"/>
            <w:tcBorders>
              <w:top w:val="single" w:color="auto" w:sz="4" w:space="0"/>
              <w:left w:val="single" w:color="auto" w:sz="4" w:space="0"/>
              <w:bottom w:val="single" w:color="auto" w:sz="4" w:space="0"/>
              <w:right w:val="single" w:color="auto" w:sz="4" w:space="0"/>
            </w:tcBorders>
          </w:tcPr>
          <w:p w14:paraId="0AF04E47">
            <w:pPr>
              <w:spacing w:line="500" w:lineRule="exact"/>
              <w:jc w:val="left"/>
              <w:rPr>
                <w:rFonts w:ascii="Times New Roman" w:hAnsi="Times New Roman"/>
              </w:rPr>
            </w:pPr>
          </w:p>
        </w:tc>
        <w:tc>
          <w:tcPr>
            <w:tcW w:w="1167" w:type="dxa"/>
            <w:tcBorders>
              <w:top w:val="single" w:color="auto" w:sz="4" w:space="0"/>
              <w:left w:val="single" w:color="auto" w:sz="4" w:space="0"/>
              <w:bottom w:val="single" w:color="auto" w:sz="4" w:space="0"/>
              <w:right w:val="single" w:color="auto" w:sz="4" w:space="0"/>
            </w:tcBorders>
          </w:tcPr>
          <w:p w14:paraId="5583E0A6">
            <w:pPr>
              <w:spacing w:line="500" w:lineRule="exact"/>
              <w:jc w:val="left"/>
              <w:rPr>
                <w:rFonts w:ascii="Times New Roman" w:hAnsi="Times New Roman"/>
              </w:rPr>
            </w:pPr>
          </w:p>
        </w:tc>
      </w:tr>
      <w:tr w14:paraId="2A3F853A">
        <w:tblPrEx>
          <w:tblCellMar>
            <w:top w:w="0" w:type="dxa"/>
            <w:left w:w="108" w:type="dxa"/>
            <w:bottom w:w="0" w:type="dxa"/>
            <w:right w:w="108" w:type="dxa"/>
          </w:tblCellMar>
        </w:tblPrEx>
        <w:trPr>
          <w:jc w:val="center"/>
        </w:trPr>
        <w:tc>
          <w:tcPr>
            <w:tcW w:w="2660" w:type="dxa"/>
            <w:gridSpan w:val="2"/>
            <w:tcBorders>
              <w:top w:val="single" w:color="auto" w:sz="4" w:space="0"/>
              <w:left w:val="single" w:color="auto" w:sz="4" w:space="0"/>
              <w:bottom w:val="single" w:color="auto" w:sz="4" w:space="0"/>
              <w:right w:val="single" w:color="auto" w:sz="4" w:space="0"/>
            </w:tcBorders>
          </w:tcPr>
          <w:p w14:paraId="3AF90234">
            <w:pPr>
              <w:spacing w:line="500" w:lineRule="exact"/>
              <w:jc w:val="left"/>
              <w:rPr>
                <w:rFonts w:ascii="Times New Roman" w:hAnsi="Times New Roman"/>
              </w:rPr>
            </w:pPr>
            <w:r>
              <w:rPr>
                <w:rFonts w:ascii="Times New Roman" w:hAnsi="Times New Roman"/>
              </w:rPr>
              <w:t>最高投标限价：</w:t>
            </w:r>
          </w:p>
        </w:tc>
        <w:tc>
          <w:tcPr>
            <w:tcW w:w="6461" w:type="dxa"/>
            <w:gridSpan w:val="5"/>
            <w:tcBorders>
              <w:top w:val="single" w:color="auto" w:sz="4" w:space="0"/>
              <w:left w:val="single" w:color="auto" w:sz="4" w:space="0"/>
              <w:bottom w:val="single" w:color="auto" w:sz="4" w:space="0"/>
              <w:right w:val="single" w:color="auto" w:sz="4" w:space="0"/>
            </w:tcBorders>
          </w:tcPr>
          <w:p w14:paraId="285F5850">
            <w:pPr>
              <w:spacing w:line="500" w:lineRule="exact"/>
              <w:jc w:val="left"/>
              <w:rPr>
                <w:rFonts w:ascii="Times New Roman" w:hAnsi="Times New Roman"/>
              </w:rPr>
            </w:pPr>
          </w:p>
        </w:tc>
      </w:tr>
    </w:tbl>
    <w:p w14:paraId="153988E5">
      <w:pPr>
        <w:spacing w:line="620" w:lineRule="exact"/>
        <w:rPr>
          <w:rFonts w:ascii="Times New Roman" w:hAnsi="Times New Roman"/>
        </w:rPr>
      </w:pPr>
      <w:r>
        <w:rPr>
          <w:rFonts w:ascii="Times New Roman" w:hAnsi="Times New Roman"/>
        </w:rPr>
        <w:t>招标人代表：</w:t>
      </w:r>
      <w:r>
        <w:rPr>
          <w:rFonts w:ascii="Times New Roman" w:hAnsi="Times New Roman"/>
          <w:u w:val="single"/>
        </w:rPr>
        <w:t xml:space="preserve">       </w:t>
      </w:r>
      <w:r>
        <w:rPr>
          <w:rFonts w:ascii="Times New Roman" w:hAnsi="Times New Roman"/>
        </w:rPr>
        <w:t xml:space="preserve">        记录人：</w:t>
      </w:r>
      <w:r>
        <w:rPr>
          <w:rFonts w:ascii="Times New Roman" w:hAnsi="Times New Roman"/>
          <w:u w:val="single"/>
        </w:rPr>
        <w:t xml:space="preserve">       </w:t>
      </w:r>
      <w:r>
        <w:rPr>
          <w:rFonts w:ascii="Times New Roman" w:hAnsi="Times New Roman"/>
        </w:rPr>
        <w:t xml:space="preserve">       监标人：</w:t>
      </w:r>
      <w:r>
        <w:rPr>
          <w:rFonts w:ascii="Times New Roman" w:hAnsi="Times New Roman"/>
          <w:u w:val="single"/>
        </w:rPr>
        <w:t xml:space="preserve">       </w:t>
      </w:r>
    </w:p>
    <w:p w14:paraId="22544AC8">
      <w:pPr>
        <w:spacing w:line="620" w:lineRule="exact"/>
        <w:jc w:val="right"/>
        <w:rPr>
          <w:rFonts w:ascii="Times New Roman" w:hAnsi="Times New Roman"/>
          <w:sz w:val="20"/>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699A4CC9">
      <w:pPr>
        <w:spacing w:line="440" w:lineRule="exact"/>
        <w:rPr>
          <w:rFonts w:ascii="Times New Roman" w:hAnsi="Times New Roman"/>
        </w:rPr>
      </w:pPr>
    </w:p>
    <w:p w14:paraId="1757881B">
      <w:pPr>
        <w:spacing w:line="440" w:lineRule="exact"/>
        <w:rPr>
          <w:rFonts w:ascii="Times New Roman" w:hAnsi="Times New Roman"/>
        </w:rPr>
      </w:pPr>
    </w:p>
    <w:p w14:paraId="495E3556">
      <w:pPr>
        <w:spacing w:line="440" w:lineRule="exact"/>
        <w:rPr>
          <w:rFonts w:ascii="Times New Roman" w:hAnsi="Times New Roman"/>
        </w:rPr>
      </w:pPr>
    </w:p>
    <w:p w14:paraId="44FE6128">
      <w:bookmarkStart w:id="909" w:name="_Toc527028504"/>
      <w:bookmarkStart w:id="910" w:name="_Toc24501"/>
      <w:bookmarkStart w:id="911" w:name="_Toc2916"/>
      <w:bookmarkStart w:id="912" w:name="_Toc14382"/>
      <w:bookmarkStart w:id="913" w:name="_Toc29985"/>
      <w:bookmarkStart w:id="914" w:name="_Toc32614"/>
    </w:p>
    <w:p w14:paraId="2910EF52">
      <w:pPr>
        <w:pStyle w:val="2"/>
      </w:pPr>
    </w:p>
    <w:p w14:paraId="21CD2D28">
      <w:pPr>
        <w:pStyle w:val="5"/>
        <w:keepNext w:val="0"/>
        <w:keepLines w:val="0"/>
        <w:ind w:firstLine="137"/>
        <w:rPr>
          <w:rFonts w:ascii="Times New Roman" w:hAnsi="Times New Roman"/>
        </w:rPr>
      </w:pPr>
      <w:r>
        <w:rPr>
          <w:rFonts w:ascii="Times New Roman" w:hAnsi="Times New Roman"/>
        </w:rPr>
        <w:t>附件二：问题澄清通知</w:t>
      </w:r>
      <w:bookmarkEnd w:id="909"/>
      <w:r>
        <w:rPr>
          <w:rFonts w:hint="eastAsia" w:hAnsi="黑体" w:cs="黑体"/>
          <w:szCs w:val="28"/>
        </w:rPr>
        <w:t>（按广州公共资源交易中心问题澄清通知格式）</w:t>
      </w:r>
      <w:bookmarkEnd w:id="910"/>
      <w:bookmarkEnd w:id="911"/>
      <w:bookmarkEnd w:id="912"/>
      <w:bookmarkEnd w:id="913"/>
      <w:bookmarkEnd w:id="914"/>
    </w:p>
    <w:p w14:paraId="29089EAB">
      <w:pPr>
        <w:spacing w:line="440" w:lineRule="exact"/>
        <w:jc w:val="center"/>
        <w:rPr>
          <w:rFonts w:ascii="Times New Roman" w:hAnsi="Times New Roman"/>
        </w:rPr>
      </w:pPr>
    </w:p>
    <w:p w14:paraId="458757DA">
      <w:pPr>
        <w:spacing w:line="440" w:lineRule="exact"/>
        <w:jc w:val="center"/>
        <w:rPr>
          <w:rFonts w:ascii="Times New Roman" w:hAnsi="Times New Roman" w:eastAsia="黑体"/>
          <w:sz w:val="28"/>
        </w:rPr>
      </w:pPr>
      <w:r>
        <w:rPr>
          <w:rFonts w:ascii="Times New Roman" w:hAnsi="Times New Roman" w:eastAsia="黑体"/>
          <w:sz w:val="28"/>
        </w:rPr>
        <w:t>问题澄清通知</w:t>
      </w:r>
    </w:p>
    <w:p w14:paraId="5513C1EB">
      <w:pPr>
        <w:spacing w:line="440" w:lineRule="exact"/>
        <w:jc w:val="center"/>
        <w:rPr>
          <w:rFonts w:ascii="Times New Roman" w:hAnsi="Times New Roman"/>
        </w:rPr>
      </w:pPr>
      <w:r>
        <w:rPr>
          <w:rFonts w:ascii="Times New Roman" w:hAnsi="Times New Roman"/>
        </w:rPr>
        <w:t>（编号：</w:t>
      </w:r>
      <w:r>
        <w:rPr>
          <w:rFonts w:ascii="Times New Roman" w:hAnsi="Times New Roman" w:eastAsia="黑体"/>
          <w:sz w:val="28"/>
          <w:u w:val="single"/>
        </w:rPr>
        <w:t xml:space="preserve">               </w:t>
      </w:r>
      <w:r>
        <w:rPr>
          <w:rFonts w:ascii="Times New Roman" w:hAnsi="Times New Roman"/>
        </w:rPr>
        <w:t>）</w:t>
      </w:r>
    </w:p>
    <w:p w14:paraId="5B123341">
      <w:pPr>
        <w:spacing w:line="440" w:lineRule="exact"/>
        <w:rPr>
          <w:rFonts w:ascii="Times New Roman" w:hAnsi="Times New Roman"/>
        </w:rPr>
      </w:pPr>
    </w:p>
    <w:p w14:paraId="0ED3D740">
      <w:pPr>
        <w:spacing w:line="440" w:lineRule="exact"/>
        <w:rPr>
          <w:rFonts w:ascii="Times New Roman" w:hAnsi="Times New Roman"/>
        </w:rPr>
      </w:pPr>
      <w:r>
        <w:rPr>
          <w:rFonts w:ascii="Times New Roman" w:hAnsi="Times New Roman"/>
          <w:u w:val="single"/>
        </w:rPr>
        <w:t xml:space="preserve">                     </w:t>
      </w:r>
      <w:r>
        <w:rPr>
          <w:rFonts w:ascii="Times New Roman" w:hAnsi="Times New Roman"/>
        </w:rPr>
        <w:t>（投标人名称）：</w:t>
      </w:r>
    </w:p>
    <w:p w14:paraId="65D31F82">
      <w:pPr>
        <w:spacing w:line="440" w:lineRule="exact"/>
        <w:rPr>
          <w:rFonts w:ascii="Times New Roman" w:hAnsi="Times New Roman"/>
        </w:rPr>
      </w:pPr>
    </w:p>
    <w:p w14:paraId="7B081966">
      <w:pPr>
        <w:spacing w:line="440" w:lineRule="exact"/>
        <w:rPr>
          <w:rFonts w:ascii="Times New Roman" w:hAnsi="Times New Roman"/>
        </w:rPr>
      </w:pPr>
      <w:r>
        <w:rPr>
          <w:rFonts w:ascii="Times New Roman" w:hAnsi="Times New Roman"/>
        </w:rPr>
        <w:t>　　评标委员会对你方的投标文件进行了仔细的审查，现需你方对下列问题以书</w:t>
      </w:r>
      <w:bookmarkStart w:id="915" w:name="_Toc247527601"/>
      <w:bookmarkStart w:id="916" w:name="_Toc144974544"/>
      <w:bookmarkStart w:id="917" w:name="_Toc23050"/>
      <w:bookmarkStart w:id="918" w:name="_Toc384308260"/>
      <w:bookmarkStart w:id="919" w:name="_Toc369531565"/>
      <w:bookmarkStart w:id="920" w:name="_Toc352691521"/>
      <w:bookmarkStart w:id="921" w:name="_Toc152045576"/>
      <w:bookmarkStart w:id="922" w:name="_Toc300834996"/>
      <w:bookmarkStart w:id="923" w:name="_Toc247514000"/>
      <w:bookmarkStart w:id="924" w:name="_Toc361508634"/>
      <w:bookmarkStart w:id="925" w:name="_Toc152042352"/>
      <w:r>
        <w:rPr>
          <w:rFonts w:ascii="Times New Roman" w:hAnsi="Times New Roman"/>
        </w:rPr>
        <w:t>面形式予以澄清、说明或补正：</w:t>
      </w:r>
    </w:p>
    <w:p w14:paraId="5E0C682B">
      <w:pPr>
        <w:spacing w:line="440" w:lineRule="exact"/>
        <w:rPr>
          <w:rFonts w:ascii="Times New Roman" w:hAnsi="Times New Roman"/>
        </w:rPr>
      </w:pPr>
      <w:r>
        <w:rPr>
          <w:rFonts w:ascii="Times New Roman" w:hAnsi="Times New Roman"/>
        </w:rPr>
        <w:t>　　</w:t>
      </w:r>
    </w:p>
    <w:bookmarkEnd w:id="915"/>
    <w:bookmarkEnd w:id="916"/>
    <w:bookmarkEnd w:id="917"/>
    <w:bookmarkEnd w:id="918"/>
    <w:bookmarkEnd w:id="919"/>
    <w:bookmarkEnd w:id="920"/>
    <w:bookmarkEnd w:id="921"/>
    <w:bookmarkEnd w:id="922"/>
    <w:bookmarkEnd w:id="923"/>
    <w:bookmarkEnd w:id="924"/>
    <w:bookmarkEnd w:id="925"/>
    <w:p w14:paraId="768A0361">
      <w:pPr>
        <w:spacing w:line="440" w:lineRule="exact"/>
        <w:rPr>
          <w:rFonts w:ascii="Times New Roman" w:hAnsi="Times New Roman"/>
        </w:rPr>
      </w:pPr>
      <w:r>
        <w:rPr>
          <w:rFonts w:ascii="Times New Roman" w:hAnsi="Times New Roman"/>
        </w:rPr>
        <w:t xml:space="preserve">    1.</w:t>
      </w:r>
    </w:p>
    <w:p w14:paraId="7CC64529">
      <w:pPr>
        <w:spacing w:line="440" w:lineRule="exact"/>
        <w:rPr>
          <w:rFonts w:ascii="Times New Roman" w:hAnsi="Times New Roman"/>
        </w:rPr>
      </w:pPr>
      <w:r>
        <w:rPr>
          <w:rFonts w:ascii="Times New Roman" w:hAnsi="Times New Roman"/>
        </w:rPr>
        <w:t xml:space="preserve">    2.</w:t>
      </w:r>
    </w:p>
    <w:p w14:paraId="59419207">
      <w:pPr>
        <w:spacing w:line="440" w:lineRule="exact"/>
        <w:rPr>
          <w:rFonts w:ascii="Times New Roman" w:hAnsi="Times New Roman"/>
        </w:rPr>
      </w:pPr>
      <w:r>
        <w:rPr>
          <w:rFonts w:ascii="Times New Roman" w:hAnsi="Times New Roman"/>
        </w:rPr>
        <w:t xml:space="preserve">     ......   </w:t>
      </w:r>
    </w:p>
    <w:p w14:paraId="2156AE5B">
      <w:pPr>
        <w:spacing w:line="440" w:lineRule="exact"/>
        <w:rPr>
          <w:rFonts w:ascii="Times New Roman" w:hAnsi="Times New Roman"/>
        </w:rPr>
      </w:pPr>
      <w:r>
        <w:rPr>
          <w:rFonts w:ascii="Times New Roman" w:hAnsi="Times New Roman"/>
        </w:rPr>
        <w:t>　　　</w:t>
      </w:r>
    </w:p>
    <w:p w14:paraId="1544D169">
      <w:pPr>
        <w:spacing w:line="440" w:lineRule="exact"/>
        <w:ind w:firstLine="405"/>
        <w:rPr>
          <w:rFonts w:ascii="Times New Roman" w:hAnsi="Times New Roman"/>
        </w:rPr>
      </w:pPr>
      <w:r>
        <w:rPr>
          <w:rFonts w:ascii="Times New Roman" w:hAnsi="Times New Roman"/>
        </w:rPr>
        <w:t>请将上述问题的澄清、说明或补正于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时前递交至</w:t>
      </w:r>
      <w:bookmarkStart w:id="926" w:name="_Toc152045577"/>
      <w:bookmarkStart w:id="927" w:name="_Toc144974545"/>
      <w:bookmarkStart w:id="928" w:name="_Toc361508635"/>
      <w:bookmarkStart w:id="929" w:name="_Toc369531566"/>
      <w:bookmarkStart w:id="930" w:name="_Toc247527602"/>
      <w:bookmarkStart w:id="931" w:name="_Toc152042353"/>
      <w:bookmarkStart w:id="932" w:name="_Toc28385"/>
      <w:bookmarkStart w:id="933" w:name="_Toc300834997"/>
      <w:bookmarkStart w:id="934" w:name="_Toc247514001"/>
      <w:bookmarkStart w:id="935" w:name="_Toc352691522"/>
      <w:bookmarkStart w:id="936" w:name="_Toc384308261"/>
    </w:p>
    <w:p w14:paraId="6228DCBF">
      <w:pPr>
        <w:spacing w:line="440" w:lineRule="exact"/>
        <w:rPr>
          <w:rFonts w:ascii="Times New Roman" w:hAnsi="Times New Roman"/>
        </w:rPr>
      </w:pPr>
      <w:r>
        <w:rPr>
          <w:rFonts w:ascii="Times New Roman" w:hAnsi="Times New Roman"/>
          <w:u w:val="single"/>
        </w:rPr>
        <w:t xml:space="preserve">                            </w:t>
      </w:r>
      <w:r>
        <w:rPr>
          <w:rFonts w:ascii="Times New Roman" w:hAnsi="Times New Roman"/>
        </w:rPr>
        <w:t>（详细地址）或传真至</w:t>
      </w:r>
      <w:bookmarkEnd w:id="926"/>
      <w:bookmarkEnd w:id="927"/>
      <w:bookmarkEnd w:id="928"/>
      <w:bookmarkEnd w:id="929"/>
      <w:bookmarkEnd w:id="930"/>
      <w:bookmarkEnd w:id="931"/>
      <w:bookmarkEnd w:id="932"/>
      <w:bookmarkEnd w:id="933"/>
      <w:bookmarkEnd w:id="934"/>
      <w:bookmarkEnd w:id="935"/>
      <w:bookmarkEnd w:id="936"/>
      <w:r>
        <w:rPr>
          <w:rFonts w:ascii="Times New Roman" w:hAnsi="Times New Roman"/>
          <w:u w:val="single"/>
        </w:rPr>
        <w:t xml:space="preserve">                     </w:t>
      </w:r>
      <w:r>
        <w:rPr>
          <w:rFonts w:ascii="Times New Roman" w:hAnsi="Times New Roman"/>
        </w:rPr>
        <w:t>（传真号码）或通过下载招标文件的电子招标交易平台上传。采用传真方式的，应在</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p>
    <w:p w14:paraId="7379A433">
      <w:pPr>
        <w:spacing w:line="440" w:lineRule="exact"/>
        <w:rPr>
          <w:rFonts w:ascii="Times New Roman" w:hAnsi="Times New Roman"/>
        </w:rPr>
      </w:pPr>
      <w:r>
        <w:rPr>
          <w:rFonts w:ascii="Times New Roman" w:hAnsi="Times New Roman"/>
          <w:u w:val="single"/>
        </w:rPr>
        <w:t xml:space="preserve">       </w:t>
      </w:r>
      <w:r>
        <w:rPr>
          <w:rFonts w:ascii="Times New Roman" w:hAnsi="Times New Roman"/>
        </w:rPr>
        <w:t>日</w:t>
      </w:r>
      <w:r>
        <w:rPr>
          <w:rFonts w:ascii="Times New Roman" w:hAnsi="Times New Roman"/>
          <w:u w:val="single"/>
        </w:rPr>
        <w:t xml:space="preserve">       </w:t>
      </w:r>
      <w:r>
        <w:rPr>
          <w:rFonts w:ascii="Times New Roman" w:hAnsi="Times New Roman"/>
        </w:rPr>
        <w:t>时前将原件递交至</w:t>
      </w:r>
      <w:r>
        <w:rPr>
          <w:rFonts w:ascii="Times New Roman" w:hAnsi="Times New Roman"/>
          <w:u w:val="single"/>
        </w:rPr>
        <w:t xml:space="preserve">                     </w:t>
      </w:r>
      <w:r>
        <w:rPr>
          <w:rFonts w:ascii="Times New Roman" w:hAnsi="Times New Roman"/>
        </w:rPr>
        <w:t>（详细地址）。</w:t>
      </w:r>
    </w:p>
    <w:p w14:paraId="1A548FE8">
      <w:pPr>
        <w:spacing w:line="440" w:lineRule="exact"/>
        <w:rPr>
          <w:rFonts w:ascii="Times New Roman" w:hAnsi="Times New Roman"/>
        </w:rPr>
      </w:pPr>
    </w:p>
    <w:p w14:paraId="4522D13F">
      <w:pPr>
        <w:spacing w:line="440" w:lineRule="exact"/>
        <w:rPr>
          <w:rFonts w:ascii="Times New Roman" w:hAnsi="Times New Roman"/>
        </w:rPr>
      </w:pPr>
    </w:p>
    <w:p w14:paraId="06AE2D7E">
      <w:pPr>
        <w:spacing w:line="440" w:lineRule="exact"/>
        <w:ind w:firstLine="2100" w:firstLineChars="1000"/>
        <w:rPr>
          <w:rFonts w:ascii="Times New Roman" w:hAnsi="Times New Roman"/>
        </w:rPr>
      </w:pPr>
      <w:r>
        <w:rPr>
          <w:rFonts w:ascii="Times New Roman" w:hAnsi="Times New Roman"/>
        </w:rPr>
        <w:t>评标委员会授权的招标人或招标代理机构：</w:t>
      </w:r>
      <w:r>
        <w:rPr>
          <w:rFonts w:ascii="Times New Roman" w:hAnsi="Times New Roman" w:eastAsia="黑体"/>
          <w:sz w:val="28"/>
          <w:u w:val="single"/>
        </w:rPr>
        <w:t xml:space="preserve">      </w:t>
      </w:r>
      <w:r>
        <w:rPr>
          <w:rFonts w:ascii="Times New Roman" w:hAnsi="Times New Roman"/>
        </w:rPr>
        <w:t>（签字或盖章）</w:t>
      </w:r>
      <w:bookmarkStart w:id="937" w:name="_Toc152045578"/>
      <w:bookmarkStart w:id="938" w:name="_Toc6580"/>
      <w:bookmarkStart w:id="939" w:name="_Toc384308262"/>
      <w:bookmarkStart w:id="940" w:name="_Toc369531567"/>
      <w:bookmarkStart w:id="941" w:name="_Toc300834998"/>
      <w:bookmarkStart w:id="942" w:name="_Toc352691523"/>
      <w:bookmarkStart w:id="943" w:name="_Toc152042354"/>
      <w:bookmarkStart w:id="944" w:name="_Toc247527603"/>
      <w:bookmarkStart w:id="945" w:name="_Toc361508636"/>
      <w:bookmarkStart w:id="946" w:name="_Toc247514002"/>
      <w:bookmarkStart w:id="947" w:name="_Toc144974546"/>
    </w:p>
    <w:bookmarkEnd w:id="937"/>
    <w:bookmarkEnd w:id="938"/>
    <w:bookmarkEnd w:id="939"/>
    <w:bookmarkEnd w:id="940"/>
    <w:bookmarkEnd w:id="941"/>
    <w:bookmarkEnd w:id="942"/>
    <w:bookmarkEnd w:id="943"/>
    <w:bookmarkEnd w:id="944"/>
    <w:bookmarkEnd w:id="945"/>
    <w:bookmarkEnd w:id="946"/>
    <w:p w14:paraId="510ADC51">
      <w:pPr>
        <w:spacing w:line="440" w:lineRule="exact"/>
        <w:rPr>
          <w:rFonts w:ascii="Times New Roman" w:hAnsi="Times New Roman"/>
        </w:rPr>
      </w:pPr>
      <w:bookmarkStart w:id="948" w:name="_Toc152042355"/>
    </w:p>
    <w:p w14:paraId="426899DB">
      <w:pPr>
        <w:spacing w:line="440" w:lineRule="exact"/>
        <w:ind w:right="840"/>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1726DE28"/>
    <w:p w14:paraId="41EEB072"/>
    <w:p w14:paraId="35F20CD7">
      <w:pPr>
        <w:pStyle w:val="2"/>
      </w:pPr>
    </w:p>
    <w:p w14:paraId="4B9B5F16">
      <w:pPr>
        <w:pStyle w:val="2"/>
      </w:pPr>
    </w:p>
    <w:p w14:paraId="1D4BFBA0">
      <w:pPr>
        <w:pStyle w:val="2"/>
      </w:pPr>
    </w:p>
    <w:p w14:paraId="26D68EE1">
      <w:pPr>
        <w:pStyle w:val="2"/>
      </w:pPr>
    </w:p>
    <w:p w14:paraId="388A6907"/>
    <w:p w14:paraId="5103C1BA">
      <w:pPr>
        <w:pStyle w:val="5"/>
        <w:keepNext w:val="0"/>
        <w:keepLines w:val="0"/>
        <w:ind w:firstLine="0" w:firstLineChars="0"/>
        <w:rPr>
          <w:rFonts w:ascii="Times New Roman" w:hAnsi="Times New Roman"/>
        </w:rPr>
      </w:pPr>
      <w:bookmarkStart w:id="949" w:name="_Toc527028505"/>
      <w:bookmarkStart w:id="950" w:name="_Toc2491"/>
      <w:bookmarkStart w:id="951" w:name="_Toc28028"/>
      <w:bookmarkStart w:id="952" w:name="_Toc31467"/>
      <w:bookmarkStart w:id="953" w:name="_Toc31484"/>
      <w:bookmarkStart w:id="954" w:name="_Toc25219"/>
      <w:r>
        <w:rPr>
          <w:rFonts w:ascii="Times New Roman" w:hAnsi="Times New Roman"/>
        </w:rPr>
        <w:t>附件三：问题的澄清</w:t>
      </w:r>
      <w:bookmarkEnd w:id="949"/>
      <w:r>
        <w:rPr>
          <w:rFonts w:hint="eastAsia" w:hAnsi="黑体" w:cs="黑体"/>
          <w:szCs w:val="28"/>
        </w:rPr>
        <w:t>（按广州公共资源交易中心问题澄清格式）</w:t>
      </w:r>
      <w:bookmarkEnd w:id="950"/>
      <w:bookmarkEnd w:id="951"/>
      <w:bookmarkEnd w:id="952"/>
      <w:bookmarkEnd w:id="953"/>
      <w:bookmarkEnd w:id="954"/>
    </w:p>
    <w:p w14:paraId="5BF8AE7A">
      <w:pPr>
        <w:spacing w:line="400" w:lineRule="exact"/>
        <w:jc w:val="center"/>
        <w:rPr>
          <w:rFonts w:ascii="Times New Roman" w:hAnsi="Times New Roman" w:eastAsia="黑体"/>
          <w:sz w:val="28"/>
        </w:rPr>
      </w:pPr>
    </w:p>
    <w:p w14:paraId="22BBB656">
      <w:pPr>
        <w:spacing w:line="400" w:lineRule="exact"/>
        <w:jc w:val="center"/>
        <w:rPr>
          <w:rFonts w:ascii="Times New Roman" w:hAnsi="Times New Roman" w:eastAsia="黑体"/>
          <w:sz w:val="28"/>
        </w:rPr>
      </w:pPr>
      <w:r>
        <w:rPr>
          <w:rFonts w:ascii="Times New Roman" w:hAnsi="Times New Roman" w:eastAsia="黑体"/>
          <w:sz w:val="28"/>
        </w:rPr>
        <w:t>问</w:t>
      </w:r>
      <w:bookmarkEnd w:id="948"/>
      <w:r>
        <w:rPr>
          <w:rFonts w:ascii="Times New Roman" w:hAnsi="Times New Roman" w:eastAsia="黑体"/>
          <w:sz w:val="28"/>
        </w:rPr>
        <w:t>题</w:t>
      </w:r>
      <w:bookmarkStart w:id="955" w:name="_Toc300834999"/>
      <w:bookmarkStart w:id="956" w:name="_Toc247514003"/>
      <w:bookmarkStart w:id="957" w:name="_Toc152045579"/>
      <w:bookmarkStart w:id="958" w:name="_Toc3622"/>
      <w:bookmarkStart w:id="959" w:name="_Toc247527604"/>
      <w:bookmarkStart w:id="960" w:name="_Toc369531568"/>
      <w:bookmarkStart w:id="961" w:name="_Toc152042356"/>
      <w:bookmarkStart w:id="962" w:name="_Toc384308263"/>
      <w:bookmarkStart w:id="963" w:name="_Toc361508637"/>
      <w:bookmarkStart w:id="964" w:name="_Toc352691524"/>
      <w:r>
        <w:rPr>
          <w:rFonts w:ascii="Times New Roman" w:hAnsi="Times New Roman" w:eastAsia="黑体"/>
          <w:sz w:val="28"/>
        </w:rPr>
        <w:t>的澄清</w:t>
      </w:r>
    </w:p>
    <w:p w14:paraId="79B8BF74">
      <w:pPr>
        <w:spacing w:line="400" w:lineRule="exact"/>
        <w:ind w:firstLine="3465" w:firstLineChars="1650"/>
        <w:rPr>
          <w:rFonts w:ascii="Times New Roman" w:hAnsi="Times New Roman"/>
        </w:rPr>
      </w:pPr>
      <w:r>
        <w:rPr>
          <w:rFonts w:ascii="Times New Roman" w:hAnsi="Times New Roman"/>
        </w:rPr>
        <w:t>（编号</w:t>
      </w:r>
      <w:bookmarkEnd w:id="947"/>
      <w:bookmarkEnd w:id="955"/>
      <w:bookmarkEnd w:id="956"/>
      <w:bookmarkEnd w:id="957"/>
      <w:bookmarkEnd w:id="958"/>
      <w:bookmarkEnd w:id="959"/>
      <w:bookmarkEnd w:id="960"/>
      <w:bookmarkEnd w:id="961"/>
      <w:bookmarkEnd w:id="962"/>
      <w:bookmarkEnd w:id="963"/>
      <w:bookmarkEnd w:id="964"/>
      <w:r>
        <w:rPr>
          <w:rFonts w:ascii="Times New Roman" w:hAnsi="Times New Roman"/>
        </w:rPr>
        <w:t>：</w:t>
      </w:r>
      <w:r>
        <w:rPr>
          <w:rFonts w:ascii="Times New Roman" w:hAnsi="Times New Roman" w:eastAsia="黑体"/>
          <w:sz w:val="28"/>
          <w:u w:val="single"/>
        </w:rPr>
        <w:t xml:space="preserve">           </w:t>
      </w:r>
      <w:r>
        <w:rPr>
          <w:rFonts w:ascii="Times New Roman" w:hAnsi="Times New Roman"/>
        </w:rPr>
        <w:t>）</w:t>
      </w:r>
    </w:p>
    <w:p w14:paraId="0CF2A3FF">
      <w:pPr>
        <w:spacing w:line="400" w:lineRule="exact"/>
        <w:rPr>
          <w:rFonts w:ascii="Times New Roman" w:hAnsi="Times New Roman"/>
        </w:rPr>
      </w:pPr>
    </w:p>
    <w:p w14:paraId="03EED7EE">
      <w:pPr>
        <w:spacing w:line="440" w:lineRule="exact"/>
        <w:rPr>
          <w:rFonts w:ascii="Times New Roman" w:hAnsi="Times New Roman"/>
        </w:rPr>
      </w:pPr>
      <w:r>
        <w:rPr>
          <w:rFonts w:ascii="Times New Roman" w:hAnsi="Times New Roman"/>
        </w:rPr>
        <w:t>评标委员会：</w:t>
      </w:r>
    </w:p>
    <w:p w14:paraId="1ABC6B82">
      <w:pPr>
        <w:spacing w:line="440" w:lineRule="exact"/>
        <w:rPr>
          <w:rFonts w:ascii="Times New Roman" w:hAnsi="Times New Roman"/>
        </w:rPr>
      </w:pPr>
    </w:p>
    <w:p w14:paraId="62A844A7">
      <w:pPr>
        <w:spacing w:line="440" w:lineRule="exact"/>
        <w:rPr>
          <w:rFonts w:ascii="Times New Roman" w:hAnsi="Times New Roman"/>
        </w:rPr>
      </w:pPr>
      <w:r>
        <w:rPr>
          <w:rFonts w:ascii="Times New Roman" w:hAnsi="Times New Roman"/>
        </w:rPr>
        <w:t>　　问题澄清通知（编号：</w:t>
      </w:r>
      <w:r>
        <w:rPr>
          <w:rFonts w:ascii="Times New Roman" w:hAnsi="Times New Roman" w:eastAsia="黑体"/>
          <w:sz w:val="28"/>
          <w:u w:val="single"/>
        </w:rPr>
        <w:t xml:space="preserve">      </w:t>
      </w:r>
      <w:r>
        <w:rPr>
          <w:rFonts w:ascii="Times New Roman" w:hAnsi="Times New Roman"/>
        </w:rPr>
        <w:t>）已收悉，现澄清、说明或补正如下：</w:t>
      </w:r>
    </w:p>
    <w:p w14:paraId="6345CE9A">
      <w:pPr>
        <w:spacing w:line="440" w:lineRule="exact"/>
        <w:rPr>
          <w:rFonts w:ascii="Times New Roman" w:hAnsi="Times New Roman"/>
        </w:rPr>
      </w:pPr>
      <w:r>
        <w:rPr>
          <w:rFonts w:ascii="Times New Roman" w:hAnsi="Times New Roman"/>
        </w:rPr>
        <w:t>　     1.</w:t>
      </w:r>
    </w:p>
    <w:p w14:paraId="5E41193F">
      <w:pPr>
        <w:spacing w:line="440" w:lineRule="exact"/>
        <w:rPr>
          <w:rFonts w:ascii="Times New Roman" w:hAnsi="Times New Roman"/>
        </w:rPr>
      </w:pPr>
      <w:r>
        <w:rPr>
          <w:rFonts w:ascii="Times New Roman" w:hAnsi="Times New Roman"/>
        </w:rPr>
        <w:t>　     2.</w:t>
      </w:r>
    </w:p>
    <w:p w14:paraId="7D7F8F4B">
      <w:pPr>
        <w:spacing w:line="440" w:lineRule="exact"/>
        <w:rPr>
          <w:rFonts w:ascii="Times New Roman" w:hAnsi="Times New Roman"/>
        </w:rPr>
      </w:pPr>
      <w:r>
        <w:rPr>
          <w:rFonts w:ascii="Times New Roman" w:hAnsi="Times New Roman"/>
        </w:rPr>
        <w:t>　    .....</w:t>
      </w:r>
    </w:p>
    <w:p w14:paraId="06C7A7E5">
      <w:pPr>
        <w:spacing w:line="440" w:lineRule="exact"/>
        <w:rPr>
          <w:rFonts w:ascii="Times New Roman" w:hAnsi="Times New Roman"/>
        </w:rPr>
      </w:pPr>
    </w:p>
    <w:p w14:paraId="130D9944">
      <w:pPr>
        <w:spacing w:line="440" w:lineRule="exact"/>
        <w:rPr>
          <w:rFonts w:ascii="Times New Roman" w:hAnsi="Times New Roman"/>
        </w:rPr>
      </w:pPr>
      <w:r>
        <w:rPr>
          <w:rFonts w:ascii="Times New Roman" w:hAnsi="Times New Roman"/>
        </w:rPr>
        <w:t>　</w:t>
      </w:r>
    </w:p>
    <w:p w14:paraId="4CB604A0">
      <w:pPr>
        <w:spacing w:line="440" w:lineRule="exact"/>
        <w:rPr>
          <w:rFonts w:ascii="Times New Roman" w:hAnsi="Times New Roman"/>
        </w:rPr>
      </w:pPr>
    </w:p>
    <w:p w14:paraId="24471D7A">
      <w:pPr>
        <w:spacing w:line="440" w:lineRule="exact"/>
        <w:ind w:firstLine="420" w:firstLineChars="200"/>
        <w:rPr>
          <w:rFonts w:ascii="Times New Roman" w:hAnsi="Times New Roman"/>
        </w:rPr>
      </w:pPr>
      <w:r>
        <w:rPr>
          <w:rFonts w:ascii="Times New Roman" w:hAnsi="Times New Roman"/>
        </w:rPr>
        <w:t>上述问题澄清、说明或补正，不改变我方投标文件的实质性内容，构成我方投标文件的组成部分。</w:t>
      </w:r>
    </w:p>
    <w:p w14:paraId="37B40898">
      <w:pPr>
        <w:spacing w:line="440" w:lineRule="exact"/>
        <w:rPr>
          <w:rFonts w:ascii="Times New Roman" w:hAnsi="Times New Roman"/>
        </w:rPr>
      </w:pPr>
    </w:p>
    <w:p w14:paraId="42E919C4">
      <w:pPr>
        <w:spacing w:line="440" w:lineRule="exact"/>
        <w:rPr>
          <w:rFonts w:ascii="Times New Roman" w:hAnsi="Times New Roman"/>
        </w:rPr>
      </w:pPr>
    </w:p>
    <w:p w14:paraId="1B214479">
      <w:pPr>
        <w:spacing w:line="480" w:lineRule="auto"/>
        <w:rPr>
          <w:rFonts w:ascii="Times New Roman" w:hAnsi="Times New Roman"/>
        </w:rPr>
      </w:pPr>
      <w:r>
        <w:rPr>
          <w:rFonts w:ascii="Times New Roman" w:hAnsi="Times New Roman"/>
        </w:rPr>
        <w:t>　　　　　　　　　　　　　　投标人：</w:t>
      </w:r>
      <w:r>
        <w:rPr>
          <w:rFonts w:ascii="Times New Roman" w:hAnsi="Times New Roman" w:eastAsia="黑体"/>
          <w:sz w:val="28"/>
          <w:u w:val="single"/>
        </w:rPr>
        <w:t xml:space="preserve">                         </w:t>
      </w:r>
      <w:r>
        <w:rPr>
          <w:rFonts w:ascii="Times New Roman" w:hAnsi="Times New Roman"/>
        </w:rPr>
        <w:t>（盖单位章）</w:t>
      </w:r>
    </w:p>
    <w:p w14:paraId="1ED9395D">
      <w:pPr>
        <w:spacing w:line="480" w:lineRule="auto"/>
        <w:ind w:firstLine="2835" w:firstLineChars="1350"/>
        <w:rPr>
          <w:rFonts w:ascii="Times New Roman" w:hAnsi="Times New Roman"/>
        </w:rPr>
      </w:pPr>
      <w:r>
        <w:rPr>
          <w:rFonts w:hint="eastAsia" w:ascii="Times New Roman" w:hAnsi="Times New Roman"/>
        </w:rPr>
        <w:t xml:space="preserve"> </w:t>
      </w:r>
      <w:r>
        <w:rPr>
          <w:rFonts w:ascii="Times New Roman" w:hAnsi="Times New Roman"/>
        </w:rPr>
        <w:t>法定代表人或其委托代理人：</w:t>
      </w:r>
      <w:r>
        <w:rPr>
          <w:rFonts w:ascii="Times New Roman" w:hAnsi="Times New Roman"/>
          <w:u w:val="single"/>
        </w:rPr>
        <w:t xml:space="preserve">        </w:t>
      </w:r>
      <w:r>
        <w:rPr>
          <w:rFonts w:ascii="Times New Roman" w:hAnsi="Times New Roman"/>
        </w:rPr>
        <w:t>（签字）</w:t>
      </w:r>
    </w:p>
    <w:p w14:paraId="724D9992">
      <w:pPr>
        <w:spacing w:line="440" w:lineRule="exact"/>
        <w:rPr>
          <w:rFonts w:ascii="Times New Roman" w:hAnsi="Times New Roman"/>
        </w:rPr>
      </w:pPr>
      <w:r>
        <w:rPr>
          <w:rFonts w:ascii="Times New Roman" w:hAnsi="Times New Roman"/>
        </w:rPr>
        <w:t>　　　　　　　　　　　　　　　</w:t>
      </w:r>
    </w:p>
    <w:p w14:paraId="3E1DF4AE">
      <w:pPr>
        <w:spacing w:line="440" w:lineRule="exact"/>
        <w:jc w:val="right"/>
        <w:rPr>
          <w:rFonts w:ascii="Times New Roman" w:hAnsi="Times New Roman"/>
        </w:rPr>
      </w:pPr>
      <w:r>
        <w:rPr>
          <w:rFonts w:ascii="Times New Roman" w:hAnsi="Times New Roman"/>
        </w:rPr>
        <w:t>　　　　　　　　　　　　　　　</w:t>
      </w:r>
      <w:r>
        <w:rPr>
          <w:rFonts w:ascii="Times New Roman" w:hAnsi="Times New Roman"/>
          <w:u w:val="single"/>
        </w:rPr>
        <w:t xml:space="preserve">        </w:t>
      </w:r>
      <w:r>
        <w:rPr>
          <w:rFonts w:ascii="Times New Roman" w:hAnsi="Times New Roman"/>
        </w:rPr>
        <w:t>年</w:t>
      </w:r>
      <w:bookmarkStart w:id="965" w:name="_Toc144974548"/>
      <w:bookmarkStart w:id="966" w:name="_Toc247514005"/>
      <w:bookmarkStart w:id="967" w:name="_Toc384308266"/>
      <w:bookmarkStart w:id="968" w:name="_Toc361508640"/>
      <w:bookmarkStart w:id="969" w:name="_Toc369531571"/>
      <w:bookmarkStart w:id="970" w:name="_Toc15139"/>
      <w:bookmarkStart w:id="971" w:name="_Toc352691527"/>
      <w:bookmarkStart w:id="972" w:name="_Toc152045581"/>
      <w:bookmarkStart w:id="973" w:name="_Toc247527606"/>
      <w:bookmarkStart w:id="974" w:name="_Toc300835002"/>
      <w:bookmarkStart w:id="975" w:name="_Toc152042358"/>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bookmarkEnd w:id="965"/>
    <w:bookmarkEnd w:id="966"/>
    <w:bookmarkEnd w:id="967"/>
    <w:bookmarkEnd w:id="968"/>
    <w:bookmarkEnd w:id="969"/>
    <w:bookmarkEnd w:id="970"/>
    <w:bookmarkEnd w:id="971"/>
    <w:bookmarkEnd w:id="972"/>
    <w:bookmarkEnd w:id="973"/>
    <w:bookmarkEnd w:id="974"/>
    <w:bookmarkEnd w:id="975"/>
    <w:p w14:paraId="5A544D1D">
      <w:pPr>
        <w:spacing w:line="400" w:lineRule="exact"/>
        <w:rPr>
          <w:rFonts w:ascii="Times New Roman" w:hAnsi="Times New Roman"/>
        </w:rPr>
      </w:pPr>
    </w:p>
    <w:p w14:paraId="2F6B37C7">
      <w:pPr>
        <w:pStyle w:val="5"/>
        <w:keepNext w:val="0"/>
        <w:keepLines w:val="0"/>
        <w:ind w:firstLine="137"/>
        <w:rPr>
          <w:rFonts w:ascii="Times New Roman" w:hAnsi="Times New Roman"/>
        </w:rPr>
      </w:pPr>
      <w:r>
        <w:rPr>
          <w:rFonts w:ascii="Times New Roman" w:hAnsi="Times New Roman"/>
        </w:rPr>
        <w:br w:type="page"/>
      </w:r>
      <w:bookmarkStart w:id="976" w:name="_Toc26853"/>
      <w:bookmarkStart w:id="977" w:name="_Toc13944"/>
      <w:bookmarkStart w:id="978" w:name="_Toc17658"/>
      <w:bookmarkStart w:id="979" w:name="_Toc527028506"/>
      <w:bookmarkStart w:id="980" w:name="_Toc17609"/>
      <w:bookmarkStart w:id="981" w:name="_Toc6902"/>
      <w:r>
        <w:rPr>
          <w:rFonts w:ascii="Times New Roman" w:hAnsi="Times New Roman"/>
        </w:rPr>
        <w:t>附件</w:t>
      </w:r>
      <w:r>
        <w:rPr>
          <w:rFonts w:hint="eastAsia" w:ascii="Times New Roman" w:hAnsi="Times New Roman"/>
        </w:rPr>
        <w:t>四</w:t>
      </w:r>
      <w:r>
        <w:rPr>
          <w:rFonts w:ascii="Times New Roman" w:hAnsi="Times New Roman"/>
        </w:rPr>
        <w:t>：确认通知</w:t>
      </w:r>
      <w:bookmarkEnd w:id="976"/>
      <w:bookmarkEnd w:id="977"/>
      <w:bookmarkEnd w:id="978"/>
      <w:bookmarkEnd w:id="979"/>
      <w:bookmarkEnd w:id="980"/>
      <w:bookmarkEnd w:id="981"/>
    </w:p>
    <w:p w14:paraId="0612657A">
      <w:pPr>
        <w:spacing w:line="400" w:lineRule="exact"/>
        <w:rPr>
          <w:rFonts w:ascii="Times New Roman" w:hAnsi="Times New Roman"/>
        </w:rPr>
      </w:pPr>
    </w:p>
    <w:p w14:paraId="206922E4">
      <w:pPr>
        <w:spacing w:line="400" w:lineRule="exact"/>
        <w:jc w:val="center"/>
        <w:rPr>
          <w:rFonts w:ascii="Times New Roman" w:hAnsi="Times New Roman" w:eastAsia="黑体"/>
          <w:sz w:val="28"/>
        </w:rPr>
      </w:pPr>
      <w:r>
        <w:rPr>
          <w:rFonts w:ascii="Times New Roman" w:hAnsi="Times New Roman" w:eastAsia="黑体"/>
          <w:sz w:val="28"/>
        </w:rPr>
        <w:t>确认通知</w:t>
      </w:r>
    </w:p>
    <w:p w14:paraId="441191F5">
      <w:pPr>
        <w:spacing w:line="400" w:lineRule="exact"/>
        <w:rPr>
          <w:rFonts w:ascii="Times New Roman" w:hAnsi="Times New Roman"/>
        </w:rPr>
      </w:pPr>
    </w:p>
    <w:p w14:paraId="28E17B9C">
      <w:pPr>
        <w:spacing w:line="440" w:lineRule="exact"/>
        <w:rPr>
          <w:rFonts w:ascii="Times New Roman" w:hAnsi="Times New Roman"/>
        </w:rPr>
      </w:pPr>
      <w:r>
        <w:rPr>
          <w:rFonts w:ascii="Times New Roman" w:hAnsi="Times New Roman"/>
          <w:u w:val="single"/>
        </w:rPr>
        <w:t xml:space="preserve">                     </w:t>
      </w:r>
      <w:r>
        <w:rPr>
          <w:rFonts w:ascii="Times New Roman" w:hAnsi="Times New Roman"/>
        </w:rPr>
        <w:t>（招标人名称）：</w:t>
      </w:r>
    </w:p>
    <w:p w14:paraId="006792D4">
      <w:pPr>
        <w:spacing w:line="440" w:lineRule="exact"/>
        <w:rPr>
          <w:rFonts w:ascii="Times New Roman" w:hAnsi="Times New Roman"/>
        </w:rPr>
      </w:pPr>
      <w:r>
        <w:rPr>
          <w:rFonts w:ascii="Times New Roman" w:hAnsi="Times New Roman"/>
        </w:rPr>
        <w:t>　　</w:t>
      </w:r>
    </w:p>
    <w:p w14:paraId="2C74147A">
      <w:pPr>
        <w:spacing w:line="440" w:lineRule="exact"/>
        <w:ind w:firstLine="420" w:firstLineChars="200"/>
        <w:rPr>
          <w:rFonts w:ascii="Times New Roman" w:hAnsi="Times New Roman"/>
        </w:rPr>
      </w:pPr>
      <w:r>
        <w:rPr>
          <w:rFonts w:ascii="Times New Roman" w:hAnsi="Times New Roman"/>
        </w:rPr>
        <w:t>你方于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日发出的</w:t>
      </w:r>
      <w:r>
        <w:rPr>
          <w:rFonts w:ascii="Times New Roman" w:hAnsi="Times New Roman"/>
          <w:u w:val="single"/>
        </w:rPr>
        <w:t xml:space="preserve">         </w:t>
      </w:r>
      <w:r>
        <w:rPr>
          <w:rFonts w:hint="eastAsia" w:ascii="Times New Roman" w:hAnsi="Times New Roman"/>
        </w:rPr>
        <w:t>（项目名称）</w:t>
      </w:r>
      <w:r>
        <w:rPr>
          <w:rFonts w:ascii="Times New Roman" w:hAnsi="Times New Roman"/>
        </w:rPr>
        <w:t>招标关于</w:t>
      </w:r>
      <w:r>
        <w:rPr>
          <w:rFonts w:ascii="Times New Roman" w:hAnsi="Times New Roman"/>
          <w:u w:val="single"/>
        </w:rPr>
        <w:t>招标文件的澄清/修改</w:t>
      </w:r>
      <w:r>
        <w:rPr>
          <w:rFonts w:ascii="Times New Roman" w:hAnsi="Times New Roman"/>
        </w:rPr>
        <w:t>的通知，我方已于</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日收到。</w:t>
      </w:r>
    </w:p>
    <w:p w14:paraId="300395EB">
      <w:pPr>
        <w:spacing w:line="440" w:lineRule="exact"/>
        <w:rPr>
          <w:rFonts w:ascii="Times New Roman" w:hAnsi="Times New Roman"/>
        </w:rPr>
      </w:pPr>
      <w:r>
        <w:rPr>
          <w:rFonts w:ascii="Times New Roman" w:hAnsi="Times New Roman"/>
        </w:rPr>
        <w:t>　　特此确认。</w:t>
      </w:r>
    </w:p>
    <w:p w14:paraId="55CAA9FE">
      <w:pPr>
        <w:spacing w:line="440" w:lineRule="exact"/>
        <w:rPr>
          <w:rFonts w:ascii="Times New Roman" w:hAnsi="Times New Roman"/>
        </w:rPr>
      </w:pPr>
    </w:p>
    <w:p w14:paraId="47C5FE6E">
      <w:pPr>
        <w:spacing w:line="440" w:lineRule="exact"/>
        <w:rPr>
          <w:rFonts w:ascii="Times New Roman" w:hAnsi="Times New Roman"/>
        </w:rPr>
      </w:pPr>
    </w:p>
    <w:p w14:paraId="59CB4F64">
      <w:pPr>
        <w:spacing w:line="480" w:lineRule="auto"/>
        <w:ind w:firstLine="2415" w:firstLineChars="1150"/>
        <w:jc w:val="left"/>
        <w:rPr>
          <w:rFonts w:ascii="Times New Roman" w:hAnsi="Times New Roman"/>
        </w:rPr>
      </w:pPr>
      <w:r>
        <w:rPr>
          <w:rFonts w:ascii="Times New Roman" w:hAnsi="Times New Roman"/>
        </w:rPr>
        <w:t>投标人：</w:t>
      </w:r>
      <w:r>
        <w:rPr>
          <w:rFonts w:ascii="Times New Roman" w:hAnsi="Times New Roman" w:eastAsia="黑体"/>
          <w:sz w:val="28"/>
          <w:u w:val="single"/>
        </w:rPr>
        <w:t xml:space="preserve">                           </w:t>
      </w:r>
      <w:r>
        <w:rPr>
          <w:rFonts w:ascii="Times New Roman" w:hAnsi="Times New Roman"/>
        </w:rPr>
        <w:t>（盖单位章）</w:t>
      </w:r>
    </w:p>
    <w:p w14:paraId="21C897DC">
      <w:pPr>
        <w:spacing w:line="480" w:lineRule="auto"/>
        <w:ind w:firstLine="2415" w:firstLineChars="1150"/>
        <w:jc w:val="left"/>
        <w:rPr>
          <w:rFonts w:ascii="Times New Roman" w:hAnsi="Times New Roman"/>
        </w:rPr>
      </w:pPr>
      <w:r>
        <w:rPr>
          <w:rFonts w:ascii="Times New Roman" w:hAnsi="Times New Roman"/>
        </w:rPr>
        <w:t>法定代表人或委托代理人：</w:t>
      </w:r>
      <w:r>
        <w:rPr>
          <w:rFonts w:ascii="Times New Roman" w:hAnsi="Times New Roman" w:eastAsia="黑体"/>
          <w:sz w:val="28"/>
          <w:u w:val="single"/>
        </w:rPr>
        <w:t xml:space="preserve">      </w:t>
      </w:r>
      <w:r>
        <w:rPr>
          <w:rFonts w:ascii="Times New Roman" w:hAnsi="Times New Roman"/>
        </w:rPr>
        <w:t>（签字）</w:t>
      </w:r>
    </w:p>
    <w:p w14:paraId="089DF155">
      <w:pPr>
        <w:spacing w:line="440" w:lineRule="exact"/>
        <w:rPr>
          <w:rFonts w:ascii="Times New Roman" w:hAnsi="Times New Roman"/>
        </w:rPr>
      </w:pPr>
    </w:p>
    <w:p w14:paraId="6CA9A208">
      <w:pPr>
        <w:spacing w:line="440" w:lineRule="exact"/>
        <w:ind w:firstLine="105" w:firstLineChars="50"/>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1EC245D2">
      <w:pPr>
        <w:rPr>
          <w:rFonts w:ascii="Times New Roman" w:hAnsi="Times New Roman"/>
        </w:rPr>
      </w:pPr>
    </w:p>
    <w:p w14:paraId="15FDBAD4"/>
    <w:p w14:paraId="70D586B3"/>
    <w:p w14:paraId="6DAB975A">
      <w:pPr>
        <w:pStyle w:val="3"/>
        <w:keepNext w:val="0"/>
        <w:keepLines w:val="0"/>
        <w:spacing w:line="460" w:lineRule="exact"/>
        <w:jc w:val="center"/>
      </w:pPr>
      <w:r>
        <w:br w:type="page"/>
      </w:r>
      <w:bookmarkStart w:id="982" w:name="_Toc8967"/>
      <w:bookmarkStart w:id="983" w:name="OLE_LINK4"/>
      <w:r>
        <w:t>第三章评标办法（综合评估法）</w:t>
      </w:r>
      <w:bookmarkEnd w:id="982"/>
    </w:p>
    <w:p w14:paraId="4AF9A409">
      <w:pPr>
        <w:pStyle w:val="3"/>
        <w:keepNext w:val="0"/>
        <w:keepLines w:val="0"/>
        <w:spacing w:before="0" w:after="0" w:line="240" w:lineRule="auto"/>
        <w:jc w:val="center"/>
      </w:pPr>
      <w:bookmarkStart w:id="984" w:name="_Toc23177"/>
      <w:bookmarkStart w:id="985" w:name="_Toc15960"/>
      <w:bookmarkStart w:id="986" w:name="_Toc14731"/>
      <w:r>
        <w:t>评标办法前附表</w:t>
      </w:r>
      <w:bookmarkEnd w:id="984"/>
      <w:bookmarkEnd w:id="985"/>
      <w:bookmarkEnd w:id="986"/>
    </w:p>
    <w:tbl>
      <w:tblPr>
        <w:tblStyle w:val="21"/>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89"/>
        <w:gridCol w:w="1098"/>
        <w:gridCol w:w="2132"/>
        <w:gridCol w:w="5252"/>
      </w:tblGrid>
      <w:tr w14:paraId="167B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4B236DF2">
            <w:pPr>
              <w:snapToGrid w:val="0"/>
              <w:jc w:val="center"/>
              <w:rPr>
                <w:rFonts w:ascii="宋体" w:hAnsi="宋体"/>
                <w:b/>
                <w:szCs w:val="21"/>
              </w:rPr>
            </w:pPr>
            <w:r>
              <w:rPr>
                <w:rFonts w:ascii="宋体" w:hAnsi="宋体"/>
                <w:b/>
                <w:szCs w:val="21"/>
              </w:rPr>
              <w:t>条款号</w:t>
            </w:r>
          </w:p>
        </w:tc>
        <w:tc>
          <w:tcPr>
            <w:tcW w:w="2132" w:type="dxa"/>
            <w:vAlign w:val="center"/>
          </w:tcPr>
          <w:p w14:paraId="36FEDBC6">
            <w:pPr>
              <w:snapToGrid w:val="0"/>
              <w:jc w:val="center"/>
              <w:rPr>
                <w:rFonts w:ascii="宋体" w:hAnsi="宋体"/>
                <w:b/>
                <w:szCs w:val="21"/>
              </w:rPr>
            </w:pPr>
            <w:r>
              <w:rPr>
                <w:rFonts w:ascii="宋体" w:hAnsi="宋体"/>
                <w:b/>
                <w:szCs w:val="21"/>
              </w:rPr>
              <w:t>评审因素</w:t>
            </w:r>
          </w:p>
        </w:tc>
        <w:tc>
          <w:tcPr>
            <w:tcW w:w="5252" w:type="dxa"/>
            <w:vAlign w:val="center"/>
          </w:tcPr>
          <w:p w14:paraId="40FB9874">
            <w:pPr>
              <w:snapToGrid w:val="0"/>
              <w:jc w:val="center"/>
              <w:rPr>
                <w:rFonts w:ascii="宋体" w:hAnsi="宋体"/>
                <w:b/>
                <w:szCs w:val="21"/>
              </w:rPr>
            </w:pPr>
            <w:r>
              <w:rPr>
                <w:rFonts w:ascii="宋体" w:hAnsi="宋体"/>
                <w:b/>
                <w:szCs w:val="21"/>
              </w:rPr>
              <w:t>评审标准</w:t>
            </w:r>
          </w:p>
        </w:tc>
      </w:tr>
      <w:tr w14:paraId="5384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0" w:type="dxa"/>
            <w:gridSpan w:val="2"/>
            <w:vAlign w:val="center"/>
          </w:tcPr>
          <w:p w14:paraId="2B38793A">
            <w:pPr>
              <w:jc w:val="center"/>
              <w:rPr>
                <w:rFonts w:ascii="Times New Roman" w:hAnsi="Times New Roman"/>
              </w:rPr>
            </w:pPr>
            <w:r>
              <w:rPr>
                <w:rFonts w:ascii="Times New Roman" w:hAnsi="Times New Roman"/>
              </w:rPr>
              <w:t>1</w:t>
            </w:r>
          </w:p>
        </w:tc>
        <w:tc>
          <w:tcPr>
            <w:tcW w:w="1098" w:type="dxa"/>
            <w:vAlign w:val="center"/>
          </w:tcPr>
          <w:p w14:paraId="53661E34">
            <w:pPr>
              <w:snapToGrid w:val="0"/>
              <w:rPr>
                <w:rFonts w:ascii="宋体" w:hAnsi="宋体"/>
                <w:szCs w:val="21"/>
              </w:rPr>
            </w:pPr>
            <w:r>
              <w:rPr>
                <w:rFonts w:ascii="宋体" w:hAnsi="宋体"/>
                <w:szCs w:val="21"/>
              </w:rPr>
              <w:t>评标方法</w:t>
            </w:r>
          </w:p>
        </w:tc>
        <w:tc>
          <w:tcPr>
            <w:tcW w:w="2132" w:type="dxa"/>
            <w:vAlign w:val="center"/>
          </w:tcPr>
          <w:p w14:paraId="127D382D">
            <w:pPr>
              <w:snapToGrid w:val="0"/>
              <w:rPr>
                <w:rFonts w:ascii="宋体" w:hAnsi="宋体"/>
                <w:szCs w:val="21"/>
              </w:rPr>
            </w:pPr>
            <w:r>
              <w:rPr>
                <w:rFonts w:ascii="宋体" w:hAnsi="宋体"/>
                <w:szCs w:val="21"/>
              </w:rPr>
              <w:t>中标候选人排序方法</w:t>
            </w:r>
          </w:p>
        </w:tc>
        <w:tc>
          <w:tcPr>
            <w:tcW w:w="5252" w:type="dxa"/>
          </w:tcPr>
          <w:p w14:paraId="2DAE0E04">
            <w:pPr>
              <w:snapToGrid w:val="0"/>
              <w:rPr>
                <w:rFonts w:ascii="宋体" w:hAnsi="宋体"/>
                <w:szCs w:val="21"/>
              </w:rPr>
            </w:pPr>
            <w:r>
              <w:rPr>
                <w:rFonts w:hint="eastAsia" w:ascii="宋体" w:hAnsi="宋体"/>
                <w:szCs w:val="21"/>
              </w:rPr>
              <w:t>按总得分由高到低顺序推荐中标候选人，若两家或以上的投标人总得分相同时，则投标报价得分高的排前；若投标人总得分和投标报价得分均相同，则技术服务方案得分高的排前；若投标人总得分、投标报价得分和技术服务方案得分均相同，则由评标委员会投票表决推荐排名优先的投标人。</w:t>
            </w:r>
          </w:p>
        </w:tc>
      </w:tr>
      <w:tr w14:paraId="0A65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restart"/>
            <w:vAlign w:val="center"/>
          </w:tcPr>
          <w:p w14:paraId="4A118CA8">
            <w:pPr>
              <w:jc w:val="center"/>
              <w:rPr>
                <w:rFonts w:ascii="Times New Roman" w:hAnsi="Times New Roman"/>
              </w:rPr>
            </w:pPr>
            <w:r>
              <w:rPr>
                <w:rFonts w:ascii="Times New Roman" w:hAnsi="Times New Roman"/>
              </w:rPr>
              <w:t>2.1.1</w:t>
            </w:r>
          </w:p>
        </w:tc>
        <w:tc>
          <w:tcPr>
            <w:tcW w:w="1098" w:type="dxa"/>
            <w:vMerge w:val="restart"/>
            <w:vAlign w:val="center"/>
          </w:tcPr>
          <w:p w14:paraId="6A95462A">
            <w:pPr>
              <w:snapToGrid w:val="0"/>
              <w:rPr>
                <w:rFonts w:ascii="宋体" w:hAnsi="宋体"/>
                <w:szCs w:val="21"/>
              </w:rPr>
            </w:pPr>
            <w:r>
              <w:rPr>
                <w:rFonts w:ascii="宋体" w:hAnsi="宋体"/>
                <w:szCs w:val="21"/>
              </w:rPr>
              <w:t>形式评审标准</w:t>
            </w:r>
          </w:p>
        </w:tc>
        <w:tc>
          <w:tcPr>
            <w:tcW w:w="2132" w:type="dxa"/>
            <w:vAlign w:val="center"/>
          </w:tcPr>
          <w:p w14:paraId="6BB8851B">
            <w:pPr>
              <w:snapToGrid w:val="0"/>
              <w:jc w:val="center"/>
              <w:rPr>
                <w:rFonts w:ascii="宋体" w:hAnsi="宋体"/>
                <w:szCs w:val="21"/>
              </w:rPr>
            </w:pPr>
            <w:r>
              <w:rPr>
                <w:rFonts w:ascii="宋体" w:hAnsi="宋体"/>
                <w:szCs w:val="21"/>
              </w:rPr>
              <w:t>投标人名称</w:t>
            </w:r>
          </w:p>
        </w:tc>
        <w:tc>
          <w:tcPr>
            <w:tcW w:w="5252" w:type="dxa"/>
            <w:vAlign w:val="center"/>
          </w:tcPr>
          <w:p w14:paraId="42499C1B">
            <w:pPr>
              <w:snapToGrid w:val="0"/>
              <w:rPr>
                <w:rFonts w:ascii="宋体" w:hAnsi="宋体"/>
                <w:szCs w:val="21"/>
              </w:rPr>
            </w:pPr>
            <w:r>
              <w:rPr>
                <w:rFonts w:hint="eastAsia" w:ascii="宋体" w:hAnsi="宋体"/>
                <w:szCs w:val="21"/>
              </w:rPr>
              <w:t>与营业执照</w:t>
            </w:r>
            <w:r>
              <w:rPr>
                <w:rFonts w:hint="eastAsia" w:ascii="宋体" w:hAnsi="宋体" w:cs="Calibri"/>
                <w:szCs w:val="21"/>
              </w:rPr>
              <w:t>（或事业单位法人证书）</w:t>
            </w:r>
            <w:r>
              <w:rPr>
                <w:rFonts w:hint="eastAsia" w:ascii="宋体" w:hAnsi="宋体"/>
                <w:szCs w:val="21"/>
              </w:rPr>
              <w:t>、资质证书一致</w:t>
            </w:r>
          </w:p>
        </w:tc>
      </w:tr>
      <w:tr w14:paraId="62F4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880" w:type="dxa"/>
            <w:gridSpan w:val="2"/>
            <w:vMerge w:val="continue"/>
            <w:vAlign w:val="center"/>
          </w:tcPr>
          <w:p w14:paraId="10293AFA">
            <w:pPr>
              <w:jc w:val="center"/>
              <w:rPr>
                <w:rFonts w:ascii="Times New Roman" w:hAnsi="Times New Roman"/>
              </w:rPr>
            </w:pPr>
          </w:p>
        </w:tc>
        <w:tc>
          <w:tcPr>
            <w:tcW w:w="1098" w:type="dxa"/>
            <w:vMerge w:val="continue"/>
            <w:vAlign w:val="center"/>
          </w:tcPr>
          <w:p w14:paraId="1B536447">
            <w:pPr>
              <w:snapToGrid w:val="0"/>
              <w:rPr>
                <w:rFonts w:ascii="宋体" w:hAnsi="宋体"/>
                <w:szCs w:val="21"/>
              </w:rPr>
            </w:pPr>
          </w:p>
        </w:tc>
        <w:tc>
          <w:tcPr>
            <w:tcW w:w="2132" w:type="dxa"/>
            <w:shd w:val="clear" w:color="auto" w:fill="auto"/>
            <w:vAlign w:val="center"/>
          </w:tcPr>
          <w:p w14:paraId="384C0B4C">
            <w:pPr>
              <w:snapToGrid w:val="0"/>
              <w:jc w:val="center"/>
              <w:rPr>
                <w:rFonts w:ascii="宋体" w:hAnsi="宋体"/>
                <w:szCs w:val="21"/>
              </w:rPr>
            </w:pPr>
            <w:r>
              <w:rPr>
                <w:rFonts w:ascii="宋体" w:hAnsi="宋体"/>
                <w:szCs w:val="21"/>
              </w:rPr>
              <w:t>投标函</w:t>
            </w:r>
            <w:r>
              <w:rPr>
                <w:rFonts w:hint="eastAsia" w:ascii="宋体" w:hAnsi="宋体"/>
                <w:szCs w:val="21"/>
              </w:rPr>
              <w:t>及投标函附录</w:t>
            </w:r>
            <w:r>
              <w:rPr>
                <w:rFonts w:ascii="宋体" w:hAnsi="宋体"/>
                <w:szCs w:val="21"/>
              </w:rPr>
              <w:t>签字盖章</w:t>
            </w:r>
          </w:p>
        </w:tc>
        <w:tc>
          <w:tcPr>
            <w:tcW w:w="5252" w:type="dxa"/>
            <w:shd w:val="clear" w:color="auto" w:fill="auto"/>
            <w:vAlign w:val="center"/>
          </w:tcPr>
          <w:p w14:paraId="0ACFEB6F">
            <w:pPr>
              <w:snapToGrid w:val="0"/>
              <w:rPr>
                <w:rFonts w:ascii="宋体" w:hAnsi="宋体"/>
                <w:szCs w:val="21"/>
              </w:rPr>
            </w:pPr>
            <w:r>
              <w:rPr>
                <w:rFonts w:ascii="宋体" w:hAnsi="宋体"/>
                <w:szCs w:val="21"/>
              </w:rPr>
              <w:t>有法定代表人或其委托代理人签字或加盖单位章。由法定代表人签字的，应附法定代表人身份证明，由代理人签字的，应附授权委托书，身份证明或授权委托书应符合第六章“投标文件格式”的规定</w:t>
            </w:r>
            <w:r>
              <w:rPr>
                <w:rFonts w:hint="eastAsia" w:ascii="宋体" w:hAnsi="宋体"/>
                <w:szCs w:val="21"/>
              </w:rPr>
              <w:t>。</w:t>
            </w:r>
          </w:p>
        </w:tc>
      </w:tr>
      <w:tr w14:paraId="5179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42884ED7">
            <w:pPr>
              <w:rPr>
                <w:rFonts w:ascii="Times New Roman" w:hAnsi="Times New Roman"/>
              </w:rPr>
            </w:pPr>
          </w:p>
        </w:tc>
        <w:tc>
          <w:tcPr>
            <w:tcW w:w="1098" w:type="dxa"/>
            <w:vMerge w:val="continue"/>
            <w:vAlign w:val="center"/>
          </w:tcPr>
          <w:p w14:paraId="222ED89B">
            <w:pPr>
              <w:snapToGrid w:val="0"/>
              <w:rPr>
                <w:rFonts w:ascii="宋体" w:hAnsi="宋体"/>
                <w:szCs w:val="21"/>
              </w:rPr>
            </w:pPr>
          </w:p>
        </w:tc>
        <w:tc>
          <w:tcPr>
            <w:tcW w:w="2132" w:type="dxa"/>
            <w:shd w:val="clear" w:color="auto" w:fill="auto"/>
            <w:vAlign w:val="center"/>
          </w:tcPr>
          <w:p w14:paraId="04A1302B">
            <w:pPr>
              <w:snapToGrid w:val="0"/>
              <w:jc w:val="center"/>
              <w:rPr>
                <w:rFonts w:ascii="宋体" w:hAnsi="宋体"/>
                <w:szCs w:val="21"/>
              </w:rPr>
            </w:pPr>
            <w:r>
              <w:rPr>
                <w:rFonts w:ascii="宋体" w:hAnsi="宋体"/>
                <w:szCs w:val="21"/>
              </w:rPr>
              <w:t>投标文件格式</w:t>
            </w:r>
          </w:p>
        </w:tc>
        <w:tc>
          <w:tcPr>
            <w:tcW w:w="5252" w:type="dxa"/>
            <w:shd w:val="clear" w:color="auto" w:fill="auto"/>
            <w:vAlign w:val="center"/>
          </w:tcPr>
          <w:p w14:paraId="7A677C95">
            <w:pPr>
              <w:snapToGrid w:val="0"/>
              <w:rPr>
                <w:rFonts w:ascii="宋体" w:hAnsi="宋体"/>
                <w:szCs w:val="21"/>
              </w:rPr>
            </w:pPr>
            <w:r>
              <w:rPr>
                <w:rFonts w:ascii="宋体" w:hAnsi="宋体"/>
                <w:szCs w:val="21"/>
              </w:rPr>
              <w:t>《投标人声明》、《投标函及其附录》符合第六章“投标文件格式”的规定</w:t>
            </w:r>
            <w:r>
              <w:rPr>
                <w:rFonts w:hint="eastAsia" w:ascii="宋体" w:hAnsi="宋体"/>
                <w:szCs w:val="21"/>
              </w:rPr>
              <w:t>。</w:t>
            </w:r>
          </w:p>
        </w:tc>
      </w:tr>
      <w:tr w14:paraId="67D8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0" w:type="dxa"/>
            <w:gridSpan w:val="2"/>
            <w:vMerge w:val="continue"/>
            <w:vAlign w:val="center"/>
          </w:tcPr>
          <w:p w14:paraId="01DCD966">
            <w:pPr>
              <w:rPr>
                <w:rFonts w:ascii="Times New Roman" w:hAnsi="Times New Roman"/>
              </w:rPr>
            </w:pPr>
          </w:p>
        </w:tc>
        <w:tc>
          <w:tcPr>
            <w:tcW w:w="1098" w:type="dxa"/>
            <w:vMerge w:val="continue"/>
            <w:vAlign w:val="center"/>
          </w:tcPr>
          <w:p w14:paraId="33A911B8">
            <w:pPr>
              <w:snapToGrid w:val="0"/>
              <w:rPr>
                <w:rFonts w:ascii="宋体" w:hAnsi="宋体"/>
                <w:szCs w:val="21"/>
              </w:rPr>
            </w:pPr>
          </w:p>
        </w:tc>
        <w:tc>
          <w:tcPr>
            <w:tcW w:w="2132" w:type="dxa"/>
            <w:shd w:val="clear" w:color="auto" w:fill="auto"/>
            <w:vAlign w:val="center"/>
          </w:tcPr>
          <w:p w14:paraId="7A4DCD36">
            <w:pPr>
              <w:snapToGrid w:val="0"/>
              <w:jc w:val="center"/>
              <w:rPr>
                <w:rFonts w:ascii="宋体" w:hAnsi="宋体"/>
                <w:szCs w:val="21"/>
              </w:rPr>
            </w:pPr>
            <w:r>
              <w:rPr>
                <w:rFonts w:hint="eastAsia" w:ascii="宋体" w:hAnsi="宋体"/>
                <w:szCs w:val="21"/>
              </w:rPr>
              <w:t>投标人机器码</w:t>
            </w:r>
          </w:p>
        </w:tc>
        <w:tc>
          <w:tcPr>
            <w:tcW w:w="5252" w:type="dxa"/>
            <w:shd w:val="clear" w:color="auto" w:fill="auto"/>
            <w:vAlign w:val="center"/>
          </w:tcPr>
          <w:p w14:paraId="41E20AAC">
            <w:pPr>
              <w:snapToGrid w:val="0"/>
              <w:rPr>
                <w:rFonts w:ascii="宋体" w:hAnsi="宋体" w:cs="宋体"/>
                <w:szCs w:val="21"/>
              </w:rPr>
            </w:pPr>
            <w:r>
              <w:rPr>
                <w:rFonts w:hint="eastAsia" w:ascii="宋体" w:hAnsi="宋体" w:cs="宋体"/>
                <w:szCs w:val="21"/>
              </w:rPr>
              <w:t>投标人与其他投标人加密打包投标文件电脑机器特征码一致的(以广州公共资源交易中心评标系统的检索信息为准)将被否决。</w:t>
            </w:r>
          </w:p>
        </w:tc>
      </w:tr>
      <w:tr w14:paraId="64EA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12B8A06D">
            <w:pPr>
              <w:rPr>
                <w:rFonts w:ascii="Times New Roman" w:hAnsi="Times New Roman"/>
              </w:rPr>
            </w:pPr>
          </w:p>
        </w:tc>
        <w:tc>
          <w:tcPr>
            <w:tcW w:w="1098" w:type="dxa"/>
            <w:vMerge w:val="continue"/>
            <w:vAlign w:val="center"/>
          </w:tcPr>
          <w:p w14:paraId="29555069">
            <w:pPr>
              <w:snapToGrid w:val="0"/>
              <w:rPr>
                <w:rFonts w:ascii="宋体" w:hAnsi="宋体"/>
                <w:szCs w:val="21"/>
              </w:rPr>
            </w:pPr>
          </w:p>
        </w:tc>
        <w:tc>
          <w:tcPr>
            <w:tcW w:w="2132" w:type="dxa"/>
            <w:shd w:val="clear" w:color="auto" w:fill="auto"/>
            <w:vAlign w:val="center"/>
          </w:tcPr>
          <w:p w14:paraId="1C3FB031">
            <w:pPr>
              <w:snapToGrid w:val="0"/>
              <w:jc w:val="center"/>
              <w:rPr>
                <w:rFonts w:ascii="宋体" w:hAnsi="宋体"/>
                <w:szCs w:val="21"/>
              </w:rPr>
            </w:pPr>
            <w:r>
              <w:rPr>
                <w:rFonts w:ascii="宋体" w:hAnsi="宋体"/>
                <w:szCs w:val="21"/>
              </w:rPr>
              <w:t>备选投标方案</w:t>
            </w:r>
          </w:p>
        </w:tc>
        <w:tc>
          <w:tcPr>
            <w:tcW w:w="5252" w:type="dxa"/>
            <w:shd w:val="clear" w:color="auto" w:fill="auto"/>
            <w:vAlign w:val="center"/>
          </w:tcPr>
          <w:p w14:paraId="42B176D1">
            <w:pPr>
              <w:snapToGrid w:val="0"/>
              <w:rPr>
                <w:rFonts w:ascii="宋体" w:hAnsi="宋体"/>
                <w:szCs w:val="21"/>
              </w:rPr>
            </w:pPr>
            <w:r>
              <w:rPr>
                <w:rFonts w:hint="eastAsia" w:ascii="宋体" w:hAnsi="宋体"/>
                <w:szCs w:val="21"/>
              </w:rPr>
              <w:t>不允许。</w:t>
            </w:r>
          </w:p>
        </w:tc>
      </w:tr>
      <w:tr w14:paraId="45C9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restart"/>
            <w:vAlign w:val="center"/>
          </w:tcPr>
          <w:p w14:paraId="337ABB8A">
            <w:pPr>
              <w:jc w:val="center"/>
              <w:rPr>
                <w:rFonts w:ascii="Times New Roman" w:hAnsi="Times New Roman"/>
              </w:rPr>
            </w:pPr>
            <w:r>
              <w:rPr>
                <w:rFonts w:ascii="Times New Roman" w:hAnsi="Times New Roman"/>
              </w:rPr>
              <w:t>2.1.2</w:t>
            </w:r>
          </w:p>
        </w:tc>
        <w:tc>
          <w:tcPr>
            <w:tcW w:w="1098" w:type="dxa"/>
            <w:vMerge w:val="restart"/>
            <w:vAlign w:val="center"/>
          </w:tcPr>
          <w:p w14:paraId="6298B1E2">
            <w:pPr>
              <w:snapToGrid w:val="0"/>
              <w:rPr>
                <w:rFonts w:ascii="宋体" w:hAnsi="宋体"/>
                <w:szCs w:val="21"/>
              </w:rPr>
            </w:pPr>
            <w:r>
              <w:rPr>
                <w:rFonts w:hint="eastAsia" w:ascii="宋体" w:hAnsi="宋体"/>
                <w:szCs w:val="21"/>
              </w:rPr>
              <w:t xml:space="preserve">资格评审标准  </w:t>
            </w:r>
          </w:p>
        </w:tc>
        <w:tc>
          <w:tcPr>
            <w:tcW w:w="2132" w:type="dxa"/>
            <w:vAlign w:val="center"/>
          </w:tcPr>
          <w:p w14:paraId="2ED9F2C3">
            <w:pPr>
              <w:snapToGrid w:val="0"/>
              <w:jc w:val="center"/>
              <w:rPr>
                <w:rFonts w:ascii="宋体" w:hAnsi="宋体"/>
                <w:szCs w:val="21"/>
              </w:rPr>
            </w:pPr>
            <w:r>
              <w:rPr>
                <w:rFonts w:ascii="宋体" w:hAnsi="宋体"/>
                <w:szCs w:val="21"/>
              </w:rPr>
              <w:t>营业执照</w:t>
            </w:r>
            <w:r>
              <w:rPr>
                <w:rFonts w:hint="eastAsia" w:ascii="宋体" w:hAnsi="宋体"/>
                <w:szCs w:val="21"/>
              </w:rPr>
              <w:t>（或事业单位法人证书）</w:t>
            </w:r>
          </w:p>
        </w:tc>
        <w:tc>
          <w:tcPr>
            <w:tcW w:w="5252" w:type="dxa"/>
            <w:vAlign w:val="center"/>
          </w:tcPr>
          <w:p w14:paraId="1CA2F69B">
            <w:pPr>
              <w:snapToGrid w:val="0"/>
              <w:rPr>
                <w:rFonts w:ascii="宋体" w:hAnsi="宋体"/>
                <w:szCs w:val="21"/>
              </w:rPr>
            </w:pPr>
            <w:r>
              <w:rPr>
                <w:rFonts w:hint="eastAsia" w:ascii="宋体" w:hAnsi="宋体"/>
                <w:szCs w:val="21"/>
              </w:rPr>
              <w:t>有事业单位登记管理部门核发的事业单位法人证书或工商行政（市场监督）管理部门核发的企业法人营业执照，按国家法律经营。</w:t>
            </w:r>
          </w:p>
        </w:tc>
      </w:tr>
      <w:tr w14:paraId="1B28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7A0081BD">
            <w:pPr>
              <w:rPr>
                <w:rFonts w:ascii="Times New Roman" w:hAnsi="Times New Roman"/>
              </w:rPr>
            </w:pPr>
          </w:p>
        </w:tc>
        <w:tc>
          <w:tcPr>
            <w:tcW w:w="1098" w:type="dxa"/>
            <w:vMerge w:val="continue"/>
            <w:vAlign w:val="center"/>
          </w:tcPr>
          <w:p w14:paraId="282243B8">
            <w:pPr>
              <w:snapToGrid w:val="0"/>
              <w:rPr>
                <w:rFonts w:ascii="宋体" w:hAnsi="宋体"/>
                <w:szCs w:val="21"/>
              </w:rPr>
            </w:pPr>
          </w:p>
        </w:tc>
        <w:tc>
          <w:tcPr>
            <w:tcW w:w="2132" w:type="dxa"/>
            <w:vAlign w:val="center"/>
          </w:tcPr>
          <w:p w14:paraId="1C4D08A7">
            <w:pPr>
              <w:snapToGrid w:val="0"/>
              <w:jc w:val="center"/>
              <w:rPr>
                <w:rFonts w:ascii="宋体" w:hAnsi="宋体"/>
                <w:szCs w:val="21"/>
              </w:rPr>
            </w:pPr>
            <w:r>
              <w:rPr>
                <w:rFonts w:ascii="宋体" w:hAnsi="宋体"/>
                <w:szCs w:val="21"/>
              </w:rPr>
              <w:t>资质要求</w:t>
            </w:r>
          </w:p>
        </w:tc>
        <w:tc>
          <w:tcPr>
            <w:tcW w:w="5252" w:type="dxa"/>
            <w:vAlign w:val="center"/>
          </w:tcPr>
          <w:p w14:paraId="6B2EE382">
            <w:pPr>
              <w:snapToGrid w:val="0"/>
              <w:rPr>
                <w:rFonts w:ascii="宋体" w:hAnsi="宋体"/>
                <w:szCs w:val="21"/>
              </w:rPr>
            </w:pPr>
            <w:r>
              <w:rPr>
                <w:rFonts w:ascii="宋体" w:hAnsi="宋体"/>
                <w:szCs w:val="21"/>
              </w:rPr>
              <w:t>符合第二章“投标人须知”第1.4.1项规定</w:t>
            </w:r>
            <w:r>
              <w:rPr>
                <w:rFonts w:hint="eastAsia" w:ascii="宋体" w:hAnsi="宋体"/>
                <w:szCs w:val="21"/>
              </w:rPr>
              <w:t>。</w:t>
            </w:r>
          </w:p>
        </w:tc>
      </w:tr>
      <w:tr w14:paraId="707C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395FD7EA">
            <w:pPr>
              <w:rPr>
                <w:rFonts w:ascii="Times New Roman" w:hAnsi="Times New Roman"/>
              </w:rPr>
            </w:pPr>
          </w:p>
        </w:tc>
        <w:tc>
          <w:tcPr>
            <w:tcW w:w="1098" w:type="dxa"/>
            <w:vMerge w:val="continue"/>
            <w:vAlign w:val="center"/>
          </w:tcPr>
          <w:p w14:paraId="08DDEC24">
            <w:pPr>
              <w:snapToGrid w:val="0"/>
              <w:rPr>
                <w:rFonts w:ascii="宋体" w:hAnsi="宋体"/>
                <w:szCs w:val="21"/>
              </w:rPr>
            </w:pPr>
          </w:p>
        </w:tc>
        <w:tc>
          <w:tcPr>
            <w:tcW w:w="2132" w:type="dxa"/>
            <w:vAlign w:val="center"/>
          </w:tcPr>
          <w:p w14:paraId="4D42D3EB">
            <w:pPr>
              <w:snapToGrid w:val="0"/>
              <w:jc w:val="center"/>
              <w:rPr>
                <w:rFonts w:ascii="宋体" w:hAnsi="宋体"/>
                <w:szCs w:val="21"/>
              </w:rPr>
            </w:pPr>
            <w:r>
              <w:rPr>
                <w:rFonts w:hint="eastAsia" w:ascii="宋体" w:hAnsi="宋体"/>
                <w:szCs w:val="21"/>
              </w:rPr>
              <w:t>项目负责人</w:t>
            </w:r>
          </w:p>
        </w:tc>
        <w:tc>
          <w:tcPr>
            <w:tcW w:w="5252" w:type="dxa"/>
            <w:vAlign w:val="center"/>
          </w:tcPr>
          <w:p w14:paraId="086CBE43">
            <w:pPr>
              <w:snapToGrid w:val="0"/>
              <w:rPr>
                <w:rFonts w:ascii="宋体" w:hAnsi="宋体"/>
                <w:szCs w:val="21"/>
              </w:rPr>
            </w:pPr>
            <w:r>
              <w:rPr>
                <w:rFonts w:ascii="宋体" w:hAnsi="宋体"/>
                <w:szCs w:val="21"/>
              </w:rPr>
              <w:t>符合第二章“投标人须知”第1.4.1项规定</w:t>
            </w:r>
            <w:r>
              <w:rPr>
                <w:rFonts w:hint="eastAsia" w:ascii="宋体" w:hAnsi="宋体"/>
                <w:szCs w:val="21"/>
              </w:rPr>
              <w:t>。</w:t>
            </w:r>
          </w:p>
        </w:tc>
      </w:tr>
      <w:tr w14:paraId="5DA6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04506E0C">
            <w:pPr>
              <w:rPr>
                <w:rFonts w:ascii="Times New Roman" w:hAnsi="Times New Roman"/>
              </w:rPr>
            </w:pPr>
          </w:p>
        </w:tc>
        <w:tc>
          <w:tcPr>
            <w:tcW w:w="1098" w:type="dxa"/>
            <w:vMerge w:val="continue"/>
            <w:vAlign w:val="center"/>
          </w:tcPr>
          <w:p w14:paraId="55E90FAB">
            <w:pPr>
              <w:snapToGrid w:val="0"/>
              <w:rPr>
                <w:rFonts w:ascii="宋体" w:hAnsi="宋体"/>
                <w:szCs w:val="21"/>
              </w:rPr>
            </w:pPr>
          </w:p>
        </w:tc>
        <w:tc>
          <w:tcPr>
            <w:tcW w:w="2132" w:type="dxa"/>
            <w:vAlign w:val="center"/>
          </w:tcPr>
          <w:p w14:paraId="5878462C">
            <w:pPr>
              <w:snapToGrid w:val="0"/>
              <w:jc w:val="center"/>
              <w:rPr>
                <w:rFonts w:ascii="宋体" w:hAnsi="宋体"/>
                <w:szCs w:val="21"/>
              </w:rPr>
            </w:pPr>
            <w:r>
              <w:rPr>
                <w:rFonts w:ascii="宋体" w:hAnsi="宋体"/>
                <w:szCs w:val="21"/>
              </w:rPr>
              <w:t>其他要求</w:t>
            </w:r>
          </w:p>
        </w:tc>
        <w:tc>
          <w:tcPr>
            <w:tcW w:w="5252" w:type="dxa"/>
            <w:vAlign w:val="center"/>
          </w:tcPr>
          <w:p w14:paraId="203108D0">
            <w:pPr>
              <w:pStyle w:val="12"/>
            </w:pPr>
            <w:r>
              <w:rPr>
                <w:rFonts w:hint="eastAsia" w:hAnsi="宋体"/>
              </w:rPr>
              <w:t>符合第二章</w:t>
            </w:r>
            <w:r>
              <w:rPr>
                <w:rFonts w:hint="eastAsia"/>
              </w:rPr>
              <w:t>“</w:t>
            </w:r>
            <w:r>
              <w:rPr>
                <w:rFonts w:hint="eastAsia" w:hAnsi="宋体"/>
              </w:rPr>
              <w:t>投标人须知</w:t>
            </w:r>
            <w:r>
              <w:rPr>
                <w:rFonts w:hint="eastAsia"/>
              </w:rPr>
              <w:t>”</w:t>
            </w:r>
            <w:r>
              <w:rPr>
                <w:rFonts w:hint="eastAsia" w:hAnsi="宋体"/>
              </w:rPr>
              <w:t>第</w:t>
            </w:r>
            <w:r>
              <w:rPr>
                <w:rFonts w:hAnsi="宋体"/>
              </w:rPr>
              <w:t>1.4.1</w:t>
            </w:r>
            <w:r>
              <w:rPr>
                <w:rFonts w:hint="eastAsia" w:hAnsi="宋体"/>
              </w:rPr>
              <w:t>项规定。</w:t>
            </w:r>
          </w:p>
        </w:tc>
      </w:tr>
      <w:tr w14:paraId="0FCF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1180F704">
            <w:pPr>
              <w:rPr>
                <w:rFonts w:ascii="Times New Roman" w:hAnsi="Times New Roman"/>
              </w:rPr>
            </w:pPr>
          </w:p>
        </w:tc>
        <w:tc>
          <w:tcPr>
            <w:tcW w:w="1098" w:type="dxa"/>
            <w:vMerge w:val="continue"/>
            <w:vAlign w:val="center"/>
          </w:tcPr>
          <w:p w14:paraId="13F2A6F3">
            <w:pPr>
              <w:snapToGrid w:val="0"/>
              <w:rPr>
                <w:rFonts w:ascii="宋体" w:hAnsi="宋体"/>
                <w:szCs w:val="21"/>
              </w:rPr>
            </w:pPr>
          </w:p>
        </w:tc>
        <w:tc>
          <w:tcPr>
            <w:tcW w:w="2132" w:type="dxa"/>
            <w:vAlign w:val="center"/>
          </w:tcPr>
          <w:p w14:paraId="2AEFF315">
            <w:pPr>
              <w:snapToGrid w:val="0"/>
              <w:jc w:val="center"/>
              <w:rPr>
                <w:rFonts w:ascii="宋体" w:hAnsi="宋体"/>
                <w:szCs w:val="21"/>
              </w:rPr>
            </w:pPr>
            <w:r>
              <w:rPr>
                <w:rFonts w:ascii="宋体" w:hAnsi="宋体"/>
                <w:szCs w:val="21"/>
              </w:rPr>
              <w:t>联合体投标人</w:t>
            </w:r>
          </w:p>
        </w:tc>
        <w:tc>
          <w:tcPr>
            <w:tcW w:w="5252" w:type="dxa"/>
            <w:vAlign w:val="center"/>
          </w:tcPr>
          <w:p w14:paraId="70092055">
            <w:pPr>
              <w:snapToGrid w:val="0"/>
              <w:rPr>
                <w:rFonts w:hAnsi="Courier New" w:cs="Arial"/>
                <w:szCs w:val="21"/>
              </w:rPr>
            </w:pPr>
            <w:r>
              <w:rPr>
                <w:rFonts w:hint="eastAsia"/>
                <w:szCs w:val="21"/>
              </w:rPr>
              <w:t>本项目不接受联合体投标。</w:t>
            </w:r>
          </w:p>
        </w:tc>
      </w:tr>
      <w:tr w14:paraId="0E11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57DA04C7">
            <w:pPr>
              <w:rPr>
                <w:rFonts w:ascii="Times New Roman" w:hAnsi="Times New Roman"/>
              </w:rPr>
            </w:pPr>
          </w:p>
        </w:tc>
        <w:tc>
          <w:tcPr>
            <w:tcW w:w="1098" w:type="dxa"/>
            <w:vMerge w:val="continue"/>
            <w:vAlign w:val="center"/>
          </w:tcPr>
          <w:p w14:paraId="22B7D25C">
            <w:pPr>
              <w:rPr>
                <w:rFonts w:ascii="Times New Roman" w:hAnsi="Times New Roman"/>
              </w:rPr>
            </w:pPr>
          </w:p>
        </w:tc>
        <w:tc>
          <w:tcPr>
            <w:tcW w:w="2132" w:type="dxa"/>
            <w:vAlign w:val="center"/>
          </w:tcPr>
          <w:p w14:paraId="0A643DE9">
            <w:pPr>
              <w:snapToGrid w:val="0"/>
              <w:jc w:val="center"/>
              <w:rPr>
                <w:rFonts w:ascii="宋体" w:hAnsi="宋体"/>
                <w:szCs w:val="21"/>
              </w:rPr>
            </w:pPr>
            <w:r>
              <w:rPr>
                <w:rFonts w:ascii="宋体" w:hAnsi="宋体"/>
                <w:szCs w:val="21"/>
              </w:rPr>
              <w:t>不存在禁止投标的情形</w:t>
            </w:r>
          </w:p>
        </w:tc>
        <w:tc>
          <w:tcPr>
            <w:tcW w:w="5252" w:type="dxa"/>
            <w:vAlign w:val="center"/>
          </w:tcPr>
          <w:p w14:paraId="6F0EB25C">
            <w:pPr>
              <w:snapToGrid w:val="0"/>
              <w:rPr>
                <w:rFonts w:ascii="宋体" w:hAnsi="宋体"/>
                <w:szCs w:val="21"/>
              </w:rPr>
            </w:pPr>
            <w:r>
              <w:rPr>
                <w:rFonts w:ascii="宋体" w:hAnsi="宋体"/>
                <w:szCs w:val="21"/>
              </w:rPr>
              <w:t>不存在第二章“投标人须知”第1.4.3项规定的任何一种情形</w:t>
            </w:r>
            <w:r>
              <w:rPr>
                <w:rFonts w:hint="eastAsia" w:ascii="宋体" w:hAnsi="宋体" w:cs="宋体"/>
              </w:rPr>
              <w:t>（以《投标人声明》为准）</w:t>
            </w:r>
            <w:r>
              <w:rPr>
                <w:rFonts w:hint="eastAsia" w:ascii="宋体" w:hAnsi="宋体"/>
                <w:szCs w:val="21"/>
              </w:rPr>
              <w:t>。</w:t>
            </w:r>
          </w:p>
        </w:tc>
      </w:tr>
      <w:tr w14:paraId="21E7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restart"/>
            <w:vAlign w:val="center"/>
          </w:tcPr>
          <w:p w14:paraId="79DC62B2">
            <w:pPr>
              <w:jc w:val="center"/>
              <w:rPr>
                <w:rFonts w:ascii="Times New Roman" w:hAnsi="Times New Roman"/>
              </w:rPr>
            </w:pPr>
            <w:r>
              <w:rPr>
                <w:rFonts w:ascii="Times New Roman" w:hAnsi="Times New Roman"/>
              </w:rPr>
              <w:t>2.1.3</w:t>
            </w:r>
          </w:p>
        </w:tc>
        <w:tc>
          <w:tcPr>
            <w:tcW w:w="1098" w:type="dxa"/>
            <w:vMerge w:val="restart"/>
            <w:vAlign w:val="center"/>
          </w:tcPr>
          <w:p w14:paraId="436B1C48">
            <w:pPr>
              <w:jc w:val="center"/>
              <w:rPr>
                <w:rFonts w:ascii="Times New Roman" w:hAnsi="Times New Roman"/>
              </w:rPr>
            </w:pPr>
            <w:r>
              <w:rPr>
                <w:rFonts w:ascii="Times New Roman" w:hAnsi="Times New Roman"/>
              </w:rPr>
              <w:t>响应性评审标准</w:t>
            </w:r>
          </w:p>
        </w:tc>
        <w:tc>
          <w:tcPr>
            <w:tcW w:w="2132" w:type="dxa"/>
            <w:vAlign w:val="center"/>
          </w:tcPr>
          <w:p w14:paraId="4B02EBEF">
            <w:pPr>
              <w:snapToGrid w:val="0"/>
              <w:jc w:val="center"/>
              <w:rPr>
                <w:rFonts w:ascii="宋体" w:hAnsi="宋体"/>
                <w:szCs w:val="21"/>
              </w:rPr>
            </w:pPr>
            <w:r>
              <w:rPr>
                <w:rFonts w:ascii="宋体" w:hAnsi="宋体"/>
                <w:szCs w:val="21"/>
              </w:rPr>
              <w:t>投标报价</w:t>
            </w:r>
          </w:p>
        </w:tc>
        <w:tc>
          <w:tcPr>
            <w:tcW w:w="5252" w:type="dxa"/>
            <w:vAlign w:val="center"/>
          </w:tcPr>
          <w:p w14:paraId="2CA31A15">
            <w:pPr>
              <w:snapToGrid w:val="0"/>
              <w:rPr>
                <w:rFonts w:ascii="宋体" w:hAnsi="宋体"/>
                <w:szCs w:val="21"/>
              </w:rPr>
            </w:pPr>
            <w:r>
              <w:rPr>
                <w:rFonts w:ascii="宋体" w:hAnsi="宋体"/>
                <w:szCs w:val="21"/>
              </w:rPr>
              <w:t>符合第二章“投标人须知”第3.2款规定</w:t>
            </w:r>
            <w:r>
              <w:rPr>
                <w:rFonts w:hint="eastAsia" w:ascii="宋体" w:hAnsi="宋体"/>
                <w:szCs w:val="21"/>
              </w:rPr>
              <w:t>进行投标报价的；对同一招标项目没有出现两个或以上的投标报价，且修正无依据。</w:t>
            </w:r>
          </w:p>
        </w:tc>
      </w:tr>
      <w:tr w14:paraId="3019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0E5BDA3C">
            <w:pPr>
              <w:jc w:val="center"/>
              <w:rPr>
                <w:rFonts w:ascii="Times New Roman" w:hAnsi="Times New Roman"/>
              </w:rPr>
            </w:pPr>
          </w:p>
        </w:tc>
        <w:tc>
          <w:tcPr>
            <w:tcW w:w="1098" w:type="dxa"/>
            <w:vMerge w:val="continue"/>
            <w:vAlign w:val="center"/>
          </w:tcPr>
          <w:p w14:paraId="05DC9EA1">
            <w:pPr>
              <w:jc w:val="center"/>
              <w:rPr>
                <w:rFonts w:ascii="Times New Roman" w:hAnsi="Times New Roman"/>
              </w:rPr>
            </w:pPr>
          </w:p>
        </w:tc>
        <w:tc>
          <w:tcPr>
            <w:tcW w:w="2132" w:type="dxa"/>
            <w:vAlign w:val="center"/>
          </w:tcPr>
          <w:p w14:paraId="6726306C">
            <w:pPr>
              <w:snapToGrid w:val="0"/>
              <w:jc w:val="center"/>
              <w:rPr>
                <w:rFonts w:ascii="宋体" w:hAnsi="宋体"/>
                <w:szCs w:val="21"/>
              </w:rPr>
            </w:pPr>
            <w:r>
              <w:rPr>
                <w:rFonts w:ascii="宋体" w:hAnsi="宋体"/>
                <w:szCs w:val="21"/>
              </w:rPr>
              <w:t>投标内容</w:t>
            </w:r>
          </w:p>
        </w:tc>
        <w:tc>
          <w:tcPr>
            <w:tcW w:w="5252" w:type="dxa"/>
            <w:vAlign w:val="center"/>
          </w:tcPr>
          <w:p w14:paraId="7A1B2619">
            <w:pPr>
              <w:snapToGrid w:val="0"/>
              <w:jc w:val="left"/>
              <w:rPr>
                <w:rFonts w:ascii="宋体" w:hAnsi="宋体"/>
                <w:szCs w:val="21"/>
              </w:rPr>
            </w:pPr>
            <w:r>
              <w:rPr>
                <w:rFonts w:hint="eastAsia" w:ascii="宋体" w:hAnsi="宋体"/>
                <w:szCs w:val="21"/>
              </w:rPr>
              <w:t>符合第二章“投标人须知”第1.3.1项规定。</w:t>
            </w:r>
          </w:p>
        </w:tc>
      </w:tr>
      <w:tr w14:paraId="0BED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596362EB">
            <w:pPr>
              <w:jc w:val="center"/>
              <w:rPr>
                <w:rFonts w:ascii="Times New Roman" w:hAnsi="Times New Roman"/>
              </w:rPr>
            </w:pPr>
          </w:p>
        </w:tc>
        <w:tc>
          <w:tcPr>
            <w:tcW w:w="1098" w:type="dxa"/>
            <w:vMerge w:val="continue"/>
            <w:vAlign w:val="center"/>
          </w:tcPr>
          <w:p w14:paraId="3047EC86">
            <w:pPr>
              <w:jc w:val="center"/>
              <w:rPr>
                <w:rFonts w:ascii="Times New Roman" w:hAnsi="Times New Roman"/>
              </w:rPr>
            </w:pPr>
          </w:p>
        </w:tc>
        <w:tc>
          <w:tcPr>
            <w:tcW w:w="2132" w:type="dxa"/>
            <w:vAlign w:val="center"/>
          </w:tcPr>
          <w:p w14:paraId="601C350E">
            <w:pPr>
              <w:snapToGrid w:val="0"/>
              <w:jc w:val="center"/>
              <w:rPr>
                <w:rFonts w:ascii="宋体" w:hAnsi="宋体"/>
                <w:szCs w:val="21"/>
              </w:rPr>
            </w:pPr>
            <w:r>
              <w:rPr>
                <w:rFonts w:ascii="宋体" w:hAnsi="宋体"/>
                <w:szCs w:val="21"/>
              </w:rPr>
              <w:t>服务期限</w:t>
            </w:r>
          </w:p>
        </w:tc>
        <w:tc>
          <w:tcPr>
            <w:tcW w:w="5252" w:type="dxa"/>
            <w:vAlign w:val="center"/>
          </w:tcPr>
          <w:p w14:paraId="34D418F5">
            <w:pPr>
              <w:snapToGrid w:val="0"/>
              <w:jc w:val="left"/>
              <w:rPr>
                <w:rFonts w:ascii="宋体" w:hAnsi="宋体"/>
                <w:szCs w:val="21"/>
              </w:rPr>
            </w:pPr>
            <w:r>
              <w:rPr>
                <w:rFonts w:ascii="宋体" w:hAnsi="宋体"/>
                <w:szCs w:val="21"/>
              </w:rPr>
              <w:t>符合第二章“投标人须知”第1.3.2项规定</w:t>
            </w:r>
            <w:r>
              <w:rPr>
                <w:rFonts w:hint="eastAsia" w:ascii="宋体" w:hAnsi="宋体"/>
                <w:szCs w:val="21"/>
              </w:rPr>
              <w:t>。</w:t>
            </w:r>
          </w:p>
        </w:tc>
      </w:tr>
      <w:tr w14:paraId="17BB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03CB41C8">
            <w:pPr>
              <w:jc w:val="center"/>
              <w:rPr>
                <w:rFonts w:ascii="Times New Roman" w:hAnsi="Times New Roman"/>
              </w:rPr>
            </w:pPr>
          </w:p>
        </w:tc>
        <w:tc>
          <w:tcPr>
            <w:tcW w:w="1098" w:type="dxa"/>
            <w:vMerge w:val="continue"/>
            <w:vAlign w:val="center"/>
          </w:tcPr>
          <w:p w14:paraId="1F3DDD40">
            <w:pPr>
              <w:jc w:val="center"/>
              <w:rPr>
                <w:rFonts w:ascii="Times New Roman" w:hAnsi="Times New Roman"/>
              </w:rPr>
            </w:pPr>
          </w:p>
        </w:tc>
        <w:tc>
          <w:tcPr>
            <w:tcW w:w="2132" w:type="dxa"/>
            <w:vAlign w:val="center"/>
          </w:tcPr>
          <w:p w14:paraId="1C5837D5">
            <w:pPr>
              <w:snapToGrid w:val="0"/>
              <w:jc w:val="center"/>
              <w:rPr>
                <w:rFonts w:ascii="宋体" w:hAnsi="宋体"/>
                <w:szCs w:val="21"/>
              </w:rPr>
            </w:pPr>
            <w:r>
              <w:rPr>
                <w:rFonts w:hint="eastAsia" w:ascii="宋体" w:hAnsi="宋体"/>
                <w:szCs w:val="21"/>
              </w:rPr>
              <w:t>质量标准</w:t>
            </w:r>
          </w:p>
        </w:tc>
        <w:tc>
          <w:tcPr>
            <w:tcW w:w="5252" w:type="dxa"/>
            <w:vAlign w:val="center"/>
          </w:tcPr>
          <w:p w14:paraId="6EA361D4">
            <w:pPr>
              <w:snapToGrid w:val="0"/>
              <w:jc w:val="left"/>
              <w:rPr>
                <w:rFonts w:ascii="宋体" w:hAnsi="宋体"/>
                <w:szCs w:val="21"/>
              </w:rPr>
            </w:pPr>
            <w:r>
              <w:rPr>
                <w:rFonts w:hint="eastAsia" w:ascii="宋体" w:hAnsi="宋体"/>
                <w:szCs w:val="21"/>
              </w:rPr>
              <w:t>符合第二章“投标人须知”第1.3.3项规定。</w:t>
            </w:r>
          </w:p>
        </w:tc>
      </w:tr>
      <w:tr w14:paraId="736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31E89D9B">
            <w:pPr>
              <w:jc w:val="center"/>
              <w:rPr>
                <w:rFonts w:ascii="Times New Roman" w:hAnsi="Times New Roman"/>
              </w:rPr>
            </w:pPr>
          </w:p>
        </w:tc>
        <w:tc>
          <w:tcPr>
            <w:tcW w:w="1098" w:type="dxa"/>
            <w:vMerge w:val="continue"/>
            <w:vAlign w:val="center"/>
          </w:tcPr>
          <w:p w14:paraId="46C78EAE">
            <w:pPr>
              <w:jc w:val="center"/>
              <w:rPr>
                <w:rFonts w:ascii="Times New Roman" w:hAnsi="Times New Roman"/>
              </w:rPr>
            </w:pPr>
          </w:p>
        </w:tc>
        <w:tc>
          <w:tcPr>
            <w:tcW w:w="2132" w:type="dxa"/>
          </w:tcPr>
          <w:p w14:paraId="3202421A">
            <w:pPr>
              <w:snapToGrid w:val="0"/>
              <w:jc w:val="center"/>
              <w:rPr>
                <w:rFonts w:ascii="宋体" w:hAnsi="宋体"/>
                <w:szCs w:val="21"/>
              </w:rPr>
            </w:pPr>
            <w:r>
              <w:rPr>
                <w:rFonts w:ascii="宋体" w:hAnsi="宋体"/>
                <w:szCs w:val="21"/>
              </w:rPr>
              <w:t>投标有效期</w:t>
            </w:r>
          </w:p>
        </w:tc>
        <w:tc>
          <w:tcPr>
            <w:tcW w:w="5252" w:type="dxa"/>
          </w:tcPr>
          <w:p w14:paraId="53D36F4D">
            <w:pPr>
              <w:snapToGrid w:val="0"/>
              <w:rPr>
                <w:rFonts w:ascii="宋体" w:hAnsi="宋体"/>
                <w:szCs w:val="21"/>
              </w:rPr>
            </w:pPr>
            <w:r>
              <w:rPr>
                <w:rFonts w:hint="eastAsia" w:ascii="宋体" w:hAnsi="宋体"/>
                <w:szCs w:val="21"/>
              </w:rPr>
              <w:t>符合第二章“投标人须知”第3.3.1项规定。</w:t>
            </w:r>
          </w:p>
        </w:tc>
      </w:tr>
      <w:tr w14:paraId="5898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80" w:type="dxa"/>
            <w:gridSpan w:val="2"/>
            <w:vMerge w:val="continue"/>
            <w:vAlign w:val="center"/>
          </w:tcPr>
          <w:p w14:paraId="1666E170">
            <w:pPr>
              <w:rPr>
                <w:rFonts w:ascii="Times New Roman" w:hAnsi="Times New Roman"/>
              </w:rPr>
            </w:pPr>
          </w:p>
        </w:tc>
        <w:tc>
          <w:tcPr>
            <w:tcW w:w="1098" w:type="dxa"/>
            <w:vMerge w:val="continue"/>
            <w:vAlign w:val="center"/>
          </w:tcPr>
          <w:p w14:paraId="5F89CC73">
            <w:pPr>
              <w:rPr>
                <w:rFonts w:ascii="Times New Roman" w:hAnsi="Times New Roman"/>
              </w:rPr>
            </w:pPr>
          </w:p>
        </w:tc>
        <w:tc>
          <w:tcPr>
            <w:tcW w:w="2132" w:type="dxa"/>
          </w:tcPr>
          <w:p w14:paraId="21645484">
            <w:pPr>
              <w:snapToGrid w:val="0"/>
              <w:jc w:val="center"/>
              <w:rPr>
                <w:rFonts w:ascii="宋体" w:hAnsi="宋体"/>
                <w:szCs w:val="21"/>
              </w:rPr>
            </w:pPr>
            <w:r>
              <w:rPr>
                <w:rFonts w:hint="eastAsia" w:ascii="宋体" w:hAnsi="宋体"/>
                <w:szCs w:val="21"/>
              </w:rPr>
              <w:t>串通投标情形</w:t>
            </w:r>
          </w:p>
        </w:tc>
        <w:tc>
          <w:tcPr>
            <w:tcW w:w="5252" w:type="dxa"/>
          </w:tcPr>
          <w:p w14:paraId="0398F533">
            <w:pPr>
              <w:snapToGrid w:val="0"/>
              <w:jc w:val="left"/>
              <w:rPr>
                <w:rFonts w:ascii="宋体" w:hAnsi="宋体"/>
                <w:szCs w:val="21"/>
              </w:rPr>
            </w:pPr>
            <w:r>
              <w:rPr>
                <w:rFonts w:hint="eastAsia" w:ascii="宋体" w:hAnsi="宋体"/>
                <w:szCs w:val="21"/>
              </w:rPr>
              <w:t>不存在串通投标情形（串通投标情形以《中华人民共和国招标投标法实施条例》的规定为准）；</w:t>
            </w:r>
          </w:p>
        </w:tc>
      </w:tr>
      <w:tr w14:paraId="0FCB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4753C79C">
            <w:pPr>
              <w:snapToGrid w:val="0"/>
              <w:jc w:val="center"/>
              <w:rPr>
                <w:rFonts w:ascii="宋体" w:hAnsi="宋体"/>
                <w:b/>
                <w:szCs w:val="21"/>
              </w:rPr>
            </w:pPr>
            <w:r>
              <w:rPr>
                <w:rFonts w:ascii="宋体" w:hAnsi="宋体"/>
                <w:b/>
                <w:szCs w:val="21"/>
              </w:rPr>
              <w:t>条款号</w:t>
            </w:r>
          </w:p>
        </w:tc>
        <w:tc>
          <w:tcPr>
            <w:tcW w:w="2132" w:type="dxa"/>
            <w:vAlign w:val="center"/>
          </w:tcPr>
          <w:p w14:paraId="18E1B5D0">
            <w:pPr>
              <w:snapToGrid w:val="0"/>
              <w:jc w:val="center"/>
              <w:rPr>
                <w:rFonts w:ascii="宋体" w:hAnsi="宋体"/>
                <w:b/>
                <w:szCs w:val="21"/>
              </w:rPr>
            </w:pPr>
            <w:r>
              <w:rPr>
                <w:rFonts w:ascii="宋体" w:hAnsi="宋体"/>
                <w:b/>
                <w:szCs w:val="21"/>
              </w:rPr>
              <w:t>条款内容</w:t>
            </w:r>
          </w:p>
        </w:tc>
        <w:tc>
          <w:tcPr>
            <w:tcW w:w="5252" w:type="dxa"/>
            <w:vAlign w:val="center"/>
          </w:tcPr>
          <w:p w14:paraId="5A75B783">
            <w:pPr>
              <w:snapToGrid w:val="0"/>
              <w:jc w:val="center"/>
              <w:rPr>
                <w:rFonts w:ascii="宋体" w:hAnsi="宋体"/>
                <w:b/>
                <w:szCs w:val="21"/>
              </w:rPr>
            </w:pPr>
            <w:r>
              <w:rPr>
                <w:rFonts w:ascii="宋体" w:hAnsi="宋体"/>
                <w:b/>
                <w:szCs w:val="21"/>
              </w:rPr>
              <w:t>编列内容</w:t>
            </w:r>
          </w:p>
        </w:tc>
      </w:tr>
      <w:tr w14:paraId="0A5D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171813DC">
            <w:pPr>
              <w:jc w:val="center"/>
              <w:rPr>
                <w:rFonts w:ascii="Times New Roman" w:hAnsi="Times New Roman"/>
              </w:rPr>
            </w:pPr>
            <w:bookmarkStart w:id="987" w:name="_Hlk136184014"/>
            <w:r>
              <w:rPr>
                <w:rFonts w:ascii="Times New Roman" w:hAnsi="Times New Roman"/>
              </w:rPr>
              <w:t>2.2.1</w:t>
            </w:r>
          </w:p>
        </w:tc>
        <w:tc>
          <w:tcPr>
            <w:tcW w:w="2132" w:type="dxa"/>
            <w:vAlign w:val="center"/>
          </w:tcPr>
          <w:p w14:paraId="23287A3E">
            <w:pPr>
              <w:snapToGrid w:val="0"/>
              <w:jc w:val="center"/>
              <w:rPr>
                <w:rFonts w:ascii="宋体" w:hAnsi="宋体"/>
                <w:szCs w:val="21"/>
              </w:rPr>
            </w:pPr>
            <w:r>
              <w:rPr>
                <w:rFonts w:ascii="宋体" w:hAnsi="宋体"/>
                <w:szCs w:val="21"/>
              </w:rPr>
              <w:t>分值构成</w:t>
            </w:r>
          </w:p>
          <w:p w14:paraId="591F3BB0">
            <w:pPr>
              <w:snapToGrid w:val="0"/>
              <w:jc w:val="center"/>
              <w:rPr>
                <w:rFonts w:ascii="宋体" w:hAnsi="宋体"/>
                <w:szCs w:val="21"/>
              </w:rPr>
            </w:pPr>
            <w:r>
              <w:rPr>
                <w:rFonts w:ascii="宋体" w:hAnsi="宋体"/>
                <w:szCs w:val="21"/>
              </w:rPr>
              <w:t>(总分100分)</w:t>
            </w:r>
          </w:p>
        </w:tc>
        <w:tc>
          <w:tcPr>
            <w:tcW w:w="5252" w:type="dxa"/>
            <w:vAlign w:val="center"/>
          </w:tcPr>
          <w:p w14:paraId="79F5DDE1">
            <w:pPr>
              <w:jc w:val="left"/>
            </w:pPr>
            <w:r>
              <w:t>资信业绩部分：</w:t>
            </w:r>
            <w:r>
              <w:rPr>
                <w:rFonts w:hint="eastAsia"/>
              </w:rPr>
              <w:t>45</w:t>
            </w:r>
            <w:r>
              <w:t>分</w:t>
            </w:r>
          </w:p>
          <w:p w14:paraId="6B2A408D">
            <w:pPr>
              <w:jc w:val="left"/>
            </w:pPr>
            <w:r>
              <w:rPr>
                <w:rFonts w:hint="eastAsia"/>
              </w:rPr>
              <w:t>技术服务方案部分</w:t>
            </w:r>
            <w:r>
              <w:t>：</w:t>
            </w:r>
            <w:r>
              <w:rPr>
                <w:rFonts w:hint="eastAsia"/>
              </w:rPr>
              <w:t>45</w:t>
            </w:r>
            <w:r>
              <w:t>分</w:t>
            </w:r>
          </w:p>
          <w:p w14:paraId="3F617B78">
            <w:pPr>
              <w:jc w:val="left"/>
            </w:pPr>
            <w:r>
              <w:t>投标报价：</w:t>
            </w:r>
            <w:r>
              <w:rPr>
                <w:rFonts w:hint="eastAsia"/>
              </w:rPr>
              <w:t>10</w:t>
            </w:r>
            <w:r>
              <w:t>分</w:t>
            </w:r>
          </w:p>
          <w:p w14:paraId="53F641D2">
            <w:pPr>
              <w:jc w:val="left"/>
            </w:pPr>
            <w:r>
              <w:rPr>
                <w:rFonts w:hint="eastAsia"/>
              </w:rPr>
              <w:t>投标人得分＝资信业绩部分+技术服务方案部分+投标报价</w:t>
            </w:r>
          </w:p>
          <w:p w14:paraId="7F09EDA2">
            <w:pPr>
              <w:jc w:val="left"/>
            </w:pPr>
            <w:r>
              <w:rPr>
                <w:rFonts w:hint="eastAsia"/>
              </w:rPr>
              <w:t>资信业绩、技术服务方案部分得分为各评委的评分汇总后的算术平均分（分数出现小数点时，保留小数点后二位，第三位小数四舍五入）。</w:t>
            </w:r>
          </w:p>
        </w:tc>
      </w:tr>
      <w:tr w14:paraId="698C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13B00793">
            <w:pPr>
              <w:jc w:val="center"/>
              <w:rPr>
                <w:rFonts w:ascii="Times New Roman" w:hAnsi="Times New Roman"/>
              </w:rPr>
            </w:pPr>
            <w:r>
              <w:rPr>
                <w:rFonts w:ascii="Times New Roman" w:hAnsi="Times New Roman"/>
              </w:rPr>
              <w:t>2.2.2</w:t>
            </w:r>
          </w:p>
        </w:tc>
        <w:tc>
          <w:tcPr>
            <w:tcW w:w="2132" w:type="dxa"/>
            <w:vAlign w:val="center"/>
          </w:tcPr>
          <w:p w14:paraId="48CAF310">
            <w:pPr>
              <w:snapToGrid w:val="0"/>
              <w:jc w:val="left"/>
              <w:rPr>
                <w:rFonts w:ascii="宋体" w:hAnsi="宋体"/>
                <w:szCs w:val="21"/>
              </w:rPr>
            </w:pPr>
            <w:r>
              <w:rPr>
                <w:rFonts w:ascii="宋体" w:hAnsi="宋体"/>
                <w:szCs w:val="21"/>
              </w:rPr>
              <w:t>评标基准价计算方法</w:t>
            </w:r>
          </w:p>
        </w:tc>
        <w:tc>
          <w:tcPr>
            <w:tcW w:w="5252" w:type="dxa"/>
            <w:vAlign w:val="center"/>
          </w:tcPr>
          <w:p w14:paraId="6019469A">
            <w:pPr>
              <w:rPr>
                <w:rFonts w:ascii="宋体" w:hAnsi="宋体"/>
                <w:spacing w:val="-3"/>
              </w:rPr>
            </w:pPr>
            <w:r>
              <w:rPr>
                <w:rFonts w:hint="eastAsia" w:ascii="宋体" w:hAnsi="宋体"/>
                <w:spacing w:val="-3"/>
              </w:rPr>
              <w:t>通过初步评审且经算术校核后投标报价位于[投标最高限价×90%，投标最高限价]区间的投标人家数小于5家的，所有区间内投标人报价的算术平均值为评标基准价；当通过初步评审且经算术校核后投标报价位于[投标最高限价×90%，投标最高限价]区间的投标人家数大于或等于5家的，所有区间内投标人报价去掉一个最高价和一个最低价后，剩余投标报价的算术平均值为评标基准价。</w:t>
            </w:r>
          </w:p>
        </w:tc>
      </w:tr>
      <w:tr w14:paraId="3EBF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gridSpan w:val="3"/>
            <w:vAlign w:val="center"/>
          </w:tcPr>
          <w:p w14:paraId="75616DE5">
            <w:pPr>
              <w:jc w:val="center"/>
              <w:rPr>
                <w:rFonts w:ascii="Times New Roman" w:hAnsi="Times New Roman"/>
              </w:rPr>
            </w:pPr>
            <w:r>
              <w:rPr>
                <w:rFonts w:ascii="Times New Roman" w:hAnsi="Times New Roman"/>
              </w:rPr>
              <w:t>2.2.3</w:t>
            </w:r>
          </w:p>
        </w:tc>
        <w:tc>
          <w:tcPr>
            <w:tcW w:w="2132" w:type="dxa"/>
            <w:vAlign w:val="center"/>
          </w:tcPr>
          <w:p w14:paraId="69B9D938">
            <w:pPr>
              <w:snapToGrid w:val="0"/>
              <w:jc w:val="center"/>
              <w:rPr>
                <w:rFonts w:ascii="Times New Roman" w:hAnsi="Times New Roman"/>
              </w:rPr>
            </w:pPr>
            <w:r>
              <w:rPr>
                <w:rFonts w:ascii="宋体" w:hAnsi="宋体"/>
                <w:szCs w:val="21"/>
              </w:rPr>
              <w:t>投标报价的偏差率计算公式</w:t>
            </w:r>
          </w:p>
        </w:tc>
        <w:tc>
          <w:tcPr>
            <w:tcW w:w="5252" w:type="dxa"/>
            <w:vAlign w:val="center"/>
          </w:tcPr>
          <w:p w14:paraId="08A28B3E">
            <w:pPr>
              <w:snapToGrid w:val="0"/>
              <w:jc w:val="left"/>
              <w:rPr>
                <w:rFonts w:ascii="宋体" w:hAnsi="宋体"/>
                <w:spacing w:val="-3"/>
              </w:rPr>
            </w:pPr>
            <w:r>
              <w:rPr>
                <w:rFonts w:ascii="宋体" w:hAnsi="宋体"/>
                <w:spacing w:val="-3"/>
              </w:rPr>
              <w:t>偏差率=100% ×|（投标人报价-评标基准价）|/评标基准价（偏差率出现小数点时，保留小数点后2位，第三位小数四舍五入。</w:t>
            </w:r>
            <w:r>
              <w:rPr>
                <w:rFonts w:hint="eastAsia" w:ascii="宋体" w:hAnsi="宋体"/>
                <w:spacing w:val="-3"/>
              </w:rPr>
              <w:t>）</w:t>
            </w:r>
          </w:p>
        </w:tc>
      </w:tr>
      <w:tr w14:paraId="062F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978" w:type="dxa"/>
            <w:gridSpan w:val="3"/>
          </w:tcPr>
          <w:p w14:paraId="22F4E664">
            <w:pPr>
              <w:pStyle w:val="29"/>
              <w:kinsoku w:val="0"/>
              <w:overflowPunct w:val="0"/>
              <w:spacing w:before="71"/>
              <w:ind w:right="309"/>
              <w:jc w:val="center"/>
              <w:rPr>
                <w:rFonts w:hint="default"/>
              </w:rPr>
            </w:pPr>
            <w:r>
              <w:rPr>
                <w:rFonts w:ascii="宋体" w:hAnsi="宋体"/>
              </w:rPr>
              <w:t>条款号</w:t>
            </w:r>
          </w:p>
        </w:tc>
        <w:tc>
          <w:tcPr>
            <w:tcW w:w="2132" w:type="dxa"/>
          </w:tcPr>
          <w:p w14:paraId="0C4A053A">
            <w:pPr>
              <w:pStyle w:val="29"/>
              <w:kinsoku w:val="0"/>
              <w:overflowPunct w:val="0"/>
              <w:spacing w:before="71"/>
              <w:rPr>
                <w:rFonts w:hint="default"/>
              </w:rPr>
            </w:pPr>
            <w:r>
              <w:rPr>
                <w:rFonts w:ascii="宋体" w:hAnsi="宋体"/>
              </w:rPr>
              <w:t>评分因素（偏差率）</w:t>
            </w:r>
          </w:p>
        </w:tc>
        <w:tc>
          <w:tcPr>
            <w:tcW w:w="5252" w:type="dxa"/>
          </w:tcPr>
          <w:p w14:paraId="6EC3B6BE">
            <w:pPr>
              <w:pStyle w:val="29"/>
              <w:kinsoku w:val="0"/>
              <w:overflowPunct w:val="0"/>
              <w:spacing w:before="71"/>
              <w:ind w:left="1895" w:right="1655"/>
              <w:jc w:val="center"/>
              <w:rPr>
                <w:rFonts w:hint="default"/>
              </w:rPr>
            </w:pPr>
            <w:r>
              <w:rPr>
                <w:rFonts w:ascii="宋体" w:hAnsi="宋体"/>
              </w:rPr>
              <w:t xml:space="preserve">评分标准   </w:t>
            </w:r>
          </w:p>
        </w:tc>
      </w:tr>
      <w:tr w14:paraId="5624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91" w:type="dxa"/>
            <w:vMerge w:val="restart"/>
            <w:vAlign w:val="center"/>
          </w:tcPr>
          <w:p w14:paraId="46EC6FB5">
            <w:pPr>
              <w:pStyle w:val="29"/>
              <w:kinsoku w:val="0"/>
              <w:overflowPunct w:val="0"/>
              <w:ind w:left="-63" w:leftChars="-30" w:right="-111" w:rightChars="-53" w:firstLine="63" w:firstLineChars="30"/>
              <w:jc w:val="center"/>
              <w:rPr>
                <w:rFonts w:hint="default" w:eastAsia="Times New Roman"/>
              </w:rPr>
            </w:pPr>
            <w:r>
              <w:rPr>
                <w:rFonts w:eastAsia="Times New Roman"/>
              </w:rPr>
              <w:t>2.2.4</w:t>
            </w:r>
          </w:p>
          <w:p w14:paraId="0EC63026">
            <w:pPr>
              <w:pStyle w:val="29"/>
              <w:kinsoku w:val="0"/>
              <w:overflowPunct w:val="0"/>
              <w:spacing w:before="6" w:line="110" w:lineRule="exact"/>
              <w:ind w:left="-63" w:leftChars="-30" w:right="-111" w:rightChars="-53" w:firstLine="33" w:firstLineChars="30"/>
              <w:jc w:val="center"/>
              <w:rPr>
                <w:rFonts w:hint="default"/>
                <w:sz w:val="11"/>
              </w:rPr>
            </w:pPr>
          </w:p>
          <w:p w14:paraId="0102E281">
            <w:pPr>
              <w:pStyle w:val="29"/>
              <w:kinsoku w:val="0"/>
              <w:overflowPunct w:val="0"/>
              <w:ind w:left="-63" w:leftChars="-30" w:right="-111" w:rightChars="-53" w:firstLine="62" w:firstLineChars="30"/>
              <w:jc w:val="center"/>
              <w:rPr>
                <w:rFonts w:hint="default"/>
              </w:rPr>
            </w:pPr>
            <w:r>
              <w:rPr>
                <w:rFonts w:ascii="宋体" w:hAnsi="宋体"/>
                <w:spacing w:val="-1"/>
              </w:rPr>
              <w:t>（</w:t>
            </w:r>
            <w:r>
              <w:rPr>
                <w:rFonts w:eastAsia="Times New Roman"/>
              </w:rPr>
              <w:t>1</w:t>
            </w:r>
            <w:r>
              <w:rPr>
                <w:rFonts w:ascii="宋体" w:hAnsi="宋体"/>
              </w:rPr>
              <w:t>）</w:t>
            </w:r>
          </w:p>
        </w:tc>
        <w:tc>
          <w:tcPr>
            <w:tcW w:w="1287" w:type="dxa"/>
            <w:gridSpan w:val="2"/>
            <w:vMerge w:val="restart"/>
            <w:vAlign w:val="center"/>
          </w:tcPr>
          <w:p w14:paraId="3A20543B">
            <w:pPr>
              <w:ind w:left="315" w:hanging="315" w:hangingChars="150"/>
              <w:jc w:val="center"/>
              <w:rPr>
                <w:rFonts w:ascii="宋体" w:hAnsi="宋体"/>
              </w:rPr>
            </w:pPr>
            <w:r>
              <w:rPr>
                <w:rFonts w:hint="eastAsia" w:ascii="宋体" w:hAnsi="宋体"/>
              </w:rPr>
              <w:t>资信</w:t>
            </w:r>
            <w:r>
              <w:rPr>
                <w:rFonts w:hint="eastAsia" w:ascii="宋体" w:hAnsi="宋体"/>
                <w:spacing w:val="-3"/>
              </w:rPr>
              <w:t>业</w:t>
            </w:r>
            <w:r>
              <w:rPr>
                <w:rFonts w:hint="eastAsia" w:ascii="宋体" w:hAnsi="宋体"/>
              </w:rPr>
              <w:t>绩</w:t>
            </w:r>
          </w:p>
          <w:p w14:paraId="0C83C7EF">
            <w:pPr>
              <w:ind w:left="315" w:hanging="315" w:hangingChars="150"/>
              <w:jc w:val="center"/>
              <w:rPr>
                <w:rFonts w:ascii="宋体" w:hAnsi="宋体"/>
              </w:rPr>
            </w:pPr>
            <w:r>
              <w:rPr>
                <w:rFonts w:hint="eastAsia" w:ascii="宋体" w:hAnsi="宋体"/>
              </w:rPr>
              <w:t>评分</w:t>
            </w:r>
            <w:r>
              <w:rPr>
                <w:rFonts w:hint="eastAsia" w:ascii="宋体" w:hAnsi="宋体"/>
                <w:spacing w:val="-3"/>
              </w:rPr>
              <w:t>标</w:t>
            </w:r>
            <w:r>
              <w:rPr>
                <w:rFonts w:hint="eastAsia" w:ascii="宋体" w:hAnsi="宋体"/>
              </w:rPr>
              <w:t>准</w:t>
            </w:r>
          </w:p>
          <w:p w14:paraId="1D48C376">
            <w:pPr>
              <w:pStyle w:val="29"/>
              <w:kinsoku w:val="0"/>
              <w:overflowPunct w:val="0"/>
              <w:spacing w:line="342" w:lineRule="auto"/>
              <w:ind w:left="-115" w:leftChars="-55" w:right="-122" w:rightChars="-58"/>
              <w:jc w:val="center"/>
              <w:rPr>
                <w:rFonts w:hint="default"/>
              </w:rPr>
            </w:pPr>
            <w:r>
              <w:rPr>
                <w:rFonts w:ascii="宋体" w:hAnsi="宋体"/>
              </w:rPr>
              <w:t>（45分）</w:t>
            </w:r>
          </w:p>
        </w:tc>
        <w:tc>
          <w:tcPr>
            <w:tcW w:w="2132" w:type="dxa"/>
            <w:vAlign w:val="center"/>
          </w:tcPr>
          <w:p w14:paraId="0F4EFD31">
            <w:pPr>
              <w:topLinePunct/>
              <w:spacing w:line="360" w:lineRule="auto"/>
              <w:jc w:val="center"/>
              <w:rPr>
                <w:rFonts w:ascii="宋体" w:hAnsi="宋体" w:cs="宋体"/>
                <w:szCs w:val="21"/>
              </w:rPr>
            </w:pPr>
            <w:r>
              <w:rPr>
                <w:rFonts w:hint="eastAsia"/>
              </w:rPr>
              <w:t>同类项目经验（</w:t>
            </w:r>
            <w:r>
              <w:t>12</w:t>
            </w:r>
            <w:r>
              <w:rPr>
                <w:rFonts w:hint="eastAsia"/>
              </w:rPr>
              <w:t>分）</w:t>
            </w:r>
          </w:p>
        </w:tc>
        <w:tc>
          <w:tcPr>
            <w:tcW w:w="5252" w:type="dxa"/>
            <w:vAlign w:val="center"/>
          </w:tcPr>
          <w:p w14:paraId="239FE5C3">
            <w:pPr>
              <w:snapToGrid w:val="0"/>
              <w:spacing w:line="360" w:lineRule="auto"/>
              <w:jc w:val="left"/>
            </w:pPr>
            <w:r>
              <w:rPr>
                <w:rFonts w:hint="eastAsia"/>
              </w:rPr>
              <w:t>1.2022年1月1日至今承接过类似项目的，每个项目得</w:t>
            </w:r>
            <w:r>
              <w:t>2</w:t>
            </w:r>
            <w:r>
              <w:rPr>
                <w:rFonts w:hint="eastAsia"/>
              </w:rPr>
              <w:t>分，本项最高得</w:t>
            </w:r>
            <w:r>
              <w:t>12</w:t>
            </w:r>
            <w:r>
              <w:rPr>
                <w:rFonts w:hint="eastAsia"/>
              </w:rPr>
              <w:t>分。</w:t>
            </w:r>
          </w:p>
          <w:p w14:paraId="3ABE7C7F">
            <w:pPr>
              <w:snapToGrid w:val="0"/>
              <w:spacing w:line="360" w:lineRule="auto"/>
              <w:jc w:val="left"/>
            </w:pPr>
            <w:r>
              <w:rPr>
                <w:rFonts w:hint="eastAsia"/>
              </w:rPr>
              <w:t>注：（1）类似项目是指固体废物清理处置或土壤修复后的效果评估项目。</w:t>
            </w:r>
          </w:p>
          <w:p w14:paraId="73A4029A">
            <w:pPr>
              <w:snapToGrid w:val="0"/>
              <w:spacing w:line="360" w:lineRule="auto"/>
              <w:jc w:val="left"/>
              <w:rPr>
                <w:rFonts w:ascii="宋体" w:hAnsi="宋体" w:cs="宋体"/>
                <w:szCs w:val="21"/>
              </w:rPr>
            </w:pPr>
            <w:r>
              <w:rPr>
                <w:rFonts w:hint="eastAsia"/>
              </w:rPr>
              <w:t>（2）需提供合同关键页（含合同项目名称、合同服务内容、与含签订合同双方的落款盖章、签订日期）扫描件，时间以合同签订日期为准。</w:t>
            </w:r>
          </w:p>
        </w:tc>
      </w:tr>
      <w:tr w14:paraId="272A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91" w:type="dxa"/>
            <w:vMerge w:val="continue"/>
          </w:tcPr>
          <w:p w14:paraId="5E62B534">
            <w:pPr>
              <w:pStyle w:val="29"/>
              <w:kinsoku w:val="0"/>
              <w:overflowPunct w:val="0"/>
              <w:ind w:left="-63" w:leftChars="-30" w:right="-111" w:rightChars="-53" w:firstLine="63" w:firstLineChars="30"/>
              <w:jc w:val="center"/>
              <w:rPr>
                <w:rFonts w:hint="default"/>
              </w:rPr>
            </w:pPr>
          </w:p>
        </w:tc>
        <w:tc>
          <w:tcPr>
            <w:tcW w:w="1287" w:type="dxa"/>
            <w:gridSpan w:val="2"/>
            <w:vMerge w:val="continue"/>
          </w:tcPr>
          <w:p w14:paraId="5CAFFAFD">
            <w:pPr>
              <w:pStyle w:val="29"/>
              <w:kinsoku w:val="0"/>
              <w:overflowPunct w:val="0"/>
              <w:ind w:left="-115" w:leftChars="-55" w:right="-122" w:rightChars="-58"/>
              <w:jc w:val="center"/>
              <w:rPr>
                <w:rFonts w:hint="default"/>
              </w:rPr>
            </w:pPr>
          </w:p>
        </w:tc>
        <w:tc>
          <w:tcPr>
            <w:tcW w:w="2132" w:type="dxa"/>
            <w:vMerge w:val="restart"/>
            <w:vAlign w:val="center"/>
          </w:tcPr>
          <w:p w14:paraId="72136934">
            <w:pPr>
              <w:topLinePunct/>
              <w:spacing w:line="360" w:lineRule="auto"/>
              <w:jc w:val="center"/>
            </w:pPr>
            <w:r>
              <w:rPr>
                <w:rFonts w:hint="eastAsia"/>
              </w:rPr>
              <w:t>拟投入人员情况（18分）</w:t>
            </w:r>
          </w:p>
        </w:tc>
        <w:tc>
          <w:tcPr>
            <w:tcW w:w="5252" w:type="dxa"/>
            <w:vAlign w:val="center"/>
          </w:tcPr>
          <w:p w14:paraId="7A2D092A">
            <w:pPr>
              <w:snapToGrid w:val="0"/>
              <w:spacing w:line="360" w:lineRule="auto"/>
              <w:jc w:val="left"/>
            </w:pPr>
            <w:r>
              <w:rPr>
                <w:rFonts w:hint="eastAsia"/>
              </w:rPr>
              <w:t>1.项目负责人（8分）：</w:t>
            </w:r>
          </w:p>
          <w:p w14:paraId="0C7B861B">
            <w:pPr>
              <w:snapToGrid w:val="0"/>
              <w:spacing w:line="360" w:lineRule="auto"/>
              <w:jc w:val="left"/>
            </w:pPr>
            <w:r>
              <w:rPr>
                <w:rFonts w:hint="eastAsia"/>
              </w:rPr>
              <w:t>（1）具有环境保护相关专业正高级工程师的，得2分；具有环境保护相关专业高级工程师的，得1分；本小项最高得2分；</w:t>
            </w:r>
          </w:p>
          <w:p w14:paraId="68A0AAA2">
            <w:pPr>
              <w:snapToGrid w:val="0"/>
              <w:spacing w:line="360" w:lineRule="auto"/>
              <w:jc w:val="left"/>
            </w:pPr>
            <w:bookmarkStart w:id="988" w:name="OLE_LINK2"/>
            <w:bookmarkStart w:id="989" w:name="OLE_LINK3"/>
            <w:r>
              <w:rPr>
                <w:rFonts w:hint="eastAsia"/>
              </w:rPr>
              <w:t>（2）具备以下执业资格证书：注册环保工程师、注册安全工程师、注册环评工程师，每个证书得2分，本项最高得</w:t>
            </w:r>
            <w:r>
              <w:t>6</w:t>
            </w:r>
            <w:r>
              <w:rPr>
                <w:rFonts w:hint="eastAsia"/>
              </w:rPr>
              <w:t>分。</w:t>
            </w:r>
          </w:p>
          <w:bookmarkEnd w:id="988"/>
          <w:bookmarkEnd w:id="989"/>
          <w:p w14:paraId="03E50E72">
            <w:pPr>
              <w:snapToGrid w:val="0"/>
              <w:spacing w:line="360" w:lineRule="auto"/>
              <w:jc w:val="left"/>
              <w:rPr>
                <w:rFonts w:ascii="宋体" w:hAnsi="宋体" w:cs="宋体"/>
                <w:szCs w:val="21"/>
              </w:rPr>
            </w:pPr>
            <w:r>
              <w:rPr>
                <w:rFonts w:hint="eastAsia"/>
              </w:rPr>
              <w:t>注：提供项目负责人职称证、资格证书或注册证书及2025年</w:t>
            </w:r>
            <w:r>
              <w:rPr>
                <w:rFonts w:hint="eastAsia"/>
                <w:lang w:val="en-US" w:eastAsia="zh-CN"/>
              </w:rPr>
              <w:t>10</w:t>
            </w:r>
            <w:r>
              <w:rPr>
                <w:rFonts w:hint="eastAsia"/>
              </w:rPr>
              <w:t>月的社保缴纳证明材料扫描件。</w:t>
            </w:r>
          </w:p>
        </w:tc>
      </w:tr>
      <w:tr w14:paraId="2B9A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249F184C">
            <w:pPr>
              <w:pStyle w:val="29"/>
              <w:kinsoku w:val="0"/>
              <w:overflowPunct w:val="0"/>
              <w:ind w:left="-63" w:leftChars="-30" w:right="-111" w:rightChars="-53" w:firstLine="63" w:firstLineChars="30"/>
              <w:jc w:val="center"/>
              <w:rPr>
                <w:rFonts w:hint="default"/>
              </w:rPr>
            </w:pPr>
          </w:p>
        </w:tc>
        <w:tc>
          <w:tcPr>
            <w:tcW w:w="1287" w:type="dxa"/>
            <w:gridSpan w:val="2"/>
            <w:vMerge w:val="continue"/>
          </w:tcPr>
          <w:p w14:paraId="48763E51">
            <w:pPr>
              <w:pStyle w:val="29"/>
              <w:kinsoku w:val="0"/>
              <w:overflowPunct w:val="0"/>
              <w:ind w:left="-115" w:leftChars="-55" w:right="-122" w:rightChars="-58"/>
              <w:jc w:val="center"/>
              <w:rPr>
                <w:rFonts w:hint="default"/>
              </w:rPr>
            </w:pPr>
          </w:p>
        </w:tc>
        <w:tc>
          <w:tcPr>
            <w:tcW w:w="2132" w:type="dxa"/>
            <w:vMerge w:val="continue"/>
            <w:vAlign w:val="center"/>
          </w:tcPr>
          <w:p w14:paraId="16EFBEFA">
            <w:pPr>
              <w:snapToGrid w:val="0"/>
              <w:spacing w:line="360" w:lineRule="auto"/>
              <w:jc w:val="left"/>
              <w:rPr>
                <w:rFonts w:ascii="宋体" w:hAnsi="宋体" w:cs="宋体"/>
                <w:szCs w:val="21"/>
              </w:rPr>
            </w:pPr>
          </w:p>
        </w:tc>
        <w:tc>
          <w:tcPr>
            <w:tcW w:w="5252" w:type="dxa"/>
            <w:vAlign w:val="center"/>
          </w:tcPr>
          <w:p w14:paraId="06821B6F">
            <w:pPr>
              <w:snapToGrid w:val="0"/>
              <w:spacing w:line="360" w:lineRule="auto"/>
              <w:jc w:val="left"/>
            </w:pPr>
            <w:r>
              <w:rPr>
                <w:rFonts w:hint="eastAsia"/>
              </w:rPr>
              <w:t>2.技术负责人（4分）：</w:t>
            </w:r>
          </w:p>
          <w:p w14:paraId="0E17C926">
            <w:pPr>
              <w:snapToGrid w:val="0"/>
              <w:spacing w:line="360" w:lineRule="auto"/>
              <w:jc w:val="left"/>
            </w:pPr>
            <w:r>
              <w:rPr>
                <w:rFonts w:hint="eastAsia"/>
              </w:rPr>
              <w:t>（1）具备环境保护相关专业正高级工程师职称的，得2分；具有环境保护相关专业高级工程师的，得1分。本小项最高得2分。</w:t>
            </w:r>
          </w:p>
          <w:p w14:paraId="1FD4C13B">
            <w:pPr>
              <w:snapToGrid w:val="0"/>
              <w:spacing w:line="360" w:lineRule="auto"/>
              <w:jc w:val="left"/>
            </w:pPr>
            <w:r>
              <w:rPr>
                <w:rFonts w:hint="eastAsia"/>
              </w:rPr>
              <w:t>（2）具备注册环保工程师执业资格证书得</w:t>
            </w:r>
            <w:r>
              <w:t>2</w:t>
            </w:r>
            <w:r>
              <w:rPr>
                <w:rFonts w:hint="eastAsia"/>
              </w:rPr>
              <w:t>分。</w:t>
            </w:r>
          </w:p>
          <w:p w14:paraId="2241BC7F">
            <w:pPr>
              <w:snapToGrid w:val="0"/>
              <w:spacing w:line="360" w:lineRule="auto"/>
              <w:jc w:val="left"/>
              <w:rPr>
                <w:rFonts w:ascii="宋体" w:hAnsi="宋体" w:cs="宋体"/>
                <w:szCs w:val="21"/>
              </w:rPr>
            </w:pPr>
            <w:r>
              <w:rPr>
                <w:rFonts w:hint="eastAsia"/>
              </w:rPr>
              <w:t>注：提供技术负责人职称证、资格证书或注册证书及2025年</w:t>
            </w:r>
            <w:r>
              <w:rPr>
                <w:rFonts w:hint="eastAsia"/>
                <w:lang w:val="en-US" w:eastAsia="zh-CN"/>
              </w:rPr>
              <w:t>10</w:t>
            </w:r>
            <w:r>
              <w:rPr>
                <w:rFonts w:hint="eastAsia"/>
              </w:rPr>
              <w:t>月的社保缴纳证明材料扫描件。</w:t>
            </w:r>
          </w:p>
        </w:tc>
      </w:tr>
      <w:tr w14:paraId="45F7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686E95A7">
            <w:pPr>
              <w:pStyle w:val="29"/>
              <w:kinsoku w:val="0"/>
              <w:overflowPunct w:val="0"/>
              <w:ind w:left="-63" w:leftChars="-30" w:right="-111" w:rightChars="-53" w:firstLine="63" w:firstLineChars="30"/>
              <w:jc w:val="center"/>
              <w:rPr>
                <w:rFonts w:hint="default"/>
              </w:rPr>
            </w:pPr>
          </w:p>
        </w:tc>
        <w:tc>
          <w:tcPr>
            <w:tcW w:w="1287" w:type="dxa"/>
            <w:gridSpan w:val="2"/>
            <w:vMerge w:val="continue"/>
          </w:tcPr>
          <w:p w14:paraId="52F02DB5">
            <w:pPr>
              <w:pStyle w:val="29"/>
              <w:kinsoku w:val="0"/>
              <w:overflowPunct w:val="0"/>
              <w:ind w:left="-115" w:leftChars="-55" w:right="-122" w:rightChars="-58"/>
              <w:jc w:val="center"/>
              <w:rPr>
                <w:rFonts w:hint="default"/>
              </w:rPr>
            </w:pPr>
          </w:p>
        </w:tc>
        <w:tc>
          <w:tcPr>
            <w:tcW w:w="2132" w:type="dxa"/>
            <w:vMerge w:val="continue"/>
            <w:vAlign w:val="center"/>
          </w:tcPr>
          <w:p w14:paraId="3E8F4D29">
            <w:pPr>
              <w:snapToGrid w:val="0"/>
              <w:spacing w:line="360" w:lineRule="auto"/>
              <w:jc w:val="left"/>
              <w:rPr>
                <w:rFonts w:ascii="宋体" w:hAnsi="宋体"/>
              </w:rPr>
            </w:pPr>
          </w:p>
        </w:tc>
        <w:tc>
          <w:tcPr>
            <w:tcW w:w="5252" w:type="dxa"/>
            <w:vAlign w:val="center"/>
          </w:tcPr>
          <w:p w14:paraId="1029C0E7">
            <w:pPr>
              <w:snapToGrid w:val="0"/>
              <w:spacing w:line="360" w:lineRule="auto"/>
              <w:jc w:val="left"/>
            </w:pPr>
            <w:r>
              <w:rPr>
                <w:rFonts w:hint="eastAsia"/>
              </w:rPr>
              <w:t>3.拟投入的其他专业负责人 （除项目负责人、技术负责人外）（6分）：</w:t>
            </w:r>
          </w:p>
          <w:p w14:paraId="01427CA1">
            <w:pPr>
              <w:snapToGrid w:val="0"/>
              <w:spacing w:line="360" w:lineRule="auto"/>
              <w:jc w:val="left"/>
            </w:pPr>
            <w:r>
              <w:rPr>
                <w:rFonts w:hint="eastAsia"/>
              </w:rPr>
              <w:t>（1）具备环境或环保类正高级工程师职称的，每人得</w:t>
            </w:r>
            <w:r>
              <w:t>1.5</w:t>
            </w:r>
            <w:r>
              <w:rPr>
                <w:rFonts w:hint="eastAsia"/>
              </w:rPr>
              <w:t>分；具备环境或环保类高级工程师职称的，得</w:t>
            </w:r>
            <w:r>
              <w:t>1</w:t>
            </w:r>
            <w:r>
              <w:rPr>
                <w:rFonts w:hint="eastAsia"/>
              </w:rPr>
              <w:t>分；具备环境或环保类工程师职称的，得</w:t>
            </w:r>
            <w:r>
              <w:t>0.5</w:t>
            </w:r>
            <w:r>
              <w:rPr>
                <w:rFonts w:hint="eastAsia"/>
              </w:rPr>
              <w:t>分；本小项最高得3分。不提供或者没有不得分。</w:t>
            </w:r>
          </w:p>
          <w:p w14:paraId="66AAB685">
            <w:pPr>
              <w:snapToGrid w:val="0"/>
              <w:spacing w:line="360" w:lineRule="auto"/>
              <w:jc w:val="left"/>
            </w:pPr>
            <w:r>
              <w:rPr>
                <w:rFonts w:hint="eastAsia" w:ascii="Calibri" w:hAnsi="Calibri" w:cs="Times New Roman"/>
              </w:rPr>
              <w:t>（2）</w:t>
            </w:r>
            <w:r>
              <w:rPr>
                <w:rFonts w:hint="eastAsia"/>
              </w:rPr>
              <w:t>具有环境影响评价工程师证书、注册环保工程师、注册咨询工程师的，每人得</w:t>
            </w:r>
            <w:r>
              <w:t>1</w:t>
            </w:r>
            <w:r>
              <w:rPr>
                <w:rFonts w:hint="eastAsia"/>
              </w:rPr>
              <w:t>分，本小项最高得3分。</w:t>
            </w:r>
          </w:p>
          <w:p w14:paraId="32D9FE12">
            <w:pPr>
              <w:snapToGrid w:val="0"/>
              <w:spacing w:line="360" w:lineRule="auto"/>
              <w:jc w:val="left"/>
              <w:rPr>
                <w:rFonts w:hint="eastAsia" w:ascii="Calibri" w:hAnsi="Calibri" w:cs="Times New Roman"/>
                <w:szCs w:val="22"/>
              </w:rPr>
            </w:pPr>
            <w:r>
              <w:rPr>
                <w:rFonts w:hint="eastAsia"/>
              </w:rPr>
              <w:t>注：须提供人员职称证书、资格证书或注册证书及2025年</w:t>
            </w:r>
            <w:r>
              <w:rPr>
                <w:rFonts w:hint="eastAsia"/>
                <w:lang w:val="en-US" w:eastAsia="zh-CN"/>
              </w:rPr>
              <w:t>10</w:t>
            </w:r>
            <w:r>
              <w:rPr>
                <w:rFonts w:hint="eastAsia"/>
              </w:rPr>
              <w:t>月的社保缴纳证明材料扫描件。同一人具备多个职称，按最高级别计取一次。</w:t>
            </w:r>
          </w:p>
        </w:tc>
      </w:tr>
      <w:tr w14:paraId="01BC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0AE3F907">
            <w:pPr>
              <w:pStyle w:val="29"/>
              <w:kinsoku w:val="0"/>
              <w:overflowPunct w:val="0"/>
              <w:ind w:left="-63" w:leftChars="-30" w:right="-111" w:rightChars="-53" w:firstLine="63" w:firstLineChars="30"/>
              <w:jc w:val="center"/>
              <w:rPr>
                <w:rFonts w:hint="default"/>
              </w:rPr>
            </w:pPr>
          </w:p>
        </w:tc>
        <w:tc>
          <w:tcPr>
            <w:tcW w:w="1287" w:type="dxa"/>
            <w:gridSpan w:val="2"/>
            <w:vMerge w:val="continue"/>
          </w:tcPr>
          <w:p w14:paraId="21B2D60B">
            <w:pPr>
              <w:pStyle w:val="29"/>
              <w:kinsoku w:val="0"/>
              <w:overflowPunct w:val="0"/>
              <w:ind w:left="-115" w:leftChars="-55" w:right="-122" w:rightChars="-58"/>
              <w:jc w:val="center"/>
              <w:rPr>
                <w:rFonts w:hint="default"/>
              </w:rPr>
            </w:pPr>
          </w:p>
        </w:tc>
        <w:tc>
          <w:tcPr>
            <w:tcW w:w="2132" w:type="dxa"/>
            <w:shd w:val="clear" w:color="auto" w:fill="auto"/>
            <w:vAlign w:val="center"/>
          </w:tcPr>
          <w:p w14:paraId="3AFD9B82">
            <w:pPr>
              <w:topLinePunct/>
              <w:spacing w:line="360" w:lineRule="auto"/>
              <w:jc w:val="center"/>
              <w:rPr>
                <w:rFonts w:ascii="宋体" w:hAnsi="宋体"/>
              </w:rPr>
            </w:pPr>
            <w:r>
              <w:rPr>
                <w:rFonts w:hint="eastAsia"/>
              </w:rPr>
              <w:t>设备情况（</w:t>
            </w:r>
            <w:r>
              <w:t>6</w:t>
            </w:r>
            <w:r>
              <w:rPr>
                <w:rFonts w:hint="eastAsia"/>
              </w:rPr>
              <w:t>分）</w:t>
            </w:r>
          </w:p>
        </w:tc>
        <w:tc>
          <w:tcPr>
            <w:tcW w:w="5252" w:type="dxa"/>
            <w:shd w:val="clear" w:color="auto" w:fill="auto"/>
            <w:vAlign w:val="center"/>
          </w:tcPr>
          <w:p w14:paraId="22C18271">
            <w:pPr>
              <w:widowControl/>
              <w:snapToGrid w:val="0"/>
              <w:spacing w:line="360" w:lineRule="auto"/>
              <w:jc w:val="left"/>
            </w:pPr>
            <w:r>
              <w:rPr>
                <w:rFonts w:hint="eastAsia"/>
              </w:rPr>
              <w:t>投标人自有或租赁有以下检测设备：</w:t>
            </w:r>
          </w:p>
          <w:p w14:paraId="4705F9DE">
            <w:pPr>
              <w:widowControl/>
              <w:snapToGrid w:val="0"/>
              <w:spacing w:line="360" w:lineRule="auto"/>
              <w:jc w:val="left"/>
            </w:pPr>
            <w:r>
              <w:rPr>
                <w:rFonts w:hint="eastAsia"/>
              </w:rPr>
              <w:t>（1）土壤直接推进式钻机（Geoprobe）；</w:t>
            </w:r>
          </w:p>
          <w:p w14:paraId="275A7A60">
            <w:pPr>
              <w:widowControl/>
              <w:snapToGrid w:val="0"/>
              <w:spacing w:line="360" w:lineRule="auto"/>
              <w:jc w:val="left"/>
            </w:pPr>
            <w:r>
              <w:rPr>
                <w:rFonts w:hint="eastAsia"/>
              </w:rPr>
              <w:t>（2）现场快速分析检测仪薄膜界面及水</w:t>
            </w:r>
            <w:r>
              <w:rPr>
                <w:rFonts w:hint="eastAsia"/>
                <w:lang w:val="en-US" w:eastAsia="zh-CN"/>
              </w:rPr>
              <w:t>力</w:t>
            </w:r>
            <w:r>
              <w:rPr>
                <w:rFonts w:hint="eastAsia"/>
              </w:rPr>
              <w:t>探测系</w:t>
            </w:r>
            <w:r>
              <w:rPr>
                <w:rFonts w:hint="eastAsia"/>
                <w:lang w:eastAsia="zh-CN"/>
              </w:rPr>
              <w:t>统</w:t>
            </w:r>
            <w:r>
              <w:rPr>
                <w:rFonts w:hint="eastAsia"/>
              </w:rPr>
              <w:t>（MIHPT）；</w:t>
            </w:r>
          </w:p>
          <w:p w14:paraId="0538456D">
            <w:pPr>
              <w:widowControl/>
              <w:snapToGrid w:val="0"/>
              <w:spacing w:line="360" w:lineRule="auto"/>
              <w:jc w:val="left"/>
            </w:pPr>
            <w:r>
              <w:rPr>
                <w:rFonts w:hint="eastAsia"/>
              </w:rPr>
              <w:t>（3）现场快速分析检测仪光学探测系统（OIP）；</w:t>
            </w:r>
          </w:p>
          <w:p w14:paraId="5D412502">
            <w:pPr>
              <w:widowControl/>
              <w:snapToGrid w:val="0"/>
              <w:spacing w:line="360" w:lineRule="auto"/>
              <w:jc w:val="left"/>
            </w:pPr>
            <w:r>
              <w:rPr>
                <w:rFonts w:hint="eastAsia"/>
              </w:rPr>
              <w:t>（4）便携式气相色谱仪；</w:t>
            </w:r>
          </w:p>
          <w:p w14:paraId="03DA1BD9">
            <w:pPr>
              <w:snapToGrid w:val="0"/>
              <w:spacing w:line="360" w:lineRule="auto"/>
              <w:jc w:val="left"/>
            </w:pPr>
            <w:r>
              <w:rPr>
                <w:rFonts w:hint="eastAsia"/>
              </w:rPr>
              <w:t>（5）便携式重金属检测仪（XRF）；</w:t>
            </w:r>
          </w:p>
          <w:p w14:paraId="07BA75B0">
            <w:pPr>
              <w:snapToGrid w:val="0"/>
              <w:spacing w:line="360" w:lineRule="auto"/>
              <w:jc w:val="left"/>
            </w:pPr>
            <w:r>
              <w:rPr>
                <w:rFonts w:hint="eastAsia"/>
              </w:rPr>
              <w:t>（6）快速扫描纳米红外光谱仪。</w:t>
            </w:r>
          </w:p>
          <w:p w14:paraId="7E306283">
            <w:pPr>
              <w:snapToGrid w:val="0"/>
              <w:spacing w:line="360" w:lineRule="auto"/>
              <w:jc w:val="left"/>
              <w:rPr>
                <w:rFonts w:hint="eastAsia" w:ascii="Calibri" w:hAnsi="Calibri"/>
              </w:rPr>
            </w:pPr>
            <w:r>
              <w:rPr>
                <w:rFonts w:hint="eastAsia"/>
              </w:rPr>
              <w:t>注：同时具有六项得</w:t>
            </w:r>
            <w:r>
              <w:t>6</w:t>
            </w:r>
            <w:r>
              <w:rPr>
                <w:rFonts w:hint="eastAsia"/>
              </w:rPr>
              <w:t>分，具有其中任三项得</w:t>
            </w:r>
            <w:r>
              <w:t>3</w:t>
            </w:r>
            <w:r>
              <w:rPr>
                <w:rFonts w:hint="eastAsia"/>
              </w:rPr>
              <w:t>分，其他不得分。须提供设备购置合同或租赁合同、设备的图片作为证明文件并加盖公章。</w:t>
            </w:r>
          </w:p>
        </w:tc>
      </w:tr>
      <w:tr w14:paraId="1B70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Merge w:val="continue"/>
          </w:tcPr>
          <w:p w14:paraId="43D41EF4">
            <w:pPr>
              <w:pStyle w:val="29"/>
              <w:kinsoku w:val="0"/>
              <w:overflowPunct w:val="0"/>
              <w:ind w:left="-63" w:leftChars="-30" w:right="-111" w:rightChars="-53" w:firstLine="63" w:firstLineChars="30"/>
              <w:jc w:val="center"/>
              <w:rPr>
                <w:rFonts w:hint="default"/>
              </w:rPr>
            </w:pPr>
          </w:p>
        </w:tc>
        <w:tc>
          <w:tcPr>
            <w:tcW w:w="1287" w:type="dxa"/>
            <w:gridSpan w:val="2"/>
            <w:vMerge w:val="continue"/>
          </w:tcPr>
          <w:p w14:paraId="2DDA61E6">
            <w:pPr>
              <w:pStyle w:val="29"/>
              <w:kinsoku w:val="0"/>
              <w:overflowPunct w:val="0"/>
              <w:ind w:left="-115" w:leftChars="-55" w:right="-122" w:rightChars="-58"/>
              <w:jc w:val="center"/>
              <w:rPr>
                <w:rFonts w:hint="default"/>
              </w:rPr>
            </w:pPr>
          </w:p>
        </w:tc>
        <w:tc>
          <w:tcPr>
            <w:tcW w:w="2132" w:type="dxa"/>
            <w:vAlign w:val="center"/>
          </w:tcPr>
          <w:p w14:paraId="7A6E04C7">
            <w:pPr>
              <w:topLinePunct/>
              <w:spacing w:line="360" w:lineRule="auto"/>
              <w:jc w:val="center"/>
              <w:rPr>
                <w:rFonts w:ascii="宋体" w:hAnsi="宋体"/>
              </w:rPr>
            </w:pPr>
            <w:r>
              <w:rPr>
                <w:rFonts w:hint="eastAsia"/>
              </w:rPr>
              <w:t>企业实力（</w:t>
            </w:r>
            <w:r>
              <w:t>9</w:t>
            </w:r>
            <w:r>
              <w:rPr>
                <w:rFonts w:hint="eastAsia"/>
              </w:rPr>
              <w:t>分）</w:t>
            </w:r>
          </w:p>
        </w:tc>
        <w:tc>
          <w:tcPr>
            <w:tcW w:w="5252" w:type="dxa"/>
            <w:vAlign w:val="center"/>
          </w:tcPr>
          <w:p w14:paraId="1590F8E9">
            <w:pPr>
              <w:widowControl/>
              <w:snapToGrid w:val="0"/>
              <w:spacing w:line="360" w:lineRule="auto"/>
              <w:jc w:val="left"/>
              <w:rPr>
                <w:rFonts w:hint="eastAsia" w:ascii="宋体" w:hAnsi="宋体" w:cs="宋体"/>
                <w:szCs w:val="21"/>
              </w:rPr>
            </w:pPr>
            <w:r>
              <w:rPr>
                <w:rFonts w:hint="eastAsia" w:ascii="宋体" w:hAnsi="宋体" w:cs="宋体"/>
                <w:szCs w:val="21"/>
              </w:rPr>
              <w:t>投标人提供</w:t>
            </w:r>
            <w:r>
              <w:rPr>
                <w:rFonts w:hint="eastAsia" w:ascii="Calibri" w:hAnsi="Calibri" w:cs="Times New Roman"/>
                <w:szCs w:val="22"/>
              </w:rPr>
              <w:t>有效期</w:t>
            </w:r>
            <w:r>
              <w:rPr>
                <w:rFonts w:hint="eastAsia" w:ascii="宋体" w:hAnsi="宋体" w:cs="宋体"/>
                <w:szCs w:val="21"/>
              </w:rPr>
              <w:t>内的质量管理体系认证证书、有效期内的环境管理体系认证证书、有效期内的职业健康安全管理体系认证证书，每提供1项得</w:t>
            </w:r>
            <w:r>
              <w:rPr>
                <w:rFonts w:hint="eastAsia" w:ascii="宋体" w:hAnsi="宋体" w:cs="宋体"/>
                <w:szCs w:val="21"/>
                <w:lang w:val="en-US" w:eastAsia="zh-CN"/>
              </w:rPr>
              <w:t>3</w:t>
            </w:r>
            <w:r>
              <w:rPr>
                <w:rFonts w:hint="eastAsia" w:ascii="宋体" w:hAnsi="宋体" w:cs="宋体"/>
                <w:szCs w:val="21"/>
              </w:rPr>
              <w:t>分，本小项最高得</w:t>
            </w:r>
            <w:r>
              <w:rPr>
                <w:rFonts w:hint="eastAsia" w:ascii="宋体" w:hAnsi="宋体" w:cs="宋体"/>
                <w:szCs w:val="21"/>
                <w:lang w:val="en-US" w:eastAsia="zh-CN"/>
              </w:rPr>
              <w:t>9</w:t>
            </w:r>
            <w:r>
              <w:rPr>
                <w:rFonts w:hint="eastAsia" w:ascii="宋体" w:hAnsi="宋体" w:cs="宋体"/>
                <w:szCs w:val="21"/>
              </w:rPr>
              <w:t>分,无提供不得分。</w:t>
            </w:r>
          </w:p>
          <w:p w14:paraId="5EE27C3A">
            <w:pPr>
              <w:widowControl/>
              <w:snapToGrid w:val="0"/>
              <w:rPr>
                <w:rFonts w:hint="eastAsia" w:ascii="宋体" w:hAnsi="宋体" w:cs="宋体"/>
                <w:szCs w:val="21"/>
              </w:rPr>
            </w:pPr>
            <w:r>
              <w:rPr>
                <w:rFonts w:hint="eastAsia" w:ascii="宋体" w:hAnsi="宋体" w:cs="宋体"/>
                <w:szCs w:val="21"/>
              </w:rPr>
              <w:t>注：须提供有效期内的认证证书扫描件。</w:t>
            </w:r>
          </w:p>
        </w:tc>
      </w:tr>
      <w:tr w14:paraId="3CE3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restart"/>
            <w:vAlign w:val="center"/>
          </w:tcPr>
          <w:p w14:paraId="105E22DF">
            <w:pPr>
              <w:pStyle w:val="29"/>
              <w:kinsoku w:val="0"/>
              <w:overflowPunct w:val="0"/>
              <w:ind w:left="-63" w:leftChars="-30" w:right="-111" w:rightChars="-53" w:firstLine="63" w:firstLineChars="30"/>
              <w:jc w:val="center"/>
              <w:rPr>
                <w:rFonts w:hint="default" w:eastAsia="Times New Roman"/>
              </w:rPr>
            </w:pPr>
            <w:r>
              <w:rPr>
                <w:rFonts w:eastAsia="Times New Roman"/>
              </w:rPr>
              <w:t>2.2.4（2）</w:t>
            </w:r>
          </w:p>
        </w:tc>
        <w:tc>
          <w:tcPr>
            <w:tcW w:w="1287" w:type="dxa"/>
            <w:gridSpan w:val="2"/>
            <w:vMerge w:val="restart"/>
            <w:vAlign w:val="center"/>
          </w:tcPr>
          <w:p w14:paraId="273644B4">
            <w:pPr>
              <w:spacing w:line="360" w:lineRule="auto"/>
              <w:rPr>
                <w:rFonts w:ascii="宋体" w:hAnsi="宋体"/>
              </w:rPr>
            </w:pPr>
            <w:r>
              <w:rPr>
                <w:rFonts w:hint="eastAsia" w:ascii="宋体" w:hAnsi="宋体"/>
              </w:rPr>
              <w:t>技术服务方案评分标准</w:t>
            </w:r>
          </w:p>
          <w:p w14:paraId="28E541D0">
            <w:pPr>
              <w:spacing w:line="360" w:lineRule="auto"/>
              <w:ind w:left="315" w:hanging="315" w:hangingChars="150"/>
              <w:jc w:val="center"/>
              <w:rPr>
                <w:rFonts w:ascii="宋体" w:hAnsi="宋体"/>
              </w:rPr>
            </w:pPr>
            <w:r>
              <w:rPr>
                <w:rFonts w:hint="eastAsia" w:ascii="宋体" w:hAnsi="宋体"/>
              </w:rPr>
              <w:t>（45分）</w:t>
            </w:r>
          </w:p>
        </w:tc>
        <w:tc>
          <w:tcPr>
            <w:tcW w:w="2132" w:type="dxa"/>
            <w:vAlign w:val="center"/>
          </w:tcPr>
          <w:p w14:paraId="0E1A2309">
            <w:pPr>
              <w:widowControl/>
              <w:spacing w:line="360" w:lineRule="auto"/>
              <w:jc w:val="center"/>
              <w:rPr>
                <w:rFonts w:ascii="宋体" w:hAnsi="宋体"/>
              </w:rPr>
            </w:pPr>
            <w:r>
              <w:rPr>
                <w:rFonts w:hint="eastAsia" w:ascii="宋体" w:hAnsi="宋体" w:cs="宋体"/>
                <w:szCs w:val="21"/>
              </w:rPr>
              <w:t>对项目的熟悉程度和工程重点难点分析（10分）</w:t>
            </w:r>
          </w:p>
        </w:tc>
        <w:tc>
          <w:tcPr>
            <w:tcW w:w="5252" w:type="dxa"/>
            <w:vAlign w:val="center"/>
          </w:tcPr>
          <w:p w14:paraId="74286194">
            <w:pPr>
              <w:pStyle w:val="7"/>
              <w:numPr>
                <w:ilvl w:val="255"/>
                <w:numId w:val="0"/>
              </w:numPr>
              <w:spacing w:line="360" w:lineRule="auto"/>
              <w:rPr>
                <w:rFonts w:ascii="宋体" w:hAnsi="宋体" w:cs="宋体"/>
                <w:szCs w:val="21"/>
              </w:rPr>
            </w:pPr>
            <w:r>
              <w:rPr>
                <w:rFonts w:hint="eastAsia" w:ascii="宋体" w:hAnsi="宋体" w:cs="宋体"/>
                <w:szCs w:val="21"/>
              </w:rPr>
              <w:t>1.对本项目背景的解读清晰、明确，研究内容和要求的理解深度和准确性高的，对工程特点、重点与难点分析全面，把握准确，针对性强得（7,10]分；</w:t>
            </w:r>
          </w:p>
          <w:p w14:paraId="5937F759">
            <w:pPr>
              <w:pStyle w:val="7"/>
              <w:numPr>
                <w:ilvl w:val="255"/>
                <w:numId w:val="0"/>
              </w:numPr>
              <w:spacing w:line="360" w:lineRule="auto"/>
              <w:rPr>
                <w:rFonts w:ascii="宋体" w:hAnsi="宋体" w:cs="宋体"/>
                <w:szCs w:val="21"/>
              </w:rPr>
            </w:pPr>
            <w:r>
              <w:rPr>
                <w:rFonts w:hint="eastAsia" w:ascii="宋体" w:hAnsi="宋体" w:cs="宋体"/>
                <w:szCs w:val="21"/>
              </w:rPr>
              <w:t>2.对本项目背景的解读较清晰、明确，研究内容和要求的理解深度和准确性基本具体，对工程特点、重点与难点分析较为全面，把握一般，有一定针对性得（4,7]分；</w:t>
            </w:r>
          </w:p>
          <w:p w14:paraId="576E30B3">
            <w:pPr>
              <w:pStyle w:val="7"/>
              <w:numPr>
                <w:ilvl w:val="255"/>
                <w:numId w:val="0"/>
              </w:numPr>
              <w:spacing w:line="360" w:lineRule="auto"/>
              <w:rPr>
                <w:rFonts w:ascii="宋体" w:hAnsi="宋体" w:cs="宋体"/>
                <w:szCs w:val="21"/>
              </w:rPr>
            </w:pPr>
            <w:r>
              <w:rPr>
                <w:rFonts w:hint="eastAsia" w:ascii="宋体" w:hAnsi="宋体" w:cs="宋体"/>
                <w:szCs w:val="21"/>
              </w:rPr>
              <w:t>3.对本项目背景的解读基本准确，对研究内容和要求的理解具有一定的深度和准确性，工程特点、重点与难点分析片面，把握不够准确，针对性差得（0,4]分；</w:t>
            </w:r>
          </w:p>
          <w:p w14:paraId="14DE6714">
            <w:pPr>
              <w:pStyle w:val="7"/>
              <w:numPr>
                <w:ilvl w:val="255"/>
                <w:numId w:val="0"/>
              </w:numPr>
              <w:spacing w:line="360" w:lineRule="auto"/>
              <w:rPr>
                <w:rFonts w:hint="eastAsia" w:ascii="宋体" w:hAnsi="宋体" w:cs="宋体"/>
                <w:szCs w:val="21"/>
              </w:rPr>
            </w:pPr>
            <w:r>
              <w:rPr>
                <w:rFonts w:hint="eastAsia" w:ascii="宋体" w:hAnsi="宋体" w:cs="宋体"/>
                <w:szCs w:val="21"/>
              </w:rPr>
              <w:t>4.不提供或者没有方案得0分。</w:t>
            </w:r>
          </w:p>
        </w:tc>
      </w:tr>
      <w:tr w14:paraId="09CA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38645F57">
            <w:pPr>
              <w:spacing w:line="440" w:lineRule="exact"/>
              <w:jc w:val="center"/>
              <w:rPr>
                <w:rFonts w:eastAsia="Times New Roman"/>
              </w:rPr>
            </w:pPr>
          </w:p>
        </w:tc>
        <w:tc>
          <w:tcPr>
            <w:tcW w:w="1287" w:type="dxa"/>
            <w:gridSpan w:val="2"/>
            <w:vMerge w:val="continue"/>
          </w:tcPr>
          <w:p w14:paraId="60A4870F">
            <w:pPr>
              <w:spacing w:line="360" w:lineRule="auto"/>
              <w:jc w:val="center"/>
              <w:rPr>
                <w:rFonts w:ascii="宋体" w:hAnsi="宋体"/>
              </w:rPr>
            </w:pPr>
          </w:p>
        </w:tc>
        <w:tc>
          <w:tcPr>
            <w:tcW w:w="2132" w:type="dxa"/>
            <w:vAlign w:val="center"/>
          </w:tcPr>
          <w:p w14:paraId="2C0C7787">
            <w:pPr>
              <w:widowControl/>
              <w:spacing w:line="360" w:lineRule="auto"/>
              <w:jc w:val="center"/>
              <w:rPr>
                <w:rFonts w:ascii="宋体" w:hAnsi="宋体"/>
              </w:rPr>
            </w:pPr>
            <w:r>
              <w:rPr>
                <w:rFonts w:hint="eastAsia" w:ascii="宋体" w:hAnsi="宋体" w:cs="宋体"/>
                <w:szCs w:val="21"/>
              </w:rPr>
              <w:t>效果评估技术方案（15分）</w:t>
            </w:r>
          </w:p>
        </w:tc>
        <w:tc>
          <w:tcPr>
            <w:tcW w:w="5252" w:type="dxa"/>
            <w:vAlign w:val="center"/>
          </w:tcPr>
          <w:p w14:paraId="6A55651C">
            <w:pPr>
              <w:widowControl/>
              <w:spacing w:line="360" w:lineRule="auto"/>
              <w:jc w:val="left"/>
              <w:rPr>
                <w:rFonts w:ascii="宋体" w:hAnsi="宋体" w:cs="宋体"/>
                <w:bCs/>
                <w:szCs w:val="21"/>
              </w:rPr>
            </w:pPr>
            <w:r>
              <w:rPr>
                <w:rFonts w:hint="eastAsia" w:ascii="宋体" w:hAnsi="宋体" w:cs="宋体"/>
                <w:bCs/>
                <w:szCs w:val="21"/>
              </w:rPr>
              <w:t>根据投标人提供的效果评估工作总体计划、工作内容、采样方案进行综合评审：</w:t>
            </w:r>
          </w:p>
          <w:p w14:paraId="7A96F5E4">
            <w:pPr>
              <w:widowControl/>
              <w:spacing w:line="360" w:lineRule="auto"/>
              <w:jc w:val="left"/>
              <w:rPr>
                <w:rFonts w:ascii="宋体" w:hAnsi="宋体" w:cs="宋体"/>
                <w:bCs/>
                <w:szCs w:val="21"/>
              </w:rPr>
            </w:pPr>
            <w:r>
              <w:rPr>
                <w:rFonts w:hint="eastAsia" w:ascii="宋体" w:hAnsi="宋体" w:cs="宋体"/>
                <w:bCs/>
                <w:szCs w:val="21"/>
              </w:rPr>
              <w:t>1.调查工作总体计划阐述科学合理，现状调研深入了解，工作内容详细全面，采样方案具体可行的，得</w:t>
            </w:r>
            <w:r>
              <w:rPr>
                <w:rFonts w:hint="eastAsia" w:ascii="宋体" w:hAnsi="宋体" w:cs="宋体"/>
                <w:szCs w:val="21"/>
              </w:rPr>
              <w:t>（11,15]</w:t>
            </w:r>
            <w:r>
              <w:rPr>
                <w:rFonts w:hint="eastAsia" w:ascii="宋体" w:hAnsi="宋体" w:cs="宋体"/>
                <w:bCs/>
                <w:szCs w:val="21"/>
              </w:rPr>
              <w:t>分；</w:t>
            </w:r>
          </w:p>
          <w:p w14:paraId="736C559F">
            <w:pPr>
              <w:widowControl/>
              <w:spacing w:line="360" w:lineRule="auto"/>
              <w:jc w:val="left"/>
              <w:rPr>
                <w:rFonts w:ascii="宋体" w:hAnsi="宋体" w:cs="宋体"/>
                <w:bCs/>
                <w:szCs w:val="21"/>
              </w:rPr>
            </w:pPr>
            <w:r>
              <w:rPr>
                <w:rFonts w:hint="eastAsia" w:ascii="宋体" w:hAnsi="宋体" w:cs="宋体"/>
                <w:bCs/>
                <w:szCs w:val="21"/>
              </w:rPr>
              <w:t>2.调查工作总体计划阐述较为科学合理，现状调研较了解，工作内容比较全面，采样方案较为可行的，得</w:t>
            </w:r>
            <w:r>
              <w:rPr>
                <w:rFonts w:hint="eastAsia" w:ascii="宋体" w:hAnsi="宋体" w:cs="宋体"/>
                <w:szCs w:val="21"/>
              </w:rPr>
              <w:t>（7,11]</w:t>
            </w:r>
            <w:r>
              <w:rPr>
                <w:rFonts w:hint="eastAsia" w:ascii="宋体" w:hAnsi="宋体" w:cs="宋体"/>
                <w:bCs/>
                <w:szCs w:val="21"/>
              </w:rPr>
              <w:t>分；</w:t>
            </w:r>
          </w:p>
          <w:p w14:paraId="784DEDB0">
            <w:pPr>
              <w:widowControl/>
              <w:spacing w:line="360" w:lineRule="auto"/>
              <w:jc w:val="left"/>
              <w:rPr>
                <w:rFonts w:ascii="宋体" w:hAnsi="宋体" w:cs="宋体"/>
                <w:bCs/>
                <w:szCs w:val="21"/>
              </w:rPr>
            </w:pPr>
            <w:r>
              <w:rPr>
                <w:rFonts w:hint="eastAsia" w:ascii="宋体" w:hAnsi="宋体" w:cs="宋体"/>
                <w:bCs/>
                <w:szCs w:val="21"/>
              </w:rPr>
              <w:t>3.调查工作总体计划的阐述基本合理，现状调研基本了解，工作内容描述欠妥，采样方案部分可行的，得</w:t>
            </w:r>
            <w:r>
              <w:rPr>
                <w:rFonts w:hint="eastAsia" w:ascii="宋体" w:hAnsi="宋体" w:cs="宋体"/>
                <w:szCs w:val="21"/>
              </w:rPr>
              <w:t>（0,7]</w:t>
            </w:r>
            <w:r>
              <w:rPr>
                <w:rFonts w:hint="eastAsia" w:ascii="宋体" w:hAnsi="宋体" w:cs="宋体"/>
                <w:bCs/>
                <w:szCs w:val="21"/>
              </w:rPr>
              <w:t>分；</w:t>
            </w:r>
          </w:p>
          <w:p w14:paraId="0B3D371D">
            <w:pPr>
              <w:widowControl/>
              <w:spacing w:line="360" w:lineRule="auto"/>
              <w:jc w:val="left"/>
              <w:rPr>
                <w:rFonts w:ascii="宋体" w:hAnsi="宋体"/>
              </w:rPr>
            </w:pPr>
            <w:r>
              <w:rPr>
                <w:rFonts w:hint="eastAsia" w:ascii="宋体" w:hAnsi="宋体" w:cs="宋体"/>
                <w:bCs/>
                <w:szCs w:val="21"/>
              </w:rPr>
              <w:t>4.</w:t>
            </w:r>
            <w:r>
              <w:rPr>
                <w:rFonts w:hint="eastAsia" w:ascii="宋体" w:hAnsi="宋体" w:cs="宋体"/>
                <w:szCs w:val="21"/>
              </w:rPr>
              <w:t>不提供或者没有方案得0分。</w:t>
            </w:r>
          </w:p>
        </w:tc>
      </w:tr>
      <w:tr w14:paraId="0AF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Merge w:val="continue"/>
          </w:tcPr>
          <w:p w14:paraId="125435EE">
            <w:pPr>
              <w:spacing w:line="440" w:lineRule="exact"/>
              <w:jc w:val="center"/>
              <w:rPr>
                <w:rFonts w:ascii="宋体" w:hAnsi="宋体"/>
                <w:spacing w:val="-1"/>
              </w:rPr>
            </w:pPr>
          </w:p>
        </w:tc>
        <w:tc>
          <w:tcPr>
            <w:tcW w:w="1287" w:type="dxa"/>
            <w:gridSpan w:val="2"/>
            <w:vMerge w:val="continue"/>
          </w:tcPr>
          <w:p w14:paraId="1A2F69C7">
            <w:pPr>
              <w:spacing w:line="360" w:lineRule="auto"/>
              <w:jc w:val="center"/>
              <w:rPr>
                <w:rFonts w:ascii="宋体" w:hAnsi="宋体"/>
              </w:rPr>
            </w:pPr>
          </w:p>
        </w:tc>
        <w:tc>
          <w:tcPr>
            <w:tcW w:w="2132" w:type="dxa"/>
            <w:vAlign w:val="center"/>
          </w:tcPr>
          <w:p w14:paraId="2EE648F5">
            <w:pPr>
              <w:spacing w:line="360" w:lineRule="auto"/>
              <w:jc w:val="center"/>
              <w:rPr>
                <w:rFonts w:ascii="宋体" w:hAnsi="宋体"/>
              </w:rPr>
            </w:pPr>
            <w:r>
              <w:rPr>
                <w:rFonts w:hint="eastAsia" w:ascii="宋体" w:hAnsi="宋体" w:cs="宋体"/>
                <w:bCs/>
                <w:szCs w:val="21"/>
              </w:rPr>
              <w:t>质量控制方案（5分）</w:t>
            </w:r>
          </w:p>
        </w:tc>
        <w:tc>
          <w:tcPr>
            <w:tcW w:w="5252" w:type="dxa"/>
            <w:vAlign w:val="center"/>
          </w:tcPr>
          <w:p w14:paraId="24F809D3">
            <w:pPr>
              <w:spacing w:line="360" w:lineRule="auto"/>
              <w:jc w:val="left"/>
              <w:rPr>
                <w:rFonts w:ascii="宋体" w:hAnsi="宋体" w:cs="宋体"/>
                <w:bCs/>
                <w:szCs w:val="21"/>
              </w:rPr>
            </w:pPr>
            <w:r>
              <w:rPr>
                <w:rFonts w:hint="eastAsia" w:ascii="宋体" w:hAnsi="宋体" w:cs="宋体"/>
                <w:bCs/>
                <w:szCs w:val="21"/>
              </w:rPr>
              <w:t>1.质量控制方案针对性强，技术措施先进、科学合理、切实可行，满足项目实际需求，得</w:t>
            </w:r>
            <w:r>
              <w:rPr>
                <w:rFonts w:hint="eastAsia" w:ascii="宋体" w:hAnsi="宋体" w:cs="宋体"/>
                <w:szCs w:val="21"/>
              </w:rPr>
              <w:t>（4,5]</w:t>
            </w:r>
            <w:r>
              <w:rPr>
                <w:rFonts w:hint="eastAsia" w:ascii="宋体" w:hAnsi="宋体" w:cs="宋体"/>
                <w:bCs/>
                <w:szCs w:val="21"/>
              </w:rPr>
              <w:t>分；</w:t>
            </w:r>
          </w:p>
          <w:p w14:paraId="5A0BDF0E">
            <w:pPr>
              <w:spacing w:line="360" w:lineRule="auto"/>
              <w:jc w:val="left"/>
              <w:rPr>
                <w:rFonts w:ascii="宋体" w:hAnsi="宋体" w:cs="宋体"/>
                <w:bCs/>
                <w:szCs w:val="21"/>
              </w:rPr>
            </w:pPr>
            <w:r>
              <w:rPr>
                <w:rFonts w:hint="eastAsia" w:ascii="宋体" w:hAnsi="宋体" w:cs="宋体"/>
                <w:bCs/>
                <w:szCs w:val="21"/>
              </w:rPr>
              <w:t>2.质量控制方案针对性较强，技术措施较先进、基本合理，较为可行，基本满足项目实际需求，得</w:t>
            </w:r>
            <w:r>
              <w:rPr>
                <w:rFonts w:hint="eastAsia" w:ascii="宋体" w:hAnsi="宋体" w:cs="宋体"/>
                <w:szCs w:val="21"/>
              </w:rPr>
              <w:t>（2,4]</w:t>
            </w:r>
            <w:r>
              <w:rPr>
                <w:rFonts w:hint="eastAsia" w:ascii="宋体" w:hAnsi="宋体" w:cs="宋体"/>
                <w:bCs/>
                <w:szCs w:val="21"/>
              </w:rPr>
              <w:t>分；</w:t>
            </w:r>
          </w:p>
          <w:p w14:paraId="3ED799E9">
            <w:pPr>
              <w:spacing w:line="360" w:lineRule="auto"/>
              <w:jc w:val="left"/>
              <w:rPr>
                <w:rFonts w:ascii="宋体" w:hAnsi="宋体" w:cs="宋体"/>
                <w:bCs/>
                <w:szCs w:val="21"/>
              </w:rPr>
            </w:pPr>
            <w:r>
              <w:rPr>
                <w:rFonts w:hint="eastAsia" w:ascii="宋体" w:hAnsi="宋体" w:cs="宋体"/>
                <w:bCs/>
                <w:szCs w:val="21"/>
              </w:rPr>
              <w:t>3.质量控制方案针对性一般，技术措施基本可行，不够科学合理，不可行，不满足项目实际需求，得</w:t>
            </w:r>
            <w:r>
              <w:rPr>
                <w:rFonts w:hint="eastAsia" w:ascii="宋体" w:hAnsi="宋体" w:cs="宋体"/>
                <w:szCs w:val="21"/>
              </w:rPr>
              <w:t>（0,2]</w:t>
            </w:r>
            <w:r>
              <w:rPr>
                <w:rFonts w:hint="eastAsia" w:ascii="宋体" w:hAnsi="宋体" w:cs="宋体"/>
                <w:bCs/>
                <w:szCs w:val="21"/>
              </w:rPr>
              <w:t>分。</w:t>
            </w:r>
          </w:p>
          <w:p w14:paraId="1DC599FE">
            <w:pPr>
              <w:spacing w:line="360" w:lineRule="auto"/>
              <w:jc w:val="left"/>
              <w:rPr>
                <w:rFonts w:ascii="宋体" w:hAnsi="宋体"/>
              </w:rPr>
            </w:pPr>
            <w:r>
              <w:rPr>
                <w:rFonts w:hint="eastAsia" w:ascii="宋体" w:hAnsi="宋体" w:cs="宋体"/>
                <w:bCs/>
                <w:szCs w:val="21"/>
              </w:rPr>
              <w:t>4、不提供或者没有方案得0分。</w:t>
            </w:r>
          </w:p>
        </w:tc>
      </w:tr>
      <w:tr w14:paraId="1070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2803DFE0">
            <w:pPr>
              <w:spacing w:line="440" w:lineRule="exact"/>
              <w:jc w:val="center"/>
              <w:rPr>
                <w:rFonts w:ascii="宋体" w:hAnsi="宋体"/>
                <w:spacing w:val="-1"/>
              </w:rPr>
            </w:pPr>
          </w:p>
        </w:tc>
        <w:tc>
          <w:tcPr>
            <w:tcW w:w="1287" w:type="dxa"/>
            <w:gridSpan w:val="2"/>
            <w:vMerge w:val="continue"/>
          </w:tcPr>
          <w:p w14:paraId="363A96E8">
            <w:pPr>
              <w:spacing w:line="360" w:lineRule="auto"/>
              <w:jc w:val="center"/>
              <w:rPr>
                <w:rFonts w:ascii="宋体" w:hAnsi="宋体"/>
              </w:rPr>
            </w:pPr>
          </w:p>
        </w:tc>
        <w:tc>
          <w:tcPr>
            <w:tcW w:w="2132" w:type="dxa"/>
            <w:vAlign w:val="center"/>
          </w:tcPr>
          <w:p w14:paraId="166E1B75">
            <w:pPr>
              <w:spacing w:line="360" w:lineRule="auto"/>
              <w:jc w:val="center"/>
              <w:rPr>
                <w:rFonts w:ascii="宋体" w:hAnsi="宋体"/>
              </w:rPr>
            </w:pPr>
            <w:r>
              <w:rPr>
                <w:rFonts w:hint="eastAsia" w:ascii="宋体" w:hAnsi="宋体" w:cs="宋体"/>
                <w:spacing w:val="-3"/>
                <w:szCs w:val="21"/>
              </w:rPr>
              <w:t>进度控制措施（10分）</w:t>
            </w:r>
          </w:p>
        </w:tc>
        <w:tc>
          <w:tcPr>
            <w:tcW w:w="5252" w:type="dxa"/>
            <w:vAlign w:val="center"/>
          </w:tcPr>
          <w:p w14:paraId="7813B58B">
            <w:pPr>
              <w:pStyle w:val="19"/>
              <w:spacing w:line="360" w:lineRule="auto"/>
              <w:ind w:firstLine="0"/>
              <w:jc w:val="left"/>
              <w:rPr>
                <w:rFonts w:ascii="宋体" w:hAnsi="宋体" w:cs="宋体"/>
                <w:bCs/>
                <w:szCs w:val="21"/>
              </w:rPr>
            </w:pPr>
            <w:r>
              <w:rPr>
                <w:rFonts w:hint="eastAsia" w:ascii="宋体" w:hAnsi="宋体" w:cs="宋体"/>
                <w:bCs/>
                <w:szCs w:val="21"/>
              </w:rPr>
              <w:t>针对投标人的组织实施计划、进度计划、各指标的检测周期、对工期要求的保障措施、与地块修复相关的单位配合协调措施进行评审，并提供相关承诺：</w:t>
            </w:r>
          </w:p>
          <w:p w14:paraId="6497CBC7">
            <w:pPr>
              <w:pStyle w:val="19"/>
              <w:spacing w:line="360" w:lineRule="auto"/>
              <w:ind w:firstLine="0"/>
              <w:jc w:val="left"/>
              <w:rPr>
                <w:rFonts w:ascii="宋体" w:hAnsi="宋体" w:cs="宋体"/>
                <w:bCs/>
                <w:szCs w:val="21"/>
              </w:rPr>
            </w:pPr>
            <w:r>
              <w:rPr>
                <w:rFonts w:hint="eastAsia" w:ascii="宋体" w:hAnsi="宋体" w:cs="宋体"/>
                <w:bCs/>
                <w:szCs w:val="21"/>
              </w:rPr>
              <w:t>1.方案措施先进合理、针对性强，能与地块修复单位配合协调，得</w:t>
            </w:r>
            <w:r>
              <w:rPr>
                <w:rFonts w:hint="eastAsia" w:ascii="宋体" w:hAnsi="宋体" w:cs="宋体"/>
                <w:szCs w:val="21"/>
              </w:rPr>
              <w:t>（4,6]</w:t>
            </w:r>
            <w:r>
              <w:rPr>
                <w:rFonts w:hint="eastAsia" w:ascii="宋体" w:hAnsi="宋体" w:cs="宋体"/>
                <w:bCs/>
                <w:szCs w:val="21"/>
              </w:rPr>
              <w:t>分；方案措施较合理、针对性较好，与地块修复单位配合协调一般，得</w:t>
            </w:r>
            <w:r>
              <w:rPr>
                <w:rFonts w:hint="eastAsia" w:ascii="宋体" w:hAnsi="宋体" w:cs="宋体"/>
                <w:szCs w:val="21"/>
              </w:rPr>
              <w:t>（2,4]</w:t>
            </w:r>
            <w:r>
              <w:rPr>
                <w:rFonts w:hint="eastAsia" w:ascii="宋体" w:hAnsi="宋体" w:cs="宋体"/>
                <w:bCs/>
                <w:szCs w:val="21"/>
              </w:rPr>
              <w:t>分；方案措施一般，措施部分可行，与地块修复单位配合协调差，得</w:t>
            </w:r>
            <w:r>
              <w:rPr>
                <w:rFonts w:hint="eastAsia" w:ascii="宋体" w:hAnsi="宋体" w:cs="宋体"/>
                <w:szCs w:val="21"/>
              </w:rPr>
              <w:t>（0,2]</w:t>
            </w:r>
            <w:r>
              <w:rPr>
                <w:rFonts w:hint="eastAsia" w:ascii="宋体" w:hAnsi="宋体" w:cs="宋体"/>
                <w:bCs/>
                <w:szCs w:val="21"/>
              </w:rPr>
              <w:t>分。</w:t>
            </w:r>
            <w:r>
              <w:rPr>
                <w:rFonts w:hint="eastAsia"/>
              </w:rPr>
              <w:t>不提供或者没有方案得0分。</w:t>
            </w:r>
          </w:p>
          <w:p w14:paraId="6483DCD4">
            <w:pPr>
              <w:pStyle w:val="19"/>
              <w:spacing w:line="360" w:lineRule="auto"/>
              <w:ind w:firstLine="0"/>
              <w:jc w:val="left"/>
              <w:rPr>
                <w:rFonts w:ascii="宋体" w:hAnsi="宋体" w:cs="宋体"/>
                <w:bCs/>
                <w:szCs w:val="21"/>
              </w:rPr>
            </w:pPr>
            <w:r>
              <w:rPr>
                <w:rFonts w:hint="eastAsia" w:ascii="宋体" w:hAnsi="宋体" w:cs="宋体"/>
                <w:bCs/>
                <w:szCs w:val="21"/>
              </w:rPr>
              <w:t>2.承诺地块</w:t>
            </w:r>
            <w:r>
              <w:rPr>
                <w:rFonts w:hint="eastAsia" w:ascii="宋体" w:hAnsi="宋体" w:cs="宋体"/>
                <w:bCs/>
                <w:szCs w:val="21"/>
                <w:lang w:val="en-US" w:eastAsia="zh-CN"/>
              </w:rPr>
              <w:t>环境整治</w:t>
            </w:r>
            <w:r>
              <w:rPr>
                <w:rFonts w:hint="eastAsia" w:ascii="宋体" w:hAnsi="宋体" w:cs="宋体"/>
                <w:bCs/>
                <w:szCs w:val="21"/>
              </w:rPr>
              <w:t>完成后</w:t>
            </w:r>
            <w:r>
              <w:rPr>
                <w:rFonts w:hint="eastAsia" w:ascii="宋体" w:hAnsi="宋体" w:cs="宋体"/>
                <w:bCs/>
                <w:szCs w:val="21"/>
                <w:lang w:val="en-US" w:eastAsia="zh-CN"/>
              </w:rPr>
              <w:t>3</w:t>
            </w:r>
            <w:r>
              <w:rPr>
                <w:rFonts w:hint="eastAsia" w:ascii="宋体" w:hAnsi="宋体" w:cs="宋体"/>
                <w:bCs/>
                <w:szCs w:val="21"/>
              </w:rPr>
              <w:t>0个日历天内提供效果评估报告的，得4分，</w:t>
            </w:r>
            <w:r>
              <w:rPr>
                <w:rFonts w:hint="eastAsia" w:ascii="宋体" w:hAnsi="宋体" w:cs="宋体"/>
                <w:bCs/>
                <w:szCs w:val="21"/>
                <w:lang w:val="en-US" w:eastAsia="zh-CN"/>
              </w:rPr>
              <w:t>6</w:t>
            </w:r>
            <w:r>
              <w:rPr>
                <w:rFonts w:hint="eastAsia" w:ascii="宋体" w:hAnsi="宋体" w:cs="宋体"/>
                <w:bCs/>
                <w:szCs w:val="21"/>
              </w:rPr>
              <w:t>0个日历天内提供效果评估报告的，得2分。</w:t>
            </w:r>
          </w:p>
          <w:p w14:paraId="0D3C36A1">
            <w:pPr>
              <w:rPr>
                <w:rFonts w:ascii="宋体" w:hAnsi="宋体"/>
              </w:rPr>
            </w:pPr>
            <w:r>
              <w:rPr>
                <w:rFonts w:hint="eastAsia" w:ascii="宋体" w:hAnsi="宋体" w:cs="宋体"/>
                <w:bCs/>
                <w:szCs w:val="21"/>
              </w:rPr>
              <w:t>本项最高得10分。</w:t>
            </w:r>
          </w:p>
        </w:tc>
      </w:tr>
      <w:tr w14:paraId="4696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Merge w:val="continue"/>
          </w:tcPr>
          <w:p w14:paraId="26D5EB7B">
            <w:pPr>
              <w:spacing w:line="440" w:lineRule="exact"/>
              <w:jc w:val="center"/>
              <w:rPr>
                <w:rFonts w:ascii="宋体" w:hAnsi="宋体"/>
                <w:spacing w:val="-1"/>
              </w:rPr>
            </w:pPr>
          </w:p>
        </w:tc>
        <w:tc>
          <w:tcPr>
            <w:tcW w:w="1287" w:type="dxa"/>
            <w:gridSpan w:val="2"/>
            <w:vMerge w:val="continue"/>
          </w:tcPr>
          <w:p w14:paraId="4249FEC9">
            <w:pPr>
              <w:spacing w:line="360" w:lineRule="auto"/>
              <w:jc w:val="center"/>
              <w:rPr>
                <w:rFonts w:ascii="宋体" w:hAnsi="宋体"/>
              </w:rPr>
            </w:pPr>
          </w:p>
        </w:tc>
        <w:tc>
          <w:tcPr>
            <w:tcW w:w="2132" w:type="dxa"/>
            <w:vAlign w:val="center"/>
          </w:tcPr>
          <w:p w14:paraId="55C64EAD">
            <w:pPr>
              <w:spacing w:line="360" w:lineRule="auto"/>
              <w:jc w:val="center"/>
              <w:rPr>
                <w:rFonts w:ascii="宋体" w:hAnsi="宋体"/>
              </w:rPr>
            </w:pPr>
            <w:r>
              <w:rPr>
                <w:rFonts w:hint="eastAsia" w:ascii="宋体" w:hAnsi="宋体" w:cs="宋体"/>
                <w:bCs/>
                <w:szCs w:val="21"/>
              </w:rPr>
              <w:t>安全控制措施（5分）</w:t>
            </w:r>
          </w:p>
        </w:tc>
        <w:tc>
          <w:tcPr>
            <w:tcW w:w="5252" w:type="dxa"/>
            <w:vAlign w:val="center"/>
          </w:tcPr>
          <w:p w14:paraId="2C4938CA">
            <w:pPr>
              <w:spacing w:line="360" w:lineRule="auto"/>
              <w:jc w:val="left"/>
              <w:rPr>
                <w:rFonts w:ascii="宋体" w:hAnsi="宋体" w:cs="宋体"/>
                <w:bCs/>
                <w:szCs w:val="21"/>
              </w:rPr>
            </w:pPr>
            <w:r>
              <w:rPr>
                <w:rFonts w:hint="eastAsia" w:ascii="宋体" w:hAnsi="宋体" w:cs="宋体"/>
                <w:bCs/>
                <w:szCs w:val="21"/>
              </w:rPr>
              <w:t>1.安全控制措施全面具体、合理有效、可操作性强，得</w:t>
            </w:r>
            <w:r>
              <w:rPr>
                <w:rFonts w:hint="eastAsia" w:ascii="宋体" w:hAnsi="宋体" w:cs="宋体"/>
                <w:szCs w:val="21"/>
              </w:rPr>
              <w:t>（4,5]</w:t>
            </w:r>
            <w:r>
              <w:rPr>
                <w:rFonts w:hint="eastAsia" w:ascii="宋体" w:hAnsi="宋体" w:cs="宋体"/>
                <w:bCs/>
                <w:szCs w:val="21"/>
              </w:rPr>
              <w:t>分；</w:t>
            </w:r>
          </w:p>
          <w:p w14:paraId="067C6D6E">
            <w:pPr>
              <w:spacing w:line="360" w:lineRule="auto"/>
              <w:jc w:val="left"/>
              <w:rPr>
                <w:rFonts w:ascii="宋体" w:hAnsi="宋体" w:cs="宋体"/>
                <w:bCs/>
                <w:szCs w:val="21"/>
              </w:rPr>
            </w:pPr>
            <w:r>
              <w:rPr>
                <w:rFonts w:hint="eastAsia" w:ascii="宋体" w:hAnsi="宋体" w:cs="宋体"/>
                <w:bCs/>
                <w:szCs w:val="21"/>
              </w:rPr>
              <w:t>2.安全控制措施较为全面具体、较为合理有效、可操作性一般，得</w:t>
            </w:r>
            <w:r>
              <w:rPr>
                <w:rFonts w:hint="eastAsia" w:ascii="宋体" w:hAnsi="宋体" w:cs="宋体"/>
                <w:szCs w:val="21"/>
              </w:rPr>
              <w:t>（2,4]</w:t>
            </w:r>
            <w:r>
              <w:rPr>
                <w:rFonts w:hint="eastAsia" w:ascii="宋体" w:hAnsi="宋体" w:cs="宋体"/>
                <w:bCs/>
                <w:szCs w:val="21"/>
              </w:rPr>
              <w:t>分；</w:t>
            </w:r>
          </w:p>
          <w:p w14:paraId="38E1E782">
            <w:pPr>
              <w:spacing w:line="360" w:lineRule="auto"/>
              <w:jc w:val="left"/>
              <w:rPr>
                <w:rFonts w:ascii="宋体" w:hAnsi="宋体" w:cs="宋体"/>
                <w:bCs/>
                <w:szCs w:val="21"/>
              </w:rPr>
            </w:pPr>
            <w:r>
              <w:rPr>
                <w:rFonts w:hint="eastAsia" w:ascii="宋体" w:hAnsi="宋体" w:cs="宋体"/>
                <w:bCs/>
                <w:szCs w:val="21"/>
              </w:rPr>
              <w:t>3.安全控制措施不够全面具体、不够合理有效、可操作性差，得</w:t>
            </w:r>
            <w:r>
              <w:rPr>
                <w:rFonts w:hint="eastAsia" w:ascii="宋体" w:hAnsi="宋体" w:cs="宋体"/>
                <w:szCs w:val="21"/>
              </w:rPr>
              <w:t>（0,2]</w:t>
            </w:r>
            <w:r>
              <w:rPr>
                <w:rFonts w:hint="eastAsia" w:ascii="宋体" w:hAnsi="宋体" w:cs="宋体"/>
                <w:bCs/>
                <w:szCs w:val="21"/>
              </w:rPr>
              <w:t>分；</w:t>
            </w:r>
          </w:p>
          <w:p w14:paraId="5BE30129">
            <w:pPr>
              <w:spacing w:line="360" w:lineRule="auto"/>
              <w:jc w:val="left"/>
              <w:rPr>
                <w:rFonts w:ascii="宋体" w:hAnsi="宋体"/>
              </w:rPr>
            </w:pPr>
            <w:r>
              <w:rPr>
                <w:rFonts w:hint="eastAsia" w:ascii="宋体" w:hAnsi="宋体" w:cs="宋体"/>
                <w:szCs w:val="21"/>
              </w:rPr>
              <w:t>4.</w:t>
            </w:r>
            <w:r>
              <w:rPr>
                <w:rFonts w:hint="eastAsia" w:ascii="宋体" w:hAnsi="宋体" w:cs="宋体"/>
                <w:bCs/>
                <w:szCs w:val="21"/>
              </w:rPr>
              <w:t>不提供或者没有方案得0分</w:t>
            </w:r>
            <w:r>
              <w:rPr>
                <w:rFonts w:hint="eastAsia" w:ascii="宋体" w:hAnsi="宋体" w:cs="宋体"/>
                <w:szCs w:val="21"/>
              </w:rPr>
              <w:t>。</w:t>
            </w:r>
          </w:p>
        </w:tc>
      </w:tr>
      <w:tr w14:paraId="5A38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vAlign w:val="center"/>
          </w:tcPr>
          <w:p w14:paraId="177A4BEC">
            <w:pPr>
              <w:pStyle w:val="29"/>
              <w:kinsoku w:val="0"/>
              <w:overflowPunct w:val="0"/>
              <w:spacing w:before="1" w:line="160" w:lineRule="exact"/>
              <w:ind w:left="-63" w:leftChars="-30" w:right="-111" w:rightChars="-53" w:firstLine="48" w:firstLineChars="30"/>
              <w:jc w:val="center"/>
              <w:rPr>
                <w:rFonts w:hint="default"/>
                <w:sz w:val="16"/>
              </w:rPr>
            </w:pPr>
          </w:p>
          <w:p w14:paraId="26AAA5FA">
            <w:pPr>
              <w:pStyle w:val="29"/>
              <w:kinsoku w:val="0"/>
              <w:overflowPunct w:val="0"/>
              <w:ind w:left="-63" w:leftChars="-30" w:right="-111" w:rightChars="-53" w:firstLine="63" w:firstLineChars="30"/>
              <w:jc w:val="center"/>
              <w:rPr>
                <w:rFonts w:hint="default" w:eastAsia="Times New Roman"/>
              </w:rPr>
            </w:pPr>
            <w:r>
              <w:rPr>
                <w:rFonts w:eastAsia="Times New Roman"/>
              </w:rPr>
              <w:t>2.2.4</w:t>
            </w:r>
          </w:p>
          <w:p w14:paraId="3BF43535">
            <w:pPr>
              <w:pStyle w:val="29"/>
              <w:kinsoku w:val="0"/>
              <w:overflowPunct w:val="0"/>
              <w:spacing w:before="6" w:line="110" w:lineRule="exact"/>
              <w:ind w:left="-63" w:leftChars="-30" w:right="-111" w:rightChars="-53" w:firstLine="33" w:firstLineChars="30"/>
              <w:jc w:val="center"/>
              <w:rPr>
                <w:rFonts w:hint="default"/>
                <w:sz w:val="11"/>
              </w:rPr>
            </w:pPr>
          </w:p>
          <w:p w14:paraId="1D3F4C80">
            <w:pPr>
              <w:pStyle w:val="29"/>
              <w:kinsoku w:val="0"/>
              <w:overflowPunct w:val="0"/>
              <w:ind w:left="-63" w:leftChars="-30" w:right="-111" w:rightChars="-53" w:firstLine="62" w:firstLineChars="30"/>
              <w:jc w:val="center"/>
              <w:rPr>
                <w:rFonts w:hint="default"/>
              </w:rPr>
            </w:pPr>
            <w:r>
              <w:rPr>
                <w:rFonts w:ascii="宋体" w:hAnsi="宋体"/>
                <w:spacing w:val="-1"/>
              </w:rPr>
              <w:t>（</w:t>
            </w:r>
            <w:r>
              <w:rPr>
                <w:rFonts w:eastAsia="Times New Roman"/>
              </w:rPr>
              <w:t>3</w:t>
            </w:r>
            <w:r>
              <w:rPr>
                <w:rFonts w:ascii="宋体" w:hAnsi="宋体"/>
              </w:rPr>
              <w:t>）</w:t>
            </w:r>
          </w:p>
        </w:tc>
        <w:tc>
          <w:tcPr>
            <w:tcW w:w="1287" w:type="dxa"/>
            <w:gridSpan w:val="2"/>
            <w:vAlign w:val="center"/>
          </w:tcPr>
          <w:p w14:paraId="2752D9E1">
            <w:pPr>
              <w:spacing w:line="360" w:lineRule="auto"/>
              <w:ind w:left="315" w:hanging="315" w:hangingChars="150"/>
              <w:jc w:val="center"/>
              <w:rPr>
                <w:rFonts w:ascii="宋体" w:hAnsi="Courier New"/>
                <w:szCs w:val="21"/>
              </w:rPr>
            </w:pPr>
            <w:r>
              <w:rPr>
                <w:rFonts w:hint="eastAsia" w:ascii="宋体" w:hAnsi="宋体"/>
              </w:rPr>
              <w:t>投标</w:t>
            </w:r>
            <w:r>
              <w:rPr>
                <w:rFonts w:hint="eastAsia" w:ascii="宋体" w:hAnsi="Courier New"/>
                <w:szCs w:val="21"/>
              </w:rPr>
              <w:t>报价</w:t>
            </w:r>
          </w:p>
          <w:p w14:paraId="662DAA62">
            <w:pPr>
              <w:spacing w:line="360" w:lineRule="auto"/>
              <w:ind w:left="315" w:hanging="315" w:hangingChars="150"/>
              <w:jc w:val="center"/>
              <w:rPr>
                <w:rFonts w:ascii="宋体" w:hAnsi="宋体"/>
              </w:rPr>
            </w:pPr>
            <w:r>
              <w:rPr>
                <w:rFonts w:hint="eastAsia" w:ascii="宋体" w:hAnsi="宋体"/>
              </w:rPr>
              <w:t>评分</w:t>
            </w:r>
            <w:r>
              <w:rPr>
                <w:rFonts w:hint="eastAsia" w:ascii="宋体" w:hAnsi="宋体"/>
                <w:spacing w:val="-3"/>
              </w:rPr>
              <w:t>标</w:t>
            </w:r>
            <w:r>
              <w:rPr>
                <w:rFonts w:hint="eastAsia" w:ascii="宋体" w:hAnsi="宋体"/>
              </w:rPr>
              <w:t>准</w:t>
            </w:r>
          </w:p>
          <w:p w14:paraId="33909644">
            <w:pPr>
              <w:spacing w:line="360" w:lineRule="auto"/>
              <w:ind w:left="315" w:hanging="315" w:hangingChars="150"/>
              <w:jc w:val="center"/>
              <w:rPr>
                <w:rFonts w:ascii="宋体" w:hAnsi="宋体"/>
              </w:rPr>
            </w:pPr>
            <w:r>
              <w:rPr>
                <w:rFonts w:hint="eastAsia" w:ascii="宋体" w:hAnsi="宋体"/>
              </w:rPr>
              <w:t>（10分）</w:t>
            </w:r>
          </w:p>
        </w:tc>
        <w:tc>
          <w:tcPr>
            <w:tcW w:w="2132" w:type="dxa"/>
            <w:vAlign w:val="center"/>
          </w:tcPr>
          <w:p w14:paraId="56A2EF34">
            <w:pPr>
              <w:pStyle w:val="29"/>
              <w:kinsoku w:val="0"/>
              <w:overflowPunct w:val="0"/>
              <w:spacing w:before="14" w:line="360" w:lineRule="auto"/>
              <w:ind w:left="-102" w:leftChars="-49" w:hanging="1"/>
              <w:jc w:val="center"/>
              <w:rPr>
                <w:rFonts w:hint="default" w:ascii="宋体" w:hAnsi="宋体"/>
              </w:rPr>
            </w:pPr>
            <w:r>
              <w:rPr>
                <w:rFonts w:ascii="宋体" w:hAnsi="宋体"/>
              </w:rPr>
              <w:t>报价得分</w:t>
            </w:r>
            <w:r>
              <w:rPr>
                <w:rFonts w:ascii="宋体" w:hAnsi="宋体" w:cs="宋体"/>
                <w:szCs w:val="21"/>
              </w:rPr>
              <w:t>(10分)</w:t>
            </w:r>
          </w:p>
        </w:tc>
        <w:tc>
          <w:tcPr>
            <w:tcW w:w="5252" w:type="dxa"/>
          </w:tcPr>
          <w:p w14:paraId="328ACD57">
            <w:pPr>
              <w:spacing w:line="360" w:lineRule="auto"/>
              <w:rPr>
                <w:rFonts w:ascii="宋体" w:hAnsi="宋体"/>
              </w:rPr>
            </w:pPr>
            <w:r>
              <w:rPr>
                <w:rFonts w:hint="eastAsia" w:ascii="宋体" w:hAnsi="宋体"/>
              </w:rPr>
              <w:t>以评标基准价作为计算各有效投标价得分的基础，当有效投标报价等于评标基准价时得10分；投标有效报价与评标基准价之差，每上偏1%扣0.5分，下偏1%扣0.3分。（得分扣至0分止）</w:t>
            </w:r>
          </w:p>
        </w:tc>
      </w:tr>
      <w:bookmarkEnd w:id="987"/>
    </w:tbl>
    <w:p w14:paraId="5DD38345">
      <w:pPr>
        <w:numPr>
          <w:ilvl w:val="255"/>
          <w:numId w:val="0"/>
        </w:numPr>
        <w:topLinePunct/>
        <w:spacing w:line="300" w:lineRule="auto"/>
      </w:pPr>
      <w:r>
        <w:rPr>
          <w:rFonts w:hint="eastAsia"/>
        </w:rPr>
        <w:t>说明：</w:t>
      </w:r>
      <w:r>
        <w:t>（</w:t>
      </w:r>
      <w:r>
        <w:rPr>
          <w:rFonts w:hint="eastAsia"/>
        </w:rPr>
        <w:t>1</w:t>
      </w:r>
      <w:r>
        <w:t>）</w:t>
      </w:r>
      <w:r>
        <w:rPr>
          <w:rFonts w:hint="eastAsia"/>
        </w:rPr>
        <w:t>须提供评分标准中的相关证明文件或证书作为评审依据，否则不得分。</w:t>
      </w:r>
    </w:p>
    <w:p w14:paraId="6EBAC595">
      <w:pPr>
        <w:topLinePunct/>
        <w:spacing w:line="300" w:lineRule="auto"/>
        <w:ind w:firstLine="630" w:firstLineChars="300"/>
      </w:pPr>
      <w:r>
        <w:rPr>
          <w:rFonts w:hint="eastAsia"/>
        </w:rPr>
        <w:t>（2）评分如出现小数点，则保留小数点后两位，第三位四舍五入。</w:t>
      </w:r>
    </w:p>
    <w:p w14:paraId="435DC48E">
      <w:pPr>
        <w:topLinePunct/>
        <w:spacing w:line="300" w:lineRule="auto"/>
        <w:ind w:firstLine="630" w:firstLineChars="300"/>
        <w:rPr>
          <w:rFonts w:ascii="Times New Roman" w:hAnsi="Times New Roman"/>
        </w:rPr>
      </w:pPr>
      <w:r>
        <w:rPr>
          <w:rFonts w:hint="eastAsia"/>
        </w:rPr>
        <w:t>（3）投标人的得分为各评委的评分计取的算术平均分（分数出现小数点时，保留小数点后二位，第三位小数四舍五入）。</w:t>
      </w:r>
    </w:p>
    <w:p w14:paraId="51F7C0DC">
      <w:pPr>
        <w:pStyle w:val="4"/>
        <w:keepNext w:val="0"/>
        <w:keepLines w:val="0"/>
        <w:spacing w:before="200" w:after="100" w:line="360" w:lineRule="auto"/>
        <w:rPr>
          <w:rFonts w:ascii="Times New Roman" w:hAnsi="Times New Roman"/>
        </w:rPr>
      </w:pPr>
      <w:r>
        <w:rPr>
          <w:rFonts w:ascii="Times New Roman" w:hAnsi="Times New Roman"/>
        </w:rPr>
        <w:br w:type="page"/>
      </w:r>
      <w:bookmarkEnd w:id="983"/>
      <w:bookmarkStart w:id="990" w:name="_Toc4585"/>
      <w:bookmarkStart w:id="991" w:name="_Toc7846"/>
      <w:bookmarkStart w:id="992" w:name="_Toc10091"/>
      <w:r>
        <w:rPr>
          <w:rFonts w:ascii="Times New Roman" w:hAnsi="Times New Roman"/>
        </w:rPr>
        <w:t>1. 评标方法</w:t>
      </w:r>
      <w:bookmarkEnd w:id="990"/>
      <w:bookmarkEnd w:id="991"/>
      <w:bookmarkEnd w:id="992"/>
    </w:p>
    <w:p w14:paraId="1613BE76">
      <w:pPr>
        <w:spacing w:line="360" w:lineRule="auto"/>
        <w:ind w:firstLine="480" w:firstLineChars="200"/>
        <w:rPr>
          <w:rFonts w:ascii="Times New Roman" w:hAnsi="Times New Roman"/>
          <w:sz w:val="24"/>
          <w:szCs w:val="24"/>
        </w:rPr>
      </w:pPr>
      <w:r>
        <w:rPr>
          <w:rFonts w:ascii="Times New Roman" w:hAnsi="Times New Roman"/>
          <w:sz w:val="24"/>
          <w:szCs w:val="24"/>
        </w:rPr>
        <w:t>本次评标采用综合评估法。评标委员会对满足招标文件实质性要求的投标文件，按照本章第2.2款规定的评分标准进行打分，并</w:t>
      </w:r>
      <w:r>
        <w:rPr>
          <w:rFonts w:hint="eastAsia" w:ascii="Times New Roman" w:hAnsi="Times New Roman"/>
          <w:sz w:val="24"/>
          <w:szCs w:val="24"/>
        </w:rPr>
        <w:t>按总得分由高到低顺序推荐中标候选人，若两家或以上的投标人总得分相同时，则投标报价低的排前；若投标人总得分和投标报价均相同，则技术服务方案得分高的排前；若投标人总得分、投标报价和技术服务方案得分均相同，则由评标委员会投票表决推荐排名优先的投标人。</w:t>
      </w:r>
    </w:p>
    <w:p w14:paraId="6BF0C7F8">
      <w:pPr>
        <w:pStyle w:val="4"/>
        <w:keepNext w:val="0"/>
        <w:keepLines w:val="0"/>
        <w:spacing w:line="260" w:lineRule="exact"/>
        <w:rPr>
          <w:rFonts w:ascii="Times New Roman" w:hAnsi="Times New Roman"/>
        </w:rPr>
      </w:pPr>
      <w:bookmarkStart w:id="993" w:name="_Toc15812"/>
      <w:bookmarkStart w:id="994" w:name="_Toc10040"/>
      <w:bookmarkStart w:id="995" w:name="_Toc24121"/>
      <w:r>
        <w:rPr>
          <w:rFonts w:ascii="Times New Roman" w:hAnsi="Times New Roman"/>
        </w:rPr>
        <w:t>2. 评审标准</w:t>
      </w:r>
      <w:bookmarkEnd w:id="993"/>
      <w:bookmarkEnd w:id="994"/>
      <w:bookmarkEnd w:id="995"/>
    </w:p>
    <w:p w14:paraId="7A5788DD">
      <w:pPr>
        <w:pStyle w:val="5"/>
        <w:keepNext w:val="0"/>
        <w:keepLines w:val="0"/>
        <w:spacing w:line="240" w:lineRule="auto"/>
        <w:ind w:firstLine="137"/>
        <w:rPr>
          <w:rFonts w:ascii="Times New Roman" w:hAnsi="Times New Roman"/>
        </w:rPr>
      </w:pPr>
      <w:bookmarkStart w:id="996" w:name="_Toc30338"/>
      <w:bookmarkStart w:id="997" w:name="_Toc10925"/>
      <w:bookmarkStart w:id="998" w:name="_Toc13429"/>
      <w:r>
        <w:rPr>
          <w:rFonts w:ascii="Times New Roman" w:hAnsi="Times New Roman"/>
        </w:rPr>
        <w:t>2.1 初步评审标准</w:t>
      </w:r>
      <w:bookmarkEnd w:id="996"/>
      <w:bookmarkEnd w:id="997"/>
      <w:bookmarkEnd w:id="998"/>
    </w:p>
    <w:p w14:paraId="505A2D3D">
      <w:pPr>
        <w:spacing w:line="400" w:lineRule="exact"/>
        <w:ind w:firstLine="480" w:firstLineChars="200"/>
        <w:rPr>
          <w:rFonts w:ascii="Times New Roman" w:hAnsi="Times New Roman"/>
          <w:sz w:val="24"/>
          <w:szCs w:val="24"/>
        </w:rPr>
      </w:pPr>
      <w:r>
        <w:rPr>
          <w:rFonts w:ascii="Times New Roman" w:hAnsi="Times New Roman"/>
          <w:sz w:val="24"/>
          <w:szCs w:val="24"/>
        </w:rPr>
        <w:t>2.1.1 形式评审标准：见评标办法前附表。</w:t>
      </w:r>
    </w:p>
    <w:p w14:paraId="7BDF2CBC">
      <w:pPr>
        <w:spacing w:line="400" w:lineRule="exact"/>
        <w:ind w:firstLine="480" w:firstLineChars="200"/>
        <w:rPr>
          <w:rFonts w:ascii="Times New Roman" w:hAnsi="Times New Roman"/>
          <w:sz w:val="24"/>
          <w:szCs w:val="24"/>
        </w:rPr>
      </w:pPr>
      <w:r>
        <w:rPr>
          <w:rFonts w:ascii="Times New Roman" w:hAnsi="Times New Roman"/>
          <w:sz w:val="24"/>
          <w:szCs w:val="24"/>
        </w:rPr>
        <w:t>2.1.2 资格评审标准：见评标办法前附表。</w:t>
      </w:r>
    </w:p>
    <w:p w14:paraId="292F0F0A">
      <w:pPr>
        <w:spacing w:line="400" w:lineRule="exact"/>
        <w:ind w:firstLine="480" w:firstLineChars="200"/>
        <w:rPr>
          <w:rFonts w:ascii="Times New Roman" w:hAnsi="Times New Roman"/>
        </w:rPr>
      </w:pPr>
      <w:r>
        <w:rPr>
          <w:rFonts w:ascii="Times New Roman" w:hAnsi="Times New Roman"/>
          <w:sz w:val="24"/>
          <w:szCs w:val="24"/>
        </w:rPr>
        <w:t>2.1.3 响应性评审标准：见评标办法前附表。</w:t>
      </w:r>
    </w:p>
    <w:p w14:paraId="3F5B816E">
      <w:pPr>
        <w:pStyle w:val="5"/>
        <w:keepNext w:val="0"/>
        <w:keepLines w:val="0"/>
        <w:spacing w:line="240" w:lineRule="auto"/>
        <w:ind w:firstLine="137"/>
        <w:rPr>
          <w:rFonts w:ascii="Times New Roman" w:hAnsi="Times New Roman"/>
        </w:rPr>
      </w:pPr>
      <w:bookmarkStart w:id="999" w:name="_Toc23891"/>
      <w:bookmarkStart w:id="1000" w:name="_Toc26377"/>
      <w:bookmarkStart w:id="1001" w:name="_Toc19945"/>
      <w:r>
        <w:rPr>
          <w:rFonts w:ascii="Times New Roman" w:hAnsi="Times New Roman"/>
        </w:rPr>
        <w:t>2.2 分值构成与评分标准</w:t>
      </w:r>
      <w:bookmarkEnd w:id="999"/>
      <w:bookmarkEnd w:id="1000"/>
      <w:bookmarkEnd w:id="1001"/>
    </w:p>
    <w:p w14:paraId="69412BDC">
      <w:pPr>
        <w:spacing w:line="400" w:lineRule="exact"/>
        <w:ind w:firstLine="480" w:firstLineChars="200"/>
        <w:rPr>
          <w:rFonts w:ascii="Times New Roman" w:hAnsi="Times New Roman"/>
          <w:sz w:val="24"/>
          <w:szCs w:val="24"/>
        </w:rPr>
      </w:pPr>
      <w:r>
        <w:rPr>
          <w:rFonts w:ascii="Times New Roman" w:hAnsi="Times New Roman"/>
          <w:sz w:val="24"/>
          <w:szCs w:val="24"/>
        </w:rPr>
        <w:t>2.2.1 分值构成</w:t>
      </w:r>
    </w:p>
    <w:p w14:paraId="141E36EA">
      <w:pPr>
        <w:spacing w:line="400" w:lineRule="exact"/>
        <w:ind w:firstLine="480" w:firstLineChars="200"/>
        <w:rPr>
          <w:rFonts w:ascii="Times New Roman" w:hAnsi="Times New Roman"/>
          <w:sz w:val="24"/>
          <w:szCs w:val="24"/>
        </w:rPr>
      </w:pPr>
      <w:r>
        <w:rPr>
          <w:rFonts w:ascii="Times New Roman" w:hAnsi="Times New Roman"/>
          <w:sz w:val="24"/>
          <w:szCs w:val="24"/>
        </w:rPr>
        <w:t>（1）资信业绩部分：见评标办法前附表；</w:t>
      </w:r>
    </w:p>
    <w:p w14:paraId="75CAE621">
      <w:pPr>
        <w:spacing w:line="400" w:lineRule="exact"/>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技术服务方案部分</w:t>
      </w:r>
      <w:r>
        <w:rPr>
          <w:rFonts w:ascii="Times New Roman" w:hAnsi="Times New Roman"/>
          <w:sz w:val="24"/>
          <w:szCs w:val="24"/>
        </w:rPr>
        <w:t>：见评标办法前附表；</w:t>
      </w:r>
    </w:p>
    <w:p w14:paraId="21A342E1">
      <w:pPr>
        <w:spacing w:line="400" w:lineRule="exact"/>
        <w:ind w:firstLine="480" w:firstLineChars="200"/>
        <w:rPr>
          <w:rFonts w:ascii="Times New Roman" w:hAnsi="Times New Roman"/>
          <w:sz w:val="24"/>
          <w:szCs w:val="24"/>
        </w:rPr>
      </w:pPr>
      <w:r>
        <w:rPr>
          <w:rFonts w:ascii="Times New Roman" w:hAnsi="Times New Roman"/>
          <w:sz w:val="24"/>
          <w:szCs w:val="24"/>
        </w:rPr>
        <w:t>（3）投标报价：见评标办法前附表；</w:t>
      </w:r>
    </w:p>
    <w:p w14:paraId="75A98AE7">
      <w:pPr>
        <w:spacing w:line="400" w:lineRule="exact"/>
        <w:ind w:firstLine="480" w:firstLineChars="200"/>
        <w:rPr>
          <w:rFonts w:ascii="Times New Roman" w:hAnsi="Times New Roman"/>
          <w:sz w:val="24"/>
          <w:szCs w:val="24"/>
        </w:rPr>
      </w:pPr>
      <w:r>
        <w:rPr>
          <w:rFonts w:ascii="Times New Roman" w:hAnsi="Times New Roman"/>
          <w:sz w:val="24"/>
          <w:szCs w:val="24"/>
        </w:rPr>
        <w:t>2.2.2 评标基准价计算</w:t>
      </w:r>
    </w:p>
    <w:p w14:paraId="216E8F5E">
      <w:pPr>
        <w:spacing w:line="400" w:lineRule="exact"/>
        <w:ind w:firstLine="480" w:firstLineChars="200"/>
        <w:rPr>
          <w:rFonts w:ascii="Times New Roman" w:hAnsi="Times New Roman"/>
          <w:sz w:val="24"/>
          <w:szCs w:val="24"/>
        </w:rPr>
      </w:pPr>
      <w:r>
        <w:rPr>
          <w:rFonts w:ascii="Times New Roman" w:hAnsi="Times New Roman"/>
          <w:sz w:val="24"/>
          <w:szCs w:val="24"/>
        </w:rPr>
        <w:t>评标基准价计算方法：见评标办法前附表。</w:t>
      </w:r>
    </w:p>
    <w:p w14:paraId="653B94FA">
      <w:pPr>
        <w:spacing w:line="400" w:lineRule="exact"/>
        <w:ind w:firstLine="480" w:firstLineChars="200"/>
        <w:rPr>
          <w:rFonts w:ascii="Times New Roman" w:hAnsi="Times New Roman"/>
          <w:sz w:val="24"/>
          <w:szCs w:val="24"/>
        </w:rPr>
      </w:pPr>
      <w:r>
        <w:rPr>
          <w:rFonts w:ascii="Times New Roman" w:hAnsi="Times New Roman"/>
          <w:sz w:val="24"/>
          <w:szCs w:val="24"/>
        </w:rPr>
        <w:t>2.2.3 投标报价的偏差率计算</w:t>
      </w:r>
    </w:p>
    <w:p w14:paraId="794AF3D0">
      <w:pPr>
        <w:spacing w:line="400" w:lineRule="exact"/>
        <w:ind w:firstLine="480" w:firstLineChars="200"/>
        <w:rPr>
          <w:rFonts w:ascii="Times New Roman" w:hAnsi="Times New Roman"/>
          <w:sz w:val="24"/>
          <w:szCs w:val="24"/>
        </w:rPr>
      </w:pPr>
      <w:r>
        <w:rPr>
          <w:rFonts w:ascii="Times New Roman" w:hAnsi="Times New Roman"/>
          <w:sz w:val="24"/>
          <w:szCs w:val="24"/>
        </w:rPr>
        <w:t>投标报价的偏差率计算公式：见评标办法前附表。</w:t>
      </w:r>
    </w:p>
    <w:p w14:paraId="37964A04">
      <w:pPr>
        <w:spacing w:line="400" w:lineRule="exact"/>
        <w:ind w:firstLine="480" w:firstLineChars="200"/>
        <w:rPr>
          <w:rFonts w:ascii="Times New Roman" w:hAnsi="Times New Roman"/>
          <w:sz w:val="24"/>
          <w:szCs w:val="24"/>
        </w:rPr>
      </w:pPr>
      <w:r>
        <w:rPr>
          <w:rFonts w:ascii="Times New Roman" w:hAnsi="Times New Roman"/>
          <w:sz w:val="24"/>
          <w:szCs w:val="24"/>
        </w:rPr>
        <w:t>2.2.4 评分标准</w:t>
      </w:r>
    </w:p>
    <w:p w14:paraId="512B4FD2">
      <w:pPr>
        <w:spacing w:line="400" w:lineRule="exact"/>
        <w:ind w:firstLine="480" w:firstLineChars="200"/>
        <w:rPr>
          <w:rFonts w:ascii="Times New Roman" w:hAnsi="Times New Roman"/>
          <w:sz w:val="24"/>
          <w:szCs w:val="24"/>
        </w:rPr>
      </w:pPr>
      <w:r>
        <w:rPr>
          <w:rFonts w:ascii="Times New Roman" w:hAnsi="Times New Roman"/>
          <w:sz w:val="24"/>
          <w:szCs w:val="24"/>
        </w:rPr>
        <w:t>（1）资信业绩评分标准：见评标办法前附表；</w:t>
      </w:r>
    </w:p>
    <w:p w14:paraId="00AC1355">
      <w:pPr>
        <w:spacing w:line="400" w:lineRule="exact"/>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技术服务方案</w:t>
      </w:r>
      <w:r>
        <w:rPr>
          <w:rFonts w:ascii="Times New Roman" w:hAnsi="Times New Roman"/>
          <w:sz w:val="24"/>
          <w:szCs w:val="24"/>
        </w:rPr>
        <w:t>评分标准：见评标办法前附表；</w:t>
      </w:r>
    </w:p>
    <w:p w14:paraId="26CD5DB6">
      <w:pPr>
        <w:spacing w:line="400" w:lineRule="exact"/>
        <w:ind w:firstLine="480" w:firstLineChars="200"/>
        <w:rPr>
          <w:rFonts w:ascii="Times New Roman" w:hAnsi="Times New Roman"/>
          <w:sz w:val="24"/>
          <w:szCs w:val="24"/>
        </w:rPr>
      </w:pPr>
      <w:r>
        <w:rPr>
          <w:rFonts w:ascii="Times New Roman" w:hAnsi="Times New Roman"/>
          <w:sz w:val="24"/>
          <w:szCs w:val="24"/>
        </w:rPr>
        <w:t>（3）投标报价评分标准：见评标办法前附表；</w:t>
      </w:r>
    </w:p>
    <w:p w14:paraId="4F2AC381">
      <w:pPr>
        <w:pStyle w:val="4"/>
        <w:keepNext w:val="0"/>
        <w:keepLines w:val="0"/>
        <w:spacing w:line="360" w:lineRule="auto"/>
        <w:rPr>
          <w:rFonts w:ascii="Times New Roman" w:hAnsi="Times New Roman"/>
        </w:rPr>
      </w:pPr>
      <w:bookmarkStart w:id="1002" w:name="_Toc15108"/>
      <w:bookmarkStart w:id="1003" w:name="_Toc30938"/>
      <w:bookmarkStart w:id="1004" w:name="_Toc15297"/>
      <w:r>
        <w:rPr>
          <w:rFonts w:ascii="Times New Roman" w:hAnsi="Times New Roman"/>
        </w:rPr>
        <w:t>3. 评标程序</w:t>
      </w:r>
      <w:bookmarkEnd w:id="1002"/>
      <w:bookmarkEnd w:id="1003"/>
      <w:bookmarkEnd w:id="1004"/>
    </w:p>
    <w:p w14:paraId="61A14736">
      <w:pPr>
        <w:pStyle w:val="5"/>
        <w:keepNext w:val="0"/>
        <w:keepLines w:val="0"/>
        <w:spacing w:line="240" w:lineRule="auto"/>
        <w:ind w:firstLine="0" w:firstLineChars="0"/>
        <w:rPr>
          <w:rFonts w:ascii="Times New Roman" w:hAnsi="Times New Roman"/>
        </w:rPr>
      </w:pPr>
      <w:bookmarkStart w:id="1005" w:name="_Toc25610"/>
      <w:bookmarkStart w:id="1006" w:name="_Toc11485"/>
      <w:bookmarkStart w:id="1007" w:name="_Toc28359"/>
      <w:r>
        <w:rPr>
          <w:rFonts w:ascii="Times New Roman" w:hAnsi="Times New Roman"/>
        </w:rPr>
        <w:t>3.1 初步评审</w:t>
      </w:r>
      <w:bookmarkEnd w:id="1005"/>
      <w:bookmarkEnd w:id="1006"/>
      <w:bookmarkEnd w:id="1007"/>
    </w:p>
    <w:p w14:paraId="2BABC035">
      <w:pPr>
        <w:spacing w:line="400" w:lineRule="exact"/>
        <w:ind w:firstLine="480" w:firstLineChars="200"/>
        <w:rPr>
          <w:rFonts w:ascii="Times New Roman" w:hAnsi="Times New Roman"/>
          <w:sz w:val="24"/>
          <w:szCs w:val="24"/>
        </w:rPr>
      </w:pPr>
      <w:r>
        <w:rPr>
          <w:rFonts w:ascii="Times New Roman" w:hAnsi="Times New Roman"/>
          <w:sz w:val="24"/>
          <w:szCs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0F91CACD">
      <w:pPr>
        <w:spacing w:line="400" w:lineRule="exact"/>
        <w:ind w:firstLine="480" w:firstLineChars="200"/>
        <w:rPr>
          <w:rFonts w:ascii="Times New Roman" w:hAnsi="Times New Roman"/>
          <w:sz w:val="24"/>
          <w:szCs w:val="24"/>
        </w:rPr>
      </w:pPr>
      <w:r>
        <w:rPr>
          <w:rFonts w:ascii="Times New Roman" w:hAnsi="Times New Roman"/>
          <w:sz w:val="24"/>
          <w:szCs w:val="24"/>
        </w:rPr>
        <w:t>3.1.2 投标人有以下情形之一的，评标委员会应当否决其投标：</w:t>
      </w:r>
    </w:p>
    <w:p w14:paraId="355FE6EC">
      <w:pPr>
        <w:spacing w:line="400" w:lineRule="exact"/>
        <w:ind w:firstLine="480" w:firstLineChars="200"/>
        <w:rPr>
          <w:rFonts w:ascii="Times New Roman" w:hAnsi="Times New Roman"/>
          <w:sz w:val="24"/>
          <w:szCs w:val="24"/>
        </w:rPr>
      </w:pPr>
      <w:r>
        <w:rPr>
          <w:rFonts w:ascii="Times New Roman" w:hAnsi="Times New Roman"/>
          <w:sz w:val="24"/>
          <w:szCs w:val="24"/>
        </w:rPr>
        <w:t>（1）投标文件没有对招标文件的实质性要求和条件作出响应，或者对招标文件的偏差超出招标文件规定的偏差范围或最高项数；</w:t>
      </w:r>
    </w:p>
    <w:p w14:paraId="2C541CF4">
      <w:pPr>
        <w:spacing w:line="400" w:lineRule="exact"/>
        <w:ind w:firstLine="480" w:firstLineChars="200"/>
        <w:rPr>
          <w:rFonts w:ascii="Times New Roman" w:hAnsi="Times New Roman"/>
          <w:sz w:val="24"/>
          <w:szCs w:val="24"/>
        </w:rPr>
      </w:pPr>
      <w:r>
        <w:rPr>
          <w:rFonts w:ascii="Times New Roman" w:hAnsi="Times New Roman"/>
          <w:sz w:val="24"/>
          <w:szCs w:val="24"/>
        </w:rPr>
        <w:t>（2）有串通投标、弄虚作假、行贿等违法行为。</w:t>
      </w:r>
    </w:p>
    <w:p w14:paraId="08822148">
      <w:pPr>
        <w:spacing w:line="400" w:lineRule="exact"/>
        <w:ind w:firstLine="480" w:firstLineChars="200"/>
        <w:rPr>
          <w:rFonts w:ascii="Times New Roman" w:hAnsi="Times New Roman"/>
          <w:sz w:val="24"/>
          <w:szCs w:val="24"/>
        </w:rPr>
      </w:pPr>
      <w:r>
        <w:rPr>
          <w:rFonts w:ascii="Times New Roman" w:hAnsi="Times New Roman"/>
          <w:sz w:val="24"/>
          <w:szCs w:val="24"/>
        </w:rPr>
        <w:t>3.1.3 投标报价有算术错误及其他错误的，评标委员会按以下原则要求投标人对投标报价进</w:t>
      </w:r>
      <w:bookmarkStart w:id="1008" w:name="_Toc369531582"/>
      <w:bookmarkStart w:id="1009" w:name="_Toc2907"/>
      <w:bookmarkStart w:id="1010" w:name="_Toc247514027"/>
      <w:bookmarkStart w:id="1011" w:name="_Toc300835013"/>
      <w:bookmarkStart w:id="1012" w:name="_Toc361508651"/>
      <w:bookmarkStart w:id="1013" w:name="_Toc152042380"/>
      <w:bookmarkStart w:id="1014" w:name="_Toc352691538"/>
      <w:bookmarkStart w:id="1015" w:name="_Toc152045603"/>
      <w:bookmarkStart w:id="1016" w:name="_Toc384308277"/>
      <w:bookmarkStart w:id="1017" w:name="_Toc144974570"/>
      <w:bookmarkStart w:id="1018" w:name="_Toc247527628"/>
      <w:r>
        <w:rPr>
          <w:rFonts w:ascii="Times New Roman" w:hAnsi="Times New Roman"/>
          <w:sz w:val="24"/>
          <w:szCs w:val="24"/>
        </w:rPr>
        <w:t>行修正，并要求投标人书面澄清确认。</w:t>
      </w:r>
      <w:bookmarkEnd w:id="1008"/>
      <w:bookmarkEnd w:id="1009"/>
      <w:bookmarkEnd w:id="1010"/>
      <w:bookmarkEnd w:id="1011"/>
      <w:bookmarkEnd w:id="1012"/>
      <w:bookmarkEnd w:id="1013"/>
      <w:bookmarkEnd w:id="1014"/>
      <w:bookmarkEnd w:id="1015"/>
      <w:bookmarkEnd w:id="1016"/>
      <w:bookmarkEnd w:id="1017"/>
      <w:bookmarkEnd w:id="1018"/>
      <w:r>
        <w:rPr>
          <w:rFonts w:ascii="Times New Roman" w:hAnsi="Times New Roman"/>
          <w:sz w:val="24"/>
          <w:szCs w:val="24"/>
        </w:rPr>
        <w:t>投标人拒不澄清确认的，评标委员会应当否决其投标：</w:t>
      </w:r>
    </w:p>
    <w:p w14:paraId="33A1CCA5">
      <w:pPr>
        <w:spacing w:line="400" w:lineRule="exact"/>
        <w:ind w:firstLine="480" w:firstLineChars="200"/>
        <w:rPr>
          <w:rFonts w:ascii="Times New Roman" w:hAnsi="Times New Roman"/>
          <w:sz w:val="24"/>
          <w:szCs w:val="24"/>
        </w:rPr>
      </w:pPr>
      <w:r>
        <w:rPr>
          <w:rFonts w:ascii="Times New Roman" w:hAnsi="Times New Roman"/>
          <w:sz w:val="24"/>
          <w:szCs w:val="24"/>
        </w:rPr>
        <w:t>（1）投标文件中的大写金额与小写金额不一致的，以大写金额为准；</w:t>
      </w:r>
    </w:p>
    <w:p w14:paraId="3249F3A9">
      <w:pPr>
        <w:spacing w:line="400" w:lineRule="exact"/>
        <w:ind w:firstLine="480" w:firstLineChars="200"/>
        <w:rPr>
          <w:rFonts w:ascii="Times New Roman" w:hAnsi="Times New Roman"/>
          <w:sz w:val="24"/>
          <w:szCs w:val="24"/>
        </w:rPr>
      </w:pPr>
      <w:r>
        <w:rPr>
          <w:rFonts w:ascii="Times New Roman" w:hAnsi="Times New Roman"/>
          <w:sz w:val="24"/>
          <w:szCs w:val="24"/>
        </w:rPr>
        <w:t>（2）总价金额与单价金额不一致的，以单价金额为准，但单价金额小数点有明显错误的除外</w:t>
      </w:r>
      <w:r>
        <w:rPr>
          <w:rFonts w:hint="eastAsia" w:ascii="Times New Roman" w:hAnsi="Times New Roman"/>
          <w:sz w:val="24"/>
          <w:szCs w:val="24"/>
        </w:rPr>
        <w:t>。</w:t>
      </w:r>
    </w:p>
    <w:p w14:paraId="554F2641">
      <w:pPr>
        <w:pStyle w:val="5"/>
        <w:keepNext w:val="0"/>
        <w:keepLines w:val="0"/>
        <w:spacing w:line="260" w:lineRule="exact"/>
        <w:ind w:firstLine="137"/>
        <w:rPr>
          <w:rFonts w:ascii="Times New Roman" w:hAnsi="Times New Roman"/>
        </w:rPr>
      </w:pPr>
      <w:bookmarkStart w:id="1019" w:name="_Toc15142"/>
      <w:bookmarkStart w:id="1020" w:name="_Toc15678"/>
      <w:bookmarkStart w:id="1021" w:name="_Toc19120"/>
      <w:r>
        <w:rPr>
          <w:rFonts w:ascii="Times New Roman" w:hAnsi="Times New Roman"/>
        </w:rPr>
        <w:t>3.2 详细评审</w:t>
      </w:r>
      <w:bookmarkEnd w:id="1019"/>
      <w:bookmarkEnd w:id="1020"/>
      <w:bookmarkEnd w:id="1021"/>
    </w:p>
    <w:p w14:paraId="414EDF63">
      <w:pPr>
        <w:spacing w:line="400" w:lineRule="exact"/>
        <w:ind w:firstLine="480" w:firstLineChars="200"/>
        <w:rPr>
          <w:rFonts w:ascii="Times New Roman" w:hAnsi="Times New Roman"/>
          <w:sz w:val="24"/>
          <w:szCs w:val="24"/>
        </w:rPr>
      </w:pPr>
      <w:r>
        <w:rPr>
          <w:rFonts w:ascii="Times New Roman" w:hAnsi="Times New Roman"/>
          <w:sz w:val="24"/>
          <w:szCs w:val="24"/>
        </w:rPr>
        <w:t>3.2.1 评标委员会按本章第2.2款规定的量化因素和分值进行打分，并计算出综合评估得分。</w:t>
      </w:r>
    </w:p>
    <w:p w14:paraId="1BBBF9D8">
      <w:pPr>
        <w:spacing w:line="400" w:lineRule="exact"/>
        <w:ind w:firstLine="480" w:firstLineChars="200"/>
        <w:rPr>
          <w:rFonts w:ascii="Times New Roman" w:hAnsi="Times New Roman"/>
          <w:sz w:val="24"/>
          <w:szCs w:val="24"/>
        </w:rPr>
      </w:pPr>
      <w:r>
        <w:rPr>
          <w:rFonts w:ascii="Times New Roman" w:hAnsi="Times New Roman"/>
          <w:sz w:val="24"/>
          <w:szCs w:val="24"/>
        </w:rPr>
        <w:t>（1）按本章第2.2.4（1）目规定的评审因素和分值对资信业绩部分计算出得分A；</w:t>
      </w:r>
    </w:p>
    <w:p w14:paraId="170FEAAC">
      <w:pPr>
        <w:spacing w:line="400" w:lineRule="exact"/>
        <w:ind w:firstLine="480" w:firstLineChars="200"/>
        <w:rPr>
          <w:rFonts w:ascii="Times New Roman" w:hAnsi="Times New Roman"/>
          <w:sz w:val="24"/>
          <w:szCs w:val="24"/>
        </w:rPr>
      </w:pPr>
      <w:r>
        <w:rPr>
          <w:rFonts w:ascii="Times New Roman" w:hAnsi="Times New Roman"/>
          <w:sz w:val="24"/>
          <w:szCs w:val="24"/>
        </w:rPr>
        <w:t>（2）按本章第2.2.4（2）目规定的评审因素和分值对</w:t>
      </w:r>
      <w:r>
        <w:rPr>
          <w:rFonts w:hint="eastAsia" w:ascii="Times New Roman" w:hAnsi="Times New Roman"/>
          <w:sz w:val="24"/>
          <w:szCs w:val="24"/>
        </w:rPr>
        <w:t>技术服务方案部分</w:t>
      </w:r>
      <w:r>
        <w:rPr>
          <w:rFonts w:ascii="Times New Roman" w:hAnsi="Times New Roman"/>
          <w:sz w:val="24"/>
          <w:szCs w:val="24"/>
        </w:rPr>
        <w:t>计算出得分B；</w:t>
      </w:r>
    </w:p>
    <w:p w14:paraId="17D187FA">
      <w:pPr>
        <w:spacing w:line="400" w:lineRule="exact"/>
        <w:ind w:firstLine="480" w:firstLineChars="200"/>
        <w:rPr>
          <w:rFonts w:ascii="Times New Roman" w:hAnsi="Times New Roman"/>
          <w:sz w:val="24"/>
          <w:szCs w:val="24"/>
        </w:rPr>
      </w:pPr>
      <w:r>
        <w:rPr>
          <w:rFonts w:ascii="Times New Roman" w:hAnsi="Times New Roman"/>
          <w:sz w:val="24"/>
          <w:szCs w:val="24"/>
        </w:rPr>
        <w:t>（3）按本章第2.2.4（3）目规定的评审因素和</w:t>
      </w:r>
      <w:bookmarkStart w:id="1022" w:name="_Toc369531583"/>
      <w:bookmarkStart w:id="1023" w:name="_Toc300835014"/>
      <w:bookmarkStart w:id="1024" w:name="_Toc24330"/>
      <w:bookmarkStart w:id="1025" w:name="_Toc361508652"/>
      <w:bookmarkStart w:id="1026" w:name="_Toc384308278"/>
      <w:bookmarkStart w:id="1027" w:name="_Toc247527629"/>
      <w:bookmarkStart w:id="1028" w:name="_Toc247514028"/>
      <w:bookmarkStart w:id="1029" w:name="_Toc152042381"/>
      <w:bookmarkStart w:id="1030" w:name="_Toc352691539"/>
      <w:bookmarkStart w:id="1031" w:name="_Toc152045604"/>
      <w:bookmarkStart w:id="1032" w:name="_Toc144974571"/>
      <w:r>
        <w:rPr>
          <w:rFonts w:ascii="Times New Roman" w:hAnsi="Times New Roman"/>
          <w:sz w:val="24"/>
          <w:szCs w:val="24"/>
        </w:rPr>
        <w:t>分值对投标报价</w:t>
      </w:r>
      <w:bookmarkEnd w:id="1022"/>
      <w:bookmarkEnd w:id="1023"/>
      <w:bookmarkEnd w:id="1024"/>
      <w:bookmarkEnd w:id="1025"/>
      <w:bookmarkEnd w:id="1026"/>
      <w:bookmarkEnd w:id="1027"/>
      <w:bookmarkEnd w:id="1028"/>
      <w:bookmarkEnd w:id="1029"/>
      <w:bookmarkEnd w:id="1030"/>
      <w:bookmarkEnd w:id="1031"/>
      <w:bookmarkEnd w:id="1032"/>
      <w:r>
        <w:rPr>
          <w:rFonts w:ascii="Times New Roman" w:hAnsi="Times New Roman"/>
          <w:sz w:val="24"/>
          <w:szCs w:val="24"/>
        </w:rPr>
        <w:t>计</w:t>
      </w:r>
      <w:bookmarkStart w:id="1033" w:name="_Toc352691540"/>
      <w:bookmarkStart w:id="1034" w:name="_Toc300835015"/>
      <w:bookmarkStart w:id="1035" w:name="_Toc152042382"/>
      <w:bookmarkStart w:id="1036" w:name="_Toc384308279"/>
      <w:bookmarkStart w:id="1037" w:name="_Toc18141"/>
      <w:bookmarkStart w:id="1038" w:name="_Toc247514029"/>
      <w:bookmarkStart w:id="1039" w:name="_Toc247527630"/>
      <w:bookmarkStart w:id="1040" w:name="_Toc361508653"/>
      <w:bookmarkStart w:id="1041" w:name="_Toc144974572"/>
      <w:bookmarkStart w:id="1042" w:name="_Toc369531584"/>
      <w:bookmarkStart w:id="1043" w:name="_Toc152045605"/>
      <w:r>
        <w:rPr>
          <w:rFonts w:ascii="Times New Roman" w:hAnsi="Times New Roman"/>
          <w:sz w:val="24"/>
          <w:szCs w:val="24"/>
        </w:rPr>
        <w:t>算出得分C；</w:t>
      </w:r>
    </w:p>
    <w:bookmarkEnd w:id="1033"/>
    <w:bookmarkEnd w:id="1034"/>
    <w:bookmarkEnd w:id="1035"/>
    <w:bookmarkEnd w:id="1036"/>
    <w:bookmarkEnd w:id="1037"/>
    <w:bookmarkEnd w:id="1038"/>
    <w:bookmarkEnd w:id="1039"/>
    <w:bookmarkEnd w:id="1040"/>
    <w:bookmarkEnd w:id="1041"/>
    <w:bookmarkEnd w:id="1042"/>
    <w:bookmarkEnd w:id="1043"/>
    <w:p w14:paraId="56DFBEE0">
      <w:pPr>
        <w:spacing w:line="400" w:lineRule="exact"/>
        <w:ind w:firstLine="480" w:firstLineChars="200"/>
        <w:rPr>
          <w:rFonts w:ascii="Times New Roman" w:hAnsi="Times New Roman"/>
          <w:sz w:val="24"/>
          <w:szCs w:val="24"/>
        </w:rPr>
      </w:pPr>
      <w:r>
        <w:rPr>
          <w:rFonts w:ascii="Times New Roman" w:hAnsi="Times New Roman"/>
          <w:sz w:val="24"/>
          <w:szCs w:val="24"/>
        </w:rPr>
        <w:t>3.2.2 评分分值计算保留小数点后两位，小数点后第三位“四舍五入”。</w:t>
      </w:r>
    </w:p>
    <w:p w14:paraId="7B05FED6">
      <w:pPr>
        <w:spacing w:line="400" w:lineRule="exact"/>
        <w:ind w:firstLine="480" w:firstLineChars="200"/>
        <w:rPr>
          <w:rFonts w:ascii="Times New Roman" w:hAnsi="Times New Roman"/>
          <w:sz w:val="24"/>
          <w:szCs w:val="24"/>
        </w:rPr>
      </w:pPr>
      <w:r>
        <w:rPr>
          <w:rFonts w:ascii="Times New Roman" w:hAnsi="Times New Roman"/>
          <w:sz w:val="24"/>
          <w:szCs w:val="24"/>
        </w:rPr>
        <w:t>3.2.3 投标人得分=A+B+C。</w:t>
      </w:r>
    </w:p>
    <w:p w14:paraId="167A48C5">
      <w:pPr>
        <w:spacing w:line="400" w:lineRule="exact"/>
        <w:ind w:firstLine="480" w:firstLineChars="200"/>
        <w:rPr>
          <w:rFonts w:ascii="Times New Roman" w:hAnsi="Times New Roman"/>
          <w:sz w:val="24"/>
          <w:szCs w:val="24"/>
        </w:rPr>
      </w:pPr>
      <w:r>
        <w:rPr>
          <w:rFonts w:ascii="Times New Roman" w:hAnsi="Times New Roman"/>
          <w:sz w:val="24"/>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D990D86">
      <w:pPr>
        <w:pStyle w:val="5"/>
        <w:keepNext w:val="0"/>
        <w:keepLines w:val="0"/>
        <w:spacing w:line="240" w:lineRule="auto"/>
        <w:ind w:firstLine="137"/>
        <w:rPr>
          <w:rFonts w:ascii="Times New Roman" w:hAnsi="Times New Roman"/>
        </w:rPr>
      </w:pPr>
      <w:bookmarkStart w:id="1044" w:name="_Toc7489"/>
      <w:bookmarkStart w:id="1045" w:name="_Toc6847"/>
      <w:bookmarkStart w:id="1046" w:name="_Toc22547"/>
      <w:r>
        <w:rPr>
          <w:rFonts w:ascii="Times New Roman" w:hAnsi="Times New Roman"/>
        </w:rPr>
        <w:t>3.3 投标文件的澄清</w:t>
      </w:r>
      <w:bookmarkEnd w:id="1044"/>
      <w:bookmarkEnd w:id="1045"/>
      <w:bookmarkEnd w:id="1046"/>
    </w:p>
    <w:p w14:paraId="031D19BF">
      <w:pPr>
        <w:spacing w:line="400" w:lineRule="exact"/>
        <w:ind w:firstLine="480" w:firstLineChars="200"/>
        <w:rPr>
          <w:rFonts w:ascii="Times New Roman" w:hAnsi="Times New Roman"/>
          <w:sz w:val="24"/>
          <w:szCs w:val="24"/>
        </w:rPr>
      </w:pPr>
      <w:r>
        <w:rPr>
          <w:rFonts w:ascii="Times New Roman" w:hAnsi="Times New Roman"/>
          <w:sz w:val="24"/>
          <w:szCs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5940BE5">
      <w:pPr>
        <w:spacing w:line="400" w:lineRule="exact"/>
        <w:ind w:firstLine="480" w:firstLineChars="200"/>
        <w:rPr>
          <w:rFonts w:ascii="Times New Roman" w:hAnsi="Times New Roman"/>
          <w:sz w:val="24"/>
          <w:szCs w:val="24"/>
        </w:rPr>
      </w:pPr>
      <w:r>
        <w:rPr>
          <w:rFonts w:ascii="Times New Roman" w:hAnsi="Times New Roman"/>
          <w:sz w:val="24"/>
          <w:szCs w:val="24"/>
        </w:rPr>
        <w:t>3.3.2 澄清、说明或补正不得超出投标文件的范围且不得改变投标文件的实质性内容，并构成投标文件的组成部分。</w:t>
      </w:r>
    </w:p>
    <w:p w14:paraId="7EB49822">
      <w:pPr>
        <w:spacing w:line="400" w:lineRule="exact"/>
        <w:ind w:firstLine="480" w:firstLineChars="200"/>
        <w:rPr>
          <w:rFonts w:ascii="Times New Roman" w:hAnsi="Times New Roman"/>
          <w:sz w:val="24"/>
          <w:szCs w:val="24"/>
        </w:rPr>
      </w:pPr>
      <w:r>
        <w:rPr>
          <w:rFonts w:ascii="Times New Roman" w:hAnsi="Times New Roman"/>
          <w:sz w:val="24"/>
          <w:szCs w:val="24"/>
        </w:rPr>
        <w:t>3.3.3 评标委员会对投标人提交的澄清、说明或补正有疑问的，可以要求投标人进一步澄清、说明或补正，直至满足评标委员会的要求。</w:t>
      </w:r>
    </w:p>
    <w:p w14:paraId="64805B3F">
      <w:pPr>
        <w:pStyle w:val="5"/>
        <w:keepNext w:val="0"/>
        <w:keepLines w:val="0"/>
        <w:spacing w:line="240" w:lineRule="auto"/>
        <w:ind w:firstLine="137"/>
        <w:rPr>
          <w:rFonts w:ascii="Times New Roman" w:hAnsi="Times New Roman"/>
        </w:rPr>
      </w:pPr>
      <w:bookmarkStart w:id="1047" w:name="_Toc21242"/>
      <w:bookmarkStart w:id="1048" w:name="_Toc26303"/>
      <w:bookmarkStart w:id="1049" w:name="_Toc32259"/>
      <w:r>
        <w:rPr>
          <w:rFonts w:ascii="Times New Roman" w:hAnsi="Times New Roman"/>
        </w:rPr>
        <w:t>3.4 评标结果</w:t>
      </w:r>
      <w:bookmarkEnd w:id="1047"/>
      <w:bookmarkEnd w:id="1048"/>
      <w:bookmarkEnd w:id="1049"/>
    </w:p>
    <w:p w14:paraId="3CEADA9F">
      <w:pPr>
        <w:spacing w:line="400" w:lineRule="exact"/>
        <w:ind w:firstLine="480" w:firstLineChars="200"/>
        <w:rPr>
          <w:rFonts w:ascii="Times New Roman" w:hAnsi="Times New Roman"/>
          <w:sz w:val="24"/>
          <w:szCs w:val="24"/>
        </w:rPr>
      </w:pPr>
      <w:r>
        <w:rPr>
          <w:rFonts w:ascii="Times New Roman" w:hAnsi="Times New Roman"/>
          <w:sz w:val="24"/>
          <w:szCs w:val="24"/>
        </w:rPr>
        <w:t>3.4.1 除第二章“投标人须知”前附表授权直接确定中标人外，评标委员会按照得分由高到低的顺序推荐中标候选人，并标明排序。</w:t>
      </w:r>
    </w:p>
    <w:p w14:paraId="1DC9277B">
      <w:pPr>
        <w:spacing w:line="400" w:lineRule="exact"/>
        <w:ind w:firstLine="480" w:firstLineChars="200"/>
        <w:rPr>
          <w:rFonts w:ascii="Times New Roman" w:hAnsi="Times New Roman"/>
          <w:sz w:val="24"/>
          <w:szCs w:val="24"/>
        </w:rPr>
      </w:pPr>
      <w:r>
        <w:rPr>
          <w:rFonts w:ascii="Times New Roman" w:hAnsi="Times New Roman"/>
          <w:sz w:val="24"/>
          <w:szCs w:val="24"/>
        </w:rPr>
        <w:t>3.4.2 评标委员会完成评标后，应当向招标人提交书面评标报告和中标候选人名单。</w:t>
      </w:r>
    </w:p>
    <w:p w14:paraId="722EE6BD">
      <w:pPr>
        <w:spacing w:line="360" w:lineRule="auto"/>
        <w:ind w:firstLine="480" w:firstLineChars="200"/>
        <w:rPr>
          <w:rFonts w:ascii="Times New Roman" w:hAnsi="Times New Roman"/>
          <w:sz w:val="24"/>
          <w:szCs w:val="24"/>
        </w:rPr>
      </w:pPr>
    </w:p>
    <w:p w14:paraId="20859460">
      <w:pPr>
        <w:spacing w:line="360" w:lineRule="auto"/>
        <w:rPr>
          <w:rFonts w:ascii="Times New Roman" w:hAnsi="Times New Roman"/>
          <w:b/>
          <w:kern w:val="44"/>
          <w:sz w:val="44"/>
          <w:szCs w:val="20"/>
        </w:rPr>
      </w:pPr>
    </w:p>
    <w:p w14:paraId="670DB29E">
      <w:pPr>
        <w:spacing w:line="360" w:lineRule="auto"/>
      </w:pPr>
    </w:p>
    <w:p w14:paraId="4BC2FF9F">
      <w:pPr>
        <w:spacing w:line="360" w:lineRule="auto"/>
      </w:pPr>
    </w:p>
    <w:p w14:paraId="560BA769">
      <w:pPr>
        <w:spacing w:line="360" w:lineRule="auto"/>
      </w:pPr>
    </w:p>
    <w:p w14:paraId="28DB8BA2">
      <w:pPr>
        <w:spacing w:line="360" w:lineRule="auto"/>
      </w:pPr>
    </w:p>
    <w:p w14:paraId="4BF74AC2">
      <w:pPr>
        <w:spacing w:line="360" w:lineRule="auto"/>
      </w:pPr>
    </w:p>
    <w:p w14:paraId="530D20D9">
      <w:pPr>
        <w:spacing w:line="360" w:lineRule="auto"/>
      </w:pPr>
    </w:p>
    <w:p w14:paraId="1D8EEFCC">
      <w:pPr>
        <w:pStyle w:val="3"/>
        <w:keepNext w:val="0"/>
        <w:keepLines w:val="0"/>
        <w:jc w:val="center"/>
      </w:pPr>
      <w:r>
        <w:br w:type="page"/>
      </w:r>
      <w:bookmarkStart w:id="1050" w:name="_Toc9454"/>
      <w:r>
        <w:t>第四章合同条款及格式</w:t>
      </w:r>
      <w:bookmarkEnd w:id="1050"/>
    </w:p>
    <w:p w14:paraId="4B46204A">
      <w:pPr>
        <w:pStyle w:val="2"/>
        <w:spacing w:line="640" w:lineRule="exact"/>
        <w:jc w:val="center"/>
        <w:rPr>
          <w:rFonts w:ascii="宋体"/>
          <w:color w:val="auto"/>
        </w:rPr>
      </w:pPr>
      <w:r>
        <w:rPr>
          <w:rFonts w:hint="eastAsia"/>
          <w:color w:val="auto"/>
        </w:rPr>
        <w:t>（</w:t>
      </w:r>
      <w:r>
        <w:rPr>
          <w:rFonts w:hint="eastAsia" w:ascii="宋体" w:hAnsi="宋体"/>
          <w:color w:val="auto"/>
        </w:rPr>
        <w:t>合同另册）。</w:t>
      </w:r>
    </w:p>
    <w:p w14:paraId="47CD4D8C">
      <w:pPr>
        <w:pStyle w:val="10"/>
        <w:snapToGrid w:val="0"/>
        <w:spacing w:line="400" w:lineRule="atLeast"/>
        <w:ind w:left="0" w:leftChars="0" w:firstLine="420" w:firstLineChars="200"/>
        <w:rPr>
          <w:szCs w:val="21"/>
        </w:rPr>
      </w:pPr>
    </w:p>
    <w:p w14:paraId="34D7234F"/>
    <w:p w14:paraId="67F7587C">
      <w:pPr>
        <w:rPr>
          <w:rFonts w:ascii="Times New Roman" w:hAnsi="Times New Roman"/>
          <w:b/>
          <w:kern w:val="44"/>
          <w:sz w:val="44"/>
          <w:szCs w:val="20"/>
        </w:rPr>
      </w:pPr>
      <w:bookmarkStart w:id="1051" w:name="_Toc247085853"/>
      <w:bookmarkStart w:id="1052" w:name="_Toc246997081"/>
      <w:bookmarkStart w:id="1053" w:name="_Toc246996338"/>
      <w:bookmarkStart w:id="1054" w:name="_Toc179632787"/>
      <w:bookmarkStart w:id="1055" w:name="_Toc300835199"/>
      <w:bookmarkStart w:id="1056" w:name="_Toc144974829"/>
      <w:bookmarkStart w:id="1057" w:name="_Toc152045610"/>
      <w:bookmarkStart w:id="1058" w:name="_Toc144974578"/>
      <w:bookmarkStart w:id="1059" w:name="_Toc247514197"/>
      <w:bookmarkStart w:id="1060" w:name="_Toc152042549"/>
      <w:bookmarkStart w:id="1061" w:name="_Toc184635122"/>
      <w:bookmarkStart w:id="1062" w:name="_Toc152042388"/>
      <w:bookmarkStart w:id="1063" w:name="_Toc247527798"/>
    </w:p>
    <w:p w14:paraId="4082A8B9">
      <w:pPr>
        <w:rPr>
          <w:rFonts w:ascii="Times New Roman" w:hAnsi="Times New Roman"/>
          <w:b/>
          <w:kern w:val="44"/>
          <w:sz w:val="44"/>
          <w:szCs w:val="20"/>
        </w:rPr>
      </w:pPr>
    </w:p>
    <w:p w14:paraId="1E309209">
      <w:pPr>
        <w:rPr>
          <w:rFonts w:ascii="Times New Roman" w:hAnsi="Times New Roman"/>
          <w:b/>
          <w:kern w:val="44"/>
          <w:sz w:val="44"/>
          <w:szCs w:val="20"/>
        </w:rPr>
      </w:pPr>
    </w:p>
    <w:p w14:paraId="2C3EC5BF">
      <w:pPr>
        <w:rPr>
          <w:rFonts w:ascii="Times New Roman" w:hAnsi="Times New Roman"/>
          <w:b/>
          <w:kern w:val="44"/>
          <w:sz w:val="44"/>
          <w:szCs w:val="20"/>
        </w:rPr>
      </w:pPr>
    </w:p>
    <w:p w14:paraId="10AF0591">
      <w:pPr>
        <w:rPr>
          <w:rFonts w:ascii="Times New Roman" w:hAnsi="Times New Roman"/>
          <w:b/>
          <w:kern w:val="44"/>
          <w:sz w:val="44"/>
          <w:szCs w:val="20"/>
        </w:rPr>
      </w:pPr>
    </w:p>
    <w:p w14:paraId="454DEF13">
      <w:pPr>
        <w:rPr>
          <w:rFonts w:ascii="Times New Roman" w:hAnsi="Times New Roman"/>
          <w:b/>
          <w:kern w:val="44"/>
          <w:sz w:val="44"/>
          <w:szCs w:val="20"/>
        </w:rPr>
      </w:pPr>
    </w:p>
    <w:p w14:paraId="44166D11">
      <w:pPr>
        <w:rPr>
          <w:rFonts w:ascii="Times New Roman" w:hAnsi="Times New Roman"/>
          <w:b/>
          <w:kern w:val="44"/>
          <w:sz w:val="44"/>
          <w:szCs w:val="20"/>
        </w:rPr>
      </w:pPr>
    </w:p>
    <w:p w14:paraId="7FBB6710">
      <w:pPr>
        <w:rPr>
          <w:rFonts w:ascii="Times New Roman" w:hAnsi="Times New Roman"/>
          <w:b/>
          <w:kern w:val="44"/>
          <w:sz w:val="44"/>
          <w:szCs w:val="20"/>
        </w:rPr>
      </w:pPr>
    </w:p>
    <w:p w14:paraId="2A441C54">
      <w:pPr>
        <w:rPr>
          <w:rFonts w:ascii="Times New Roman" w:hAnsi="Times New Roman"/>
          <w:b/>
          <w:kern w:val="44"/>
          <w:sz w:val="44"/>
          <w:szCs w:val="20"/>
        </w:rPr>
      </w:pPr>
    </w:p>
    <w:p w14:paraId="65B77569">
      <w:pPr>
        <w:rPr>
          <w:rFonts w:ascii="Times New Roman" w:hAnsi="Times New Roman"/>
          <w:b/>
          <w:kern w:val="44"/>
          <w:sz w:val="44"/>
          <w:szCs w:val="20"/>
        </w:rPr>
      </w:pPr>
    </w:p>
    <w:p w14:paraId="74E8EFA3">
      <w:pPr>
        <w:rPr>
          <w:rFonts w:ascii="Times New Roman" w:hAnsi="Times New Roman"/>
          <w:b/>
          <w:kern w:val="44"/>
          <w:sz w:val="44"/>
          <w:szCs w:val="20"/>
        </w:rPr>
      </w:pPr>
    </w:p>
    <w:p w14:paraId="578033FE">
      <w:pPr>
        <w:rPr>
          <w:rFonts w:ascii="Times New Roman" w:hAnsi="Times New Roman"/>
          <w:b/>
          <w:kern w:val="44"/>
          <w:sz w:val="44"/>
          <w:szCs w:val="20"/>
        </w:rPr>
      </w:pPr>
    </w:p>
    <w:p w14:paraId="659D325A">
      <w:pPr>
        <w:rPr>
          <w:rFonts w:ascii="Times New Roman" w:hAnsi="Times New Roman"/>
          <w:b/>
          <w:kern w:val="44"/>
          <w:sz w:val="44"/>
          <w:szCs w:val="20"/>
        </w:rPr>
      </w:pPr>
    </w:p>
    <w:p w14:paraId="61F9126D">
      <w:pPr>
        <w:rPr>
          <w:rFonts w:ascii="Times New Roman" w:hAnsi="Times New Roman"/>
          <w:b/>
          <w:kern w:val="44"/>
          <w:sz w:val="44"/>
          <w:szCs w:val="20"/>
        </w:rPr>
      </w:pPr>
    </w:p>
    <w:p w14:paraId="60C2A7B0">
      <w:pPr>
        <w:rPr>
          <w:rFonts w:ascii="Times New Roman" w:hAnsi="Times New Roman"/>
          <w:b/>
          <w:kern w:val="44"/>
          <w:sz w:val="44"/>
          <w:szCs w:val="20"/>
        </w:rPr>
      </w:pPr>
    </w:p>
    <w:p w14:paraId="6A9B41B4">
      <w:pPr>
        <w:rPr>
          <w:rFonts w:ascii="Times New Roman" w:hAnsi="Times New Roman"/>
          <w:b/>
          <w:kern w:val="44"/>
          <w:sz w:val="44"/>
          <w:szCs w:val="20"/>
        </w:rPr>
      </w:pPr>
    </w:p>
    <w:p w14:paraId="4EC5D810">
      <w:pPr>
        <w:rPr>
          <w:rFonts w:ascii="Times New Roman" w:hAnsi="Times New Roman"/>
          <w:b/>
          <w:kern w:val="44"/>
          <w:sz w:val="44"/>
          <w:szCs w:val="20"/>
        </w:rPr>
      </w:pPr>
    </w:p>
    <w:p w14:paraId="0D032D9E">
      <w:pPr>
        <w:rPr>
          <w:rFonts w:ascii="Times New Roman" w:hAnsi="Times New Roman"/>
          <w:b/>
          <w:kern w:val="44"/>
          <w:sz w:val="44"/>
          <w:szCs w:val="20"/>
        </w:rPr>
      </w:pPr>
    </w:p>
    <w:p w14:paraId="591D7092"/>
    <w:p w14:paraId="26B76616">
      <w:pPr>
        <w:pStyle w:val="3"/>
        <w:keepNext w:val="0"/>
        <w:keepLines w:val="0"/>
        <w:spacing w:line="520" w:lineRule="exact"/>
        <w:jc w:val="center"/>
      </w:pPr>
      <w:bookmarkStart w:id="1064" w:name="_Toc23198"/>
      <w:bookmarkStart w:id="1065" w:name="_Toc26291"/>
      <w:r>
        <w:t>第</w:t>
      </w:r>
      <w:r>
        <w:rPr>
          <w:rFonts w:hint="eastAsia"/>
        </w:rPr>
        <w:t>二</w:t>
      </w:r>
      <w:r>
        <w:t>卷</w:t>
      </w:r>
      <w:bookmarkEnd w:id="1064"/>
      <w:bookmarkEnd w:id="1065"/>
    </w:p>
    <w:p w14:paraId="28A3FF2E"/>
    <w:p w14:paraId="0644F81A">
      <w:pPr>
        <w:pStyle w:val="3"/>
        <w:jc w:val="center"/>
      </w:pPr>
      <w:bookmarkStart w:id="1066" w:name="_Toc8436"/>
      <w:r>
        <w:t>第五章委托人要求</w:t>
      </w:r>
      <w:bookmarkEnd w:id="1051"/>
      <w:bookmarkEnd w:id="1052"/>
      <w:bookmarkEnd w:id="1053"/>
      <w:bookmarkEnd w:id="1054"/>
      <w:bookmarkEnd w:id="1066"/>
    </w:p>
    <w:p w14:paraId="6A9A4A78">
      <w:pPr>
        <w:spacing w:before="48" w:beforeLines="20" w:after="48" w:afterLines="20" w:line="500" w:lineRule="exact"/>
        <w:rPr>
          <w:rFonts w:ascii="宋体" w:hAnsi="宋体" w:cs="宋体"/>
          <w:b/>
          <w:bCs/>
          <w:sz w:val="24"/>
        </w:rPr>
      </w:pPr>
      <w:r>
        <w:rPr>
          <w:rFonts w:hint="eastAsia" w:ascii="宋体" w:hAnsi="宋体" w:cs="宋体"/>
          <w:b/>
          <w:bCs/>
          <w:sz w:val="24"/>
        </w:rPr>
        <w:t>1. 项目概况：</w:t>
      </w:r>
    </w:p>
    <w:p w14:paraId="5499763D">
      <w:pPr>
        <w:tabs>
          <w:tab w:val="left" w:pos="7513"/>
        </w:tabs>
        <w:spacing w:before="48" w:beforeLines="20" w:after="48" w:afterLines="20" w:line="500" w:lineRule="exact"/>
        <w:ind w:firstLine="424" w:firstLineChars="177"/>
        <w:rPr>
          <w:rFonts w:ascii="宋体" w:hAnsi="宋体" w:cs="宋体"/>
          <w:sz w:val="24"/>
          <w:u w:val="single"/>
        </w:rPr>
      </w:pPr>
      <w:r>
        <w:rPr>
          <w:rFonts w:hint="eastAsia" w:ascii="宋体" w:hAnsi="宋体" w:cs="宋体"/>
          <w:sz w:val="24"/>
        </w:rPr>
        <w:t>1.1 项目名称：</w:t>
      </w:r>
      <w:r>
        <w:rPr>
          <w:rFonts w:hint="eastAsia" w:ascii="宋体" w:hAnsi="宋体" w:cs="宋体"/>
          <w:sz w:val="24"/>
          <w:u w:val="single"/>
        </w:rPr>
        <w:t>增城区永宁街岗丰村陈家林地块环境综合整治项目效果评估</w:t>
      </w:r>
    </w:p>
    <w:p w14:paraId="6F359815">
      <w:pPr>
        <w:spacing w:line="500" w:lineRule="exact"/>
        <w:ind w:firstLine="480" w:firstLineChars="200"/>
        <w:rPr>
          <w:sz w:val="24"/>
          <w:szCs w:val="24"/>
        </w:rPr>
      </w:pPr>
      <w:r>
        <w:rPr>
          <w:rFonts w:hint="eastAsia" w:ascii="宋体" w:hAnsi="宋体" w:cs="宋体"/>
          <w:sz w:val="24"/>
        </w:rPr>
        <w:t>1.2 工程建设规模：</w:t>
      </w:r>
    </w:p>
    <w:p w14:paraId="4F0B7040">
      <w:pPr>
        <w:tabs>
          <w:tab w:val="left" w:pos="7513"/>
        </w:tabs>
        <w:spacing w:before="48" w:beforeLines="20" w:after="48" w:afterLines="20" w:line="500" w:lineRule="exact"/>
        <w:ind w:firstLine="424" w:firstLineChars="177"/>
        <w:rPr>
          <w:rFonts w:ascii="宋体" w:hAnsi="宋体" w:cs="宋体"/>
          <w:sz w:val="24"/>
        </w:rPr>
      </w:pPr>
      <w:r>
        <w:rPr>
          <w:rFonts w:hint="eastAsia"/>
          <w:sz w:val="24"/>
          <w:szCs w:val="24"/>
          <w:u w:val="single"/>
        </w:rPr>
        <w:t>项目位于永宁街岗丰村储备地块，实施环境综合整治，挖运处置地块内原回填固体废物，整治范围占地面积约97440.31平方米(折合约146.16亩)，预估清理量约205122.05立方米，具体以实际清挖数量为准</w:t>
      </w:r>
      <w:r>
        <w:rPr>
          <w:rFonts w:hint="eastAsia" w:ascii="宋体" w:hAnsi="宋体" w:cs="宋体"/>
          <w:sz w:val="24"/>
        </w:rPr>
        <w:t>。</w:t>
      </w:r>
    </w:p>
    <w:p w14:paraId="65EABA6D">
      <w:pPr>
        <w:tabs>
          <w:tab w:val="left" w:pos="7513"/>
        </w:tabs>
        <w:spacing w:before="48" w:beforeLines="20" w:after="48" w:afterLines="20" w:line="500" w:lineRule="exact"/>
        <w:ind w:firstLine="424" w:firstLineChars="177"/>
        <w:rPr>
          <w:rFonts w:ascii="宋体" w:hAnsi="宋体" w:cs="宋体"/>
          <w:sz w:val="24"/>
          <w:u w:val="single"/>
        </w:rPr>
      </w:pPr>
      <w:r>
        <w:rPr>
          <w:rFonts w:hint="eastAsia" w:ascii="宋体" w:hAnsi="宋体" w:cs="宋体"/>
          <w:sz w:val="24"/>
        </w:rPr>
        <w:t>1.3 工程建设地点：</w:t>
      </w:r>
      <w:r>
        <w:rPr>
          <w:rFonts w:hint="eastAsia" w:cs="宋体"/>
          <w:sz w:val="24"/>
          <w:u w:val="single"/>
        </w:rPr>
        <w:t>增城区永宁街岗丰村储备地块</w:t>
      </w:r>
    </w:p>
    <w:p w14:paraId="190FEE45">
      <w:pPr>
        <w:spacing w:before="48" w:beforeLines="20" w:after="48" w:afterLines="20" w:line="500" w:lineRule="exact"/>
        <w:rPr>
          <w:rFonts w:ascii="宋体" w:hAnsi="宋体" w:cs="宋体"/>
          <w:b/>
          <w:bCs/>
          <w:sz w:val="24"/>
        </w:rPr>
      </w:pPr>
      <w:r>
        <w:rPr>
          <w:rFonts w:hint="eastAsia" w:ascii="宋体" w:hAnsi="宋体" w:cs="宋体"/>
          <w:b/>
          <w:bCs/>
          <w:sz w:val="24"/>
        </w:rPr>
        <w:t>2.招标范围及内容</w:t>
      </w:r>
    </w:p>
    <w:p w14:paraId="41B3A1C4">
      <w:pPr>
        <w:spacing w:line="360" w:lineRule="auto"/>
        <w:ind w:firstLine="480" w:firstLineChars="200"/>
        <w:rPr>
          <w:sz w:val="24"/>
          <w:szCs w:val="24"/>
          <w:u w:val="single"/>
        </w:rPr>
      </w:pPr>
      <w:r>
        <w:rPr>
          <w:rFonts w:hint="eastAsia"/>
          <w:sz w:val="24"/>
          <w:szCs w:val="24"/>
          <w:u w:val="single"/>
        </w:rPr>
        <w:t>按国家、广东省、广州市现行有关标准、规范、规程和</w:t>
      </w:r>
      <w:r>
        <w:rPr>
          <w:rFonts w:hint="eastAsia"/>
          <w:sz w:val="24"/>
          <w:szCs w:val="24"/>
          <w:u w:val="single"/>
          <w:lang w:val="en-US" w:eastAsia="zh-CN"/>
        </w:rPr>
        <w:t>业主</w:t>
      </w:r>
      <w:r>
        <w:rPr>
          <w:rFonts w:hint="eastAsia"/>
          <w:sz w:val="24"/>
          <w:szCs w:val="24"/>
          <w:u w:val="single"/>
        </w:rPr>
        <w:t>的相关要求，包括但不限于按照国家及地方环保法律法规、技术规范开展本项目的修复效果评估工作、编制修复效果评估工作方案、提供技术咨询、治理与修复效果评估报告、统筹配合处置项目验收等工作。具体工作内容包括但不限于：</w:t>
      </w:r>
    </w:p>
    <w:p w14:paraId="343FC730">
      <w:pPr>
        <w:spacing w:line="360" w:lineRule="auto"/>
        <w:ind w:firstLine="480" w:firstLineChars="200"/>
        <w:rPr>
          <w:sz w:val="24"/>
          <w:szCs w:val="24"/>
          <w:u w:val="single"/>
        </w:rPr>
      </w:pPr>
      <w:r>
        <w:rPr>
          <w:rFonts w:hint="eastAsia"/>
          <w:sz w:val="24"/>
          <w:szCs w:val="24"/>
          <w:u w:val="single"/>
        </w:rPr>
        <w:t>（1）负责项目修复效果现场采样、检测分析、修复效果评估、报告编制、专家评审等各项工作。</w:t>
      </w:r>
    </w:p>
    <w:p w14:paraId="6CF923D3">
      <w:pPr>
        <w:spacing w:line="360" w:lineRule="auto"/>
        <w:ind w:firstLine="480" w:firstLineChars="200"/>
        <w:rPr>
          <w:sz w:val="24"/>
          <w:szCs w:val="24"/>
          <w:u w:val="single"/>
        </w:rPr>
      </w:pPr>
      <w:r>
        <w:rPr>
          <w:rFonts w:hint="eastAsia"/>
          <w:sz w:val="24"/>
          <w:szCs w:val="24"/>
          <w:u w:val="single"/>
        </w:rPr>
        <w:t>（2）负责编写修复效果评估工作方案，负责效果评估相关工作的评审、报审、报批（如有）。</w:t>
      </w:r>
    </w:p>
    <w:p w14:paraId="67E2A0E0">
      <w:pPr>
        <w:spacing w:line="360" w:lineRule="auto"/>
        <w:ind w:firstLine="480" w:firstLineChars="200"/>
        <w:rPr>
          <w:sz w:val="24"/>
          <w:szCs w:val="24"/>
          <w:u w:val="single"/>
        </w:rPr>
      </w:pPr>
      <w:r>
        <w:rPr>
          <w:rFonts w:hint="eastAsia"/>
          <w:sz w:val="24"/>
          <w:szCs w:val="24"/>
          <w:u w:val="single"/>
        </w:rPr>
        <w:t>（3）根据国家、省、市生态环境等部门的有关要求，对本地块的治理与修复项目实施情况、二次污染控制情况、环保/监测措施落实情况、治理与修复范围与工程量核定、现场遗留污染识别及处理等，进行达标验收。</w:t>
      </w:r>
    </w:p>
    <w:p w14:paraId="575BD850">
      <w:pPr>
        <w:spacing w:line="360" w:lineRule="auto"/>
        <w:ind w:firstLine="480" w:firstLineChars="200"/>
        <w:rPr>
          <w:sz w:val="24"/>
          <w:szCs w:val="24"/>
          <w:u w:val="single"/>
        </w:rPr>
      </w:pPr>
      <w:r>
        <w:rPr>
          <w:rFonts w:hint="eastAsia"/>
          <w:sz w:val="24"/>
          <w:szCs w:val="24"/>
          <w:u w:val="single"/>
        </w:rPr>
        <w:t>（4）参考《污染地块风险管控与土壤修复效果评估技术导则》(试行)(HJ25.5-2018)、《建设用地土壤污染风险管控和修复监测技术导则》(HJ25.2-2019)、《污染地块地下水修复和风险管控技术导则》(HJ25.6-2019)、《场地环境监测技术导则》、《广东省建设用地土壤污染状况调查、风险评估及效果评估报告技术审查要点(试行)》(粤环办(2020)67号)等相关规定进行全过程现场采样、记录、质控及实验室分析，并保存完整的资料，及时出具质量合格的检测报告，并对其负责。</w:t>
      </w:r>
    </w:p>
    <w:p w14:paraId="6D255D2A">
      <w:pPr>
        <w:spacing w:before="0" w:beforeLines="-2147483648" w:after="0" w:afterLines="-2147483648" w:line="360" w:lineRule="auto"/>
        <w:ind w:firstLine="480" w:firstLineChars="200"/>
        <w:rPr>
          <w:sz w:val="24"/>
          <w:szCs w:val="24"/>
          <w:u w:val="single"/>
        </w:rPr>
      </w:pPr>
      <w:r>
        <w:rPr>
          <w:rFonts w:hint="eastAsia"/>
          <w:sz w:val="24"/>
          <w:szCs w:val="24"/>
          <w:u w:val="single"/>
        </w:rPr>
        <w:t>（5）结合治理与修复项目的完成情况，在符合效果评估技术方案要求后收集项目验收材料，包括施工竣工报告、环境监理报告、工程监理报告等，编制《固体废物清理处置效果评估报告》，并通过业主单位组织的专家评审会，取得专家评审意见。</w:t>
      </w:r>
    </w:p>
    <w:p w14:paraId="73D6B11D">
      <w:pPr>
        <w:spacing w:before="48" w:beforeLines="20" w:after="48" w:afterLines="20" w:line="500" w:lineRule="exact"/>
        <w:rPr>
          <w:rFonts w:ascii="宋体" w:hAnsi="宋体" w:cs="宋体"/>
          <w:b/>
          <w:bCs/>
          <w:sz w:val="24"/>
        </w:rPr>
      </w:pPr>
      <w:r>
        <w:rPr>
          <w:rFonts w:hint="eastAsia" w:ascii="宋体" w:hAnsi="宋体" w:cs="宋体"/>
          <w:b/>
          <w:bCs/>
          <w:sz w:val="24"/>
        </w:rPr>
        <w:t>3.服务期限</w:t>
      </w:r>
    </w:p>
    <w:p w14:paraId="7FD1320E">
      <w:pPr>
        <w:spacing w:line="360" w:lineRule="auto"/>
        <w:ind w:firstLine="480" w:firstLineChars="200"/>
        <w:rPr>
          <w:rFonts w:hAnsi="Times New Roman"/>
          <w:sz w:val="24"/>
          <w:szCs w:val="24"/>
          <w:u w:val="single"/>
        </w:rPr>
      </w:pPr>
      <w:r>
        <w:rPr>
          <w:rFonts w:hint="eastAsia"/>
          <w:sz w:val="24"/>
          <w:szCs w:val="24"/>
          <w:u w:val="single"/>
        </w:rPr>
        <w:t>效果评估服务期为自合同签订之日起，至完成全部治理与修复工作、并通过业主单位组织的专家评审、完成移交（含资料移交）、项目结算以及保修期满之日止。</w:t>
      </w:r>
    </w:p>
    <w:p w14:paraId="1F38452D">
      <w:pPr>
        <w:tabs>
          <w:tab w:val="left" w:pos="7513"/>
        </w:tabs>
        <w:spacing w:before="48" w:beforeLines="20" w:after="48" w:afterLines="20" w:line="500" w:lineRule="exact"/>
        <w:ind w:firstLine="424" w:firstLineChars="177"/>
        <w:rPr>
          <w:rFonts w:hAnsi="Times New Roman"/>
          <w:sz w:val="24"/>
          <w:szCs w:val="24"/>
          <w:u w:val="single"/>
        </w:rPr>
      </w:pPr>
      <w:r>
        <w:rPr>
          <w:rFonts w:hint="eastAsia"/>
          <w:sz w:val="24"/>
          <w:szCs w:val="24"/>
          <w:u w:val="single"/>
        </w:rPr>
        <w:t>。</w:t>
      </w:r>
    </w:p>
    <w:p w14:paraId="5E3F6F71">
      <w:pPr>
        <w:spacing w:line="500" w:lineRule="exact"/>
        <w:rPr>
          <w:rFonts w:ascii="宋体" w:hAnsi="宋体" w:cs="宋体"/>
          <w:b/>
          <w:bCs/>
          <w:sz w:val="24"/>
        </w:rPr>
      </w:pPr>
    </w:p>
    <w:p w14:paraId="03F2A20D">
      <w:pPr>
        <w:spacing w:line="500" w:lineRule="exact"/>
        <w:ind w:firstLine="480" w:firstLineChars="200"/>
        <w:rPr>
          <w:rFonts w:ascii="宋体" w:hAnsi="宋体"/>
          <w:sz w:val="24"/>
          <w:szCs w:val="24"/>
        </w:rPr>
      </w:pPr>
    </w:p>
    <w:p w14:paraId="617DBBDE">
      <w:pPr>
        <w:spacing w:line="500" w:lineRule="exact"/>
      </w:pPr>
      <w:r>
        <w:rPr>
          <w:rFonts w:hint="eastAsia"/>
        </w:rPr>
        <w:br w:type="page"/>
      </w:r>
    </w:p>
    <w:p w14:paraId="2D5DEA9A">
      <w:pPr>
        <w:pStyle w:val="25"/>
      </w:pPr>
    </w:p>
    <w:p w14:paraId="394C0197">
      <w:pPr>
        <w:pStyle w:val="3"/>
        <w:keepNext w:val="0"/>
        <w:keepLines w:val="0"/>
        <w:jc w:val="center"/>
      </w:pPr>
      <w:bookmarkStart w:id="1067" w:name="_Toc18567"/>
      <w:bookmarkStart w:id="1068" w:name="_Toc18925"/>
      <w:r>
        <w:t>第</w:t>
      </w:r>
      <w:r>
        <w:rPr>
          <w:rFonts w:hint="eastAsia"/>
        </w:rPr>
        <w:t>三</w:t>
      </w:r>
      <w:r>
        <w:t>卷</w:t>
      </w:r>
      <w:bookmarkEnd w:id="1067"/>
      <w:bookmarkEnd w:id="1068"/>
    </w:p>
    <w:p w14:paraId="6E0EAC6B"/>
    <w:p w14:paraId="18703548">
      <w:pPr>
        <w:spacing w:line="400" w:lineRule="exact"/>
        <w:jc w:val="center"/>
        <w:rPr>
          <w:rFonts w:ascii="Times New Roman" w:hAnsi="Times New Roman"/>
        </w:rPr>
      </w:pPr>
    </w:p>
    <w:p w14:paraId="5269AB51">
      <w:pPr>
        <w:pStyle w:val="25"/>
      </w:pPr>
    </w:p>
    <w:p w14:paraId="4A82C14A">
      <w:pPr>
        <w:pStyle w:val="25"/>
      </w:pPr>
    </w:p>
    <w:p w14:paraId="4EF1DE97">
      <w:pPr>
        <w:pStyle w:val="3"/>
        <w:keepNext w:val="0"/>
        <w:keepLines w:val="0"/>
        <w:jc w:val="center"/>
      </w:pPr>
      <w:bookmarkStart w:id="1069" w:name="_Toc1152"/>
      <w:r>
        <w:t>第六章</w:t>
      </w:r>
      <w:r>
        <w:rPr>
          <w:rFonts w:hint="eastAsia"/>
        </w:rPr>
        <w:t xml:space="preserve"> </w:t>
      </w:r>
      <w:r>
        <w:t>投标文件格式</w:t>
      </w:r>
      <w:bookmarkEnd w:id="1069"/>
    </w:p>
    <w:p w14:paraId="68761D4D">
      <w:pPr>
        <w:spacing w:line="400" w:lineRule="exact"/>
        <w:rPr>
          <w:rFonts w:ascii="Times New Roman" w:hAnsi="Times New Roman"/>
        </w:rPr>
      </w:pPr>
    </w:p>
    <w:p w14:paraId="17BECE4A">
      <w:pPr>
        <w:spacing w:line="400" w:lineRule="exact"/>
        <w:rPr>
          <w:rFonts w:ascii="Times New Roman" w:hAnsi="Times New Roman"/>
        </w:rPr>
      </w:pPr>
    </w:p>
    <w:p w14:paraId="13DA0371">
      <w:pPr>
        <w:spacing w:line="400" w:lineRule="exact"/>
        <w:rPr>
          <w:rFonts w:ascii="Times New Roman" w:hAnsi="Times New Roman"/>
        </w:rPr>
      </w:pPr>
    </w:p>
    <w:p w14:paraId="4EFE4DF4">
      <w:pPr>
        <w:spacing w:line="400" w:lineRule="exact"/>
        <w:rPr>
          <w:rFonts w:ascii="Times New Roman" w:hAnsi="Times New Roman"/>
        </w:rPr>
      </w:pPr>
    </w:p>
    <w:p w14:paraId="7CB48AB0">
      <w:pPr>
        <w:spacing w:line="400" w:lineRule="exact"/>
        <w:rPr>
          <w:rFonts w:ascii="Times New Roman" w:hAnsi="Times New Roman"/>
        </w:rPr>
      </w:pPr>
    </w:p>
    <w:p w14:paraId="27B04367">
      <w:pPr>
        <w:spacing w:line="400" w:lineRule="exact"/>
        <w:rPr>
          <w:rFonts w:ascii="Times New Roman" w:hAnsi="Times New Roman"/>
        </w:rPr>
      </w:pPr>
    </w:p>
    <w:p w14:paraId="31022A60">
      <w:pPr>
        <w:spacing w:line="400" w:lineRule="exact"/>
        <w:rPr>
          <w:rFonts w:ascii="Times New Roman" w:hAnsi="Times New Roman"/>
        </w:rPr>
      </w:pPr>
    </w:p>
    <w:p w14:paraId="582F0094">
      <w:pPr>
        <w:spacing w:line="400" w:lineRule="exact"/>
        <w:rPr>
          <w:rFonts w:ascii="Times New Roman" w:hAnsi="Times New Roman"/>
        </w:rPr>
      </w:pPr>
    </w:p>
    <w:p w14:paraId="049B8902">
      <w:pPr>
        <w:spacing w:line="400" w:lineRule="exact"/>
        <w:rPr>
          <w:rFonts w:ascii="Times New Roman" w:hAnsi="Times New Roman"/>
        </w:rPr>
      </w:pPr>
    </w:p>
    <w:p w14:paraId="512547F0">
      <w:pPr>
        <w:spacing w:line="400" w:lineRule="exact"/>
        <w:rPr>
          <w:rFonts w:ascii="Times New Roman" w:hAnsi="Times New Roman"/>
        </w:rPr>
      </w:pPr>
    </w:p>
    <w:p w14:paraId="402BE12B">
      <w:pPr>
        <w:spacing w:line="400" w:lineRule="exact"/>
        <w:rPr>
          <w:rFonts w:ascii="Times New Roman" w:hAnsi="Times New Roman"/>
        </w:rPr>
      </w:pPr>
    </w:p>
    <w:p w14:paraId="158C46CE">
      <w:pPr>
        <w:spacing w:line="400" w:lineRule="exact"/>
        <w:rPr>
          <w:rFonts w:ascii="Times New Roman" w:hAnsi="Times New Roman"/>
        </w:rPr>
      </w:pPr>
    </w:p>
    <w:p w14:paraId="2AC75DC4">
      <w:pPr>
        <w:spacing w:line="400" w:lineRule="exact"/>
        <w:rPr>
          <w:rFonts w:ascii="Times New Roman" w:hAnsi="Times New Roman"/>
        </w:rPr>
      </w:pPr>
    </w:p>
    <w:p w14:paraId="307A090C">
      <w:pPr>
        <w:spacing w:line="400" w:lineRule="exact"/>
        <w:rPr>
          <w:rFonts w:ascii="Times New Roman" w:hAnsi="Times New Roman"/>
        </w:rPr>
      </w:pPr>
    </w:p>
    <w:p w14:paraId="327FB180">
      <w:pPr>
        <w:spacing w:line="400" w:lineRule="exact"/>
        <w:rPr>
          <w:rFonts w:ascii="Times New Roman" w:hAnsi="Times New Roman"/>
        </w:rPr>
      </w:pPr>
    </w:p>
    <w:p w14:paraId="1A5F9C96">
      <w:pPr>
        <w:spacing w:line="400" w:lineRule="exact"/>
        <w:rPr>
          <w:rFonts w:ascii="Times New Roman" w:hAnsi="Times New Roman"/>
        </w:rPr>
      </w:pPr>
    </w:p>
    <w:p w14:paraId="014857D3">
      <w:pPr>
        <w:spacing w:line="400" w:lineRule="exact"/>
        <w:rPr>
          <w:rFonts w:ascii="Times New Roman" w:hAnsi="Times New Roman"/>
        </w:rPr>
      </w:pPr>
    </w:p>
    <w:p w14:paraId="33E6D511">
      <w:pPr>
        <w:pStyle w:val="12"/>
        <w:rPr>
          <w:rFonts w:ascii="Times New Roman" w:hAnsi="Times New Roman"/>
        </w:rPr>
      </w:pPr>
    </w:p>
    <w:p w14:paraId="2196E49F">
      <w:pPr>
        <w:rPr>
          <w:rFonts w:ascii="Times New Roman" w:hAnsi="Times New Roman"/>
        </w:rPr>
      </w:pPr>
    </w:p>
    <w:p w14:paraId="70753FFD">
      <w:pPr>
        <w:autoSpaceDE w:val="0"/>
        <w:autoSpaceDN w:val="0"/>
        <w:adjustRightInd w:val="0"/>
        <w:jc w:val="center"/>
        <w:rPr>
          <w:b/>
          <w:sz w:val="44"/>
          <w:szCs w:val="44"/>
        </w:rPr>
      </w:pPr>
    </w:p>
    <w:p w14:paraId="73B117BB">
      <w:pPr>
        <w:autoSpaceDE w:val="0"/>
        <w:autoSpaceDN w:val="0"/>
        <w:adjustRightInd w:val="0"/>
        <w:jc w:val="center"/>
        <w:rPr>
          <w:b/>
          <w:sz w:val="44"/>
          <w:szCs w:val="44"/>
        </w:rPr>
      </w:pPr>
      <w:r>
        <w:rPr>
          <w:rFonts w:hint="eastAsia"/>
          <w:b/>
          <w:sz w:val="44"/>
          <w:szCs w:val="44"/>
        </w:rPr>
        <w:t>增城区永宁街岗丰村陈家林地块环境综合整治项目效果评估</w:t>
      </w:r>
    </w:p>
    <w:p w14:paraId="40862BE2">
      <w:pPr>
        <w:autoSpaceDE w:val="0"/>
        <w:autoSpaceDN w:val="0"/>
        <w:adjustRightInd w:val="0"/>
        <w:jc w:val="center"/>
        <w:rPr>
          <w:b/>
          <w:sz w:val="44"/>
          <w:szCs w:val="44"/>
        </w:rPr>
      </w:pPr>
    </w:p>
    <w:p w14:paraId="252F2ED7">
      <w:pPr>
        <w:pStyle w:val="12"/>
      </w:pPr>
    </w:p>
    <w:p w14:paraId="3C2A6E52">
      <w:pPr>
        <w:rPr>
          <w:rFonts w:ascii="Times New Roman" w:hAnsi="Times New Roman" w:eastAsia="黑体"/>
          <w:sz w:val="20"/>
        </w:rPr>
      </w:pPr>
    </w:p>
    <w:p w14:paraId="6E112A60">
      <w:pPr>
        <w:rPr>
          <w:rFonts w:ascii="Times New Roman" w:hAnsi="Times New Roman" w:eastAsia="黑体"/>
          <w:sz w:val="20"/>
        </w:rPr>
      </w:pPr>
    </w:p>
    <w:p w14:paraId="77C72E74">
      <w:pPr>
        <w:rPr>
          <w:rFonts w:ascii="Times New Roman" w:hAnsi="Times New Roman" w:eastAsia="黑体"/>
          <w:sz w:val="20"/>
        </w:rPr>
      </w:pPr>
    </w:p>
    <w:p w14:paraId="20B39815">
      <w:pPr>
        <w:rPr>
          <w:rFonts w:ascii="Times New Roman" w:hAnsi="Times New Roman" w:eastAsia="黑体"/>
          <w:sz w:val="20"/>
        </w:rPr>
      </w:pPr>
    </w:p>
    <w:p w14:paraId="25BD1C56">
      <w:pPr>
        <w:rPr>
          <w:rFonts w:ascii="Times New Roman" w:hAnsi="Times New Roman" w:eastAsia="黑体"/>
          <w:sz w:val="20"/>
        </w:rPr>
      </w:pPr>
    </w:p>
    <w:p w14:paraId="7E58BD8A">
      <w:pPr>
        <w:jc w:val="center"/>
        <w:rPr>
          <w:rFonts w:ascii="Times New Roman" w:hAnsi="Times New Roman" w:eastAsia="黑体"/>
          <w:sz w:val="84"/>
          <w:szCs w:val="84"/>
        </w:rPr>
      </w:pPr>
    </w:p>
    <w:p w14:paraId="0855AB89">
      <w:pPr>
        <w:jc w:val="center"/>
        <w:rPr>
          <w:rFonts w:ascii="Times New Roman" w:hAnsi="Times New Roman" w:eastAsia="黑体"/>
          <w:sz w:val="84"/>
          <w:szCs w:val="84"/>
        </w:rPr>
      </w:pPr>
      <w:r>
        <w:rPr>
          <w:rFonts w:ascii="Times New Roman" w:hAnsi="Times New Roman" w:eastAsia="黑体"/>
          <w:sz w:val="84"/>
          <w:szCs w:val="84"/>
        </w:rPr>
        <w:t>投 标 文 件</w:t>
      </w:r>
    </w:p>
    <w:p w14:paraId="6371804A">
      <w:pPr>
        <w:jc w:val="center"/>
        <w:rPr>
          <w:rFonts w:ascii="Times New Roman" w:hAnsi="Times New Roman" w:eastAsia="黑体"/>
          <w:sz w:val="44"/>
        </w:rPr>
      </w:pPr>
    </w:p>
    <w:p w14:paraId="72CBE4CA">
      <w:pPr>
        <w:rPr>
          <w:rFonts w:ascii="Times New Roman" w:hAnsi="Times New Roman" w:eastAsia="黑体"/>
          <w:sz w:val="28"/>
        </w:rPr>
      </w:pPr>
    </w:p>
    <w:p w14:paraId="48A1666C">
      <w:pPr>
        <w:rPr>
          <w:rFonts w:ascii="Times New Roman" w:hAnsi="Times New Roman" w:eastAsia="黑体"/>
          <w:sz w:val="28"/>
        </w:rPr>
      </w:pPr>
    </w:p>
    <w:p w14:paraId="4620A5A3">
      <w:pPr>
        <w:rPr>
          <w:rFonts w:ascii="Times New Roman" w:hAnsi="Times New Roman" w:eastAsia="黑体"/>
          <w:sz w:val="28"/>
        </w:rPr>
      </w:pPr>
    </w:p>
    <w:p w14:paraId="33E7ECF9">
      <w:pPr>
        <w:rPr>
          <w:rFonts w:ascii="Times New Roman" w:hAnsi="Times New Roman" w:eastAsia="黑体"/>
          <w:sz w:val="28"/>
        </w:rPr>
      </w:pPr>
    </w:p>
    <w:p w14:paraId="13EA96EC">
      <w:pPr>
        <w:rPr>
          <w:rFonts w:ascii="Times New Roman" w:hAnsi="Times New Roman" w:eastAsia="黑体"/>
          <w:sz w:val="28"/>
        </w:rPr>
      </w:pPr>
    </w:p>
    <w:p w14:paraId="52BB4920">
      <w:pPr>
        <w:rPr>
          <w:rFonts w:ascii="Times New Roman" w:hAnsi="Times New Roman" w:eastAsia="黑体"/>
          <w:sz w:val="28"/>
        </w:rPr>
      </w:pPr>
    </w:p>
    <w:p w14:paraId="763EFC7D">
      <w:pPr>
        <w:rPr>
          <w:rFonts w:ascii="Times New Roman" w:hAnsi="Times New Roman" w:eastAsia="黑体"/>
          <w:sz w:val="28"/>
        </w:rPr>
      </w:pPr>
    </w:p>
    <w:p w14:paraId="17A43916">
      <w:pPr>
        <w:rPr>
          <w:rFonts w:ascii="Times New Roman" w:hAnsi="Times New Roman" w:eastAsia="黑体"/>
          <w:sz w:val="28"/>
        </w:rPr>
      </w:pPr>
    </w:p>
    <w:p w14:paraId="4DC95E32">
      <w:pPr>
        <w:rPr>
          <w:rFonts w:ascii="Times New Roman" w:hAnsi="Times New Roman" w:eastAsia="黑体"/>
          <w:sz w:val="28"/>
        </w:rPr>
      </w:pPr>
    </w:p>
    <w:p w14:paraId="3C09F188">
      <w:pPr>
        <w:rPr>
          <w:rFonts w:ascii="Times New Roman" w:hAnsi="Times New Roman" w:eastAsia="黑体"/>
          <w:sz w:val="28"/>
        </w:rPr>
      </w:pPr>
    </w:p>
    <w:p w14:paraId="6906AB92">
      <w:pPr>
        <w:rPr>
          <w:rFonts w:ascii="Times New Roman" w:hAnsi="Times New Roman" w:eastAsia="黑体"/>
          <w:sz w:val="28"/>
        </w:rPr>
      </w:pPr>
    </w:p>
    <w:p w14:paraId="3B606F25">
      <w:pPr>
        <w:rPr>
          <w:rFonts w:ascii="Times New Roman" w:hAnsi="Times New Roman" w:eastAsia="黑体"/>
          <w:sz w:val="28"/>
        </w:rPr>
      </w:pPr>
    </w:p>
    <w:p w14:paraId="73BF2D8E">
      <w:pPr>
        <w:rPr>
          <w:rFonts w:ascii="Times New Roman" w:hAnsi="Times New Roman" w:eastAsia="黑体"/>
          <w:sz w:val="28"/>
        </w:rPr>
      </w:pPr>
    </w:p>
    <w:p w14:paraId="388082EE">
      <w:pPr>
        <w:spacing w:line="360" w:lineRule="auto"/>
        <w:rPr>
          <w:rFonts w:ascii="Times New Roman" w:hAnsi="Times New Roman" w:eastAsia="黑体"/>
          <w:sz w:val="28"/>
        </w:rPr>
      </w:pPr>
    </w:p>
    <w:p w14:paraId="3250236D">
      <w:pPr>
        <w:spacing w:line="360" w:lineRule="auto"/>
        <w:ind w:firstLine="1120" w:firstLineChars="40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r>
        <w:rPr>
          <w:rFonts w:ascii="Times New Roman" w:hAnsi="Times New Roman" w:eastAsia="黑体"/>
          <w:sz w:val="28"/>
        </w:rPr>
        <w:t>（盖单位章）</w:t>
      </w:r>
    </w:p>
    <w:p w14:paraId="060E0895">
      <w:pPr>
        <w:spacing w:line="360" w:lineRule="auto"/>
        <w:ind w:firstLine="1120" w:firstLineChars="400"/>
        <w:jc w:val="left"/>
        <w:rPr>
          <w:rFonts w:ascii="Times New Roman" w:hAnsi="Times New Roman" w:eastAsia="黑体"/>
          <w:sz w:val="28"/>
        </w:rPr>
      </w:pPr>
      <w:r>
        <w:rPr>
          <w:rFonts w:ascii="Times New Roman" w:hAnsi="Times New Roman" w:eastAsia="黑体"/>
          <w:sz w:val="28"/>
        </w:rPr>
        <w:t>法定代表人或其委托代理人：</w:t>
      </w:r>
      <w:r>
        <w:rPr>
          <w:rFonts w:ascii="Times New Roman" w:hAnsi="Times New Roman"/>
          <w:u w:val="single"/>
        </w:rPr>
        <w:t xml:space="preserve">       </w:t>
      </w:r>
      <w:r>
        <w:rPr>
          <w:rFonts w:ascii="Times New Roman" w:hAnsi="Times New Roman" w:eastAsia="黑体"/>
          <w:sz w:val="28"/>
        </w:rPr>
        <w:t>（</w:t>
      </w:r>
      <w:r>
        <w:rPr>
          <w:rFonts w:hint="eastAsia" w:ascii="Times New Roman" w:hAnsi="Times New Roman" w:eastAsia="黑体"/>
          <w:sz w:val="28"/>
        </w:rPr>
        <w:t>签字或盖章</w:t>
      </w:r>
      <w:r>
        <w:rPr>
          <w:rFonts w:ascii="Times New Roman" w:hAnsi="Times New Roman" w:eastAsia="黑体"/>
          <w:sz w:val="28"/>
        </w:rPr>
        <w:t>）</w:t>
      </w:r>
    </w:p>
    <w:p w14:paraId="5BAD14EB">
      <w:pPr>
        <w:jc w:val="center"/>
        <w:rPr>
          <w:rFonts w:ascii="Times New Roman" w:hAnsi="Times New Roman" w:eastAsia="黑体"/>
          <w:sz w:val="28"/>
        </w:rPr>
      </w:pPr>
    </w:p>
    <w:p w14:paraId="5FDBFED2">
      <w:pPr>
        <w:spacing w:line="400" w:lineRule="exact"/>
        <w:jc w:val="center"/>
        <w:rPr>
          <w:rFonts w:ascii="Times New Roman" w:hAnsi="Times New Roman" w:eastAsia="黑体"/>
          <w:sz w:val="28"/>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p>
    <w:p w14:paraId="40318374">
      <w:pPr>
        <w:pStyle w:val="4"/>
        <w:keepNext w:val="0"/>
        <w:keepLines w:val="0"/>
        <w:jc w:val="center"/>
        <w:rPr>
          <w:rFonts w:ascii="Times New Roman" w:hAnsi="Times New Roman"/>
        </w:rPr>
      </w:pPr>
      <w:bookmarkStart w:id="1070" w:name="_Toc29071"/>
      <w:bookmarkStart w:id="1071" w:name="_Toc2862"/>
      <w:bookmarkStart w:id="1072" w:name="_Toc30722"/>
      <w:bookmarkStart w:id="1073" w:name="_Toc10686"/>
      <w:r>
        <w:rPr>
          <w:rFonts w:ascii="Times New Roman" w:hAnsi="Times New Roman"/>
        </w:rPr>
        <w:t>目</w:t>
      </w:r>
      <w:r>
        <w:rPr>
          <w:rFonts w:hint="eastAsia" w:ascii="Times New Roman" w:hAnsi="Times New Roman"/>
        </w:rPr>
        <w:t xml:space="preserve">  </w:t>
      </w:r>
      <w:r>
        <w:rPr>
          <w:rFonts w:ascii="Times New Roman" w:hAnsi="Times New Roman"/>
        </w:rPr>
        <w:t>录</w:t>
      </w:r>
      <w:bookmarkEnd w:id="1070"/>
      <w:bookmarkEnd w:id="1071"/>
      <w:bookmarkEnd w:id="1072"/>
      <w:bookmarkEnd w:id="1073"/>
    </w:p>
    <w:p w14:paraId="361D45D0">
      <w:pPr>
        <w:spacing w:line="540" w:lineRule="exact"/>
        <w:rPr>
          <w:rFonts w:ascii="Times New Roman" w:hAnsi="Times New Roman"/>
        </w:rPr>
      </w:pPr>
      <w:r>
        <w:rPr>
          <w:rFonts w:ascii="Times New Roman" w:hAnsi="Times New Roman"/>
        </w:rPr>
        <w:t>一、投标函及投标函附录</w:t>
      </w:r>
    </w:p>
    <w:p w14:paraId="5FFA508C">
      <w:pPr>
        <w:spacing w:line="540" w:lineRule="exact"/>
        <w:rPr>
          <w:rFonts w:ascii="Times New Roman" w:hAnsi="Times New Roman"/>
        </w:rPr>
      </w:pPr>
      <w:r>
        <w:rPr>
          <w:rFonts w:ascii="Times New Roman" w:hAnsi="Times New Roman"/>
        </w:rPr>
        <w:t>二、法定代表人身份证明</w:t>
      </w:r>
      <w:r>
        <w:rPr>
          <w:rFonts w:hint="eastAsia" w:ascii="Times New Roman" w:hAnsi="Times New Roman"/>
        </w:rPr>
        <w:t>、</w:t>
      </w:r>
      <w:r>
        <w:rPr>
          <w:rFonts w:ascii="Times New Roman" w:hAnsi="Times New Roman"/>
        </w:rPr>
        <w:t>授权委托书（适用于有委托代理人的情况）</w:t>
      </w:r>
    </w:p>
    <w:p w14:paraId="52D76B58">
      <w:pPr>
        <w:spacing w:line="540" w:lineRule="exact"/>
        <w:rPr>
          <w:rFonts w:ascii="Times New Roman" w:hAnsi="Times New Roman"/>
        </w:rPr>
      </w:pPr>
      <w:r>
        <w:rPr>
          <w:rFonts w:hint="eastAsia" w:ascii="Times New Roman" w:hAnsi="Times New Roman"/>
        </w:rPr>
        <w:t>三</w:t>
      </w:r>
      <w:r>
        <w:rPr>
          <w:rFonts w:ascii="Times New Roman" w:hAnsi="Times New Roman"/>
        </w:rPr>
        <w:t>、</w:t>
      </w:r>
      <w:r>
        <w:rPr>
          <w:rFonts w:hint="eastAsia" w:ascii="Times New Roman" w:hAnsi="Times New Roman"/>
        </w:rPr>
        <w:t>投标报价表</w:t>
      </w:r>
    </w:p>
    <w:p w14:paraId="15D28DEF">
      <w:pPr>
        <w:spacing w:line="540" w:lineRule="exact"/>
        <w:rPr>
          <w:rFonts w:ascii="Times New Roman" w:hAnsi="Times New Roman"/>
        </w:rPr>
      </w:pPr>
      <w:r>
        <w:rPr>
          <w:rFonts w:hint="eastAsia" w:ascii="Times New Roman" w:hAnsi="Times New Roman"/>
        </w:rPr>
        <w:t>四</w:t>
      </w:r>
      <w:r>
        <w:rPr>
          <w:rFonts w:ascii="Times New Roman" w:hAnsi="Times New Roman"/>
        </w:rPr>
        <w:t>、资格审查资料</w:t>
      </w:r>
    </w:p>
    <w:p w14:paraId="5CFFF699">
      <w:pPr>
        <w:spacing w:line="540" w:lineRule="exact"/>
        <w:rPr>
          <w:rFonts w:ascii="Times New Roman" w:hAnsi="Times New Roman"/>
        </w:rPr>
      </w:pPr>
      <w:r>
        <w:rPr>
          <w:rFonts w:hint="eastAsia" w:ascii="Times New Roman" w:hAnsi="Times New Roman"/>
        </w:rPr>
        <w:t>五</w:t>
      </w:r>
      <w:r>
        <w:rPr>
          <w:rFonts w:ascii="Times New Roman" w:hAnsi="Times New Roman"/>
        </w:rPr>
        <w:t>、</w:t>
      </w:r>
      <w:r>
        <w:rPr>
          <w:rFonts w:hint="eastAsia" w:ascii="Times New Roman" w:hAnsi="Times New Roman"/>
        </w:rPr>
        <w:t>技术服务方案</w:t>
      </w:r>
    </w:p>
    <w:p w14:paraId="34069F76">
      <w:pPr>
        <w:spacing w:line="540" w:lineRule="exact"/>
        <w:rPr>
          <w:rFonts w:ascii="Times New Roman" w:hAnsi="Times New Roman"/>
        </w:rPr>
      </w:pPr>
      <w:bookmarkStart w:id="1074" w:name="_Toc352691655"/>
      <w:bookmarkStart w:id="1075" w:name="_Toc7039"/>
      <w:bookmarkStart w:id="1076" w:name="_Toc369531691"/>
      <w:r>
        <w:rPr>
          <w:rFonts w:hint="eastAsia" w:ascii="Times New Roman" w:hAnsi="Times New Roman"/>
        </w:rPr>
        <w:t>六</w:t>
      </w:r>
      <w:r>
        <w:rPr>
          <w:rFonts w:ascii="Times New Roman" w:hAnsi="Times New Roman"/>
        </w:rPr>
        <w:t>、其他资料</w:t>
      </w:r>
    </w:p>
    <w:p w14:paraId="4A96FC79">
      <w:pPr>
        <w:spacing w:line="540" w:lineRule="exact"/>
        <w:rPr>
          <w:rFonts w:ascii="Times New Roman" w:hAnsi="Times New Roman" w:eastAsia="黑体"/>
          <w:sz w:val="20"/>
        </w:rPr>
      </w:pPr>
    </w:p>
    <w:p w14:paraId="4F4F34DA">
      <w:pPr>
        <w:spacing w:line="540" w:lineRule="exact"/>
        <w:rPr>
          <w:rFonts w:ascii="Times New Roman" w:hAnsi="Times New Roman" w:eastAsia="黑体"/>
          <w:sz w:val="20"/>
        </w:rPr>
      </w:pPr>
    </w:p>
    <w:p w14:paraId="559C68E6">
      <w:pPr>
        <w:spacing w:line="540" w:lineRule="exact"/>
        <w:rPr>
          <w:rFonts w:ascii="Times New Roman" w:hAnsi="Times New Roman" w:eastAsia="黑体"/>
          <w:sz w:val="20"/>
        </w:rPr>
      </w:pPr>
    </w:p>
    <w:p w14:paraId="04BAB07C">
      <w:pPr>
        <w:spacing w:line="540" w:lineRule="exact"/>
        <w:rPr>
          <w:rFonts w:ascii="Times New Roman" w:hAnsi="Times New Roman" w:eastAsia="黑体"/>
          <w:sz w:val="20"/>
        </w:rPr>
      </w:pPr>
    </w:p>
    <w:p w14:paraId="7A968DEB">
      <w:pPr>
        <w:spacing w:line="540" w:lineRule="exact"/>
        <w:rPr>
          <w:rFonts w:ascii="Times New Roman" w:hAnsi="Times New Roman" w:eastAsia="黑体"/>
          <w:sz w:val="20"/>
        </w:rPr>
      </w:pPr>
    </w:p>
    <w:p w14:paraId="1E7C523C">
      <w:pPr>
        <w:spacing w:line="540" w:lineRule="exact"/>
        <w:rPr>
          <w:rFonts w:ascii="Times New Roman" w:hAnsi="Times New Roman" w:eastAsia="黑体"/>
          <w:sz w:val="20"/>
        </w:rPr>
      </w:pPr>
    </w:p>
    <w:p w14:paraId="46EE728D">
      <w:pPr>
        <w:spacing w:line="540" w:lineRule="exact"/>
        <w:rPr>
          <w:rFonts w:ascii="Times New Roman" w:hAnsi="Times New Roman" w:eastAsia="黑体"/>
          <w:sz w:val="20"/>
        </w:rPr>
      </w:pPr>
    </w:p>
    <w:p w14:paraId="3435C278">
      <w:pPr>
        <w:spacing w:line="540" w:lineRule="exact"/>
        <w:rPr>
          <w:rFonts w:ascii="Times New Roman" w:hAnsi="Times New Roman" w:eastAsia="黑体"/>
          <w:sz w:val="20"/>
        </w:rPr>
      </w:pPr>
    </w:p>
    <w:p w14:paraId="66F608AE">
      <w:pPr>
        <w:spacing w:line="540" w:lineRule="exact"/>
        <w:rPr>
          <w:rFonts w:ascii="Times New Roman" w:hAnsi="Times New Roman" w:eastAsia="黑体"/>
          <w:sz w:val="20"/>
        </w:rPr>
      </w:pPr>
    </w:p>
    <w:p w14:paraId="0FD456AE">
      <w:pPr>
        <w:spacing w:line="540" w:lineRule="exact"/>
        <w:rPr>
          <w:rFonts w:ascii="Times New Roman" w:hAnsi="Times New Roman" w:eastAsia="黑体"/>
          <w:sz w:val="20"/>
        </w:rPr>
      </w:pPr>
    </w:p>
    <w:bookmarkEnd w:id="1074"/>
    <w:bookmarkEnd w:id="1075"/>
    <w:bookmarkEnd w:id="1076"/>
    <w:p w14:paraId="140E98A8">
      <w:pPr>
        <w:pStyle w:val="4"/>
        <w:keepNext w:val="0"/>
        <w:keepLines w:val="0"/>
        <w:jc w:val="center"/>
        <w:rPr>
          <w:rFonts w:ascii="Times New Roman" w:hAnsi="Times New Roman"/>
        </w:rPr>
      </w:pPr>
      <w:r>
        <w:rPr>
          <w:rFonts w:ascii="Times New Roman" w:hAnsi="Times New Roman"/>
        </w:rPr>
        <w:br w:type="page"/>
      </w:r>
      <w:bookmarkStart w:id="1077" w:name="_Toc17634"/>
      <w:bookmarkStart w:id="1078" w:name="_Toc30909"/>
      <w:bookmarkStart w:id="1079" w:name="_Toc10434"/>
      <w:r>
        <w:rPr>
          <w:rFonts w:ascii="Times New Roman" w:hAnsi="Times New Roman"/>
        </w:rPr>
        <w:t>一、投标</w:t>
      </w:r>
      <w:bookmarkStart w:id="1080" w:name="_Toc352691656"/>
      <w:bookmarkStart w:id="1081" w:name="_Toc6931"/>
      <w:bookmarkStart w:id="1082" w:name="_Toc369531692"/>
      <w:r>
        <w:rPr>
          <w:rFonts w:ascii="Times New Roman" w:hAnsi="Times New Roman"/>
        </w:rPr>
        <w:t>函及投标函附录</w:t>
      </w:r>
      <w:bookmarkEnd w:id="1077"/>
      <w:bookmarkEnd w:id="1078"/>
      <w:bookmarkEnd w:id="1079"/>
    </w:p>
    <w:bookmarkEnd w:id="1080"/>
    <w:bookmarkEnd w:id="1081"/>
    <w:bookmarkEnd w:id="1082"/>
    <w:p w14:paraId="76542F2E">
      <w:pPr>
        <w:pStyle w:val="5"/>
        <w:keepNext w:val="0"/>
        <w:keepLines w:val="0"/>
        <w:ind w:firstLine="137"/>
        <w:rPr>
          <w:rFonts w:ascii="Times New Roman" w:hAnsi="Times New Roman"/>
        </w:rPr>
      </w:pPr>
      <w:bookmarkStart w:id="1083" w:name="_Toc21982"/>
      <w:bookmarkStart w:id="1084" w:name="_Toc20447"/>
      <w:bookmarkStart w:id="1085" w:name="_Toc482188651"/>
      <w:bookmarkStart w:id="1086" w:name="_Toc370676426"/>
      <w:bookmarkStart w:id="1087" w:name="_Toc16357"/>
      <w:bookmarkStart w:id="1088" w:name="_Toc385943065"/>
      <w:bookmarkStart w:id="1089" w:name="_Toc3971"/>
      <w:bookmarkStart w:id="1090" w:name="_Toc359594235"/>
      <w:bookmarkStart w:id="1091" w:name="_Toc391394111"/>
      <w:r>
        <w:rPr>
          <w:rFonts w:ascii="Times New Roman" w:hAnsi="Times New Roman"/>
        </w:rPr>
        <w:t>（一）投标函</w:t>
      </w:r>
      <w:bookmarkEnd w:id="1083"/>
      <w:bookmarkEnd w:id="1084"/>
      <w:bookmarkEnd w:id="1085"/>
      <w:bookmarkEnd w:id="1086"/>
      <w:bookmarkEnd w:id="1087"/>
      <w:bookmarkEnd w:id="1088"/>
      <w:bookmarkEnd w:id="1089"/>
      <w:bookmarkEnd w:id="1090"/>
      <w:bookmarkEnd w:id="1091"/>
    </w:p>
    <w:p w14:paraId="3C39491D">
      <w:pPr>
        <w:spacing w:line="440" w:lineRule="exact"/>
        <w:rPr>
          <w:rFonts w:ascii="Times New Roman" w:hAnsi="Times New Roman"/>
          <w:szCs w:val="21"/>
        </w:rPr>
      </w:pPr>
      <w:r>
        <w:rPr>
          <w:rFonts w:hint="eastAsia" w:ascii="Times New Roman" w:hAnsi="Times New Roman"/>
          <w:szCs w:val="21"/>
          <w:u w:val="single"/>
        </w:rPr>
        <w:t>广州市增城区人民政府永宁街道办事处</w:t>
      </w:r>
      <w:r>
        <w:rPr>
          <w:rFonts w:ascii="Times New Roman" w:hAnsi="Times New Roman"/>
          <w:szCs w:val="21"/>
        </w:rPr>
        <w:t>（招标人名称）：</w:t>
      </w:r>
    </w:p>
    <w:p w14:paraId="7B41CCB8">
      <w:pPr>
        <w:spacing w:line="360" w:lineRule="auto"/>
        <w:ind w:firstLine="420" w:firstLineChars="200"/>
        <w:jc w:val="left"/>
        <w:rPr>
          <w:rFonts w:ascii="Times New Roman" w:hAnsi="Times New Roman"/>
          <w:szCs w:val="21"/>
        </w:rPr>
      </w:pPr>
      <w:r>
        <w:rPr>
          <w:rFonts w:ascii="Times New Roman" w:hAnsi="Times New Roman"/>
          <w:szCs w:val="21"/>
        </w:rPr>
        <w:t>1．我方已仔细研究了</w:t>
      </w:r>
      <w:r>
        <w:rPr>
          <w:rFonts w:hint="eastAsia" w:ascii="Times New Roman" w:hAnsi="Times New Roman"/>
          <w:szCs w:val="21"/>
          <w:u w:val="single"/>
        </w:rPr>
        <w:t>增城区永宁街岗丰村陈家林地块环境综合整治项目效果评估</w:t>
      </w:r>
      <w:r>
        <w:rPr>
          <w:rFonts w:ascii="Times New Roman" w:hAnsi="Times New Roman"/>
          <w:szCs w:val="21"/>
        </w:rPr>
        <w:t>招标项目招标文件的全部内容，愿意以人民币（大写）</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）的投标报价</w:t>
      </w:r>
      <w:r>
        <w:rPr>
          <w:rFonts w:ascii="Times New Roman" w:hAnsi="Times New Roman" w:eastAsia="黑体"/>
          <w:szCs w:val="21"/>
        </w:rPr>
        <w:t>，</w:t>
      </w:r>
      <w:r>
        <w:rPr>
          <w:rFonts w:ascii="Times New Roman" w:hAnsi="Times New Roman"/>
          <w:szCs w:val="21"/>
        </w:rPr>
        <w:t>服务期限：</w:t>
      </w:r>
      <w:r>
        <w:rPr>
          <w:rFonts w:hint="eastAsia" w:ascii="Times New Roman" w:hAnsi="Times New Roman"/>
          <w:szCs w:val="21"/>
          <w:u w:val="single"/>
        </w:rPr>
        <w:t>按招标文件要求</w:t>
      </w:r>
      <w:r>
        <w:rPr>
          <w:rFonts w:ascii="Times New Roman" w:hAnsi="Times New Roman"/>
          <w:szCs w:val="21"/>
        </w:rPr>
        <w:t>，按合同约定完成</w:t>
      </w:r>
      <w:r>
        <w:rPr>
          <w:rFonts w:hint="eastAsia" w:ascii="Times New Roman" w:hAnsi="Times New Roman"/>
          <w:szCs w:val="21"/>
          <w:u w:val="single"/>
        </w:rPr>
        <w:t>效果评估</w:t>
      </w:r>
      <w:r>
        <w:rPr>
          <w:rFonts w:ascii="Times New Roman" w:hAnsi="Times New Roman"/>
          <w:szCs w:val="21"/>
        </w:rPr>
        <w:t>工作。</w:t>
      </w:r>
    </w:p>
    <w:p w14:paraId="0A9A6118">
      <w:pPr>
        <w:spacing w:line="440" w:lineRule="exact"/>
        <w:ind w:firstLine="420" w:firstLineChars="200"/>
        <w:rPr>
          <w:rFonts w:ascii="Times New Roman" w:hAnsi="Times New Roman"/>
          <w:szCs w:val="21"/>
        </w:rPr>
      </w:pPr>
      <w:r>
        <w:rPr>
          <w:rFonts w:ascii="Times New Roman" w:hAnsi="Times New Roman"/>
          <w:szCs w:val="21"/>
        </w:rPr>
        <w:t>2. 我方的投标文件包括下列内容：</w:t>
      </w:r>
    </w:p>
    <w:p w14:paraId="0BEF55CE">
      <w:pPr>
        <w:spacing w:line="400" w:lineRule="exact"/>
        <w:ind w:firstLine="405"/>
        <w:rPr>
          <w:rFonts w:ascii="Times New Roman" w:hAnsi="Times New Roman"/>
          <w:szCs w:val="21"/>
        </w:rPr>
      </w:pPr>
      <w:r>
        <w:rPr>
          <w:rFonts w:ascii="Times New Roman" w:hAnsi="Times New Roman"/>
          <w:szCs w:val="21"/>
        </w:rPr>
        <w:t>（1）投标函</w:t>
      </w:r>
      <w:r>
        <w:rPr>
          <w:rFonts w:ascii="Times New Roman" w:hAnsi="Times New Roman"/>
        </w:rPr>
        <w:t>及投标函附录</w:t>
      </w:r>
      <w:r>
        <w:rPr>
          <w:rFonts w:ascii="Times New Roman" w:hAnsi="Times New Roman"/>
          <w:szCs w:val="21"/>
        </w:rPr>
        <w:t>；</w:t>
      </w:r>
    </w:p>
    <w:p w14:paraId="4E54012C">
      <w:pPr>
        <w:spacing w:line="400" w:lineRule="exact"/>
        <w:ind w:firstLine="405"/>
        <w:rPr>
          <w:rFonts w:ascii="Times New Roman" w:hAnsi="Times New Roman"/>
          <w:szCs w:val="21"/>
        </w:rPr>
      </w:pPr>
      <w:r>
        <w:rPr>
          <w:rFonts w:ascii="Times New Roman" w:hAnsi="Times New Roman"/>
          <w:szCs w:val="21"/>
        </w:rPr>
        <w:t>（2）法定代表人身份证明或授权委托书；</w:t>
      </w:r>
    </w:p>
    <w:p w14:paraId="68025C50">
      <w:pPr>
        <w:spacing w:line="400" w:lineRule="exact"/>
        <w:ind w:firstLine="405"/>
        <w:rPr>
          <w:rFonts w:ascii="Times New Roman" w:hAnsi="Times New Roman"/>
          <w:szCs w:val="21"/>
        </w:rPr>
      </w:pPr>
      <w:r>
        <w:rPr>
          <w:rFonts w:ascii="Times New Roman" w:hAnsi="Times New Roman"/>
          <w:szCs w:val="21"/>
        </w:rPr>
        <w:t>（</w:t>
      </w: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投标报价表</w:t>
      </w:r>
      <w:r>
        <w:rPr>
          <w:rFonts w:ascii="Times New Roman" w:hAnsi="Times New Roman"/>
          <w:szCs w:val="21"/>
        </w:rPr>
        <w:t>；</w:t>
      </w:r>
    </w:p>
    <w:p w14:paraId="658BE6BE">
      <w:pPr>
        <w:spacing w:line="400" w:lineRule="exact"/>
        <w:ind w:firstLine="405"/>
        <w:rPr>
          <w:rFonts w:ascii="Times New Roman" w:hAnsi="Times New Roman"/>
          <w:szCs w:val="21"/>
        </w:rPr>
      </w:pPr>
      <w:r>
        <w:rPr>
          <w:rFonts w:ascii="Times New Roman" w:hAnsi="Times New Roman"/>
          <w:szCs w:val="21"/>
        </w:rPr>
        <w:t>（</w:t>
      </w:r>
      <w:r>
        <w:rPr>
          <w:rFonts w:hint="eastAsia" w:ascii="Times New Roman" w:hAnsi="Times New Roman"/>
          <w:szCs w:val="21"/>
        </w:rPr>
        <w:t>4</w:t>
      </w:r>
      <w:r>
        <w:rPr>
          <w:rFonts w:ascii="Times New Roman" w:hAnsi="Times New Roman"/>
          <w:szCs w:val="21"/>
        </w:rPr>
        <w:t>）资格审查资料；</w:t>
      </w:r>
    </w:p>
    <w:p w14:paraId="768A2DEA">
      <w:pPr>
        <w:spacing w:line="400" w:lineRule="exact"/>
        <w:ind w:firstLine="405"/>
        <w:rPr>
          <w:rFonts w:ascii="Times New Roman" w:hAnsi="Times New Roman"/>
          <w:szCs w:val="21"/>
        </w:rPr>
      </w:pPr>
      <w:r>
        <w:rPr>
          <w:rFonts w:ascii="Times New Roman" w:hAnsi="Times New Roman"/>
          <w:szCs w:val="21"/>
        </w:rPr>
        <w:t>（</w:t>
      </w:r>
      <w:r>
        <w:rPr>
          <w:rFonts w:hint="eastAsia" w:ascii="Times New Roman" w:hAnsi="Times New Roman"/>
          <w:szCs w:val="21"/>
        </w:rPr>
        <w:t>5</w:t>
      </w:r>
      <w:r>
        <w:rPr>
          <w:rFonts w:ascii="Times New Roman" w:hAnsi="Times New Roman"/>
          <w:szCs w:val="21"/>
        </w:rPr>
        <w:t>）</w:t>
      </w:r>
      <w:r>
        <w:rPr>
          <w:rFonts w:hint="eastAsia" w:ascii="Times New Roman" w:hAnsi="Times New Roman"/>
          <w:szCs w:val="21"/>
        </w:rPr>
        <w:t>技术服务方案</w:t>
      </w:r>
      <w:r>
        <w:rPr>
          <w:rFonts w:ascii="Times New Roman" w:hAnsi="Times New Roman"/>
          <w:szCs w:val="21"/>
        </w:rPr>
        <w:t>；</w:t>
      </w:r>
    </w:p>
    <w:p w14:paraId="2148DEB3">
      <w:pPr>
        <w:spacing w:line="440" w:lineRule="exact"/>
        <w:ind w:firstLine="420" w:firstLineChars="200"/>
        <w:rPr>
          <w:rFonts w:ascii="Times New Roman" w:hAnsi="Times New Roman"/>
          <w:szCs w:val="21"/>
        </w:rPr>
      </w:pPr>
      <w:r>
        <w:rPr>
          <w:rFonts w:hint="eastAsia" w:ascii="Times New Roman" w:hAnsi="Times New Roman"/>
          <w:szCs w:val="21"/>
        </w:rPr>
        <w:t>（6）其他资料。</w:t>
      </w:r>
    </w:p>
    <w:p w14:paraId="3E018DC2">
      <w:pPr>
        <w:spacing w:line="440" w:lineRule="exact"/>
        <w:ind w:firstLine="420" w:firstLineChars="200"/>
        <w:rPr>
          <w:rFonts w:ascii="Times New Roman" w:hAnsi="Times New Roman"/>
          <w:szCs w:val="21"/>
        </w:rPr>
      </w:pPr>
      <w:r>
        <w:rPr>
          <w:rFonts w:ascii="Times New Roman" w:hAnsi="Times New Roman"/>
          <w:szCs w:val="21"/>
        </w:rPr>
        <w:t>投标文件的上述组成部分如存在内容不一致的，以投标函为准。</w:t>
      </w:r>
    </w:p>
    <w:p w14:paraId="72A6B086">
      <w:pPr>
        <w:spacing w:line="440" w:lineRule="exact"/>
        <w:ind w:firstLine="420" w:firstLineChars="200"/>
        <w:rPr>
          <w:rFonts w:ascii="Times New Roman" w:hAnsi="Times New Roman"/>
          <w:szCs w:val="21"/>
        </w:rPr>
      </w:pPr>
      <w:r>
        <w:rPr>
          <w:rFonts w:ascii="Times New Roman" w:hAnsi="Times New Roman"/>
          <w:szCs w:val="21"/>
        </w:rPr>
        <w:t>3．我方承诺在招标文件规定的投标有效期内不撤销投标文件。</w:t>
      </w:r>
    </w:p>
    <w:p w14:paraId="26A4CE4E">
      <w:pPr>
        <w:spacing w:line="440" w:lineRule="exact"/>
        <w:ind w:firstLine="420" w:firstLineChars="200"/>
        <w:rPr>
          <w:rFonts w:ascii="Times New Roman" w:hAnsi="Times New Roman"/>
          <w:szCs w:val="21"/>
        </w:rPr>
      </w:pPr>
      <w:r>
        <w:rPr>
          <w:rFonts w:ascii="Times New Roman" w:hAnsi="Times New Roman"/>
          <w:szCs w:val="21"/>
        </w:rPr>
        <w:t>4．如我方中标，我方承诺：</w:t>
      </w:r>
    </w:p>
    <w:p w14:paraId="57079312">
      <w:pPr>
        <w:spacing w:line="440" w:lineRule="exact"/>
        <w:ind w:left="945" w:leftChars="400" w:hanging="105" w:hangingChars="50"/>
        <w:rPr>
          <w:rFonts w:ascii="Times New Roman" w:hAnsi="Times New Roman"/>
          <w:szCs w:val="21"/>
        </w:rPr>
      </w:pPr>
      <w:r>
        <w:rPr>
          <w:rFonts w:ascii="Times New Roman" w:hAnsi="Times New Roman"/>
          <w:szCs w:val="21"/>
        </w:rPr>
        <w:t>（1）在收到中标通知书后，在中标通知书规定的期限内与你方签订合同；</w:t>
      </w:r>
    </w:p>
    <w:p w14:paraId="5DC75254">
      <w:pPr>
        <w:spacing w:line="440" w:lineRule="exact"/>
        <w:ind w:left="945" w:leftChars="400" w:hanging="105" w:hangingChars="50"/>
        <w:rPr>
          <w:rFonts w:ascii="Times New Roman" w:hAnsi="Times New Roman"/>
          <w:szCs w:val="21"/>
        </w:rPr>
      </w:pPr>
      <w:r>
        <w:rPr>
          <w:rFonts w:ascii="Times New Roman" w:hAnsi="Times New Roman"/>
          <w:szCs w:val="21"/>
        </w:rPr>
        <w:t>（2）在签订合同时不向你方提出附加条件；</w:t>
      </w:r>
    </w:p>
    <w:p w14:paraId="6C688490">
      <w:pPr>
        <w:spacing w:line="440" w:lineRule="exact"/>
        <w:ind w:left="945" w:leftChars="400" w:hanging="105" w:hangingChars="50"/>
        <w:rPr>
          <w:rFonts w:ascii="Times New Roman" w:hAnsi="Times New Roman"/>
          <w:szCs w:val="21"/>
        </w:rPr>
      </w:pPr>
      <w:r>
        <w:rPr>
          <w:rFonts w:ascii="Times New Roman" w:hAnsi="Times New Roman"/>
          <w:szCs w:val="21"/>
        </w:rPr>
        <w:t>（3）</w:t>
      </w:r>
      <w:bookmarkStart w:id="1092" w:name="_Toc352691658"/>
      <w:bookmarkStart w:id="1093" w:name="_Toc369531694"/>
      <w:bookmarkStart w:id="1094" w:name="_Toc1187"/>
      <w:r>
        <w:rPr>
          <w:rFonts w:ascii="Times New Roman" w:hAnsi="Times New Roman"/>
          <w:szCs w:val="21"/>
        </w:rPr>
        <w:t>在合</w:t>
      </w:r>
      <w:bookmarkEnd w:id="1092"/>
      <w:bookmarkEnd w:id="1093"/>
      <w:bookmarkEnd w:id="1094"/>
      <w:r>
        <w:rPr>
          <w:rFonts w:ascii="Times New Roman" w:hAnsi="Times New Roman"/>
          <w:szCs w:val="21"/>
        </w:rPr>
        <w:t>同约定的期限内完成合同规定的全部义务。</w:t>
      </w:r>
    </w:p>
    <w:p w14:paraId="2A972D87">
      <w:pPr>
        <w:spacing w:line="440" w:lineRule="exact"/>
        <w:ind w:firstLine="420" w:firstLineChars="200"/>
        <w:rPr>
          <w:rFonts w:ascii="Times New Roman" w:hAnsi="Times New Roman"/>
          <w:szCs w:val="21"/>
        </w:rPr>
      </w:pPr>
      <w:r>
        <w:rPr>
          <w:rFonts w:ascii="Times New Roman" w:hAnsi="Times New Roman"/>
          <w:szCs w:val="21"/>
        </w:rPr>
        <w:t>5．我方在此声明，所递交的投标文件及有关资料内容完整、真实和准确，且不存在第二章“投标人须知”第1.4.3项规定的任何一种情形。</w:t>
      </w:r>
    </w:p>
    <w:p w14:paraId="4953A2E2">
      <w:pPr>
        <w:spacing w:line="440" w:lineRule="exact"/>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．如我方中标，我方承诺：我司提交的所有投标资料真实可靠，并</w:t>
      </w:r>
      <w:r>
        <w:rPr>
          <w:rFonts w:hint="eastAsia" w:ascii="Times New Roman" w:hAnsi="Times New Roman"/>
          <w:szCs w:val="21"/>
        </w:rPr>
        <w:t>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接受行政监督部门的行政处罚等。</w:t>
      </w:r>
    </w:p>
    <w:p w14:paraId="60B8670D">
      <w:pPr>
        <w:spacing w:line="440" w:lineRule="exact"/>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（其他补充说明）。</w:t>
      </w:r>
    </w:p>
    <w:bookmarkEnd w:id="1055"/>
    <w:bookmarkEnd w:id="1056"/>
    <w:bookmarkEnd w:id="1057"/>
    <w:bookmarkEnd w:id="1058"/>
    <w:bookmarkEnd w:id="1059"/>
    <w:bookmarkEnd w:id="1060"/>
    <w:bookmarkEnd w:id="1061"/>
    <w:bookmarkEnd w:id="1062"/>
    <w:bookmarkEnd w:id="1063"/>
    <w:p w14:paraId="69519B91">
      <w:pPr>
        <w:spacing w:line="440" w:lineRule="exact"/>
        <w:ind w:firstLine="2520" w:firstLineChars="1200"/>
        <w:jc w:val="left"/>
        <w:rPr>
          <w:rFonts w:ascii="Times New Roman" w:hAnsi="Times New Roman"/>
          <w:szCs w:val="21"/>
        </w:rPr>
      </w:pPr>
      <w:bookmarkStart w:id="1095" w:name="_Toc352691660"/>
      <w:bookmarkEnd w:id="1095"/>
      <w:bookmarkStart w:id="1096" w:name="_Toc369531695"/>
      <w:bookmarkEnd w:id="1096"/>
      <w:bookmarkStart w:id="1097" w:name="_Toc369531696"/>
      <w:bookmarkEnd w:id="1097"/>
      <w:bookmarkStart w:id="1098" w:name="_Toc352691659"/>
      <w:bookmarkEnd w:id="1098"/>
      <w:bookmarkStart w:id="1099" w:name="_Toc16568"/>
      <w:bookmarkEnd w:id="1099"/>
      <w:bookmarkStart w:id="1100" w:name="_Toc16824"/>
      <w:bookmarkEnd w:id="1100"/>
    </w:p>
    <w:p w14:paraId="2808F40F">
      <w:pPr>
        <w:spacing w:line="440" w:lineRule="exact"/>
        <w:ind w:firstLine="2520" w:firstLineChars="1200"/>
        <w:jc w:val="lef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14:paraId="0FF91496">
      <w:pPr>
        <w:spacing w:line="440" w:lineRule="exact"/>
        <w:jc w:val="left"/>
        <w:rPr>
          <w:rFonts w:ascii="Times New Roman" w:hAnsi="Times New Roman"/>
          <w:szCs w:val="21"/>
        </w:rPr>
      </w:pPr>
      <w:r>
        <w:rPr>
          <w:rFonts w:ascii="Times New Roman" w:hAnsi="Times New Roman"/>
        </w:rPr>
        <w:t xml:space="preserve">                        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w:t>
      </w:r>
      <w:r>
        <w:rPr>
          <w:rFonts w:hint="eastAsia" w:ascii="Times New Roman" w:hAnsi="Times New Roman"/>
          <w:szCs w:val="21"/>
        </w:rPr>
        <w:t>签名或盖章</w:t>
      </w:r>
      <w:r>
        <w:rPr>
          <w:rFonts w:ascii="Times New Roman" w:hAnsi="Times New Roman"/>
          <w:szCs w:val="21"/>
        </w:rPr>
        <w:t>）</w:t>
      </w:r>
    </w:p>
    <w:p w14:paraId="742F8C32">
      <w:pPr>
        <w:spacing w:line="440" w:lineRule="exact"/>
        <w:ind w:firstLine="2520" w:firstLineChars="1200"/>
        <w:jc w:val="lef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14:paraId="4BCDD3A9">
      <w:pPr>
        <w:spacing w:line="440" w:lineRule="exact"/>
        <w:ind w:firstLine="2520" w:firstLineChars="1200"/>
        <w:jc w:val="left"/>
        <w:rPr>
          <w:rFonts w:ascii="Times New Roman" w:hAnsi="Times New Roman"/>
          <w:szCs w:val="21"/>
        </w:rPr>
      </w:pPr>
      <w:r>
        <w:rPr>
          <w:rFonts w:ascii="Times New Roman" w:hAnsi="Times New Roman"/>
          <w:szCs w:val="21"/>
        </w:rPr>
        <w:t>网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14:paraId="5669F8B0">
      <w:pPr>
        <w:spacing w:line="440" w:lineRule="exact"/>
        <w:ind w:firstLine="2520" w:firstLineChars="1200"/>
        <w:jc w:val="left"/>
        <w:rPr>
          <w:rFonts w:ascii="Times New Roman" w:hAnsi="Times New Roman"/>
          <w:szCs w:val="21"/>
        </w:rPr>
      </w:pPr>
      <w:r>
        <w:rPr>
          <w:rFonts w:ascii="Times New Roman" w:hAnsi="Times New Roman"/>
          <w:szCs w:val="21"/>
        </w:rPr>
        <w:t>电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14:paraId="2466093D">
      <w:pPr>
        <w:spacing w:line="440" w:lineRule="exact"/>
        <w:ind w:firstLine="2520" w:firstLineChars="1200"/>
        <w:jc w:val="left"/>
        <w:rPr>
          <w:rFonts w:ascii="Times New Roman" w:hAnsi="Times New Roman"/>
          <w:szCs w:val="21"/>
        </w:rPr>
      </w:pPr>
      <w:r>
        <w:rPr>
          <w:rFonts w:ascii="Times New Roman" w:hAnsi="Times New Roman"/>
          <w:szCs w:val="21"/>
        </w:rPr>
        <w:t>传    真：</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14:paraId="7A95802F">
      <w:pPr>
        <w:spacing w:line="440" w:lineRule="exact"/>
        <w:ind w:firstLine="2520" w:firstLineChars="1200"/>
        <w:jc w:val="left"/>
        <w:rPr>
          <w:rFonts w:ascii="Times New Roman" w:hAnsi="Times New Roman"/>
          <w:szCs w:val="21"/>
        </w:rPr>
      </w:pPr>
      <w:r>
        <w:rPr>
          <w:rFonts w:ascii="Times New Roman" w:hAnsi="Times New Roman"/>
          <w:szCs w:val="21"/>
        </w:rPr>
        <w:t>邮政编码：</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14:paraId="1E8A154C">
      <w:pPr>
        <w:spacing w:line="440" w:lineRule="exact"/>
        <w:ind w:firstLine="4725" w:firstLineChars="2250"/>
        <w:jc w:val="right"/>
        <w:rPr>
          <w:rFonts w:ascii="Times New Roman" w:hAnsi="Times New Roman"/>
          <w:szCs w:val="21"/>
        </w:rPr>
      </w:pPr>
      <w:r>
        <w:rPr>
          <w:rFonts w:ascii="Times New Roman" w:hAnsi="Times New Roman"/>
          <w:u w:val="single"/>
        </w:rPr>
        <w:t xml:space="preserve">      </w:t>
      </w:r>
      <w:r>
        <w:rPr>
          <w:rFonts w:ascii="Times New Roman" w:hAnsi="Times New Roman"/>
          <w:szCs w:val="21"/>
        </w:rPr>
        <w:t>年</w:t>
      </w:r>
      <w:r>
        <w:rPr>
          <w:rFonts w:ascii="Times New Roman" w:hAnsi="Times New Roman"/>
          <w:u w:val="single"/>
        </w:rPr>
        <w:t xml:space="preserve">      </w:t>
      </w:r>
      <w:r>
        <w:rPr>
          <w:rFonts w:ascii="Times New Roman" w:hAnsi="Times New Roman"/>
          <w:szCs w:val="21"/>
        </w:rPr>
        <w:t>月</w:t>
      </w:r>
      <w:r>
        <w:rPr>
          <w:rFonts w:ascii="Times New Roman" w:hAnsi="Times New Roman"/>
          <w:u w:val="single"/>
        </w:rPr>
        <w:t xml:space="preserve">      </w:t>
      </w:r>
      <w:r>
        <w:rPr>
          <w:rFonts w:ascii="Times New Roman" w:hAnsi="Times New Roman"/>
          <w:szCs w:val="21"/>
        </w:rPr>
        <w:t>日</w:t>
      </w:r>
    </w:p>
    <w:p w14:paraId="7C8676EC">
      <w:pPr>
        <w:spacing w:line="440" w:lineRule="exact"/>
        <w:rPr>
          <w:rFonts w:ascii="Times New Roman" w:hAnsi="Times New Roman" w:eastAsia="黑体"/>
          <w:sz w:val="20"/>
        </w:rPr>
      </w:pPr>
      <w:bookmarkStart w:id="1101" w:name="_Toc247527827"/>
      <w:bookmarkStart w:id="1102" w:name="_Toc361508752"/>
      <w:bookmarkStart w:id="1103" w:name="_Toc352691661"/>
      <w:bookmarkStart w:id="1104" w:name="_Toc247514246"/>
      <w:bookmarkStart w:id="1105" w:name="_Toc384308375"/>
      <w:bookmarkStart w:id="1106" w:name="_Toc300835209"/>
      <w:bookmarkStart w:id="1107" w:name="_Toc144974856"/>
      <w:bookmarkStart w:id="1108" w:name="_Toc152045787"/>
      <w:bookmarkStart w:id="1109" w:name="_Toc152042576"/>
      <w:bookmarkStart w:id="1110" w:name="_Toc17960"/>
      <w:bookmarkStart w:id="1111" w:name="_Toc369531697"/>
    </w:p>
    <w:p w14:paraId="0F6BA05F">
      <w:pPr>
        <w:spacing w:line="440" w:lineRule="exact"/>
        <w:rPr>
          <w:rFonts w:ascii="Times New Roman" w:hAnsi="Times New Roman" w:eastAsia="黑体"/>
          <w:sz w:val="20"/>
        </w:rPr>
      </w:pPr>
    </w:p>
    <w:p w14:paraId="688603FB">
      <w:pPr>
        <w:spacing w:line="440" w:lineRule="exact"/>
        <w:rPr>
          <w:rFonts w:ascii="Times New Roman" w:hAnsi="Times New Roman" w:eastAsia="黑体"/>
          <w:sz w:val="20"/>
        </w:rPr>
      </w:pPr>
    </w:p>
    <w:p w14:paraId="6557DD68">
      <w:pPr>
        <w:spacing w:line="440" w:lineRule="exact"/>
        <w:rPr>
          <w:rFonts w:ascii="Times New Roman" w:hAnsi="Times New Roman" w:eastAsia="黑体"/>
          <w:sz w:val="20"/>
        </w:rPr>
      </w:pPr>
    </w:p>
    <w:p w14:paraId="03F5B753">
      <w:pPr>
        <w:spacing w:line="440" w:lineRule="exact"/>
        <w:rPr>
          <w:rFonts w:ascii="Times New Roman" w:hAnsi="Times New Roman" w:eastAsia="黑体"/>
          <w:sz w:val="20"/>
        </w:rPr>
      </w:pPr>
    </w:p>
    <w:p w14:paraId="65FE389B">
      <w:pPr>
        <w:spacing w:line="440" w:lineRule="exact"/>
        <w:rPr>
          <w:rFonts w:ascii="Times New Roman" w:hAnsi="Times New Roman" w:eastAsia="黑体"/>
          <w:sz w:val="20"/>
        </w:rPr>
      </w:pPr>
    </w:p>
    <w:p w14:paraId="37D7B3EB">
      <w:pPr>
        <w:spacing w:line="440" w:lineRule="exact"/>
        <w:rPr>
          <w:rFonts w:ascii="Times New Roman" w:hAnsi="Times New Roman" w:eastAsia="黑体"/>
          <w:sz w:val="20"/>
        </w:rPr>
      </w:pPr>
    </w:p>
    <w:p w14:paraId="79E683C5">
      <w:pPr>
        <w:spacing w:line="440" w:lineRule="exact"/>
        <w:rPr>
          <w:rFonts w:ascii="Times New Roman" w:hAnsi="Times New Roman" w:eastAsia="黑体"/>
          <w:sz w:val="20"/>
        </w:rPr>
      </w:pPr>
    </w:p>
    <w:p w14:paraId="4FED6E18">
      <w:pPr>
        <w:spacing w:line="440" w:lineRule="exact"/>
        <w:rPr>
          <w:rFonts w:ascii="Times New Roman" w:hAnsi="Times New Roman" w:eastAsia="黑体"/>
          <w:sz w:val="20"/>
        </w:rPr>
      </w:pPr>
    </w:p>
    <w:p w14:paraId="0DFA28C8">
      <w:pPr>
        <w:spacing w:line="440" w:lineRule="exact"/>
        <w:rPr>
          <w:rFonts w:ascii="Times New Roman" w:hAnsi="Times New Roman" w:eastAsia="黑体"/>
          <w:sz w:val="20"/>
        </w:rPr>
      </w:pPr>
    </w:p>
    <w:p w14:paraId="648BAB43">
      <w:pPr>
        <w:spacing w:line="440" w:lineRule="exact"/>
        <w:rPr>
          <w:rFonts w:ascii="Times New Roman" w:hAnsi="Times New Roman" w:eastAsia="黑体"/>
          <w:sz w:val="20"/>
        </w:rPr>
      </w:pPr>
    </w:p>
    <w:p w14:paraId="41FEED05">
      <w:pPr>
        <w:spacing w:line="440" w:lineRule="exact"/>
        <w:rPr>
          <w:rFonts w:ascii="Times New Roman" w:hAnsi="Times New Roman" w:eastAsia="黑体"/>
          <w:sz w:val="20"/>
        </w:rPr>
      </w:pPr>
    </w:p>
    <w:p w14:paraId="048D0392">
      <w:pPr>
        <w:spacing w:line="440" w:lineRule="exact"/>
        <w:rPr>
          <w:rFonts w:ascii="Times New Roman" w:hAnsi="Times New Roman" w:eastAsia="黑体"/>
          <w:sz w:val="20"/>
        </w:rPr>
      </w:pPr>
    </w:p>
    <w:p w14:paraId="1FC5D0B1">
      <w:pPr>
        <w:spacing w:line="440" w:lineRule="exact"/>
        <w:rPr>
          <w:rFonts w:ascii="Times New Roman" w:hAnsi="Times New Roman" w:eastAsia="黑体"/>
          <w:sz w:val="20"/>
        </w:rPr>
      </w:pPr>
    </w:p>
    <w:p w14:paraId="0A5E59DC">
      <w:pPr>
        <w:spacing w:line="440" w:lineRule="exact"/>
        <w:rPr>
          <w:rFonts w:ascii="Times New Roman" w:hAnsi="Times New Roman" w:eastAsia="黑体"/>
          <w:sz w:val="20"/>
        </w:rPr>
      </w:pPr>
    </w:p>
    <w:p w14:paraId="5AA0A5E9">
      <w:pPr>
        <w:spacing w:line="440" w:lineRule="exact"/>
        <w:rPr>
          <w:rFonts w:ascii="Times New Roman" w:hAnsi="Times New Roman" w:eastAsia="黑体"/>
          <w:sz w:val="20"/>
        </w:rPr>
      </w:pPr>
    </w:p>
    <w:p w14:paraId="096FA31E">
      <w:pPr>
        <w:spacing w:line="440" w:lineRule="exact"/>
        <w:rPr>
          <w:rFonts w:ascii="Times New Roman" w:hAnsi="Times New Roman" w:eastAsia="黑体"/>
          <w:sz w:val="20"/>
        </w:rPr>
      </w:pPr>
    </w:p>
    <w:p w14:paraId="2B4D3B73">
      <w:pPr>
        <w:spacing w:line="440" w:lineRule="exact"/>
        <w:rPr>
          <w:rFonts w:ascii="Times New Roman" w:hAnsi="Times New Roman" w:eastAsia="黑体"/>
          <w:sz w:val="20"/>
        </w:rPr>
      </w:pPr>
    </w:p>
    <w:p w14:paraId="472A354E">
      <w:pPr>
        <w:spacing w:line="440" w:lineRule="exact"/>
        <w:rPr>
          <w:rFonts w:ascii="Times New Roman" w:hAnsi="Times New Roman" w:eastAsia="黑体"/>
          <w:sz w:val="20"/>
        </w:rPr>
      </w:pPr>
    </w:p>
    <w:p w14:paraId="144514E6">
      <w:pPr>
        <w:spacing w:line="440" w:lineRule="exact"/>
        <w:rPr>
          <w:rFonts w:ascii="Times New Roman" w:hAnsi="Times New Roman" w:eastAsia="黑体"/>
          <w:sz w:val="20"/>
        </w:rPr>
      </w:pPr>
    </w:p>
    <w:p w14:paraId="65B6F92F">
      <w:pPr>
        <w:pStyle w:val="5"/>
        <w:keepNext w:val="0"/>
        <w:keepLines w:val="0"/>
        <w:ind w:firstLine="137"/>
        <w:jc w:val="center"/>
        <w:rPr>
          <w:rFonts w:ascii="Times New Roman" w:hAnsi="Times New Roman"/>
        </w:rPr>
      </w:pPr>
      <w:bookmarkStart w:id="1112" w:name="_Toc391394112"/>
      <w:bookmarkStart w:id="1113" w:name="_Toc359594236"/>
      <w:bookmarkStart w:id="1114" w:name="_Toc385943066"/>
      <w:bookmarkStart w:id="1115" w:name="_Toc12614"/>
      <w:bookmarkStart w:id="1116" w:name="_Toc11424"/>
      <w:bookmarkStart w:id="1117" w:name="_Toc370676427"/>
      <w:bookmarkStart w:id="1118" w:name="_Toc31792"/>
      <w:bookmarkStart w:id="1119" w:name="_Toc482188652"/>
      <w:bookmarkStart w:id="1120" w:name="_Toc11492"/>
      <w:r>
        <w:rPr>
          <w:rFonts w:ascii="Times New Roman" w:hAnsi="Times New Roman"/>
        </w:rPr>
        <w:t>（二）投标函附录</w:t>
      </w:r>
      <w:bookmarkEnd w:id="1112"/>
      <w:bookmarkEnd w:id="1113"/>
      <w:bookmarkEnd w:id="1114"/>
      <w:bookmarkEnd w:id="1115"/>
      <w:bookmarkEnd w:id="1116"/>
      <w:bookmarkEnd w:id="1117"/>
      <w:bookmarkEnd w:id="1118"/>
      <w:bookmarkEnd w:id="1119"/>
      <w:bookmarkEnd w:id="1120"/>
    </w:p>
    <w:tbl>
      <w:tblPr>
        <w:tblStyle w:val="2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456"/>
        <w:gridCol w:w="5228"/>
        <w:gridCol w:w="678"/>
      </w:tblGrid>
      <w:tr w14:paraId="7C45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17EFD828">
            <w:pPr>
              <w:jc w:val="center"/>
              <w:rPr>
                <w:rFonts w:ascii="Times New Roman" w:hAnsi="Times New Roman"/>
                <w:b/>
                <w:sz w:val="24"/>
                <w:szCs w:val="28"/>
              </w:rPr>
            </w:pPr>
            <w:r>
              <w:rPr>
                <w:rFonts w:hint="eastAsia" w:ascii="Times New Roman" w:hAnsi="Times New Roman"/>
                <w:b/>
                <w:sz w:val="24"/>
                <w:szCs w:val="28"/>
              </w:rPr>
              <w:t>序号</w:t>
            </w:r>
          </w:p>
        </w:tc>
        <w:tc>
          <w:tcPr>
            <w:tcW w:w="2456" w:type="dxa"/>
            <w:tcBorders>
              <w:top w:val="single" w:color="auto" w:sz="4" w:space="0"/>
              <w:left w:val="single" w:color="auto" w:sz="4" w:space="0"/>
              <w:bottom w:val="single" w:color="auto" w:sz="4" w:space="0"/>
              <w:right w:val="single" w:color="auto" w:sz="4" w:space="0"/>
            </w:tcBorders>
            <w:vAlign w:val="center"/>
          </w:tcPr>
          <w:p w14:paraId="1ED425BB">
            <w:pPr>
              <w:jc w:val="center"/>
              <w:rPr>
                <w:rFonts w:ascii="Times New Roman" w:hAnsi="Times New Roman"/>
                <w:b/>
                <w:sz w:val="24"/>
                <w:szCs w:val="28"/>
              </w:rPr>
            </w:pPr>
            <w:r>
              <w:rPr>
                <w:rFonts w:hint="eastAsia" w:ascii="Times New Roman" w:hAnsi="Times New Roman"/>
                <w:b/>
                <w:sz w:val="24"/>
                <w:szCs w:val="28"/>
              </w:rPr>
              <w:t>条款名称</w:t>
            </w:r>
          </w:p>
        </w:tc>
        <w:tc>
          <w:tcPr>
            <w:tcW w:w="5228" w:type="dxa"/>
            <w:tcBorders>
              <w:top w:val="single" w:color="auto" w:sz="4" w:space="0"/>
              <w:left w:val="single" w:color="auto" w:sz="4" w:space="0"/>
              <w:bottom w:val="single" w:color="auto" w:sz="4" w:space="0"/>
              <w:right w:val="single" w:color="auto" w:sz="4" w:space="0"/>
            </w:tcBorders>
            <w:vAlign w:val="center"/>
          </w:tcPr>
          <w:p w14:paraId="72680323">
            <w:pPr>
              <w:jc w:val="center"/>
              <w:rPr>
                <w:rFonts w:ascii="Times New Roman" w:hAnsi="Times New Roman"/>
                <w:b/>
                <w:sz w:val="24"/>
                <w:szCs w:val="28"/>
              </w:rPr>
            </w:pPr>
            <w:r>
              <w:rPr>
                <w:rFonts w:hint="eastAsia" w:ascii="Times New Roman" w:hAnsi="Times New Roman"/>
                <w:b/>
                <w:sz w:val="24"/>
                <w:szCs w:val="28"/>
              </w:rPr>
              <w:t>约定内容</w:t>
            </w:r>
          </w:p>
        </w:tc>
        <w:tc>
          <w:tcPr>
            <w:tcW w:w="678" w:type="dxa"/>
            <w:tcBorders>
              <w:top w:val="single" w:color="auto" w:sz="4" w:space="0"/>
              <w:left w:val="single" w:color="auto" w:sz="4" w:space="0"/>
              <w:bottom w:val="single" w:color="auto" w:sz="4" w:space="0"/>
              <w:right w:val="single" w:color="auto" w:sz="4" w:space="0"/>
            </w:tcBorders>
            <w:vAlign w:val="center"/>
          </w:tcPr>
          <w:p w14:paraId="470E5F15">
            <w:pPr>
              <w:jc w:val="center"/>
              <w:rPr>
                <w:rFonts w:ascii="Times New Roman" w:hAnsi="Times New Roman"/>
                <w:b/>
                <w:sz w:val="24"/>
                <w:szCs w:val="28"/>
              </w:rPr>
            </w:pPr>
            <w:r>
              <w:rPr>
                <w:rFonts w:hint="eastAsia" w:ascii="Times New Roman" w:hAnsi="Times New Roman"/>
                <w:b/>
                <w:sz w:val="24"/>
                <w:szCs w:val="28"/>
              </w:rPr>
              <w:t>备注</w:t>
            </w:r>
          </w:p>
        </w:tc>
      </w:tr>
      <w:tr w14:paraId="0452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18EF9620">
            <w:pPr>
              <w:spacing w:line="360" w:lineRule="auto"/>
              <w:jc w:val="center"/>
              <w:rPr>
                <w:rFonts w:ascii="Times New Roman" w:hAnsi="Times New Roman"/>
                <w:bCs/>
                <w:sz w:val="24"/>
                <w:szCs w:val="28"/>
              </w:rPr>
            </w:pPr>
            <w:r>
              <w:rPr>
                <w:rFonts w:hint="eastAsia" w:ascii="Times New Roman" w:hAnsi="Times New Roman"/>
                <w:bCs/>
                <w:sz w:val="24"/>
                <w:szCs w:val="28"/>
              </w:rPr>
              <w:t>1</w:t>
            </w:r>
          </w:p>
        </w:tc>
        <w:tc>
          <w:tcPr>
            <w:tcW w:w="2456" w:type="dxa"/>
            <w:tcBorders>
              <w:top w:val="single" w:color="auto" w:sz="4" w:space="0"/>
              <w:left w:val="single" w:color="auto" w:sz="4" w:space="0"/>
              <w:bottom w:val="single" w:color="auto" w:sz="4" w:space="0"/>
              <w:right w:val="single" w:color="auto" w:sz="4" w:space="0"/>
            </w:tcBorders>
            <w:vAlign w:val="center"/>
          </w:tcPr>
          <w:p w14:paraId="1DDAA324">
            <w:pPr>
              <w:spacing w:line="360" w:lineRule="auto"/>
              <w:jc w:val="center"/>
              <w:rPr>
                <w:rFonts w:ascii="Times New Roman" w:hAnsi="Times New Roman"/>
                <w:bCs/>
                <w:sz w:val="24"/>
                <w:szCs w:val="28"/>
              </w:rPr>
            </w:pPr>
            <w:r>
              <w:rPr>
                <w:rFonts w:hint="eastAsia" w:ascii="Times New Roman" w:hAnsi="Times New Roman"/>
                <w:bCs/>
                <w:sz w:val="24"/>
                <w:szCs w:val="28"/>
              </w:rPr>
              <w:t>项目负责人</w:t>
            </w:r>
          </w:p>
        </w:tc>
        <w:tc>
          <w:tcPr>
            <w:tcW w:w="5228" w:type="dxa"/>
            <w:tcBorders>
              <w:top w:val="single" w:color="auto" w:sz="4" w:space="0"/>
              <w:left w:val="single" w:color="auto" w:sz="4" w:space="0"/>
              <w:bottom w:val="single" w:color="auto" w:sz="4" w:space="0"/>
              <w:right w:val="single" w:color="auto" w:sz="4" w:space="0"/>
            </w:tcBorders>
            <w:vAlign w:val="center"/>
          </w:tcPr>
          <w:p w14:paraId="0DC4365A">
            <w:pPr>
              <w:spacing w:line="360" w:lineRule="auto"/>
              <w:jc w:val="left"/>
              <w:rPr>
                <w:rFonts w:ascii="Times New Roman" w:hAnsi="Times New Roman"/>
                <w:bCs/>
                <w:sz w:val="24"/>
                <w:szCs w:val="28"/>
              </w:rPr>
            </w:pPr>
            <w:r>
              <w:rPr>
                <w:rFonts w:hint="eastAsia" w:ascii="Times New Roman" w:hAnsi="Times New Roman"/>
                <w:bCs/>
                <w:sz w:val="24"/>
                <w:szCs w:val="28"/>
              </w:rPr>
              <w:t>姓名：</w:t>
            </w:r>
            <w:r>
              <w:rPr>
                <w:rFonts w:ascii="Times New Roman" w:hAnsi="Times New Roman"/>
                <w:bCs/>
                <w:sz w:val="24"/>
                <w:szCs w:val="28"/>
              </w:rPr>
              <w:t xml:space="preserve"> </w:t>
            </w:r>
          </w:p>
          <w:p w14:paraId="29B18010">
            <w:pPr>
              <w:spacing w:line="360" w:lineRule="auto"/>
              <w:jc w:val="left"/>
              <w:rPr>
                <w:rFonts w:ascii="Times New Roman" w:hAnsi="Times New Roman"/>
                <w:bCs/>
                <w:sz w:val="24"/>
                <w:szCs w:val="28"/>
              </w:rPr>
            </w:pPr>
            <w:r>
              <w:rPr>
                <w:rFonts w:hint="eastAsia" w:ascii="Times New Roman" w:hAnsi="Times New Roman"/>
                <w:bCs/>
                <w:sz w:val="24"/>
                <w:szCs w:val="28"/>
              </w:rPr>
              <w:t>技术职称：</w:t>
            </w:r>
          </w:p>
        </w:tc>
        <w:tc>
          <w:tcPr>
            <w:tcW w:w="678" w:type="dxa"/>
            <w:tcBorders>
              <w:top w:val="single" w:color="auto" w:sz="4" w:space="0"/>
              <w:left w:val="single" w:color="auto" w:sz="4" w:space="0"/>
              <w:bottom w:val="single" w:color="auto" w:sz="4" w:space="0"/>
              <w:right w:val="single" w:color="auto" w:sz="4" w:space="0"/>
            </w:tcBorders>
            <w:vAlign w:val="center"/>
          </w:tcPr>
          <w:p w14:paraId="266CAA13">
            <w:pPr>
              <w:spacing w:line="360" w:lineRule="auto"/>
              <w:jc w:val="center"/>
              <w:rPr>
                <w:rFonts w:ascii="Times New Roman" w:hAnsi="Times New Roman"/>
                <w:b/>
                <w:sz w:val="24"/>
                <w:szCs w:val="28"/>
              </w:rPr>
            </w:pPr>
          </w:p>
        </w:tc>
      </w:tr>
      <w:tr w14:paraId="7721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4D8D31C3">
            <w:pPr>
              <w:spacing w:line="360" w:lineRule="auto"/>
              <w:jc w:val="center"/>
              <w:rPr>
                <w:rFonts w:ascii="Times New Roman" w:hAnsi="Times New Roman"/>
                <w:bCs/>
                <w:sz w:val="24"/>
                <w:szCs w:val="28"/>
              </w:rPr>
            </w:pPr>
            <w:r>
              <w:rPr>
                <w:rFonts w:hint="eastAsia" w:ascii="Times New Roman" w:hAnsi="Times New Roman"/>
                <w:bCs/>
                <w:sz w:val="24"/>
                <w:szCs w:val="28"/>
              </w:rPr>
              <w:t>2</w:t>
            </w:r>
          </w:p>
        </w:tc>
        <w:tc>
          <w:tcPr>
            <w:tcW w:w="2456" w:type="dxa"/>
            <w:tcBorders>
              <w:top w:val="single" w:color="auto" w:sz="4" w:space="0"/>
              <w:left w:val="single" w:color="auto" w:sz="4" w:space="0"/>
              <w:bottom w:val="single" w:color="auto" w:sz="4" w:space="0"/>
              <w:right w:val="single" w:color="auto" w:sz="4" w:space="0"/>
            </w:tcBorders>
            <w:vAlign w:val="center"/>
          </w:tcPr>
          <w:p w14:paraId="645E1D44">
            <w:pPr>
              <w:spacing w:line="360" w:lineRule="auto"/>
              <w:jc w:val="center"/>
              <w:rPr>
                <w:rFonts w:ascii="Times New Roman" w:hAnsi="Times New Roman"/>
                <w:bCs/>
                <w:sz w:val="24"/>
                <w:szCs w:val="28"/>
              </w:rPr>
            </w:pPr>
            <w:r>
              <w:rPr>
                <w:rFonts w:hint="eastAsia" w:ascii="Times New Roman" w:hAnsi="Times New Roman"/>
                <w:bCs/>
                <w:sz w:val="24"/>
                <w:szCs w:val="28"/>
              </w:rPr>
              <w:t>服务期限</w:t>
            </w:r>
          </w:p>
        </w:tc>
        <w:tc>
          <w:tcPr>
            <w:tcW w:w="5228" w:type="dxa"/>
            <w:tcBorders>
              <w:top w:val="single" w:color="auto" w:sz="4" w:space="0"/>
              <w:left w:val="single" w:color="auto" w:sz="4" w:space="0"/>
              <w:bottom w:val="single" w:color="auto" w:sz="4" w:space="0"/>
              <w:right w:val="single" w:color="auto" w:sz="4" w:space="0"/>
            </w:tcBorders>
            <w:vAlign w:val="center"/>
          </w:tcPr>
          <w:p w14:paraId="3445277E">
            <w:pPr>
              <w:spacing w:line="360" w:lineRule="auto"/>
              <w:jc w:val="left"/>
              <w:rPr>
                <w:rFonts w:ascii="Times New Roman" w:hAnsi="Times New Roman"/>
                <w:bCs/>
                <w:sz w:val="24"/>
                <w:szCs w:val="28"/>
              </w:rPr>
            </w:pPr>
            <w:r>
              <w:rPr>
                <w:rFonts w:hint="eastAsia" w:ascii="Times New Roman" w:hAnsi="Times New Roman"/>
                <w:bCs/>
                <w:sz w:val="24"/>
                <w:szCs w:val="28"/>
              </w:rPr>
              <w:t>按招标文件要求</w:t>
            </w:r>
          </w:p>
        </w:tc>
        <w:tc>
          <w:tcPr>
            <w:tcW w:w="678" w:type="dxa"/>
            <w:tcBorders>
              <w:top w:val="single" w:color="auto" w:sz="4" w:space="0"/>
              <w:left w:val="single" w:color="auto" w:sz="4" w:space="0"/>
              <w:bottom w:val="single" w:color="auto" w:sz="4" w:space="0"/>
              <w:right w:val="single" w:color="auto" w:sz="4" w:space="0"/>
            </w:tcBorders>
            <w:vAlign w:val="center"/>
          </w:tcPr>
          <w:p w14:paraId="7C84670B">
            <w:pPr>
              <w:spacing w:line="360" w:lineRule="auto"/>
              <w:jc w:val="center"/>
              <w:rPr>
                <w:rFonts w:ascii="Times New Roman" w:hAnsi="Times New Roman"/>
                <w:sz w:val="24"/>
                <w:szCs w:val="24"/>
                <w:u w:val="single"/>
              </w:rPr>
            </w:pPr>
          </w:p>
        </w:tc>
      </w:tr>
      <w:tr w14:paraId="3893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3B0F0D0E">
            <w:pPr>
              <w:spacing w:line="360" w:lineRule="auto"/>
              <w:jc w:val="center"/>
              <w:rPr>
                <w:rFonts w:ascii="Times New Roman" w:hAnsi="Times New Roman"/>
                <w:bCs/>
                <w:sz w:val="24"/>
                <w:szCs w:val="28"/>
              </w:rPr>
            </w:pPr>
            <w:r>
              <w:rPr>
                <w:rFonts w:ascii="Times New Roman" w:hAnsi="Times New Roman"/>
                <w:bCs/>
                <w:sz w:val="24"/>
                <w:szCs w:val="28"/>
              </w:rPr>
              <w:t>3</w:t>
            </w:r>
          </w:p>
        </w:tc>
        <w:tc>
          <w:tcPr>
            <w:tcW w:w="2456" w:type="dxa"/>
            <w:tcBorders>
              <w:top w:val="single" w:color="auto" w:sz="4" w:space="0"/>
              <w:left w:val="single" w:color="auto" w:sz="4" w:space="0"/>
              <w:bottom w:val="single" w:color="auto" w:sz="4" w:space="0"/>
              <w:right w:val="single" w:color="auto" w:sz="4" w:space="0"/>
            </w:tcBorders>
            <w:vAlign w:val="center"/>
          </w:tcPr>
          <w:p w14:paraId="572279D4">
            <w:pPr>
              <w:spacing w:line="360" w:lineRule="auto"/>
              <w:jc w:val="center"/>
              <w:rPr>
                <w:rFonts w:ascii="Times New Roman" w:hAnsi="Times New Roman"/>
                <w:bCs/>
                <w:sz w:val="24"/>
                <w:szCs w:val="28"/>
              </w:rPr>
            </w:pPr>
            <w:r>
              <w:rPr>
                <w:rFonts w:hint="eastAsia" w:ascii="Times New Roman" w:hAnsi="Times New Roman"/>
                <w:bCs/>
                <w:sz w:val="24"/>
                <w:szCs w:val="28"/>
              </w:rPr>
              <w:t>合同价款确定方式</w:t>
            </w:r>
          </w:p>
        </w:tc>
        <w:tc>
          <w:tcPr>
            <w:tcW w:w="5228" w:type="dxa"/>
            <w:tcBorders>
              <w:top w:val="single" w:color="auto" w:sz="4" w:space="0"/>
              <w:left w:val="single" w:color="auto" w:sz="4" w:space="0"/>
              <w:bottom w:val="single" w:color="auto" w:sz="4" w:space="0"/>
              <w:right w:val="single" w:color="auto" w:sz="4" w:space="0"/>
            </w:tcBorders>
            <w:vAlign w:val="center"/>
          </w:tcPr>
          <w:p w14:paraId="3737FAAC">
            <w:pPr>
              <w:spacing w:line="360" w:lineRule="auto"/>
              <w:jc w:val="left"/>
              <w:rPr>
                <w:rFonts w:ascii="Times New Roman" w:hAnsi="Times New Roman"/>
                <w:bCs/>
                <w:sz w:val="24"/>
                <w:szCs w:val="28"/>
              </w:rPr>
            </w:pPr>
            <w:r>
              <w:rPr>
                <w:rFonts w:hint="eastAsia" w:ascii="Times New Roman" w:hAnsi="Times New Roman"/>
                <w:bCs/>
                <w:sz w:val="24"/>
                <w:szCs w:val="28"/>
              </w:rPr>
              <w:t>按合同约定</w:t>
            </w:r>
          </w:p>
        </w:tc>
        <w:tc>
          <w:tcPr>
            <w:tcW w:w="678" w:type="dxa"/>
            <w:tcBorders>
              <w:top w:val="single" w:color="auto" w:sz="4" w:space="0"/>
              <w:left w:val="single" w:color="auto" w:sz="4" w:space="0"/>
              <w:bottom w:val="single" w:color="auto" w:sz="4" w:space="0"/>
              <w:right w:val="single" w:color="auto" w:sz="4" w:space="0"/>
            </w:tcBorders>
            <w:vAlign w:val="center"/>
          </w:tcPr>
          <w:p w14:paraId="090B9499">
            <w:pPr>
              <w:spacing w:line="360" w:lineRule="auto"/>
              <w:jc w:val="center"/>
              <w:rPr>
                <w:rFonts w:ascii="Times New Roman" w:hAnsi="Times New Roman"/>
                <w:b/>
                <w:sz w:val="24"/>
                <w:szCs w:val="28"/>
              </w:rPr>
            </w:pPr>
          </w:p>
        </w:tc>
      </w:tr>
      <w:tr w14:paraId="523A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3F2663AE">
            <w:pPr>
              <w:spacing w:line="360" w:lineRule="auto"/>
              <w:jc w:val="center"/>
              <w:rPr>
                <w:rFonts w:ascii="Times New Roman" w:hAnsi="Times New Roman"/>
                <w:bCs/>
                <w:sz w:val="24"/>
                <w:szCs w:val="28"/>
              </w:rPr>
            </w:pPr>
            <w:r>
              <w:rPr>
                <w:rFonts w:hint="eastAsia" w:ascii="Times New Roman" w:hAnsi="Times New Roman"/>
                <w:bCs/>
                <w:sz w:val="24"/>
                <w:szCs w:val="28"/>
              </w:rPr>
              <w:t>4</w:t>
            </w:r>
          </w:p>
        </w:tc>
        <w:tc>
          <w:tcPr>
            <w:tcW w:w="2456" w:type="dxa"/>
            <w:tcBorders>
              <w:top w:val="single" w:color="auto" w:sz="4" w:space="0"/>
              <w:left w:val="single" w:color="auto" w:sz="4" w:space="0"/>
              <w:bottom w:val="single" w:color="auto" w:sz="4" w:space="0"/>
              <w:right w:val="single" w:color="auto" w:sz="4" w:space="0"/>
            </w:tcBorders>
            <w:vAlign w:val="center"/>
          </w:tcPr>
          <w:p w14:paraId="09388875">
            <w:pPr>
              <w:spacing w:line="360" w:lineRule="auto"/>
              <w:jc w:val="center"/>
              <w:rPr>
                <w:rFonts w:ascii="Times New Roman" w:hAnsi="Times New Roman"/>
                <w:bCs/>
                <w:sz w:val="24"/>
                <w:szCs w:val="28"/>
              </w:rPr>
            </w:pPr>
            <w:r>
              <w:rPr>
                <w:rFonts w:ascii="Times New Roman" w:hAnsi="Times New Roman"/>
                <w:bCs/>
                <w:sz w:val="24"/>
                <w:szCs w:val="28"/>
              </w:rPr>
              <w:t>质量</w:t>
            </w:r>
            <w:r>
              <w:rPr>
                <w:rFonts w:hint="eastAsia" w:ascii="Times New Roman" w:hAnsi="Times New Roman"/>
                <w:bCs/>
                <w:sz w:val="24"/>
                <w:szCs w:val="28"/>
              </w:rPr>
              <w:t>标准</w:t>
            </w:r>
          </w:p>
        </w:tc>
        <w:tc>
          <w:tcPr>
            <w:tcW w:w="5228" w:type="dxa"/>
            <w:tcBorders>
              <w:top w:val="single" w:color="auto" w:sz="4" w:space="0"/>
              <w:left w:val="single" w:color="auto" w:sz="4" w:space="0"/>
              <w:bottom w:val="single" w:color="auto" w:sz="4" w:space="0"/>
              <w:right w:val="single" w:color="auto" w:sz="4" w:space="0"/>
            </w:tcBorders>
            <w:vAlign w:val="center"/>
          </w:tcPr>
          <w:p w14:paraId="4865A3BC">
            <w:pPr>
              <w:spacing w:line="360" w:lineRule="auto"/>
              <w:jc w:val="left"/>
              <w:rPr>
                <w:rFonts w:ascii="Times New Roman" w:hAnsi="Times New Roman"/>
                <w:bCs/>
                <w:sz w:val="24"/>
                <w:szCs w:val="28"/>
              </w:rPr>
            </w:pPr>
            <w:r>
              <w:rPr>
                <w:rFonts w:hint="eastAsia" w:ascii="Times New Roman" w:hAnsi="Times New Roman"/>
                <w:bCs/>
                <w:sz w:val="24"/>
                <w:szCs w:val="28"/>
              </w:rPr>
              <w:t>按招标文件要求</w:t>
            </w:r>
          </w:p>
        </w:tc>
        <w:tc>
          <w:tcPr>
            <w:tcW w:w="678" w:type="dxa"/>
            <w:tcBorders>
              <w:top w:val="single" w:color="auto" w:sz="4" w:space="0"/>
              <w:left w:val="single" w:color="auto" w:sz="4" w:space="0"/>
              <w:bottom w:val="single" w:color="auto" w:sz="4" w:space="0"/>
              <w:right w:val="single" w:color="auto" w:sz="4" w:space="0"/>
            </w:tcBorders>
            <w:vAlign w:val="center"/>
          </w:tcPr>
          <w:p w14:paraId="4B0A5AEC">
            <w:pPr>
              <w:spacing w:line="360" w:lineRule="auto"/>
              <w:jc w:val="center"/>
              <w:rPr>
                <w:rFonts w:ascii="Times New Roman" w:hAnsi="Times New Roman"/>
                <w:b/>
                <w:sz w:val="24"/>
                <w:szCs w:val="28"/>
              </w:rPr>
            </w:pPr>
          </w:p>
        </w:tc>
      </w:tr>
      <w:tr w14:paraId="15DD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58CFD17A">
            <w:pPr>
              <w:spacing w:line="360" w:lineRule="auto"/>
              <w:jc w:val="center"/>
              <w:rPr>
                <w:rFonts w:ascii="Times New Roman" w:hAnsi="Times New Roman"/>
                <w:bCs/>
                <w:sz w:val="24"/>
                <w:szCs w:val="28"/>
              </w:rPr>
            </w:pPr>
            <w:r>
              <w:rPr>
                <w:rFonts w:hint="eastAsia" w:ascii="Times New Roman" w:hAnsi="Times New Roman"/>
                <w:bCs/>
                <w:sz w:val="24"/>
                <w:szCs w:val="28"/>
              </w:rPr>
              <w:t>5</w:t>
            </w:r>
          </w:p>
        </w:tc>
        <w:tc>
          <w:tcPr>
            <w:tcW w:w="2456" w:type="dxa"/>
            <w:tcBorders>
              <w:top w:val="single" w:color="auto" w:sz="4" w:space="0"/>
              <w:left w:val="single" w:color="auto" w:sz="4" w:space="0"/>
              <w:bottom w:val="single" w:color="auto" w:sz="4" w:space="0"/>
              <w:right w:val="single" w:color="auto" w:sz="4" w:space="0"/>
            </w:tcBorders>
            <w:vAlign w:val="center"/>
          </w:tcPr>
          <w:p w14:paraId="0699BC88">
            <w:pPr>
              <w:spacing w:line="360" w:lineRule="auto"/>
              <w:jc w:val="center"/>
              <w:rPr>
                <w:rFonts w:ascii="Times New Roman" w:hAnsi="Times New Roman"/>
                <w:bCs/>
                <w:sz w:val="24"/>
                <w:szCs w:val="28"/>
              </w:rPr>
            </w:pPr>
            <w:r>
              <w:rPr>
                <w:rFonts w:hint="eastAsia" w:ascii="Times New Roman" w:hAnsi="Times New Roman"/>
                <w:bCs/>
                <w:sz w:val="24"/>
                <w:szCs w:val="28"/>
              </w:rPr>
              <w:t>投标报价（含税）</w:t>
            </w:r>
          </w:p>
        </w:tc>
        <w:tc>
          <w:tcPr>
            <w:tcW w:w="5228" w:type="dxa"/>
            <w:tcBorders>
              <w:top w:val="single" w:color="auto" w:sz="4" w:space="0"/>
              <w:left w:val="single" w:color="auto" w:sz="4" w:space="0"/>
              <w:bottom w:val="single" w:color="auto" w:sz="4" w:space="0"/>
              <w:right w:val="single" w:color="auto" w:sz="4" w:space="0"/>
            </w:tcBorders>
            <w:vAlign w:val="center"/>
          </w:tcPr>
          <w:p w14:paraId="6969D315">
            <w:pPr>
              <w:spacing w:line="360" w:lineRule="auto"/>
              <w:jc w:val="left"/>
              <w:rPr>
                <w:rFonts w:ascii="Times New Roman" w:hAnsi="Times New Roman"/>
                <w:bCs/>
                <w:sz w:val="24"/>
                <w:szCs w:val="28"/>
                <w:u w:val="single"/>
              </w:rPr>
            </w:pPr>
            <w:r>
              <w:rPr>
                <w:rFonts w:hint="eastAsia" w:ascii="Times New Roman" w:hAnsi="Times New Roman"/>
                <w:bCs/>
                <w:sz w:val="24"/>
                <w:szCs w:val="28"/>
              </w:rPr>
              <w:t>投标报价：（大写）</w:t>
            </w:r>
            <w:r>
              <w:rPr>
                <w:rFonts w:hint="eastAsia" w:ascii="Times New Roman" w:hAnsi="Times New Roman"/>
                <w:bCs/>
                <w:sz w:val="24"/>
                <w:szCs w:val="28"/>
                <w:u w:val="single"/>
              </w:rPr>
              <w:t xml:space="preserve">              </w:t>
            </w:r>
          </w:p>
          <w:p w14:paraId="57740043">
            <w:pPr>
              <w:spacing w:line="360" w:lineRule="auto"/>
              <w:ind w:firstLine="1200" w:firstLineChars="500"/>
              <w:jc w:val="left"/>
              <w:rPr>
                <w:rFonts w:ascii="Times New Roman" w:hAnsi="Times New Roman"/>
                <w:bCs/>
                <w:sz w:val="24"/>
                <w:szCs w:val="28"/>
              </w:rPr>
            </w:pPr>
            <w:r>
              <w:rPr>
                <w:rFonts w:hint="eastAsia" w:ascii="Times New Roman" w:hAnsi="Times New Roman"/>
                <w:bCs/>
                <w:sz w:val="24"/>
                <w:szCs w:val="28"/>
              </w:rPr>
              <w:t xml:space="preserve">（小写）¥ </w:t>
            </w:r>
            <w:r>
              <w:rPr>
                <w:rFonts w:hint="eastAsia" w:ascii="Times New Roman" w:hAnsi="Times New Roman"/>
                <w:bCs/>
                <w:sz w:val="24"/>
                <w:szCs w:val="28"/>
                <w:u w:val="single"/>
              </w:rPr>
              <w:t xml:space="preserve">              </w:t>
            </w:r>
          </w:p>
        </w:tc>
        <w:tc>
          <w:tcPr>
            <w:tcW w:w="678" w:type="dxa"/>
            <w:tcBorders>
              <w:top w:val="single" w:color="auto" w:sz="4" w:space="0"/>
              <w:left w:val="single" w:color="auto" w:sz="4" w:space="0"/>
              <w:bottom w:val="single" w:color="auto" w:sz="4" w:space="0"/>
              <w:right w:val="single" w:color="auto" w:sz="4" w:space="0"/>
            </w:tcBorders>
            <w:vAlign w:val="center"/>
          </w:tcPr>
          <w:p w14:paraId="708E7F6D">
            <w:pPr>
              <w:spacing w:line="360" w:lineRule="auto"/>
              <w:jc w:val="center"/>
              <w:rPr>
                <w:rFonts w:ascii="Times New Roman" w:hAnsi="Times New Roman"/>
                <w:b/>
                <w:sz w:val="24"/>
                <w:szCs w:val="28"/>
              </w:rPr>
            </w:pPr>
          </w:p>
        </w:tc>
      </w:tr>
      <w:tr w14:paraId="0F1C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03A39EBB">
            <w:pPr>
              <w:spacing w:line="360" w:lineRule="auto"/>
              <w:jc w:val="center"/>
              <w:rPr>
                <w:rFonts w:ascii="Times New Roman" w:hAnsi="Times New Roman"/>
                <w:bCs/>
                <w:sz w:val="24"/>
                <w:szCs w:val="28"/>
              </w:rPr>
            </w:pPr>
            <w:r>
              <w:rPr>
                <w:rFonts w:hint="eastAsia" w:ascii="Times New Roman" w:hAnsi="Times New Roman"/>
                <w:bCs/>
                <w:sz w:val="24"/>
                <w:szCs w:val="28"/>
              </w:rPr>
              <w:t>6</w:t>
            </w:r>
          </w:p>
        </w:tc>
        <w:tc>
          <w:tcPr>
            <w:tcW w:w="2456" w:type="dxa"/>
            <w:tcBorders>
              <w:top w:val="single" w:color="auto" w:sz="4" w:space="0"/>
              <w:left w:val="single" w:color="auto" w:sz="4" w:space="0"/>
              <w:bottom w:val="single" w:color="auto" w:sz="4" w:space="0"/>
              <w:right w:val="single" w:color="auto" w:sz="4" w:space="0"/>
            </w:tcBorders>
            <w:vAlign w:val="center"/>
          </w:tcPr>
          <w:p w14:paraId="7FD76E13">
            <w:pPr>
              <w:spacing w:line="360" w:lineRule="auto"/>
              <w:jc w:val="center"/>
              <w:rPr>
                <w:rFonts w:ascii="Times New Roman" w:hAnsi="Times New Roman"/>
                <w:bCs/>
                <w:sz w:val="24"/>
                <w:szCs w:val="28"/>
              </w:rPr>
            </w:pPr>
            <w:r>
              <w:rPr>
                <w:rFonts w:hint="eastAsia" w:ascii="Times New Roman" w:hAnsi="Times New Roman"/>
                <w:bCs/>
                <w:sz w:val="24"/>
                <w:szCs w:val="28"/>
              </w:rPr>
              <w:t>投标有效期</w:t>
            </w:r>
          </w:p>
        </w:tc>
        <w:tc>
          <w:tcPr>
            <w:tcW w:w="5228" w:type="dxa"/>
            <w:tcBorders>
              <w:top w:val="single" w:color="auto" w:sz="4" w:space="0"/>
              <w:left w:val="single" w:color="auto" w:sz="4" w:space="0"/>
              <w:bottom w:val="single" w:color="auto" w:sz="4" w:space="0"/>
              <w:right w:val="single" w:color="auto" w:sz="4" w:space="0"/>
            </w:tcBorders>
            <w:vAlign w:val="center"/>
          </w:tcPr>
          <w:p w14:paraId="5F4DF191">
            <w:pPr>
              <w:spacing w:line="360" w:lineRule="auto"/>
              <w:jc w:val="left"/>
              <w:rPr>
                <w:rFonts w:ascii="Times New Roman" w:hAnsi="Times New Roman"/>
                <w:bCs/>
                <w:sz w:val="24"/>
                <w:szCs w:val="28"/>
              </w:rPr>
            </w:pPr>
            <w:r>
              <w:rPr>
                <w:rFonts w:hint="eastAsia" w:ascii="Times New Roman" w:hAnsi="Times New Roman"/>
                <w:bCs/>
                <w:sz w:val="24"/>
                <w:szCs w:val="28"/>
              </w:rPr>
              <w:t>90日历天（从投标截止之日算起）</w:t>
            </w:r>
          </w:p>
        </w:tc>
        <w:tc>
          <w:tcPr>
            <w:tcW w:w="678" w:type="dxa"/>
            <w:tcBorders>
              <w:top w:val="single" w:color="auto" w:sz="4" w:space="0"/>
              <w:left w:val="single" w:color="auto" w:sz="4" w:space="0"/>
              <w:bottom w:val="single" w:color="auto" w:sz="4" w:space="0"/>
              <w:right w:val="single" w:color="auto" w:sz="4" w:space="0"/>
            </w:tcBorders>
            <w:vAlign w:val="center"/>
          </w:tcPr>
          <w:p w14:paraId="67ED8196">
            <w:pPr>
              <w:spacing w:line="360" w:lineRule="auto"/>
              <w:jc w:val="center"/>
              <w:rPr>
                <w:rFonts w:ascii="Times New Roman" w:hAnsi="Times New Roman"/>
                <w:b/>
                <w:sz w:val="24"/>
                <w:szCs w:val="28"/>
              </w:rPr>
            </w:pPr>
          </w:p>
        </w:tc>
      </w:tr>
    </w:tbl>
    <w:p w14:paraId="37D1CDB4">
      <w:pPr>
        <w:spacing w:line="440" w:lineRule="exact"/>
        <w:ind w:firstLine="2520" w:firstLineChars="1200"/>
        <w:jc w:val="left"/>
        <w:rPr>
          <w:rFonts w:ascii="Times New Roman" w:hAnsi="Times New Roman"/>
          <w:szCs w:val="21"/>
        </w:rPr>
      </w:pPr>
    </w:p>
    <w:p w14:paraId="2CFEB3A5">
      <w:pPr>
        <w:spacing w:line="440" w:lineRule="exact"/>
        <w:ind w:firstLine="2520" w:firstLineChars="1200"/>
        <w:jc w:val="lef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14:paraId="7A2FD93D">
      <w:pPr>
        <w:spacing w:line="440" w:lineRule="exact"/>
        <w:jc w:val="left"/>
        <w:rPr>
          <w:rFonts w:ascii="Times New Roman" w:hAnsi="Times New Roman"/>
          <w:szCs w:val="21"/>
        </w:rPr>
      </w:pPr>
      <w:r>
        <w:rPr>
          <w:rFonts w:ascii="Times New Roman" w:hAnsi="Times New Roman"/>
        </w:rPr>
        <w:t xml:space="preserve">                        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r>
        <w:rPr>
          <w:rFonts w:hint="eastAsia" w:ascii="Times New Roman" w:hAnsi="Times New Roman"/>
          <w:szCs w:val="21"/>
        </w:rPr>
        <w:t>或盖章</w:t>
      </w:r>
      <w:r>
        <w:rPr>
          <w:rFonts w:ascii="Times New Roman" w:hAnsi="Times New Roman"/>
          <w:szCs w:val="21"/>
        </w:rPr>
        <w:t>）</w:t>
      </w:r>
    </w:p>
    <w:p w14:paraId="17C85478">
      <w:pPr>
        <w:spacing w:line="440" w:lineRule="exact"/>
        <w:ind w:firstLine="4725" w:firstLineChars="2250"/>
        <w:jc w:val="right"/>
        <w:rPr>
          <w:rFonts w:ascii="Times New Roman" w:hAnsi="Times New Roman"/>
          <w:szCs w:val="21"/>
        </w:rPr>
      </w:pPr>
      <w:r>
        <w:rPr>
          <w:rFonts w:ascii="Times New Roman" w:hAnsi="Times New Roman"/>
          <w:u w:val="single"/>
        </w:rPr>
        <w:t xml:space="preserve">      </w:t>
      </w:r>
      <w:r>
        <w:rPr>
          <w:rFonts w:ascii="Times New Roman" w:hAnsi="Times New Roman"/>
          <w:szCs w:val="21"/>
        </w:rPr>
        <w:t>年</w:t>
      </w:r>
      <w:r>
        <w:rPr>
          <w:rFonts w:ascii="Times New Roman" w:hAnsi="Times New Roman"/>
          <w:u w:val="single"/>
        </w:rPr>
        <w:t xml:space="preserve">      </w:t>
      </w:r>
      <w:r>
        <w:rPr>
          <w:rFonts w:ascii="Times New Roman" w:hAnsi="Times New Roman"/>
          <w:szCs w:val="21"/>
        </w:rPr>
        <w:t>月</w:t>
      </w:r>
      <w:r>
        <w:rPr>
          <w:rFonts w:ascii="Times New Roman" w:hAnsi="Times New Roman"/>
          <w:u w:val="single"/>
        </w:rPr>
        <w:t xml:space="preserve">      </w:t>
      </w:r>
      <w:r>
        <w:rPr>
          <w:rFonts w:ascii="Times New Roman" w:hAnsi="Times New Roman"/>
          <w:szCs w:val="21"/>
        </w:rPr>
        <w:t>日</w:t>
      </w:r>
    </w:p>
    <w:p w14:paraId="4932574F">
      <w:pPr>
        <w:pStyle w:val="12"/>
        <w:rPr>
          <w:rFonts w:ascii="Times New Roman" w:hAnsi="Times New Roman"/>
          <w:szCs w:val="21"/>
        </w:rPr>
      </w:pPr>
    </w:p>
    <w:p w14:paraId="448A9F38">
      <w:pPr>
        <w:rPr>
          <w:rFonts w:ascii="Times New Roman" w:hAnsi="Times New Roman"/>
          <w:szCs w:val="21"/>
        </w:rPr>
      </w:pPr>
    </w:p>
    <w:p w14:paraId="307A994C">
      <w:pPr>
        <w:pStyle w:val="12"/>
        <w:rPr>
          <w:rFonts w:ascii="Times New Roman" w:hAnsi="Times New Roman"/>
          <w:szCs w:val="21"/>
        </w:rPr>
      </w:pPr>
    </w:p>
    <w:p w14:paraId="7B9B6B49">
      <w:pPr>
        <w:rPr>
          <w:rFonts w:ascii="Times New Roman" w:hAnsi="Times New Roman"/>
          <w:szCs w:val="21"/>
        </w:rPr>
      </w:pPr>
    </w:p>
    <w:p w14:paraId="01811266">
      <w:pPr>
        <w:pStyle w:val="12"/>
        <w:rPr>
          <w:rFonts w:ascii="Times New Roman" w:hAnsi="Times New Roman"/>
          <w:szCs w:val="21"/>
        </w:rPr>
      </w:pPr>
    </w:p>
    <w:p w14:paraId="7286B090">
      <w:pPr>
        <w:rPr>
          <w:rFonts w:ascii="Times New Roman" w:hAnsi="Times New Roman"/>
          <w:szCs w:val="21"/>
        </w:rPr>
      </w:pPr>
    </w:p>
    <w:p w14:paraId="274399C4">
      <w:pPr>
        <w:pStyle w:val="12"/>
        <w:rPr>
          <w:rFonts w:ascii="Times New Roman" w:hAnsi="Times New Roman"/>
          <w:szCs w:val="21"/>
        </w:rPr>
      </w:pPr>
    </w:p>
    <w:p w14:paraId="4D9B7840">
      <w:pPr>
        <w:rPr>
          <w:rFonts w:ascii="Times New Roman" w:hAnsi="Times New Roman"/>
          <w:szCs w:val="21"/>
        </w:rPr>
      </w:pPr>
    </w:p>
    <w:p w14:paraId="3D9DBE0C">
      <w:pPr>
        <w:pStyle w:val="12"/>
        <w:rPr>
          <w:rFonts w:ascii="Times New Roman" w:hAnsi="Times New Roman"/>
          <w:szCs w:val="21"/>
        </w:rPr>
      </w:pPr>
    </w:p>
    <w:p w14:paraId="3B5DA6C2">
      <w:pPr>
        <w:rPr>
          <w:rFonts w:ascii="Times New Roman" w:hAnsi="Times New Roman"/>
          <w:szCs w:val="21"/>
        </w:rPr>
      </w:pPr>
    </w:p>
    <w:p w14:paraId="7BD09AF0">
      <w:pPr>
        <w:pStyle w:val="12"/>
        <w:rPr>
          <w:rFonts w:ascii="Times New Roman" w:hAnsi="Times New Roman"/>
          <w:szCs w:val="21"/>
        </w:rPr>
      </w:pPr>
    </w:p>
    <w:p w14:paraId="0810485D">
      <w:pPr>
        <w:rPr>
          <w:rFonts w:ascii="Times New Roman" w:hAnsi="Times New Roman"/>
          <w:szCs w:val="21"/>
        </w:rPr>
      </w:pPr>
    </w:p>
    <w:p w14:paraId="6C1A947C">
      <w:pPr>
        <w:pStyle w:val="2"/>
        <w:rPr>
          <w:color w:val="auto"/>
          <w:szCs w:val="21"/>
        </w:rPr>
      </w:pPr>
    </w:p>
    <w:p w14:paraId="600E642A">
      <w:pPr>
        <w:pStyle w:val="2"/>
        <w:rPr>
          <w:color w:val="auto"/>
          <w:szCs w:val="21"/>
        </w:rPr>
      </w:pPr>
    </w:p>
    <w:p w14:paraId="09486EF1">
      <w:pPr>
        <w:pStyle w:val="12"/>
        <w:rPr>
          <w:rFonts w:ascii="Times New Roman" w:hAnsi="Times New Roman"/>
          <w:szCs w:val="21"/>
        </w:rPr>
      </w:pPr>
    </w:p>
    <w:p w14:paraId="58C6C83C"/>
    <w:p w14:paraId="32DAB345"/>
    <w:p w14:paraId="084B9048">
      <w:pPr>
        <w:pStyle w:val="2"/>
      </w:pPr>
    </w:p>
    <w:p w14:paraId="77721ECD">
      <w:pPr>
        <w:pStyle w:val="2"/>
      </w:pPr>
    </w:p>
    <w:p w14:paraId="2B06AB08">
      <w:pPr>
        <w:pStyle w:val="2"/>
      </w:pPr>
    </w:p>
    <w:p w14:paraId="26ED7CE2">
      <w:pPr>
        <w:pStyle w:val="4"/>
        <w:keepNext w:val="0"/>
        <w:keepLines w:val="0"/>
        <w:jc w:val="center"/>
        <w:rPr>
          <w:rFonts w:ascii="Times New Roman" w:hAnsi="Times New Roman"/>
          <w:sz w:val="20"/>
        </w:rPr>
      </w:pPr>
      <w:bookmarkStart w:id="1121" w:name="_Toc9317"/>
      <w:bookmarkStart w:id="1122" w:name="_Toc30576"/>
      <w:bookmarkStart w:id="1123" w:name="_Toc12745"/>
      <w:r>
        <w:rPr>
          <w:rFonts w:ascii="Times New Roman" w:hAnsi="Times New Roman"/>
        </w:rPr>
        <w:t>二</w:t>
      </w:r>
      <w:bookmarkEnd w:id="1101"/>
      <w:bookmarkEnd w:id="1102"/>
      <w:bookmarkEnd w:id="1103"/>
      <w:bookmarkEnd w:id="1104"/>
      <w:bookmarkEnd w:id="1105"/>
      <w:bookmarkEnd w:id="1106"/>
      <w:bookmarkEnd w:id="1107"/>
      <w:bookmarkEnd w:id="1108"/>
      <w:bookmarkEnd w:id="1109"/>
      <w:bookmarkEnd w:id="1110"/>
      <w:bookmarkEnd w:id="1111"/>
      <w:r>
        <w:rPr>
          <w:rFonts w:ascii="Times New Roman" w:hAnsi="Times New Roman"/>
        </w:rPr>
        <w:t>、法定代表人身份证明</w:t>
      </w:r>
      <w:r>
        <w:rPr>
          <w:rFonts w:hint="eastAsia" w:ascii="Times New Roman" w:hAnsi="Times New Roman"/>
        </w:rPr>
        <w:t>或授权委托书（格式可自定）</w:t>
      </w:r>
      <w:bookmarkEnd w:id="1121"/>
      <w:bookmarkEnd w:id="1122"/>
      <w:bookmarkEnd w:id="1123"/>
    </w:p>
    <w:p w14:paraId="496ED3BB">
      <w:pPr>
        <w:spacing w:line="440" w:lineRule="exact"/>
        <w:jc w:val="center"/>
        <w:rPr>
          <w:rFonts w:ascii="宋体" w:hAnsi="宋体"/>
          <w:b/>
          <w:sz w:val="28"/>
          <w:szCs w:val="28"/>
        </w:rPr>
      </w:pPr>
    </w:p>
    <w:p w14:paraId="5A6DFEFA">
      <w:pPr>
        <w:spacing w:line="440" w:lineRule="exact"/>
        <w:jc w:val="center"/>
        <w:rPr>
          <w:rFonts w:ascii="宋体" w:hAnsi="宋体"/>
          <w:b/>
          <w:sz w:val="28"/>
          <w:szCs w:val="28"/>
        </w:rPr>
      </w:pPr>
      <w:r>
        <w:rPr>
          <w:rFonts w:hint="eastAsia" w:ascii="宋体" w:hAnsi="宋体"/>
          <w:b/>
          <w:sz w:val="28"/>
          <w:szCs w:val="28"/>
        </w:rPr>
        <w:t>法定代表人身份证明</w:t>
      </w:r>
    </w:p>
    <w:p w14:paraId="0E12EBFE">
      <w:pPr>
        <w:pStyle w:val="19"/>
      </w:pPr>
    </w:p>
    <w:p w14:paraId="26AF2D73">
      <w:pPr>
        <w:spacing w:line="440" w:lineRule="exact"/>
        <w:rPr>
          <w:rFonts w:ascii="Times New Roman" w:hAnsi="Times New Roman"/>
          <w:sz w:val="24"/>
          <w:szCs w:val="24"/>
        </w:rPr>
      </w:pPr>
      <w:r>
        <w:rPr>
          <w:rFonts w:ascii="Times New Roman" w:hAnsi="Times New Roman"/>
          <w:sz w:val="24"/>
          <w:szCs w:val="24"/>
        </w:rPr>
        <w:t>投标人名称：</w:t>
      </w:r>
      <w:r>
        <w:rPr>
          <w:rFonts w:ascii="Times New Roman" w:hAnsi="Times New Roman"/>
          <w:sz w:val="24"/>
          <w:szCs w:val="24"/>
          <w:u w:val="single"/>
        </w:rPr>
        <w:t xml:space="preserve">                        </w:t>
      </w:r>
    </w:p>
    <w:p w14:paraId="65CD4CD2">
      <w:pPr>
        <w:spacing w:line="440" w:lineRule="exact"/>
        <w:rPr>
          <w:rFonts w:ascii="Times New Roman" w:hAnsi="Times New Roman"/>
          <w:sz w:val="24"/>
          <w:szCs w:val="24"/>
        </w:rPr>
      </w:pPr>
      <w:r>
        <w:rPr>
          <w:rFonts w:ascii="Times New Roman" w:hAnsi="Times New Roman"/>
          <w:sz w:val="24"/>
          <w:szCs w:val="24"/>
        </w:rPr>
        <w:t>姓名：</w:t>
      </w:r>
      <w:r>
        <w:rPr>
          <w:rFonts w:ascii="Times New Roman" w:hAnsi="Times New Roman"/>
          <w:sz w:val="24"/>
          <w:szCs w:val="24"/>
          <w:u w:val="single"/>
        </w:rPr>
        <w:t xml:space="preserve">                </w:t>
      </w:r>
      <w:r>
        <w:rPr>
          <w:rFonts w:ascii="Times New Roman" w:hAnsi="Times New Roman"/>
          <w:sz w:val="24"/>
          <w:szCs w:val="24"/>
        </w:rPr>
        <w:t>性别：</w:t>
      </w:r>
      <w:bookmarkStart w:id="1124" w:name="_Toc369531698"/>
      <w:bookmarkStart w:id="1125" w:name="_Toc27897"/>
      <w:bookmarkStart w:id="1126" w:name="_Toc352691662"/>
      <w:r>
        <w:rPr>
          <w:rFonts w:ascii="Times New Roman" w:hAnsi="Times New Roman"/>
          <w:sz w:val="24"/>
          <w:szCs w:val="24"/>
          <w:u w:val="single"/>
        </w:rPr>
        <w:t xml:space="preserve">        </w:t>
      </w:r>
      <w:r>
        <w:rPr>
          <w:rFonts w:ascii="Times New Roman" w:hAnsi="Times New Roman"/>
          <w:sz w:val="24"/>
          <w:szCs w:val="24"/>
        </w:rPr>
        <w:t>年</w:t>
      </w:r>
      <w:bookmarkEnd w:id="1124"/>
      <w:bookmarkEnd w:id="1125"/>
      <w:bookmarkEnd w:id="1126"/>
      <w:r>
        <w:rPr>
          <w:rFonts w:ascii="Times New Roman" w:hAnsi="Times New Roman"/>
          <w:sz w:val="24"/>
          <w:szCs w:val="24"/>
        </w:rPr>
        <w:t>龄</w:t>
      </w:r>
      <w:bookmarkStart w:id="1127" w:name="_Toc152042578"/>
      <w:bookmarkStart w:id="1128" w:name="_Toc144974858"/>
      <w:bookmarkStart w:id="1129" w:name="_Toc152045789"/>
      <w:bookmarkStart w:id="1130" w:name="_Toc369531699"/>
      <w:bookmarkStart w:id="1131" w:name="_Toc352691663"/>
      <w:bookmarkStart w:id="1132" w:name="_Toc300835211"/>
      <w:bookmarkStart w:id="1133" w:name="_Toc15573"/>
      <w:bookmarkStart w:id="1134" w:name="_Toc384308377"/>
      <w:bookmarkStart w:id="1135" w:name="_Toc361508754"/>
      <w:bookmarkStart w:id="1136" w:name="_Toc247527829"/>
      <w:bookmarkStart w:id="1137" w:name="_Toc247514248"/>
      <w:r>
        <w:rPr>
          <w:rFonts w:ascii="Times New Roman" w:hAnsi="Times New Roman"/>
          <w:sz w:val="24"/>
          <w:szCs w:val="24"/>
        </w:rPr>
        <w:t>：</w:t>
      </w:r>
      <w:bookmarkEnd w:id="1127"/>
      <w:bookmarkEnd w:id="1128"/>
      <w:bookmarkEnd w:id="1129"/>
      <w:bookmarkEnd w:id="1130"/>
      <w:bookmarkEnd w:id="1131"/>
      <w:bookmarkEnd w:id="1132"/>
      <w:bookmarkEnd w:id="1133"/>
      <w:bookmarkEnd w:id="1134"/>
      <w:bookmarkEnd w:id="1135"/>
      <w:bookmarkEnd w:id="1136"/>
      <w:bookmarkEnd w:id="1137"/>
      <w:r>
        <w:rPr>
          <w:rFonts w:ascii="Times New Roman" w:hAnsi="Times New Roman"/>
          <w:sz w:val="24"/>
          <w:szCs w:val="24"/>
          <w:u w:val="single"/>
        </w:rPr>
        <w:t xml:space="preserve">        </w:t>
      </w:r>
      <w:r>
        <w:rPr>
          <w:rFonts w:ascii="Times New Roman" w:hAnsi="Times New Roman"/>
          <w:sz w:val="24"/>
          <w:szCs w:val="24"/>
        </w:rPr>
        <w:t>职务：</w:t>
      </w:r>
      <w:r>
        <w:rPr>
          <w:rFonts w:ascii="Times New Roman" w:hAnsi="Times New Roman"/>
          <w:sz w:val="24"/>
          <w:szCs w:val="24"/>
          <w:u w:val="single"/>
        </w:rPr>
        <w:t xml:space="preserve">        </w:t>
      </w:r>
    </w:p>
    <w:p w14:paraId="3F3BFB63">
      <w:pPr>
        <w:spacing w:line="440" w:lineRule="exact"/>
        <w:rPr>
          <w:rFonts w:ascii="Times New Roman" w:hAnsi="Times New Roman"/>
          <w:sz w:val="24"/>
          <w:szCs w:val="24"/>
        </w:rPr>
      </w:pPr>
      <w:r>
        <w:rPr>
          <w:rFonts w:ascii="Times New Roman" w:hAnsi="Times New Roman"/>
          <w:sz w:val="24"/>
          <w:szCs w:val="24"/>
        </w:rPr>
        <w:t>系</w:t>
      </w:r>
      <w:r>
        <w:rPr>
          <w:rFonts w:ascii="Times New Roman" w:hAnsi="Times New Roman"/>
          <w:sz w:val="24"/>
          <w:szCs w:val="24"/>
          <w:u w:val="single"/>
        </w:rPr>
        <w:t xml:space="preserve">                        </w:t>
      </w:r>
      <w:r>
        <w:rPr>
          <w:rFonts w:ascii="Times New Roman" w:hAnsi="Times New Roman"/>
          <w:sz w:val="24"/>
          <w:szCs w:val="24"/>
        </w:rPr>
        <w:t>（投标人名称）的法定代表人。</w:t>
      </w:r>
    </w:p>
    <w:p w14:paraId="71B26A80">
      <w:pPr>
        <w:spacing w:line="440" w:lineRule="exact"/>
        <w:ind w:firstLine="480" w:firstLineChars="200"/>
        <w:rPr>
          <w:rFonts w:ascii="Times New Roman" w:hAnsi="Times New Roman"/>
          <w:sz w:val="24"/>
          <w:szCs w:val="24"/>
        </w:rPr>
      </w:pPr>
      <w:r>
        <w:rPr>
          <w:rFonts w:ascii="Times New Roman" w:hAnsi="Times New Roman"/>
          <w:sz w:val="24"/>
          <w:szCs w:val="24"/>
        </w:rPr>
        <w:t>特此证明。</w:t>
      </w:r>
    </w:p>
    <w:p w14:paraId="0B81B4C6">
      <w:pPr>
        <w:spacing w:line="440" w:lineRule="exact"/>
        <w:rPr>
          <w:rFonts w:ascii="Times New Roman" w:hAnsi="Times New Roman"/>
          <w:sz w:val="24"/>
          <w:szCs w:val="24"/>
        </w:rPr>
      </w:pPr>
    </w:p>
    <w:p w14:paraId="456A05F2">
      <w:pPr>
        <w:spacing w:line="440" w:lineRule="exact"/>
        <w:rPr>
          <w:rFonts w:ascii="Times New Roman" w:hAnsi="Times New Roman"/>
          <w:sz w:val="24"/>
          <w:szCs w:val="24"/>
        </w:rPr>
      </w:pPr>
      <w:r>
        <w:rPr>
          <w:rFonts w:ascii="Times New Roman" w:hAnsi="Times New Roman"/>
          <w:sz w:val="24"/>
          <w:szCs w:val="24"/>
        </w:rPr>
        <w:t>附：法定代表人身份证</w:t>
      </w:r>
      <w:r>
        <w:rPr>
          <w:rFonts w:hint="eastAsia" w:ascii="Times New Roman" w:hAnsi="Times New Roman"/>
          <w:sz w:val="24"/>
          <w:szCs w:val="24"/>
        </w:rPr>
        <w:t>扫描件</w:t>
      </w:r>
      <w:r>
        <w:rPr>
          <w:rFonts w:ascii="Times New Roman" w:hAnsi="Times New Roman"/>
          <w:sz w:val="24"/>
          <w:szCs w:val="24"/>
        </w:rPr>
        <w:t>。</w:t>
      </w:r>
    </w:p>
    <w:p w14:paraId="39DA6A77">
      <w:pPr>
        <w:spacing w:line="440" w:lineRule="exact"/>
        <w:rPr>
          <w:rFonts w:ascii="Times New Roman" w:hAnsi="Times New Roman"/>
          <w:sz w:val="24"/>
          <w:szCs w:val="24"/>
        </w:rPr>
      </w:pPr>
    </w:p>
    <w:p w14:paraId="7CDA4E7A">
      <w:pPr>
        <w:spacing w:line="440" w:lineRule="exact"/>
        <w:rPr>
          <w:rFonts w:ascii="Times New Roman" w:hAnsi="Times New Roman"/>
          <w:sz w:val="24"/>
          <w:szCs w:val="24"/>
        </w:rPr>
      </w:pPr>
      <w:r>
        <w:rPr>
          <w:rFonts w:ascii="Times New Roman" w:hAnsi="Times New Roman"/>
          <w:sz w:val="24"/>
          <w:szCs w:val="24"/>
        </w:rPr>
        <w:t>注：本身份证明需由投标人加盖单位公章。</w:t>
      </w:r>
    </w:p>
    <w:p w14:paraId="1E89F45E">
      <w:pPr>
        <w:spacing w:line="440" w:lineRule="exact"/>
        <w:rPr>
          <w:rFonts w:ascii="Times New Roman" w:hAnsi="Times New Roman"/>
          <w:sz w:val="24"/>
          <w:szCs w:val="24"/>
        </w:rPr>
      </w:pPr>
    </w:p>
    <w:p w14:paraId="74C1C0DF">
      <w:pPr>
        <w:spacing w:line="440" w:lineRule="exact"/>
        <w:rPr>
          <w:rFonts w:ascii="Times New Roman" w:hAnsi="Times New Roman"/>
          <w:sz w:val="24"/>
          <w:szCs w:val="24"/>
        </w:rPr>
      </w:pPr>
    </w:p>
    <w:p w14:paraId="711B84BB">
      <w:pPr>
        <w:spacing w:line="440" w:lineRule="exact"/>
        <w:jc w:val="center"/>
        <w:rPr>
          <w:rFonts w:ascii="Times New Roman" w:hAnsi="Times New Roman"/>
          <w:sz w:val="24"/>
          <w:szCs w:val="24"/>
        </w:rPr>
      </w:pPr>
      <w:r>
        <w:rPr>
          <w:rFonts w:ascii="Times New Roman" w:hAnsi="Times New Roman"/>
          <w:sz w:val="24"/>
          <w:szCs w:val="24"/>
        </w:rPr>
        <w:t xml:space="preserve">                              投标人</w:t>
      </w:r>
      <w:r>
        <w:rPr>
          <w:rFonts w:hint="eastAsia" w:ascii="Times New Roman" w:hAnsi="Times New Roman"/>
          <w:sz w:val="24"/>
          <w:szCs w:val="24"/>
        </w:rPr>
        <w:t>名称</w:t>
      </w:r>
      <w:r>
        <w:rPr>
          <w:rFonts w:ascii="Times New Roman" w:hAnsi="Times New Roman"/>
          <w:sz w:val="24"/>
          <w:szCs w:val="24"/>
        </w:rPr>
        <w:t>：</w:t>
      </w:r>
      <w:r>
        <w:rPr>
          <w:rFonts w:ascii="Times New Roman" w:hAnsi="Times New Roman"/>
          <w:sz w:val="24"/>
          <w:szCs w:val="24"/>
          <w:u w:val="single"/>
        </w:rPr>
        <w:t xml:space="preserve">          </w:t>
      </w:r>
      <w:r>
        <w:rPr>
          <w:rFonts w:ascii="Times New Roman" w:hAnsi="Times New Roman"/>
          <w:sz w:val="24"/>
          <w:szCs w:val="24"/>
          <w:u w:val="single"/>
        </w:rPr>
        <w:tab/>
      </w:r>
      <w:r>
        <w:rPr>
          <w:rFonts w:ascii="Times New Roman" w:hAnsi="Times New Roman"/>
          <w:sz w:val="24"/>
          <w:szCs w:val="24"/>
        </w:rPr>
        <w:t>（</w:t>
      </w:r>
      <w:r>
        <w:rPr>
          <w:rFonts w:hint="eastAsia" w:ascii="Times New Roman" w:hAnsi="Times New Roman"/>
          <w:sz w:val="24"/>
          <w:szCs w:val="24"/>
        </w:rPr>
        <w:t>盖</w:t>
      </w:r>
      <w:r>
        <w:rPr>
          <w:rFonts w:ascii="Times New Roman" w:hAnsi="Times New Roman"/>
          <w:sz w:val="24"/>
          <w:szCs w:val="24"/>
        </w:rPr>
        <w:t>单位</w:t>
      </w:r>
      <w:r>
        <w:rPr>
          <w:rFonts w:hint="eastAsia" w:ascii="Times New Roman" w:hAnsi="Times New Roman"/>
          <w:sz w:val="24"/>
          <w:szCs w:val="24"/>
        </w:rPr>
        <w:t>章</w:t>
      </w:r>
      <w:r>
        <w:rPr>
          <w:rFonts w:ascii="Times New Roman" w:hAnsi="Times New Roman"/>
          <w:sz w:val="24"/>
          <w:szCs w:val="24"/>
        </w:rPr>
        <w:t>）</w:t>
      </w:r>
    </w:p>
    <w:p w14:paraId="674CC854">
      <w:pPr>
        <w:spacing w:line="440" w:lineRule="exact"/>
        <w:rPr>
          <w:rFonts w:ascii="Times New Roman" w:hAnsi="Times New Roman"/>
          <w:sz w:val="24"/>
          <w:szCs w:val="24"/>
        </w:rPr>
      </w:pPr>
    </w:p>
    <w:p w14:paraId="3DDD79E2">
      <w:pPr>
        <w:spacing w:line="440" w:lineRule="exact"/>
        <w:ind w:firstLine="5280" w:firstLineChars="2200"/>
        <w:rPr>
          <w:rFonts w:ascii="Times New Roman" w:hAnsi="Times New Roman"/>
          <w:sz w:val="24"/>
          <w:szCs w:val="24"/>
        </w:rPr>
      </w:pP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月</w:t>
      </w:r>
      <w:r>
        <w:rPr>
          <w:rFonts w:ascii="Times New Roman" w:hAnsi="Times New Roman"/>
          <w:sz w:val="24"/>
          <w:szCs w:val="24"/>
          <w:u w:val="single"/>
        </w:rPr>
        <w:t xml:space="preserve">      </w:t>
      </w:r>
      <w:r>
        <w:rPr>
          <w:rFonts w:ascii="Times New Roman" w:hAnsi="Times New Roman"/>
          <w:sz w:val="24"/>
          <w:szCs w:val="24"/>
        </w:rPr>
        <w:t>日</w:t>
      </w:r>
    </w:p>
    <w:p w14:paraId="2626F505">
      <w:pPr>
        <w:spacing w:line="440" w:lineRule="exact"/>
        <w:rPr>
          <w:rFonts w:ascii="Times New Roman" w:hAnsi="Times New Roman" w:eastAsia="黑体"/>
          <w:sz w:val="24"/>
          <w:szCs w:val="24"/>
        </w:rPr>
      </w:pPr>
    </w:p>
    <w:p w14:paraId="6DFC7A29">
      <w:pPr>
        <w:pStyle w:val="25"/>
      </w:pPr>
    </w:p>
    <w:p w14:paraId="0736F520">
      <w:pPr>
        <w:spacing w:line="440" w:lineRule="exact"/>
        <w:rPr>
          <w:rFonts w:ascii="Times New Roman" w:hAnsi="Times New Roman" w:eastAsia="黑体"/>
          <w:sz w:val="20"/>
        </w:rPr>
      </w:pPr>
    </w:p>
    <w:p w14:paraId="0854ACC5">
      <w:pPr>
        <w:spacing w:line="440" w:lineRule="exact"/>
        <w:rPr>
          <w:rFonts w:ascii="Times New Roman" w:hAnsi="Times New Roman" w:eastAsia="黑体"/>
          <w:sz w:val="20"/>
        </w:rPr>
      </w:pPr>
    </w:p>
    <w:p w14:paraId="1DAE12FE">
      <w:pPr>
        <w:spacing w:line="440" w:lineRule="exact"/>
        <w:rPr>
          <w:rFonts w:ascii="Times New Roman" w:hAnsi="Times New Roman" w:eastAsia="黑体"/>
          <w:sz w:val="20"/>
        </w:rPr>
      </w:pPr>
    </w:p>
    <w:p w14:paraId="056AA721">
      <w:pPr>
        <w:pStyle w:val="4"/>
        <w:keepNext w:val="0"/>
        <w:keepLines w:val="0"/>
        <w:jc w:val="center"/>
        <w:rPr>
          <w:rFonts w:ascii="宋体" w:hAnsi="宋体" w:eastAsia="宋体"/>
          <w:sz w:val="28"/>
          <w:szCs w:val="28"/>
        </w:rPr>
      </w:pPr>
      <w:r>
        <w:rPr>
          <w:rFonts w:ascii="Times New Roman" w:hAnsi="Times New Roman"/>
        </w:rPr>
        <w:br w:type="page"/>
      </w:r>
      <w:bookmarkStart w:id="1138" w:name="_Toc19566"/>
      <w:bookmarkStart w:id="1139" w:name="_Toc10463"/>
      <w:bookmarkStart w:id="1140" w:name="_Toc30395"/>
      <w:bookmarkStart w:id="1141" w:name="_Toc15725"/>
      <w:bookmarkStart w:id="1142" w:name="_Toc24470"/>
      <w:r>
        <w:rPr>
          <w:rFonts w:hint="eastAsia" w:ascii="宋体" w:hAnsi="宋体" w:eastAsia="宋体"/>
          <w:sz w:val="28"/>
          <w:szCs w:val="28"/>
        </w:rPr>
        <w:t>授权委托书</w:t>
      </w:r>
      <w:bookmarkEnd w:id="1138"/>
      <w:bookmarkEnd w:id="1139"/>
      <w:bookmarkEnd w:id="1140"/>
      <w:bookmarkEnd w:id="1141"/>
      <w:bookmarkEnd w:id="1142"/>
    </w:p>
    <w:p w14:paraId="7B15A552">
      <w:pPr>
        <w:topLinePunct/>
        <w:spacing w:line="440" w:lineRule="exact"/>
        <w:ind w:firstLine="420" w:firstLineChars="200"/>
        <w:rPr>
          <w:rFonts w:ascii="Times New Roman" w:hAnsi="Times New Roman"/>
        </w:rPr>
      </w:pPr>
      <w:r>
        <w:rPr>
          <w:rFonts w:ascii="Times New Roman" w:hAnsi="Times New Roman"/>
        </w:rPr>
        <w:t>本人</w:t>
      </w:r>
      <w:r>
        <w:rPr>
          <w:rFonts w:ascii="Times New Roman" w:hAnsi="Times New Roman"/>
          <w:u w:val="single"/>
        </w:rPr>
        <w:t xml:space="preserve">              </w:t>
      </w:r>
      <w:r>
        <w:rPr>
          <w:rFonts w:ascii="Times New Roman" w:hAnsi="Times New Roman"/>
        </w:rPr>
        <w:t>（姓名）系</w:t>
      </w:r>
      <w:r>
        <w:rPr>
          <w:rFonts w:ascii="Times New Roman" w:hAnsi="Times New Roman"/>
          <w:u w:val="single"/>
        </w:rPr>
        <w:t xml:space="preserve">                    </w:t>
      </w:r>
      <w:r>
        <w:rPr>
          <w:rFonts w:ascii="Times New Roman" w:hAnsi="Times New Roman"/>
        </w:rPr>
        <w:t>（投标人名称）的法定代表人，现委托</w:t>
      </w:r>
      <w:r>
        <w:rPr>
          <w:rFonts w:ascii="Times New Roman" w:hAnsi="Times New Roman"/>
          <w:u w:val="single"/>
        </w:rPr>
        <w:t xml:space="preserve">            （姓名）</w:t>
      </w:r>
      <w:r>
        <w:rPr>
          <w:rFonts w:ascii="Times New Roman" w:hAnsi="Times New Roman"/>
        </w:rPr>
        <w:t>为我方代理人。代理人根据授权，以我方名义签署、澄清确认、递交、撤回、修改</w:t>
      </w:r>
      <w:r>
        <w:rPr>
          <w:rFonts w:hint="eastAsia" w:ascii="Times New Roman" w:hAnsi="Times New Roman"/>
        </w:rPr>
        <w:t>本</w:t>
      </w:r>
      <w:r>
        <w:rPr>
          <w:rFonts w:ascii="Times New Roman" w:hAnsi="Times New Roman"/>
        </w:rPr>
        <w:t>项目投标文件、签订合同和处理有关事宜，其法律后果由我方承担。</w:t>
      </w:r>
    </w:p>
    <w:p w14:paraId="591306B2">
      <w:pPr>
        <w:spacing w:line="440" w:lineRule="exact"/>
        <w:rPr>
          <w:rFonts w:ascii="Times New Roman" w:hAnsi="Times New Roman"/>
        </w:rPr>
      </w:pPr>
      <w:r>
        <w:rPr>
          <w:rFonts w:ascii="Times New Roman" w:hAnsi="Times New Roman"/>
        </w:rPr>
        <w:t>委托期限：</w:t>
      </w:r>
      <w:r>
        <w:rPr>
          <w:rFonts w:ascii="Times New Roman" w:hAnsi="Times New Roman"/>
          <w:u w:val="single"/>
        </w:rPr>
        <w:t xml:space="preserve">                       </w:t>
      </w:r>
      <w:r>
        <w:rPr>
          <w:rFonts w:ascii="Times New Roman" w:hAnsi="Times New Roman"/>
        </w:rPr>
        <w:t>。</w:t>
      </w:r>
    </w:p>
    <w:p w14:paraId="69710768">
      <w:pPr>
        <w:spacing w:line="440" w:lineRule="exact"/>
        <w:ind w:firstLine="420" w:firstLineChars="200"/>
        <w:rPr>
          <w:rFonts w:ascii="Times New Roman" w:hAnsi="Times New Roman"/>
        </w:rPr>
      </w:pPr>
      <w:r>
        <w:rPr>
          <w:rFonts w:ascii="Times New Roman" w:hAnsi="Times New Roman"/>
        </w:rPr>
        <w:t>代理人无转委托权。</w:t>
      </w:r>
    </w:p>
    <w:p w14:paraId="7CA1924D">
      <w:pPr>
        <w:spacing w:line="440" w:lineRule="exact"/>
        <w:ind w:firstLine="420" w:firstLineChars="200"/>
        <w:rPr>
          <w:rFonts w:ascii="Times New Roman" w:hAnsi="Times New Roman"/>
        </w:rPr>
      </w:pPr>
    </w:p>
    <w:p w14:paraId="7266840F">
      <w:pPr>
        <w:spacing w:line="440" w:lineRule="exact"/>
        <w:rPr>
          <w:rFonts w:ascii="Times New Roman" w:hAnsi="Times New Roman"/>
        </w:rPr>
      </w:pPr>
      <w:r>
        <w:rPr>
          <w:rFonts w:ascii="Times New Roman" w:hAnsi="Times New Roman"/>
        </w:rPr>
        <w:t>附：法定代表人身份证</w:t>
      </w:r>
      <w:r>
        <w:rPr>
          <w:rFonts w:hint="eastAsia" w:ascii="Times New Roman" w:hAnsi="Times New Roman"/>
        </w:rPr>
        <w:t>扫描件</w:t>
      </w:r>
      <w:r>
        <w:rPr>
          <w:rFonts w:ascii="Times New Roman" w:hAnsi="Times New Roman"/>
        </w:rPr>
        <w:t>及委托代理人身份证</w:t>
      </w:r>
      <w:r>
        <w:rPr>
          <w:rFonts w:hint="eastAsia" w:ascii="Times New Roman" w:hAnsi="Times New Roman"/>
        </w:rPr>
        <w:t>扫描件</w:t>
      </w:r>
    </w:p>
    <w:p w14:paraId="52657888">
      <w:pPr>
        <w:spacing w:line="440" w:lineRule="exact"/>
        <w:rPr>
          <w:rFonts w:ascii="Times New Roman" w:hAnsi="Times New Roman"/>
        </w:rPr>
      </w:pPr>
    </w:p>
    <w:p w14:paraId="1D3ABED1">
      <w:pPr>
        <w:spacing w:line="440" w:lineRule="exact"/>
        <w:rPr>
          <w:rFonts w:ascii="Times New Roman" w:hAnsi="Times New Roman"/>
        </w:rPr>
      </w:pPr>
      <w:r>
        <w:rPr>
          <w:rFonts w:ascii="Times New Roman" w:hAnsi="Times New Roman"/>
        </w:rPr>
        <w:t>注：本授权委托书需由投标人加盖单位公章并由其法定代表人和委托代理人签字。</w:t>
      </w:r>
    </w:p>
    <w:p w14:paraId="3766EEA7">
      <w:pPr>
        <w:spacing w:line="440" w:lineRule="exact"/>
        <w:rPr>
          <w:rFonts w:ascii="Times New Roman" w:hAnsi="Times New Roman"/>
        </w:rPr>
      </w:pPr>
    </w:p>
    <w:p w14:paraId="50EAB69C">
      <w:pPr>
        <w:spacing w:line="440" w:lineRule="exact"/>
        <w:ind w:firstLine="2692" w:firstLineChars="1282"/>
        <w:rPr>
          <w:rFonts w:ascii="Times New Roman" w:hAnsi="Times New Roman"/>
        </w:rPr>
      </w:pPr>
      <w:r>
        <w:rPr>
          <w:rFonts w:ascii="Times New Roman" w:hAnsi="Times New Roman"/>
        </w:rPr>
        <w:t>投标人</w:t>
      </w:r>
      <w:r>
        <w:rPr>
          <w:rFonts w:hint="eastAsia" w:ascii="Times New Roman" w:hAnsi="Times New Roman"/>
        </w:rPr>
        <w:t>名称</w:t>
      </w:r>
      <w:r>
        <w:rPr>
          <w:rFonts w:ascii="Times New Roman" w:hAnsi="Times New Roman"/>
        </w:rPr>
        <w:t>：</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w:t>
      </w:r>
      <w:r>
        <w:rPr>
          <w:rFonts w:hint="eastAsia" w:ascii="Times New Roman" w:hAnsi="Times New Roman"/>
        </w:rPr>
        <w:t>盖</w:t>
      </w:r>
      <w:r>
        <w:rPr>
          <w:rFonts w:ascii="Times New Roman" w:hAnsi="Times New Roman"/>
        </w:rPr>
        <w:t>单位</w:t>
      </w:r>
      <w:r>
        <w:rPr>
          <w:rFonts w:hint="eastAsia" w:ascii="Times New Roman" w:hAnsi="Times New Roman"/>
        </w:rPr>
        <w:t>章</w:t>
      </w:r>
      <w:r>
        <w:rPr>
          <w:rFonts w:ascii="Times New Roman" w:hAnsi="Times New Roman"/>
        </w:rPr>
        <w:t>）</w:t>
      </w:r>
    </w:p>
    <w:p w14:paraId="217174E8">
      <w:pPr>
        <w:spacing w:line="440" w:lineRule="exact"/>
        <w:ind w:firstLine="2690" w:firstLineChars="1281"/>
        <w:jc w:val="left"/>
        <w:rPr>
          <w:rFonts w:ascii="Times New Roman" w:hAnsi="Times New Roman"/>
        </w:rPr>
      </w:pPr>
      <w:r>
        <w:rPr>
          <w:rFonts w:ascii="Times New Roman" w:hAnsi="Times New Roman"/>
        </w:rPr>
        <w:t>法定代表人：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rPr>
        <w:t>（</w:t>
      </w:r>
      <w:r>
        <w:rPr>
          <w:rFonts w:ascii="Times New Roman" w:hAnsi="Times New Roman"/>
          <w:szCs w:val="21"/>
        </w:rPr>
        <w:t>签字</w:t>
      </w:r>
      <w:r>
        <w:rPr>
          <w:rFonts w:hint="eastAsia" w:ascii="Times New Roman" w:hAnsi="Times New Roman"/>
          <w:szCs w:val="21"/>
        </w:rPr>
        <w:t>或盖章</w:t>
      </w:r>
      <w:r>
        <w:rPr>
          <w:rFonts w:ascii="Times New Roman" w:hAnsi="Times New Roman"/>
        </w:rPr>
        <w:t>）</w:t>
      </w:r>
    </w:p>
    <w:p w14:paraId="360E27E6">
      <w:pPr>
        <w:spacing w:line="440" w:lineRule="exact"/>
        <w:ind w:firstLine="2692" w:firstLineChars="1282"/>
        <w:rPr>
          <w:rFonts w:ascii="Times New Roman" w:hAnsi="Times New Roman"/>
        </w:rPr>
      </w:pPr>
      <w:r>
        <w:rPr>
          <w:rFonts w:ascii="Times New Roman" w:hAnsi="Times New Roman"/>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14:paraId="05251F60">
      <w:pPr>
        <w:spacing w:line="440" w:lineRule="exact"/>
        <w:ind w:firstLine="2692" w:firstLineChars="1282"/>
        <w:rPr>
          <w:rFonts w:ascii="Times New Roman" w:hAnsi="Times New Roman"/>
        </w:rPr>
      </w:pPr>
      <w:r>
        <w:rPr>
          <w:rFonts w:ascii="Times New Roman" w:hAnsi="Times New Roman"/>
        </w:rPr>
        <w:t>委托代理人：</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rPr>
        <w:t>（</w:t>
      </w:r>
      <w:r>
        <w:rPr>
          <w:rFonts w:ascii="Times New Roman" w:hAnsi="Times New Roman"/>
          <w:szCs w:val="21"/>
        </w:rPr>
        <w:t>签字</w:t>
      </w:r>
      <w:r>
        <w:rPr>
          <w:rFonts w:hint="eastAsia" w:ascii="Times New Roman" w:hAnsi="Times New Roman"/>
          <w:szCs w:val="21"/>
        </w:rPr>
        <w:t>或盖章</w:t>
      </w:r>
      <w:r>
        <w:rPr>
          <w:rFonts w:ascii="Times New Roman" w:hAnsi="Times New Roman"/>
        </w:rPr>
        <w:t>）</w:t>
      </w:r>
    </w:p>
    <w:p w14:paraId="69F0F6A9">
      <w:pPr>
        <w:spacing w:line="440" w:lineRule="exact"/>
        <w:ind w:firstLine="2692" w:firstLineChars="1282"/>
        <w:rPr>
          <w:rFonts w:ascii="Times New Roman" w:hAnsi="Times New Roman"/>
        </w:rPr>
      </w:pPr>
      <w:r>
        <w:rPr>
          <w:rFonts w:ascii="Times New Roman" w:hAnsi="Times New Roman"/>
        </w:rPr>
        <w:t>身份证号码：</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p>
    <w:p w14:paraId="0E2AA3E9">
      <w:pPr>
        <w:spacing w:line="440" w:lineRule="exact"/>
        <w:ind w:firstLine="2692" w:firstLineChars="1282"/>
        <w:rPr>
          <w:rFonts w:ascii="Times New Roman" w:hAnsi="Times New Roman"/>
        </w:rPr>
      </w:pPr>
    </w:p>
    <w:p w14:paraId="232E9109">
      <w:pPr>
        <w:spacing w:line="440" w:lineRule="exact"/>
        <w:ind w:firstLine="2692" w:firstLineChars="1282"/>
        <w:rPr>
          <w:rFonts w:ascii="Times New Roman" w:hAnsi="Times New Roman"/>
        </w:rPr>
      </w:pPr>
    </w:p>
    <w:p w14:paraId="18044399">
      <w:pPr>
        <w:spacing w:line="440" w:lineRule="exact"/>
        <w:ind w:firstLine="4057" w:firstLineChars="1932"/>
        <w:jc w:val="right"/>
        <w:rPr>
          <w:rFonts w:ascii="Times New Roman" w:hAnsi="Times New Roman"/>
        </w:rPr>
        <w:sectPr>
          <w:footerReference r:id="rId4" w:type="default"/>
          <w:pgSz w:w="12240" w:h="15840"/>
          <w:pgMar w:top="1627" w:right="1373" w:bottom="1393" w:left="1627" w:header="720" w:footer="720" w:gutter="0"/>
          <w:cols w:space="720" w:num="1"/>
          <w:docGrid w:linePitch="285" w:charSpace="0"/>
        </w:sect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14:paraId="1FC4082D">
      <w:pPr>
        <w:pStyle w:val="4"/>
        <w:keepNext w:val="0"/>
        <w:keepLines w:val="0"/>
        <w:jc w:val="center"/>
        <w:rPr>
          <w:rFonts w:ascii="Times New Roman" w:hAnsi="Times New Roman"/>
        </w:rPr>
      </w:pPr>
      <w:bookmarkStart w:id="1143" w:name="_Toc31910"/>
      <w:bookmarkStart w:id="1144" w:name="_Toc24631"/>
      <w:bookmarkStart w:id="1145" w:name="_Toc30876"/>
      <w:bookmarkStart w:id="1146" w:name="OLE_LINK1"/>
      <w:r>
        <w:rPr>
          <w:rFonts w:hint="eastAsia" w:ascii="Times New Roman" w:hAnsi="Times New Roman"/>
        </w:rPr>
        <w:t>三</w:t>
      </w:r>
      <w:r>
        <w:rPr>
          <w:rFonts w:ascii="Times New Roman" w:hAnsi="Times New Roman"/>
        </w:rPr>
        <w:t>、</w:t>
      </w:r>
      <w:bookmarkStart w:id="1147" w:name="_Toc361508760"/>
      <w:r>
        <w:rPr>
          <w:rFonts w:hint="eastAsia" w:ascii="Times New Roman" w:hAnsi="Times New Roman"/>
        </w:rPr>
        <w:t>投标报价表</w:t>
      </w:r>
      <w:bookmarkEnd w:id="1143"/>
      <w:bookmarkEnd w:id="1144"/>
      <w:bookmarkEnd w:id="1145"/>
    </w:p>
    <w:p w14:paraId="0C30DA37">
      <w:pPr>
        <w:jc w:val="center"/>
        <w:rPr>
          <w:rFonts w:ascii="Times New Roman" w:hAnsi="Times New Roman"/>
        </w:rPr>
      </w:pPr>
    </w:p>
    <w:p w14:paraId="2EC24AED">
      <w:pPr>
        <w:spacing w:line="360" w:lineRule="auto"/>
        <w:ind w:left="1680" w:hanging="1680" w:hangingChars="800"/>
      </w:pPr>
      <w:bookmarkStart w:id="1148" w:name="_Toc2408"/>
      <w:bookmarkStart w:id="1149" w:name="_Toc32340"/>
      <w:bookmarkStart w:id="1150" w:name="_Toc6755"/>
      <w:r>
        <w:rPr>
          <w:rFonts w:hint="eastAsia" w:ascii="宋体" w:hAnsi="宋体" w:cs="宋体"/>
          <w:szCs w:val="21"/>
        </w:rPr>
        <w:t>项目名称：</w:t>
      </w:r>
      <w:r>
        <w:rPr>
          <w:rFonts w:hint="eastAsia" w:ascii="宋体" w:hAnsi="宋体" w:cs="宋体"/>
          <w:szCs w:val="21"/>
          <w:u w:val="single"/>
        </w:rPr>
        <w:t xml:space="preserve">                                    </w:t>
      </w:r>
    </w:p>
    <w:tbl>
      <w:tblPr>
        <w:tblStyle w:val="21"/>
        <w:tblW w:w="5062" w:type="pct"/>
        <w:tblInd w:w="0" w:type="dxa"/>
        <w:tblLayout w:type="fixed"/>
        <w:tblCellMar>
          <w:top w:w="0" w:type="dxa"/>
          <w:left w:w="108" w:type="dxa"/>
          <w:bottom w:w="0" w:type="dxa"/>
          <w:right w:w="108" w:type="dxa"/>
        </w:tblCellMar>
      </w:tblPr>
      <w:tblGrid>
        <w:gridCol w:w="648"/>
        <w:gridCol w:w="1925"/>
        <w:gridCol w:w="954"/>
        <w:gridCol w:w="978"/>
        <w:gridCol w:w="1236"/>
        <w:gridCol w:w="1444"/>
        <w:gridCol w:w="1877"/>
        <w:gridCol w:w="4136"/>
      </w:tblGrid>
      <w:tr w14:paraId="06078777">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7122">
            <w:pPr>
              <w:widowControl/>
              <w:jc w:val="center"/>
              <w:textAlignment w:val="center"/>
              <w:rPr>
                <w:rFonts w:ascii="宋体" w:hAnsi="宋体" w:cs="宋体"/>
                <w:b/>
                <w:bCs/>
                <w:szCs w:val="21"/>
              </w:rPr>
            </w:pPr>
            <w:bookmarkStart w:id="1151" w:name="_Toc527028920"/>
            <w:bookmarkStart w:id="1152" w:name="_Toc527028748"/>
            <w:r>
              <w:rPr>
                <w:rFonts w:hint="eastAsia" w:ascii="宋体" w:hAnsi="宋体" w:cs="宋体"/>
                <w:b/>
                <w:bCs/>
                <w:kern w:val="0"/>
                <w:szCs w:val="21"/>
                <w:lang w:bidi="ar"/>
              </w:rPr>
              <w:t>序号</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3EF1">
            <w:pPr>
              <w:widowControl/>
              <w:jc w:val="center"/>
              <w:textAlignment w:val="center"/>
              <w:rPr>
                <w:rFonts w:ascii="宋体" w:hAnsi="宋体" w:cs="宋体"/>
                <w:b/>
                <w:bCs/>
                <w:szCs w:val="21"/>
              </w:rPr>
            </w:pPr>
            <w:r>
              <w:rPr>
                <w:rFonts w:hint="eastAsia" w:ascii="宋体" w:hAnsi="宋体" w:cs="宋体"/>
                <w:b/>
                <w:bCs/>
                <w:kern w:val="0"/>
                <w:szCs w:val="21"/>
                <w:lang w:bidi="ar"/>
              </w:rPr>
              <w:t>工程或费用名称</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9EF3">
            <w:pPr>
              <w:widowControl/>
              <w:jc w:val="center"/>
              <w:textAlignment w:val="center"/>
              <w:rPr>
                <w:rFonts w:ascii="宋体" w:hAnsi="宋体" w:cs="宋体"/>
                <w:b/>
                <w:bCs/>
                <w:szCs w:val="21"/>
              </w:rPr>
            </w:pPr>
            <w:r>
              <w:rPr>
                <w:rFonts w:hint="eastAsia" w:ascii="宋体" w:hAnsi="宋体" w:cs="宋体"/>
                <w:b/>
                <w:bCs/>
                <w:kern w:val="0"/>
                <w:szCs w:val="21"/>
                <w:lang w:bidi="ar"/>
              </w:rPr>
              <w:t>单位</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2102">
            <w:pPr>
              <w:widowControl/>
              <w:jc w:val="center"/>
              <w:textAlignment w:val="center"/>
              <w:rPr>
                <w:rFonts w:ascii="宋体" w:hAnsi="宋体" w:cs="宋体"/>
                <w:b/>
                <w:bCs/>
                <w:szCs w:val="21"/>
              </w:rPr>
            </w:pPr>
            <w:r>
              <w:rPr>
                <w:rFonts w:hint="eastAsia" w:ascii="宋体" w:hAnsi="宋体" w:cs="宋体"/>
                <w:b/>
                <w:bCs/>
                <w:kern w:val="0"/>
                <w:szCs w:val="21"/>
                <w:lang w:bidi="ar"/>
              </w:rPr>
              <w:t>数量</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B614">
            <w:pPr>
              <w:widowControl/>
              <w:jc w:val="center"/>
              <w:textAlignment w:val="center"/>
              <w:rPr>
                <w:rFonts w:ascii="宋体" w:hAnsi="宋体" w:cs="宋体"/>
                <w:b/>
                <w:bCs/>
                <w:szCs w:val="21"/>
              </w:rPr>
            </w:pPr>
            <w:r>
              <w:rPr>
                <w:rStyle w:val="42"/>
                <w:rFonts w:hint="default"/>
                <w:color w:val="auto"/>
                <w:lang w:bidi="ar"/>
              </w:rPr>
              <w:t>单价（元）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93944">
            <w:pPr>
              <w:widowControl/>
              <w:jc w:val="center"/>
              <w:textAlignment w:val="center"/>
              <w:rPr>
                <w:rFonts w:ascii="宋体" w:hAnsi="宋体" w:cs="宋体"/>
                <w:b/>
                <w:bCs/>
                <w:szCs w:val="21"/>
              </w:rPr>
            </w:pPr>
            <w:r>
              <w:rPr>
                <w:rStyle w:val="42"/>
                <w:rFonts w:hint="default"/>
                <w:color w:val="auto"/>
                <w:lang w:bidi="ar"/>
              </w:rPr>
              <w:t>合计费用</w:t>
            </w:r>
            <w:r>
              <w:rPr>
                <w:rStyle w:val="43"/>
                <w:color w:val="auto"/>
                <w:lang w:bidi="ar"/>
              </w:rPr>
              <w:t xml:space="preserve"> </w:t>
            </w:r>
            <w:r>
              <w:rPr>
                <w:rStyle w:val="42"/>
                <w:rFonts w:hint="default"/>
                <w:color w:val="auto"/>
                <w:lang w:bidi="ar"/>
              </w:rPr>
              <w:t>（元）</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12C7">
            <w:pPr>
              <w:widowControl/>
              <w:jc w:val="center"/>
              <w:textAlignment w:val="center"/>
              <w:rPr>
                <w:rFonts w:ascii="宋体" w:hAnsi="宋体" w:cs="宋体"/>
                <w:b/>
                <w:bCs/>
                <w:szCs w:val="21"/>
              </w:rPr>
            </w:pPr>
            <w:r>
              <w:rPr>
                <w:rFonts w:hint="eastAsia" w:ascii="宋体" w:hAnsi="宋体" w:cs="宋体"/>
                <w:b/>
                <w:bCs/>
                <w:kern w:val="0"/>
                <w:szCs w:val="21"/>
                <w:lang w:bidi="ar"/>
              </w:rPr>
              <w:t>最高限价</w:t>
            </w:r>
            <w:r>
              <w:rPr>
                <w:rFonts w:hint="eastAsia" w:ascii="宋体" w:hAnsi="宋体" w:cs="宋体"/>
                <w:b/>
                <w:bCs/>
                <w:kern w:val="0"/>
                <w:szCs w:val="21"/>
                <w:lang w:bidi="ar"/>
              </w:rPr>
              <w:br w:type="textWrapping"/>
            </w:r>
            <w:r>
              <w:rPr>
                <w:rFonts w:hint="eastAsia" w:ascii="宋体" w:hAnsi="宋体" w:cs="宋体"/>
                <w:b/>
                <w:bCs/>
                <w:kern w:val="0"/>
                <w:szCs w:val="21"/>
                <w:lang w:bidi="ar"/>
              </w:rPr>
              <w:t>综合单价（元）</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A67B">
            <w:pPr>
              <w:widowControl/>
              <w:jc w:val="center"/>
              <w:textAlignment w:val="center"/>
              <w:rPr>
                <w:rFonts w:ascii="宋体" w:hAnsi="宋体" w:cs="宋体"/>
                <w:b/>
                <w:bCs/>
                <w:szCs w:val="21"/>
              </w:rPr>
            </w:pPr>
            <w:r>
              <w:rPr>
                <w:rFonts w:hint="eastAsia" w:ascii="宋体" w:hAnsi="宋体" w:cs="宋体"/>
                <w:b/>
                <w:bCs/>
                <w:kern w:val="0"/>
                <w:szCs w:val="21"/>
                <w:lang w:bidi="ar"/>
              </w:rPr>
              <w:t>备注</w:t>
            </w:r>
          </w:p>
        </w:tc>
      </w:tr>
      <w:tr w14:paraId="6E288836">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0E6F">
            <w:pPr>
              <w:widowControl/>
              <w:jc w:val="center"/>
              <w:textAlignment w:val="center"/>
              <w:rPr>
                <w:rFonts w:ascii="宋体" w:hAnsi="宋体" w:cs="宋体"/>
                <w:b/>
                <w:bCs/>
                <w:szCs w:val="21"/>
              </w:rPr>
            </w:pPr>
            <w:r>
              <w:rPr>
                <w:rFonts w:hint="eastAsia" w:ascii="宋体" w:hAnsi="宋体" w:cs="宋体"/>
                <w:b/>
                <w:bCs/>
                <w:kern w:val="0"/>
                <w:szCs w:val="21"/>
                <w:lang w:bidi="ar"/>
              </w:rPr>
              <w:t>一</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0B77">
            <w:pPr>
              <w:widowControl/>
              <w:jc w:val="center"/>
              <w:textAlignment w:val="center"/>
              <w:rPr>
                <w:rFonts w:ascii="宋体" w:hAnsi="宋体" w:cs="宋体"/>
                <w:b/>
                <w:bCs/>
                <w:szCs w:val="21"/>
              </w:rPr>
            </w:pPr>
            <w:r>
              <w:rPr>
                <w:rFonts w:hint="eastAsia" w:ascii="宋体" w:hAnsi="宋体" w:cs="宋体"/>
                <w:b/>
                <w:bCs/>
                <w:kern w:val="0"/>
                <w:szCs w:val="21"/>
                <w:lang w:bidi="ar"/>
              </w:rPr>
              <w:t>效果评估费用</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0EBB">
            <w:pPr>
              <w:widowControl/>
              <w:jc w:val="center"/>
              <w:textAlignment w:val="center"/>
              <w:rPr>
                <w:rFonts w:ascii="宋体" w:hAnsi="宋体" w:cs="宋体"/>
                <w:b/>
                <w:bCs/>
                <w:szCs w:val="21"/>
              </w:rPr>
            </w:pPr>
            <w:r>
              <w:rPr>
                <w:rFonts w:hint="eastAsia" w:ascii="宋体" w:hAnsi="宋体" w:cs="宋体"/>
                <w:b/>
                <w:bCs/>
                <w:kern w:val="0"/>
                <w:szCs w:val="21"/>
                <w:lang w:bidi="ar"/>
              </w:rPr>
              <w:t>项</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CDF9">
            <w:pPr>
              <w:widowControl/>
              <w:jc w:val="center"/>
              <w:textAlignment w:val="center"/>
              <w:rPr>
                <w:rFonts w:ascii="Times New Roman" w:hAnsi="Times New Roman"/>
                <w:b/>
                <w:bCs/>
                <w:szCs w:val="21"/>
              </w:rPr>
            </w:pPr>
            <w:r>
              <w:rPr>
                <w:rFonts w:ascii="Times New Roman" w:hAnsi="Times New Roman"/>
                <w:b/>
                <w:bCs/>
                <w:kern w:val="0"/>
                <w:szCs w:val="21"/>
                <w:lang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0D1C">
            <w:pPr>
              <w:jc w:val="center"/>
              <w:rPr>
                <w:rFonts w:ascii="Times New Roman" w:hAnsi="Times New Roman"/>
                <w:b/>
                <w:bCs/>
                <w:szCs w:val="21"/>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BB01">
            <w:pPr>
              <w:widowControl/>
              <w:jc w:val="center"/>
              <w:textAlignment w:val="center"/>
              <w:rPr>
                <w:rFonts w:ascii="Times New Roman" w:hAnsi="Times New Roman"/>
                <w:b/>
                <w:bCs/>
                <w:szCs w:val="21"/>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FE3F">
            <w:pPr>
              <w:widowControl/>
              <w:jc w:val="center"/>
              <w:textAlignment w:val="center"/>
              <w:rPr>
                <w:rFonts w:ascii="Times New Roman" w:hAnsi="Times New Roman"/>
                <w:b/>
                <w:bCs/>
                <w:szCs w:val="21"/>
              </w:rPr>
            </w:pPr>
            <w:r>
              <w:rPr>
                <w:rFonts w:hint="eastAsia" w:ascii="Times New Roman" w:hAnsi="Times New Roman"/>
                <w:b/>
                <w:bCs/>
                <w:kern w:val="0"/>
                <w:szCs w:val="21"/>
                <w:lang w:bidi="ar"/>
              </w:rPr>
              <w:t>4195700.00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73B6">
            <w:pPr>
              <w:jc w:val="center"/>
              <w:rPr>
                <w:rFonts w:ascii="Times New Roman" w:hAnsi="Times New Roman"/>
                <w:b/>
                <w:bCs/>
                <w:szCs w:val="21"/>
              </w:rPr>
            </w:pPr>
          </w:p>
        </w:tc>
      </w:tr>
      <w:tr w14:paraId="742C07D4">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0DEA">
            <w:pPr>
              <w:widowControl/>
              <w:jc w:val="center"/>
              <w:textAlignment w:val="center"/>
              <w:rPr>
                <w:rFonts w:ascii="Times New Roman" w:hAnsi="Times New Roman"/>
                <w:b/>
                <w:bCs/>
                <w:szCs w:val="21"/>
              </w:rPr>
            </w:pPr>
            <w:r>
              <w:rPr>
                <w:rFonts w:ascii="Times New Roman" w:hAnsi="Times New Roman"/>
                <w:b/>
                <w:bCs/>
                <w:kern w:val="0"/>
                <w:szCs w:val="21"/>
                <w:lang w:bidi="ar"/>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B522">
            <w:pPr>
              <w:widowControl/>
              <w:jc w:val="center"/>
              <w:textAlignment w:val="center"/>
              <w:rPr>
                <w:rFonts w:ascii="宋体" w:hAnsi="宋体" w:cs="宋体"/>
                <w:b/>
                <w:bCs/>
                <w:szCs w:val="21"/>
              </w:rPr>
            </w:pPr>
            <w:r>
              <w:rPr>
                <w:rFonts w:hint="eastAsia" w:ascii="宋体" w:hAnsi="宋体" w:cs="宋体"/>
                <w:b/>
                <w:bCs/>
                <w:kern w:val="0"/>
                <w:szCs w:val="21"/>
                <w:lang w:bidi="ar"/>
              </w:rPr>
              <w:t>效果评估服务费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187E">
            <w:pPr>
              <w:widowControl/>
              <w:jc w:val="center"/>
              <w:textAlignment w:val="center"/>
              <w:rPr>
                <w:rFonts w:ascii="宋体" w:hAnsi="宋体" w:cs="宋体"/>
                <w:b/>
                <w:bCs/>
                <w:szCs w:val="21"/>
              </w:rPr>
            </w:pPr>
            <w:r>
              <w:rPr>
                <w:rFonts w:hint="eastAsia" w:ascii="宋体" w:hAnsi="宋体" w:cs="宋体"/>
                <w:b/>
                <w:bCs/>
                <w:kern w:val="0"/>
                <w:szCs w:val="21"/>
                <w:lang w:bidi="ar"/>
              </w:rPr>
              <w:t>项</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1A5A">
            <w:pPr>
              <w:widowControl/>
              <w:jc w:val="center"/>
              <w:textAlignment w:val="center"/>
              <w:rPr>
                <w:rFonts w:ascii="Times New Roman" w:hAnsi="Times New Roman"/>
                <w:b/>
                <w:bCs/>
                <w:szCs w:val="21"/>
              </w:rPr>
            </w:pPr>
            <w:r>
              <w:rPr>
                <w:rFonts w:ascii="Times New Roman" w:hAnsi="Times New Roman"/>
                <w:b/>
                <w:bCs/>
                <w:kern w:val="0"/>
                <w:szCs w:val="21"/>
                <w:lang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45A4">
            <w:pPr>
              <w:jc w:val="center"/>
              <w:rPr>
                <w:rFonts w:ascii="Times New Roman" w:hAnsi="Times New Roman"/>
                <w:b/>
                <w:bCs/>
                <w:szCs w:val="21"/>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1312">
            <w:pPr>
              <w:widowControl/>
              <w:jc w:val="center"/>
              <w:textAlignment w:val="center"/>
              <w:rPr>
                <w:rFonts w:ascii="Times New Roman" w:hAnsi="Times New Roman"/>
                <w:b/>
                <w:bCs/>
                <w:szCs w:val="21"/>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88D2">
            <w:pPr>
              <w:widowControl/>
              <w:jc w:val="center"/>
              <w:textAlignment w:val="center"/>
              <w:rPr>
                <w:rFonts w:ascii="Times New Roman" w:hAnsi="Times New Roman"/>
                <w:b/>
                <w:bCs/>
                <w:szCs w:val="21"/>
              </w:rPr>
            </w:pPr>
            <w:r>
              <w:rPr>
                <w:rFonts w:hint="eastAsia" w:ascii="Times New Roman" w:hAnsi="Times New Roman"/>
                <w:b/>
                <w:bCs/>
                <w:kern w:val="0"/>
                <w:szCs w:val="21"/>
                <w:lang w:bidi="ar"/>
              </w:rPr>
              <w:t>1062200.00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A706">
            <w:pPr>
              <w:jc w:val="center"/>
              <w:rPr>
                <w:rFonts w:ascii="宋体" w:hAnsi="宋体" w:cs="宋体"/>
                <w:b/>
                <w:bCs/>
                <w:szCs w:val="21"/>
              </w:rPr>
            </w:pPr>
          </w:p>
        </w:tc>
      </w:tr>
      <w:tr w14:paraId="2BAEAC20">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D6B0">
            <w:pPr>
              <w:widowControl/>
              <w:jc w:val="center"/>
              <w:textAlignment w:val="center"/>
              <w:rPr>
                <w:rFonts w:ascii="Times New Roman" w:hAnsi="Times New Roman"/>
                <w:b/>
                <w:bCs/>
                <w:szCs w:val="21"/>
              </w:rPr>
            </w:pPr>
            <w:r>
              <w:rPr>
                <w:rFonts w:ascii="Times New Roman" w:hAnsi="Times New Roman"/>
                <w:b/>
                <w:bCs/>
                <w:kern w:val="0"/>
                <w:szCs w:val="21"/>
                <w:lang w:bidi="ar"/>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81CA">
            <w:pPr>
              <w:widowControl/>
              <w:jc w:val="center"/>
              <w:textAlignment w:val="center"/>
              <w:rPr>
                <w:rFonts w:ascii="宋体" w:hAnsi="宋体" w:cs="宋体"/>
                <w:b/>
                <w:bCs/>
                <w:szCs w:val="21"/>
              </w:rPr>
            </w:pPr>
            <w:r>
              <w:rPr>
                <w:rFonts w:hint="eastAsia" w:ascii="宋体" w:hAnsi="宋体" w:cs="宋体"/>
                <w:b/>
                <w:bCs/>
                <w:kern w:val="0"/>
                <w:szCs w:val="21"/>
                <w:lang w:bidi="ar"/>
              </w:rPr>
              <w:t>效果评估检测费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510D">
            <w:pPr>
              <w:widowControl/>
              <w:jc w:val="center"/>
              <w:textAlignment w:val="center"/>
              <w:rPr>
                <w:rFonts w:ascii="宋体" w:hAnsi="宋体" w:cs="宋体"/>
                <w:b/>
                <w:bCs/>
                <w:szCs w:val="21"/>
              </w:rPr>
            </w:pPr>
            <w:r>
              <w:rPr>
                <w:rFonts w:hint="eastAsia" w:ascii="宋体" w:hAnsi="宋体" w:cs="宋体"/>
                <w:b/>
                <w:bCs/>
                <w:kern w:val="0"/>
                <w:szCs w:val="21"/>
                <w:lang w:bidi="ar"/>
              </w:rPr>
              <w:t>项</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15F4">
            <w:pPr>
              <w:widowControl/>
              <w:jc w:val="center"/>
              <w:textAlignment w:val="center"/>
              <w:rPr>
                <w:rFonts w:ascii="Times New Roman" w:hAnsi="Times New Roman"/>
                <w:b/>
                <w:bCs/>
                <w:szCs w:val="21"/>
              </w:rPr>
            </w:pPr>
            <w:r>
              <w:rPr>
                <w:rFonts w:ascii="Times New Roman" w:hAnsi="Times New Roman"/>
                <w:b/>
                <w:bCs/>
                <w:kern w:val="0"/>
                <w:szCs w:val="21"/>
                <w:lang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64D38">
            <w:pPr>
              <w:jc w:val="center"/>
              <w:rPr>
                <w:rFonts w:ascii="Times New Roman" w:hAnsi="Times New Roman"/>
                <w:b/>
                <w:bCs/>
                <w:szCs w:val="21"/>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C09B">
            <w:pPr>
              <w:widowControl/>
              <w:jc w:val="center"/>
              <w:textAlignment w:val="center"/>
              <w:rPr>
                <w:rFonts w:ascii="Times New Roman" w:hAnsi="Times New Roman"/>
                <w:b/>
                <w:bCs/>
                <w:szCs w:val="21"/>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5CAD">
            <w:pPr>
              <w:widowControl/>
              <w:jc w:val="center"/>
              <w:textAlignment w:val="center"/>
              <w:rPr>
                <w:rFonts w:ascii="Times New Roman" w:hAnsi="Times New Roman"/>
                <w:b/>
                <w:bCs/>
                <w:szCs w:val="21"/>
              </w:rPr>
            </w:pPr>
            <w:r>
              <w:rPr>
                <w:rFonts w:hint="eastAsia" w:ascii="Times New Roman" w:hAnsi="Times New Roman"/>
                <w:b/>
                <w:bCs/>
                <w:szCs w:val="21"/>
              </w:rPr>
              <w:t>2552300.00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DD67">
            <w:pPr>
              <w:widowControl/>
              <w:textAlignment w:val="center"/>
              <w:rPr>
                <w:rFonts w:ascii="宋体" w:hAnsi="宋体" w:cs="宋体"/>
                <w:b/>
                <w:bCs/>
                <w:szCs w:val="21"/>
              </w:rPr>
            </w:pPr>
            <w:r>
              <w:rPr>
                <w:rFonts w:hint="eastAsia" w:ascii="宋体" w:hAnsi="宋体" w:cs="宋体"/>
                <w:b/>
                <w:bCs/>
                <w:kern w:val="0"/>
                <w:szCs w:val="21"/>
                <w:lang w:bidi="ar"/>
              </w:rPr>
              <w:t>[2.1+2.2+2.3+2.4+2.5+2.6+2.7+2.8+2.9]</w:t>
            </w:r>
          </w:p>
        </w:tc>
      </w:tr>
      <w:tr w14:paraId="6974EEDF">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CA1F">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2.1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3D61">
            <w:pPr>
              <w:widowControl/>
              <w:jc w:val="center"/>
              <w:textAlignment w:val="center"/>
              <w:rPr>
                <w:rStyle w:val="44"/>
                <w:rFonts w:hint="default"/>
                <w:color w:val="auto"/>
                <w:lang w:bidi="ar"/>
              </w:rPr>
            </w:pPr>
            <w:r>
              <w:rPr>
                <w:rStyle w:val="44"/>
                <w:rFonts w:hint="default"/>
                <w:color w:val="auto"/>
                <w:lang w:bidi="ar"/>
              </w:rPr>
              <w:t>二次污染区域检测</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08B3">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EE65">
            <w:pPr>
              <w:widowControl/>
              <w:jc w:val="center"/>
              <w:textAlignment w:val="center"/>
              <w:rPr>
                <w:rStyle w:val="44"/>
                <w:rFonts w:hint="default"/>
                <w:color w:val="auto"/>
                <w:lang w:bidi="ar"/>
              </w:rPr>
            </w:pPr>
            <w:r>
              <w:rPr>
                <w:rStyle w:val="44"/>
                <w:rFonts w:hint="default"/>
                <w:color w:val="auto"/>
                <w:lang w:bidi="ar"/>
              </w:rPr>
              <w:t>33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F8A8">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DDF1">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37D9">
            <w:pPr>
              <w:widowControl/>
              <w:jc w:val="center"/>
              <w:textAlignment w:val="center"/>
              <w:rPr>
                <w:rStyle w:val="44"/>
                <w:rFonts w:hint="default"/>
                <w:color w:val="auto"/>
                <w:lang w:bidi="ar"/>
              </w:rPr>
            </w:pPr>
            <w:r>
              <w:rPr>
                <w:rStyle w:val="44"/>
                <w:rFonts w:hint="default"/>
                <w:color w:val="auto"/>
                <w:lang w:bidi="ar"/>
              </w:rPr>
              <w:t>1350.00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9FDF">
            <w:pPr>
              <w:widowControl/>
              <w:jc w:val="center"/>
              <w:textAlignment w:val="center"/>
              <w:rPr>
                <w:rStyle w:val="44"/>
                <w:rFonts w:hint="default"/>
                <w:color w:val="auto"/>
                <w:lang w:bidi="ar"/>
              </w:rPr>
            </w:pPr>
            <w:r>
              <w:rPr>
                <w:rStyle w:val="44"/>
                <w:rFonts w:hint="default"/>
                <w:color w:val="auto"/>
                <w:lang w:bidi="ar"/>
              </w:rPr>
              <w:t>检测指标（本项目调查出现超标的因子）：</w:t>
            </w:r>
            <w:r>
              <w:rPr>
                <w:rStyle w:val="44"/>
                <w:rFonts w:hint="default"/>
                <w:color w:val="auto"/>
                <w:lang w:bidi="ar"/>
              </w:rPr>
              <w:br w:type="textWrapping"/>
            </w:r>
            <w:r>
              <w:rPr>
                <w:rStyle w:val="44"/>
                <w:rFonts w:hint="default"/>
                <w:color w:val="auto"/>
                <w:lang w:bidi="ar"/>
              </w:rPr>
              <w:t>（1）重金属（总量）：锑、钴；（2）有机物（总量）：石油烃（C10-C40）、苯、乙苯、苯酚、萘、苯并(a)芘、邻苯二甲酸二(2-乙基己基)酯；（3）pH；（4）含水率。</w:t>
            </w:r>
          </w:p>
        </w:tc>
      </w:tr>
      <w:tr w14:paraId="7CF76EFF">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74532">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2.2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8890">
            <w:pPr>
              <w:widowControl/>
              <w:jc w:val="center"/>
              <w:textAlignment w:val="center"/>
              <w:rPr>
                <w:rStyle w:val="44"/>
                <w:rFonts w:hint="default"/>
                <w:color w:val="auto"/>
                <w:lang w:bidi="ar"/>
              </w:rPr>
            </w:pPr>
            <w:r>
              <w:rPr>
                <w:rStyle w:val="44"/>
                <w:rFonts w:hint="default"/>
                <w:color w:val="auto"/>
                <w:lang w:bidi="ar"/>
              </w:rPr>
              <w:t>清挖过程疑似污染物检测</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FDDD">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20FC">
            <w:pPr>
              <w:widowControl/>
              <w:jc w:val="center"/>
              <w:textAlignment w:val="center"/>
              <w:rPr>
                <w:rStyle w:val="44"/>
                <w:rFonts w:hint="default"/>
                <w:color w:val="auto"/>
                <w:lang w:bidi="ar"/>
              </w:rPr>
            </w:pPr>
            <w:r>
              <w:rPr>
                <w:rStyle w:val="44"/>
                <w:rFonts w:hint="default"/>
                <w:color w:val="auto"/>
                <w:lang w:bidi="ar"/>
              </w:rPr>
              <w:t>300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6314">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6031">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6DC1">
            <w:pPr>
              <w:widowControl/>
              <w:jc w:val="center"/>
              <w:textAlignment w:val="center"/>
              <w:rPr>
                <w:rStyle w:val="44"/>
                <w:rFonts w:hint="default"/>
                <w:color w:val="auto"/>
                <w:lang w:bidi="ar"/>
              </w:rPr>
            </w:pPr>
            <w:r>
              <w:rPr>
                <w:rStyle w:val="44"/>
                <w:rFonts w:hint="default"/>
                <w:color w:val="auto"/>
                <w:lang w:bidi="ar"/>
              </w:rPr>
              <w:t>1485.00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9507">
            <w:pPr>
              <w:widowControl/>
              <w:jc w:val="center"/>
              <w:textAlignment w:val="center"/>
              <w:rPr>
                <w:rStyle w:val="44"/>
                <w:rFonts w:hint="default"/>
                <w:color w:val="auto"/>
                <w:lang w:bidi="ar"/>
              </w:rPr>
            </w:pPr>
            <w:r>
              <w:rPr>
                <w:rStyle w:val="44"/>
                <w:rFonts w:hint="default"/>
                <w:color w:val="auto"/>
                <w:lang w:bidi="ar"/>
              </w:rPr>
              <w:t>检测指标（本项目调查出现超标的因子）：</w:t>
            </w:r>
            <w:r>
              <w:rPr>
                <w:rStyle w:val="44"/>
                <w:rFonts w:hint="default"/>
                <w:color w:val="auto"/>
                <w:lang w:bidi="ar"/>
              </w:rPr>
              <w:br w:type="textWrapping"/>
            </w:r>
            <w:r>
              <w:rPr>
                <w:rStyle w:val="44"/>
                <w:rFonts w:hint="default"/>
                <w:color w:val="auto"/>
                <w:lang w:bidi="ar"/>
              </w:rPr>
              <w:t>（1）重金属（总量）：锑、钴；（2）有机物（总量）：石油烃（C10-C40）、苯、乙苯、苯酚、萘、苯并(a)芘、邻苯二甲酸二(2-乙基己基)酯；（3）pH；（4）含水率；</w:t>
            </w:r>
            <w:r>
              <w:rPr>
                <w:rStyle w:val="44"/>
                <w:rFonts w:hint="default"/>
                <w:color w:val="auto"/>
                <w:lang w:bidi="ar"/>
              </w:rPr>
              <w:br w:type="textWrapping"/>
            </w:r>
            <w:r>
              <w:rPr>
                <w:rStyle w:val="44"/>
                <w:rFonts w:hint="default"/>
                <w:color w:val="auto"/>
                <w:lang w:bidi="ar"/>
              </w:rPr>
              <w:t>（5）浸出毒性检测：苯酚</w:t>
            </w:r>
          </w:p>
        </w:tc>
      </w:tr>
      <w:tr w14:paraId="28878F34">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1DD1">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2.3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F39A">
            <w:pPr>
              <w:widowControl/>
              <w:jc w:val="center"/>
              <w:textAlignment w:val="center"/>
              <w:rPr>
                <w:rStyle w:val="44"/>
                <w:rFonts w:hint="default"/>
                <w:color w:val="auto"/>
                <w:lang w:bidi="ar"/>
              </w:rPr>
            </w:pPr>
            <w:r>
              <w:rPr>
                <w:rStyle w:val="44"/>
                <w:rFonts w:hint="default"/>
                <w:color w:val="auto"/>
                <w:lang w:bidi="ar"/>
              </w:rPr>
              <w:t>清挖完成后基底部检测</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F4490">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E479">
            <w:pPr>
              <w:widowControl/>
              <w:jc w:val="center"/>
              <w:textAlignment w:val="center"/>
              <w:rPr>
                <w:rStyle w:val="44"/>
                <w:rFonts w:hint="default"/>
                <w:color w:val="auto"/>
                <w:lang w:bidi="ar"/>
              </w:rPr>
            </w:pPr>
            <w:r>
              <w:rPr>
                <w:rStyle w:val="44"/>
                <w:rFonts w:hint="default"/>
                <w:color w:val="auto"/>
                <w:lang w:bidi="ar"/>
              </w:rPr>
              <w:t>521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423D">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8A2F">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74906">
            <w:pPr>
              <w:widowControl/>
              <w:jc w:val="center"/>
              <w:textAlignment w:val="center"/>
              <w:rPr>
                <w:rStyle w:val="44"/>
                <w:rFonts w:hint="default"/>
                <w:color w:val="auto"/>
                <w:lang w:bidi="ar"/>
              </w:rPr>
            </w:pPr>
            <w:r>
              <w:rPr>
                <w:rStyle w:val="44"/>
                <w:rFonts w:hint="default"/>
                <w:color w:val="auto"/>
                <w:lang w:bidi="ar"/>
              </w:rPr>
              <w:t>1350.00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135D6">
            <w:pPr>
              <w:widowControl/>
              <w:jc w:val="center"/>
              <w:textAlignment w:val="center"/>
              <w:rPr>
                <w:rStyle w:val="44"/>
                <w:rFonts w:hint="default"/>
                <w:color w:val="auto"/>
                <w:lang w:bidi="ar"/>
              </w:rPr>
            </w:pPr>
            <w:r>
              <w:rPr>
                <w:rStyle w:val="44"/>
                <w:rFonts w:hint="default"/>
                <w:color w:val="auto"/>
                <w:lang w:bidi="ar"/>
              </w:rPr>
              <w:t>检测指标（本项目调查出现超标的因子）：</w:t>
            </w:r>
            <w:r>
              <w:rPr>
                <w:rStyle w:val="44"/>
                <w:rFonts w:hint="default"/>
                <w:color w:val="auto"/>
                <w:lang w:bidi="ar"/>
              </w:rPr>
              <w:br w:type="textWrapping"/>
            </w:r>
            <w:r>
              <w:rPr>
                <w:rStyle w:val="44"/>
                <w:rFonts w:hint="default"/>
                <w:color w:val="auto"/>
                <w:lang w:bidi="ar"/>
              </w:rPr>
              <w:t>（1）重金属（总量）：锑、钴；（2）有机物（总量）：石油烃（C10-C40）、苯、乙苯、苯酚、萘、苯并(a)芘、邻苯二甲酸二(2-乙基己基)酯；（3）pH；（4）含水率。</w:t>
            </w:r>
          </w:p>
        </w:tc>
      </w:tr>
      <w:tr w14:paraId="4482ECBC">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86AC">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2.4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1C83">
            <w:pPr>
              <w:widowControl/>
              <w:jc w:val="center"/>
              <w:textAlignment w:val="center"/>
              <w:rPr>
                <w:rStyle w:val="44"/>
                <w:rFonts w:hint="default"/>
                <w:color w:val="auto"/>
                <w:lang w:bidi="ar"/>
              </w:rPr>
            </w:pPr>
            <w:r>
              <w:rPr>
                <w:rStyle w:val="44"/>
                <w:rFonts w:hint="default"/>
                <w:color w:val="auto"/>
                <w:lang w:bidi="ar"/>
              </w:rPr>
              <w:t>清挖完成后基侧壁检测</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47F8">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DBF0">
            <w:pPr>
              <w:widowControl/>
              <w:jc w:val="center"/>
              <w:textAlignment w:val="center"/>
              <w:rPr>
                <w:rStyle w:val="44"/>
                <w:rFonts w:hint="default"/>
                <w:color w:val="auto"/>
                <w:lang w:bidi="ar"/>
              </w:rPr>
            </w:pPr>
            <w:r>
              <w:rPr>
                <w:rStyle w:val="44"/>
                <w:rFonts w:hint="default"/>
                <w:color w:val="auto"/>
                <w:lang w:bidi="ar"/>
              </w:rPr>
              <w:t>110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B588">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E747">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89A1">
            <w:pPr>
              <w:widowControl/>
              <w:jc w:val="center"/>
              <w:textAlignment w:val="center"/>
              <w:rPr>
                <w:rStyle w:val="44"/>
                <w:rFonts w:hint="default"/>
                <w:color w:val="auto"/>
                <w:lang w:bidi="ar"/>
              </w:rPr>
            </w:pPr>
            <w:r>
              <w:rPr>
                <w:rStyle w:val="44"/>
                <w:rFonts w:hint="default"/>
                <w:color w:val="auto"/>
                <w:lang w:bidi="ar"/>
              </w:rPr>
              <w:t>1350.00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12C2">
            <w:pPr>
              <w:widowControl/>
              <w:jc w:val="center"/>
              <w:textAlignment w:val="center"/>
              <w:rPr>
                <w:rStyle w:val="44"/>
                <w:rFonts w:hint="default"/>
                <w:color w:val="auto"/>
                <w:lang w:bidi="ar"/>
              </w:rPr>
            </w:pPr>
            <w:r>
              <w:rPr>
                <w:rStyle w:val="44"/>
                <w:rFonts w:hint="default"/>
                <w:color w:val="auto"/>
                <w:lang w:bidi="ar"/>
              </w:rPr>
              <w:t>检测指标（本项目调查出现超标的因子）：</w:t>
            </w:r>
            <w:r>
              <w:rPr>
                <w:rStyle w:val="44"/>
                <w:rFonts w:hint="default"/>
                <w:color w:val="auto"/>
                <w:lang w:bidi="ar"/>
              </w:rPr>
              <w:br w:type="textWrapping"/>
            </w:r>
            <w:r>
              <w:rPr>
                <w:rStyle w:val="44"/>
                <w:rFonts w:hint="default"/>
                <w:color w:val="auto"/>
                <w:lang w:bidi="ar"/>
              </w:rPr>
              <w:t>（1）重金属（总量）：锑、钴；（2）有机物（总量）：石油烃（C10-C40）、苯、乙苯、苯酚、萘、苯并(a)芘、邻苯二甲酸二(2-乙基己基)酯；（3）pH；（4）含水率。</w:t>
            </w:r>
          </w:p>
        </w:tc>
      </w:tr>
      <w:tr w14:paraId="5213D9EA">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2D85">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2.5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900A">
            <w:pPr>
              <w:widowControl/>
              <w:jc w:val="center"/>
              <w:textAlignment w:val="center"/>
              <w:rPr>
                <w:rStyle w:val="44"/>
                <w:rFonts w:hint="default"/>
                <w:color w:val="auto"/>
                <w:lang w:bidi="ar"/>
              </w:rPr>
            </w:pPr>
            <w:r>
              <w:rPr>
                <w:rStyle w:val="44"/>
                <w:rFonts w:hint="default"/>
                <w:color w:val="auto"/>
                <w:lang w:bidi="ar"/>
              </w:rPr>
              <w:t>素填土出场抽检</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B14F">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2426">
            <w:pPr>
              <w:widowControl/>
              <w:jc w:val="center"/>
              <w:textAlignment w:val="center"/>
              <w:rPr>
                <w:rStyle w:val="44"/>
                <w:rFonts w:hint="default"/>
                <w:color w:val="auto"/>
                <w:lang w:bidi="ar"/>
              </w:rPr>
            </w:pPr>
            <w:r>
              <w:rPr>
                <w:rStyle w:val="44"/>
                <w:rFonts w:hint="default"/>
                <w:color w:val="auto"/>
                <w:lang w:bidi="ar"/>
              </w:rPr>
              <w:t>406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762D">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C4EC">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FD5F">
            <w:pPr>
              <w:widowControl/>
              <w:jc w:val="center"/>
              <w:textAlignment w:val="center"/>
              <w:rPr>
                <w:rStyle w:val="44"/>
                <w:rFonts w:hint="default"/>
                <w:color w:val="auto"/>
                <w:lang w:bidi="ar"/>
              </w:rPr>
            </w:pPr>
            <w:r>
              <w:rPr>
                <w:rStyle w:val="44"/>
                <w:rFonts w:hint="default"/>
                <w:color w:val="auto"/>
                <w:lang w:bidi="ar"/>
              </w:rPr>
              <w:t>1350.00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F6E8">
            <w:pPr>
              <w:widowControl/>
              <w:jc w:val="center"/>
              <w:textAlignment w:val="center"/>
              <w:rPr>
                <w:rStyle w:val="44"/>
                <w:rFonts w:hint="default"/>
                <w:color w:val="auto"/>
                <w:lang w:bidi="ar"/>
              </w:rPr>
            </w:pPr>
            <w:r>
              <w:rPr>
                <w:rStyle w:val="44"/>
                <w:rFonts w:hint="default"/>
                <w:color w:val="auto"/>
                <w:lang w:bidi="ar"/>
              </w:rPr>
              <w:t>检测指标（本项目调查出现超标的因子）：</w:t>
            </w:r>
            <w:r>
              <w:rPr>
                <w:rStyle w:val="44"/>
                <w:rFonts w:hint="default"/>
                <w:color w:val="auto"/>
                <w:lang w:bidi="ar"/>
              </w:rPr>
              <w:br w:type="textWrapping"/>
            </w:r>
            <w:r>
              <w:rPr>
                <w:rStyle w:val="44"/>
                <w:rFonts w:hint="default"/>
                <w:color w:val="auto"/>
                <w:lang w:bidi="ar"/>
              </w:rPr>
              <w:t>（1）重金属（总量）：锑、钴；（2）有机物（总量）：石油烃（C10-C40）、苯、乙苯、苯酚、萘、苯并(a)芘、邻苯二甲酸二(2-乙基己基)酯；（3）pH；（4）含水率。</w:t>
            </w:r>
          </w:p>
        </w:tc>
      </w:tr>
      <w:tr w14:paraId="71252B00">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5E51">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2.6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1E73">
            <w:pPr>
              <w:widowControl/>
              <w:jc w:val="center"/>
              <w:textAlignment w:val="center"/>
              <w:rPr>
                <w:rStyle w:val="44"/>
                <w:rFonts w:hint="default"/>
                <w:color w:val="auto"/>
                <w:lang w:bidi="ar"/>
              </w:rPr>
            </w:pPr>
            <w:r>
              <w:rPr>
                <w:rStyle w:val="44"/>
                <w:rFonts w:hint="default"/>
                <w:color w:val="auto"/>
                <w:lang w:bidi="ar"/>
              </w:rPr>
              <w:t>建筑骨料回填抽检</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47F0">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6F4E">
            <w:pPr>
              <w:widowControl/>
              <w:jc w:val="center"/>
              <w:textAlignment w:val="center"/>
              <w:rPr>
                <w:rStyle w:val="44"/>
                <w:rFonts w:hint="default"/>
                <w:color w:val="auto"/>
                <w:lang w:bidi="ar"/>
              </w:rPr>
            </w:pPr>
            <w:r>
              <w:rPr>
                <w:rStyle w:val="44"/>
                <w:rFonts w:hint="default"/>
                <w:color w:val="auto"/>
                <w:lang w:bidi="ar"/>
              </w:rPr>
              <w:t>39</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BFFE">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88F26">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05B2">
            <w:pPr>
              <w:widowControl/>
              <w:jc w:val="center"/>
              <w:textAlignment w:val="center"/>
              <w:rPr>
                <w:rStyle w:val="44"/>
                <w:rFonts w:hint="default"/>
                <w:color w:val="auto"/>
                <w:lang w:bidi="ar"/>
              </w:rPr>
            </w:pPr>
            <w:r>
              <w:rPr>
                <w:rStyle w:val="44"/>
                <w:rFonts w:hint="default"/>
                <w:color w:val="auto"/>
                <w:lang w:bidi="ar"/>
              </w:rPr>
              <w:t>1282.50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9389">
            <w:pPr>
              <w:widowControl/>
              <w:jc w:val="center"/>
              <w:textAlignment w:val="center"/>
              <w:rPr>
                <w:rStyle w:val="44"/>
                <w:rFonts w:hint="default"/>
                <w:color w:val="auto"/>
                <w:lang w:bidi="ar"/>
              </w:rPr>
            </w:pPr>
            <w:r>
              <w:rPr>
                <w:rStyle w:val="44"/>
                <w:rFonts w:hint="default"/>
                <w:color w:val="auto"/>
                <w:lang w:bidi="ar"/>
              </w:rPr>
              <w:t>检测指标（本项目调查出现超标的因子）：</w:t>
            </w:r>
            <w:r>
              <w:rPr>
                <w:rStyle w:val="44"/>
                <w:rFonts w:hint="default"/>
                <w:color w:val="auto"/>
                <w:lang w:bidi="ar"/>
              </w:rPr>
              <w:br w:type="textWrapping"/>
            </w:r>
            <w:r>
              <w:rPr>
                <w:rStyle w:val="44"/>
                <w:rFonts w:hint="default"/>
                <w:color w:val="auto"/>
                <w:lang w:bidi="ar"/>
              </w:rPr>
              <w:t>（1）浸出指标（重金属）：pH、锑、钴；（2）浸出指标（有机物）：石油烃（C10-C40）、苯、乙苯、苯酚、萘、苯并(a)芘、邻苯二甲酸二(2-乙基己基)酯。</w:t>
            </w:r>
          </w:p>
        </w:tc>
      </w:tr>
      <w:tr w14:paraId="76655C18">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964B">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2.7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720C">
            <w:pPr>
              <w:widowControl/>
              <w:jc w:val="center"/>
              <w:textAlignment w:val="center"/>
              <w:rPr>
                <w:rStyle w:val="44"/>
                <w:rFonts w:hint="default"/>
                <w:color w:val="auto"/>
                <w:lang w:bidi="ar"/>
              </w:rPr>
            </w:pPr>
            <w:r>
              <w:rPr>
                <w:rStyle w:val="44"/>
                <w:rFonts w:hint="default"/>
                <w:color w:val="auto"/>
                <w:lang w:bidi="ar"/>
              </w:rPr>
              <w:t>回填土检测</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E745">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528E">
            <w:pPr>
              <w:widowControl/>
              <w:jc w:val="center"/>
              <w:textAlignment w:val="center"/>
              <w:rPr>
                <w:rStyle w:val="44"/>
                <w:rFonts w:hint="default"/>
                <w:color w:val="auto"/>
                <w:lang w:bidi="ar"/>
              </w:rPr>
            </w:pPr>
            <w:r>
              <w:rPr>
                <w:rStyle w:val="44"/>
                <w:rFonts w:hint="default"/>
                <w:color w:val="auto"/>
                <w:lang w:bidi="ar"/>
              </w:rPr>
              <w:t>240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0442">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E0E2">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C7C7">
            <w:pPr>
              <w:widowControl/>
              <w:jc w:val="center"/>
              <w:textAlignment w:val="center"/>
              <w:rPr>
                <w:rStyle w:val="44"/>
                <w:rFonts w:hint="default"/>
                <w:color w:val="auto"/>
                <w:lang w:bidi="ar"/>
              </w:rPr>
            </w:pPr>
            <w:r>
              <w:rPr>
                <w:rStyle w:val="44"/>
                <w:rFonts w:hint="default"/>
                <w:color w:val="auto"/>
                <w:lang w:bidi="ar"/>
              </w:rPr>
              <w:t>2162.50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9CF0">
            <w:pPr>
              <w:widowControl/>
              <w:jc w:val="center"/>
              <w:textAlignment w:val="center"/>
              <w:rPr>
                <w:rStyle w:val="44"/>
                <w:rFonts w:hint="default"/>
                <w:color w:val="auto"/>
                <w:lang w:bidi="ar"/>
              </w:rPr>
            </w:pPr>
            <w:r>
              <w:rPr>
                <w:rStyle w:val="44"/>
                <w:rFonts w:hint="default"/>
                <w:color w:val="auto"/>
                <w:lang w:bidi="ar"/>
              </w:rPr>
              <w:t>《土壤环境质量 建设用地土壤污染风险管控标准（试行）》 （GB36600-2018）表1全部45项指标+石油烃、锑、钴、苯酚、邻苯二甲酸二(2-乙基己基)酯、pH</w:t>
            </w:r>
          </w:p>
        </w:tc>
      </w:tr>
      <w:tr w14:paraId="41FC4911">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1B48">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2.8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E311">
            <w:pPr>
              <w:widowControl/>
              <w:jc w:val="center"/>
              <w:textAlignment w:val="center"/>
              <w:rPr>
                <w:rStyle w:val="44"/>
                <w:rFonts w:hint="default"/>
                <w:color w:val="auto"/>
                <w:lang w:bidi="ar"/>
              </w:rPr>
            </w:pPr>
            <w:r>
              <w:rPr>
                <w:rStyle w:val="44"/>
                <w:rFonts w:hint="default"/>
                <w:color w:val="auto"/>
                <w:lang w:bidi="ar"/>
              </w:rPr>
              <w:t>地下水检测</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96F2">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9C12">
            <w:pPr>
              <w:widowControl/>
              <w:jc w:val="center"/>
              <w:textAlignment w:val="center"/>
              <w:rPr>
                <w:rStyle w:val="44"/>
                <w:rFonts w:hint="default"/>
                <w:color w:val="auto"/>
                <w:lang w:bidi="ar"/>
              </w:rPr>
            </w:pPr>
            <w:r>
              <w:rPr>
                <w:rStyle w:val="44"/>
                <w:rFonts w:hint="default"/>
                <w:color w:val="auto"/>
                <w:lang w:bidi="ar"/>
              </w:rPr>
              <w:t>36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6B58">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77F2">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2EFF">
            <w:pPr>
              <w:widowControl/>
              <w:jc w:val="center"/>
              <w:textAlignment w:val="center"/>
              <w:rPr>
                <w:rStyle w:val="44"/>
                <w:rFonts w:hint="default"/>
                <w:color w:val="auto"/>
                <w:lang w:bidi="ar"/>
              </w:rPr>
            </w:pPr>
            <w:r>
              <w:rPr>
                <w:rStyle w:val="44"/>
                <w:rFonts w:hint="default"/>
                <w:color w:val="auto"/>
                <w:lang w:bidi="ar"/>
              </w:rPr>
              <w:t>1890.00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F47C">
            <w:pPr>
              <w:widowControl/>
              <w:jc w:val="center"/>
              <w:textAlignment w:val="center"/>
              <w:rPr>
                <w:rStyle w:val="44"/>
                <w:rFonts w:hint="default"/>
                <w:color w:val="auto"/>
                <w:lang w:bidi="ar"/>
              </w:rPr>
            </w:pPr>
            <w:r>
              <w:rPr>
                <w:rStyle w:val="44"/>
                <w:rFonts w:hint="default"/>
                <w:color w:val="auto"/>
                <w:lang w:bidi="ar"/>
              </w:rPr>
              <w:t>检测指标：砷、镉、铅、锑、锰、铊、汞、六价铬、氟、铁、铜、锌、邻苯二甲酸二正丁酯、邻苯二甲酸二（2-二乙基己基）酯、pH、总硬度、溶解性总固体、高锰酸盐指数、氨氮、硝酸盐氮、亚硝酸盐氮、硫酸盐、氯化物、挥发性酚类、氰化物、总大肠菌群、石油烃。</w:t>
            </w:r>
          </w:p>
        </w:tc>
      </w:tr>
      <w:tr w14:paraId="08620CD2">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B3D6">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2.9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3478">
            <w:pPr>
              <w:widowControl/>
              <w:jc w:val="center"/>
              <w:textAlignment w:val="center"/>
              <w:rPr>
                <w:rStyle w:val="44"/>
                <w:rFonts w:hint="default"/>
                <w:color w:val="auto"/>
                <w:lang w:bidi="ar"/>
              </w:rPr>
            </w:pPr>
            <w:r>
              <w:rPr>
                <w:rStyle w:val="44"/>
                <w:rFonts w:hint="default"/>
                <w:color w:val="auto"/>
                <w:lang w:bidi="ar"/>
              </w:rPr>
              <w:t>环境空气检测</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146F">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463F">
            <w:pPr>
              <w:widowControl/>
              <w:jc w:val="center"/>
              <w:textAlignment w:val="center"/>
              <w:rPr>
                <w:rStyle w:val="44"/>
                <w:rFonts w:hint="default"/>
                <w:color w:val="auto"/>
                <w:lang w:bidi="ar"/>
              </w:rPr>
            </w:pPr>
            <w:r>
              <w:rPr>
                <w:rStyle w:val="44"/>
                <w:rFonts w:hint="default"/>
                <w:color w:val="auto"/>
                <w:lang w:bidi="ar"/>
              </w:rPr>
              <w:t>12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1049">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C3DC">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A0EB">
            <w:pPr>
              <w:widowControl/>
              <w:jc w:val="center"/>
              <w:textAlignment w:val="center"/>
              <w:rPr>
                <w:rStyle w:val="44"/>
                <w:rFonts w:hint="default"/>
                <w:color w:val="auto"/>
                <w:lang w:bidi="ar"/>
              </w:rPr>
            </w:pPr>
            <w:r>
              <w:rPr>
                <w:rStyle w:val="44"/>
                <w:rFonts w:hint="default"/>
                <w:color w:val="auto"/>
                <w:lang w:bidi="ar"/>
              </w:rPr>
              <w:t>2100.00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66EC">
            <w:pPr>
              <w:widowControl/>
              <w:jc w:val="center"/>
              <w:textAlignment w:val="center"/>
              <w:rPr>
                <w:rStyle w:val="44"/>
                <w:rFonts w:hint="default"/>
                <w:color w:val="auto"/>
                <w:lang w:bidi="ar"/>
              </w:rPr>
            </w:pPr>
            <w:r>
              <w:rPr>
                <w:rStyle w:val="44"/>
                <w:rFonts w:hint="default"/>
                <w:color w:val="auto"/>
                <w:lang w:bidi="ar"/>
              </w:rPr>
              <w:t>检测指标为：臭气浓度、恶臭物质（硫化氢、甲硫醇、甲硫醚、二甲二硫、氨）、甲烷、总悬浮颗粒物、氮氧化物、二氧化硫。</w:t>
            </w:r>
          </w:p>
        </w:tc>
      </w:tr>
      <w:tr w14:paraId="773427E5">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1742">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1C33">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地块平整后的后评估监测</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FC72">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项</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B04F">
            <w:pPr>
              <w:widowControl/>
              <w:jc w:val="center"/>
              <w:textAlignment w:val="center"/>
              <w:rPr>
                <w:rStyle w:val="44"/>
                <w:rFonts w:hint="default"/>
                <w:color w:val="auto"/>
                <w:lang w:bidi="ar"/>
              </w:rPr>
            </w:pPr>
            <w:r>
              <w:rPr>
                <w:rFonts w:ascii="Times New Roman" w:hAnsi="Times New Roman"/>
                <w:b/>
                <w:bCs/>
                <w:kern w:val="0"/>
                <w:szCs w:val="21"/>
                <w:lang w:bidi="ar"/>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05CE">
            <w:pPr>
              <w:jc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353E">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E332">
            <w:pPr>
              <w:widowControl/>
              <w:jc w:val="center"/>
              <w:textAlignment w:val="center"/>
              <w:rPr>
                <w:rStyle w:val="44"/>
                <w:rFonts w:hint="default"/>
                <w:color w:val="auto"/>
                <w:lang w:bidi="ar"/>
              </w:rPr>
            </w:pPr>
            <w:r>
              <w:rPr>
                <w:rFonts w:hint="eastAsia" w:ascii="Times New Roman" w:hAnsi="Times New Roman"/>
                <w:b/>
                <w:bCs/>
                <w:szCs w:val="21"/>
              </w:rPr>
              <w:t>581200.00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38A91">
            <w:pPr>
              <w:widowControl/>
              <w:jc w:val="center"/>
              <w:textAlignment w:val="center"/>
              <w:rPr>
                <w:rFonts w:ascii="宋体" w:hAnsi="宋体" w:cs="宋体"/>
                <w:b/>
                <w:bCs/>
                <w:szCs w:val="21"/>
              </w:rPr>
            </w:pPr>
            <w:r>
              <w:rPr>
                <w:rFonts w:hint="eastAsia" w:ascii="宋体" w:hAnsi="宋体" w:cs="宋体"/>
                <w:b/>
                <w:bCs/>
                <w:kern w:val="0"/>
                <w:szCs w:val="21"/>
                <w:lang w:bidi="ar"/>
              </w:rPr>
              <w:t>[3.1+3.2+3.3+3.4]</w:t>
            </w:r>
          </w:p>
        </w:tc>
      </w:tr>
      <w:tr w14:paraId="5B0B1DEF">
        <w:tblPrEx>
          <w:tblCellMar>
            <w:top w:w="0" w:type="dxa"/>
            <w:left w:w="108" w:type="dxa"/>
            <w:bottom w:w="0" w:type="dxa"/>
            <w:right w:w="108" w:type="dxa"/>
          </w:tblCellMar>
        </w:tblPrEx>
        <w:trPr>
          <w:trHeight w:val="356"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B96C">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3.1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98FC5">
            <w:pPr>
              <w:widowControl/>
              <w:jc w:val="left"/>
              <w:textAlignment w:val="center"/>
              <w:rPr>
                <w:rStyle w:val="44"/>
                <w:rFonts w:hint="default"/>
                <w:color w:val="auto"/>
                <w:lang w:bidi="ar"/>
              </w:rPr>
            </w:pPr>
            <w:r>
              <w:rPr>
                <w:rStyle w:val="44"/>
                <w:rFonts w:hint="default"/>
                <w:color w:val="auto"/>
                <w:lang w:bidi="ar"/>
              </w:rPr>
              <w:t>土壤钻孔费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13433">
            <w:pPr>
              <w:widowControl/>
              <w:jc w:val="center"/>
              <w:textAlignment w:val="center"/>
              <w:rPr>
                <w:rStyle w:val="44"/>
                <w:rFonts w:hint="default"/>
                <w:color w:val="auto"/>
                <w:lang w:bidi="ar"/>
              </w:rPr>
            </w:pPr>
            <w:r>
              <w:rPr>
                <w:rStyle w:val="44"/>
                <w:rFonts w:hint="default"/>
                <w:color w:val="auto"/>
                <w:lang w:bidi="ar"/>
              </w:rPr>
              <w:t>孔</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9A41">
            <w:pPr>
              <w:widowControl/>
              <w:jc w:val="center"/>
              <w:textAlignment w:val="center"/>
              <w:rPr>
                <w:rStyle w:val="44"/>
                <w:rFonts w:hint="default"/>
                <w:color w:val="auto"/>
                <w:lang w:bidi="ar"/>
              </w:rPr>
            </w:pPr>
            <w:r>
              <w:rPr>
                <w:rStyle w:val="44"/>
                <w:rFonts w:hint="default"/>
                <w:color w:val="auto"/>
                <w:lang w:bidi="ar"/>
              </w:rPr>
              <w:t>33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5A21A">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FDDA">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0D83">
            <w:pPr>
              <w:widowControl/>
              <w:jc w:val="center"/>
              <w:textAlignment w:val="center"/>
              <w:rPr>
                <w:rStyle w:val="44"/>
                <w:rFonts w:hint="default"/>
                <w:color w:val="auto"/>
                <w:lang w:bidi="ar"/>
              </w:rPr>
            </w:pPr>
            <w:r>
              <w:rPr>
                <w:rStyle w:val="44"/>
                <w:rFonts w:hint="default"/>
                <w:color w:val="auto"/>
                <w:lang w:bidi="ar"/>
              </w:rPr>
              <w:t>1800.00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BE7B">
            <w:pPr>
              <w:widowControl/>
              <w:jc w:val="center"/>
              <w:textAlignment w:val="center"/>
              <w:rPr>
                <w:rStyle w:val="44"/>
                <w:rFonts w:hint="default"/>
                <w:color w:val="auto"/>
                <w:lang w:bidi="ar"/>
              </w:rPr>
            </w:pPr>
            <w:r>
              <w:rPr>
                <w:rStyle w:val="44"/>
                <w:rFonts w:hint="default"/>
                <w:color w:val="auto"/>
                <w:lang w:bidi="ar"/>
              </w:rPr>
              <w:t>采样深度为5-8米，考虑到该地块存在大量平整后的回填土，拟初步确定采样深度为8m，钻孔深度为9m。</w:t>
            </w:r>
          </w:p>
        </w:tc>
      </w:tr>
      <w:tr w14:paraId="2DC22042">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C963">
            <w:pPr>
              <w:widowControl/>
              <w:jc w:val="center"/>
              <w:textAlignment w:val="center"/>
              <w:rPr>
                <w:rFonts w:ascii="Times New Roman" w:hAnsi="Times New Roman"/>
                <w:kern w:val="0"/>
                <w:szCs w:val="21"/>
                <w:lang w:bidi="ar"/>
              </w:rPr>
            </w:pPr>
            <w:r>
              <w:rPr>
                <w:rFonts w:hint="eastAsia" w:ascii="Times New Roman" w:hAnsi="Times New Roman"/>
                <w:kern w:val="0"/>
                <w:szCs w:val="21"/>
                <w:lang w:bidi="ar"/>
              </w:rPr>
              <w:t>3.2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3620">
            <w:pPr>
              <w:widowControl/>
              <w:jc w:val="left"/>
              <w:textAlignment w:val="center"/>
              <w:rPr>
                <w:rStyle w:val="44"/>
                <w:rFonts w:hint="default"/>
                <w:color w:val="auto"/>
                <w:lang w:bidi="ar"/>
              </w:rPr>
            </w:pPr>
            <w:r>
              <w:rPr>
                <w:rStyle w:val="44"/>
                <w:rFonts w:hint="default"/>
                <w:color w:val="auto"/>
                <w:lang w:bidi="ar"/>
              </w:rPr>
              <w:t>地下水建井费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B606">
            <w:pPr>
              <w:widowControl/>
              <w:jc w:val="center"/>
              <w:textAlignment w:val="center"/>
              <w:rPr>
                <w:rStyle w:val="44"/>
                <w:rFonts w:hint="default"/>
                <w:color w:val="auto"/>
                <w:lang w:bidi="ar"/>
              </w:rPr>
            </w:pPr>
            <w:r>
              <w:rPr>
                <w:rStyle w:val="44"/>
                <w:rFonts w:hint="default"/>
                <w:color w:val="auto"/>
                <w:lang w:bidi="ar"/>
              </w:rPr>
              <w:t>口</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E876">
            <w:pPr>
              <w:widowControl/>
              <w:jc w:val="center"/>
              <w:textAlignment w:val="center"/>
              <w:rPr>
                <w:rStyle w:val="44"/>
                <w:rFonts w:hint="default"/>
                <w:color w:val="auto"/>
                <w:lang w:bidi="ar"/>
              </w:rPr>
            </w:pPr>
            <w:r>
              <w:rPr>
                <w:rStyle w:val="44"/>
                <w:rFonts w:hint="default"/>
                <w:color w:val="auto"/>
                <w:lang w:bidi="ar"/>
              </w:rPr>
              <w:t>8</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9FEC">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62AA">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7A92">
            <w:pPr>
              <w:widowControl/>
              <w:jc w:val="center"/>
              <w:textAlignment w:val="center"/>
              <w:rPr>
                <w:rStyle w:val="44"/>
                <w:rFonts w:hint="default"/>
                <w:color w:val="auto"/>
                <w:lang w:bidi="ar"/>
              </w:rPr>
            </w:pPr>
            <w:r>
              <w:rPr>
                <w:rStyle w:val="44"/>
                <w:rFonts w:hint="default"/>
                <w:color w:val="auto"/>
                <w:lang w:bidi="ar"/>
              </w:rPr>
              <w:t>4170.00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3401">
            <w:pPr>
              <w:widowControl/>
              <w:jc w:val="center"/>
              <w:textAlignment w:val="center"/>
              <w:rPr>
                <w:rStyle w:val="44"/>
                <w:rFonts w:hint="default"/>
                <w:color w:val="auto"/>
                <w:lang w:bidi="ar"/>
              </w:rPr>
            </w:pPr>
            <w:r>
              <w:rPr>
                <w:rStyle w:val="44"/>
                <w:rFonts w:hint="default"/>
                <w:color w:val="auto"/>
                <w:lang w:bidi="ar"/>
              </w:rPr>
              <w:t>本地块地下水监测井建井深度定为10m； 地下水监测井建设含井台、防撞柱和标牌，建井后洗井和采样前洗井等工作。</w:t>
            </w:r>
          </w:p>
        </w:tc>
      </w:tr>
      <w:tr w14:paraId="1AF66C93">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78A0">
            <w:pPr>
              <w:widowControl/>
              <w:jc w:val="center"/>
              <w:textAlignment w:val="center"/>
              <w:rPr>
                <w:rFonts w:ascii="Times New Roman" w:hAnsi="Times New Roman"/>
                <w:szCs w:val="21"/>
              </w:rPr>
            </w:pPr>
            <w:r>
              <w:rPr>
                <w:rFonts w:hint="eastAsia" w:ascii="Times New Roman" w:hAnsi="Times New Roman"/>
                <w:kern w:val="0"/>
                <w:szCs w:val="21"/>
                <w:lang w:bidi="ar"/>
              </w:rPr>
              <w:t>3.3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3467">
            <w:pPr>
              <w:widowControl/>
              <w:jc w:val="left"/>
              <w:textAlignment w:val="center"/>
              <w:rPr>
                <w:rStyle w:val="44"/>
                <w:rFonts w:hint="default"/>
                <w:color w:val="auto"/>
                <w:lang w:bidi="ar"/>
              </w:rPr>
            </w:pPr>
            <w:r>
              <w:rPr>
                <w:rStyle w:val="44"/>
                <w:rFonts w:hint="default"/>
                <w:color w:val="auto"/>
                <w:lang w:bidi="ar"/>
              </w:rPr>
              <w:t>土壤样品检测费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168D">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DC66">
            <w:pPr>
              <w:widowControl/>
              <w:jc w:val="center"/>
              <w:textAlignment w:val="center"/>
              <w:rPr>
                <w:rStyle w:val="44"/>
                <w:rFonts w:hint="default"/>
                <w:color w:val="auto"/>
                <w:lang w:bidi="ar"/>
              </w:rPr>
            </w:pPr>
            <w:r>
              <w:rPr>
                <w:rStyle w:val="44"/>
                <w:rFonts w:hint="default"/>
                <w:color w:val="auto"/>
                <w:lang w:bidi="ar"/>
              </w:rPr>
              <w:t>218</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A526">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3EBE">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EDE8F">
            <w:pPr>
              <w:widowControl/>
              <w:jc w:val="center"/>
              <w:textAlignment w:val="center"/>
              <w:rPr>
                <w:rStyle w:val="44"/>
                <w:rFonts w:hint="default"/>
                <w:color w:val="auto"/>
                <w:lang w:bidi="ar"/>
              </w:rPr>
            </w:pPr>
            <w:r>
              <w:rPr>
                <w:rStyle w:val="44"/>
                <w:rFonts w:hint="default"/>
                <w:color w:val="auto"/>
                <w:lang w:bidi="ar"/>
              </w:rPr>
              <w:t>2162.50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DC92">
            <w:pPr>
              <w:widowControl/>
              <w:jc w:val="center"/>
              <w:textAlignment w:val="center"/>
              <w:rPr>
                <w:rStyle w:val="44"/>
                <w:rFonts w:hint="default"/>
                <w:color w:val="auto"/>
                <w:lang w:bidi="ar"/>
              </w:rPr>
            </w:pPr>
            <w:r>
              <w:rPr>
                <w:rStyle w:val="44"/>
                <w:rFonts w:hint="default"/>
                <w:color w:val="auto"/>
                <w:lang w:bidi="ar"/>
              </w:rPr>
              <w:t>检测指标：《土壤环境质量 建设用地土壤污染风险管控标准（试行）》 （GB36600-2018）表1（45项）及其他项目：锑、钴、石油烃、苯酚、邻苯二甲酸二(2-乙基己基)酯、pH，</w:t>
            </w:r>
          </w:p>
        </w:tc>
      </w:tr>
      <w:tr w14:paraId="17314203">
        <w:tblPrEx>
          <w:tblCellMar>
            <w:top w:w="0" w:type="dxa"/>
            <w:left w:w="108" w:type="dxa"/>
            <w:bottom w:w="0" w:type="dxa"/>
            <w:right w:w="108" w:type="dxa"/>
          </w:tblCellMar>
        </w:tblPrEx>
        <w:trPr>
          <w:trHeight w:val="23"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BD64">
            <w:pPr>
              <w:widowControl/>
              <w:jc w:val="center"/>
              <w:textAlignment w:val="center"/>
              <w:rPr>
                <w:rFonts w:ascii="Times New Roman" w:hAnsi="Times New Roman"/>
                <w:szCs w:val="21"/>
              </w:rPr>
            </w:pPr>
            <w:r>
              <w:rPr>
                <w:rFonts w:hint="eastAsia" w:ascii="Times New Roman" w:hAnsi="Times New Roman"/>
                <w:kern w:val="0"/>
                <w:szCs w:val="21"/>
                <w:lang w:bidi="ar"/>
              </w:rPr>
              <w:t>3.4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D20A">
            <w:pPr>
              <w:widowControl/>
              <w:jc w:val="left"/>
              <w:textAlignment w:val="center"/>
              <w:rPr>
                <w:rStyle w:val="44"/>
                <w:rFonts w:hint="default"/>
                <w:color w:val="auto"/>
                <w:lang w:bidi="ar"/>
              </w:rPr>
            </w:pPr>
            <w:r>
              <w:rPr>
                <w:rStyle w:val="44"/>
                <w:rFonts w:hint="default"/>
                <w:color w:val="auto"/>
                <w:lang w:bidi="ar"/>
              </w:rPr>
              <w:t>地下水样品检测费</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B208">
            <w:pPr>
              <w:widowControl/>
              <w:jc w:val="center"/>
              <w:textAlignment w:val="center"/>
              <w:rPr>
                <w:rStyle w:val="44"/>
                <w:rFonts w:hint="default"/>
                <w:color w:val="auto"/>
                <w:lang w:bidi="ar"/>
              </w:rPr>
            </w:pPr>
            <w:r>
              <w:rPr>
                <w:rStyle w:val="44"/>
                <w:rFonts w:hint="default"/>
                <w:color w:val="auto"/>
                <w:lang w:bidi="ar"/>
              </w:rPr>
              <w:t>个样品</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7472">
            <w:pPr>
              <w:widowControl/>
              <w:jc w:val="center"/>
              <w:textAlignment w:val="center"/>
              <w:rPr>
                <w:rStyle w:val="44"/>
                <w:rFonts w:hint="default"/>
                <w:color w:val="auto"/>
                <w:lang w:bidi="ar"/>
              </w:rPr>
            </w:pPr>
            <w:r>
              <w:rPr>
                <w:rStyle w:val="44"/>
                <w:rFonts w:hint="default"/>
                <w:color w:val="auto"/>
                <w:lang w:bidi="ar"/>
              </w:rPr>
              <w:t>9</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7C66">
            <w:pPr>
              <w:widowControl/>
              <w:jc w:val="center"/>
              <w:textAlignment w:val="center"/>
              <w:rPr>
                <w:rStyle w:val="44"/>
                <w:rFonts w:hint="default"/>
                <w:color w:val="auto"/>
                <w:lang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4414">
            <w:pPr>
              <w:widowControl/>
              <w:jc w:val="center"/>
              <w:textAlignment w:val="center"/>
              <w:rPr>
                <w:rStyle w:val="44"/>
                <w:rFonts w:hint="default"/>
                <w:color w:val="auto"/>
                <w:lang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659C">
            <w:pPr>
              <w:widowControl/>
              <w:jc w:val="center"/>
              <w:textAlignment w:val="center"/>
              <w:rPr>
                <w:rStyle w:val="44"/>
                <w:rFonts w:hint="default"/>
                <w:color w:val="auto"/>
                <w:lang w:bidi="ar"/>
              </w:rPr>
            </w:pPr>
            <w:r>
              <w:rPr>
                <w:rStyle w:val="44"/>
                <w:rFonts w:hint="default"/>
                <w:color w:val="auto"/>
                <w:lang w:bidi="ar"/>
              </w:rPr>
              <w:t>1890.00</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B348">
            <w:pPr>
              <w:widowControl/>
              <w:jc w:val="center"/>
              <w:textAlignment w:val="center"/>
              <w:rPr>
                <w:rStyle w:val="44"/>
                <w:rFonts w:hint="default"/>
                <w:color w:val="auto"/>
                <w:lang w:bidi="ar"/>
              </w:rPr>
            </w:pPr>
            <w:r>
              <w:rPr>
                <w:rStyle w:val="44"/>
                <w:rFonts w:hint="default"/>
                <w:color w:val="auto"/>
                <w:lang w:bidi="ar"/>
              </w:rPr>
              <w:t>检测指标：砷、镉、铅、锑、锰、铊、汞、六价铬、氟、铁、铜、锌、邻苯二甲酸二正丁酯、邻苯二甲酸二（2-二乙基己基）酯、pH、总硬度、溶解性总固体、高锰酸盐指数、氨氮、硝酸盐氮、亚硝酸盐氮、硫酸盐、氯化物、挥发性酚类、氰化物、总大肠菌群、石油烃。</w:t>
            </w:r>
          </w:p>
        </w:tc>
      </w:tr>
    </w:tbl>
    <w:p w14:paraId="61DD96D8">
      <w:pPr>
        <w:rPr>
          <w:rFonts w:ascii="宋体" w:hAnsi="宋体" w:cs="宋体"/>
          <w:szCs w:val="21"/>
        </w:rPr>
      </w:pPr>
      <w:r>
        <w:rPr>
          <w:rFonts w:hint="eastAsia" w:ascii="宋体" w:hAnsi="宋体" w:cs="宋体"/>
          <w:szCs w:val="21"/>
        </w:rPr>
        <w:t>备注：（1）投标报价为人民币，以元为单位，投标报价小数点后保留二位小数，第三位小数四舍五入）。</w:t>
      </w:r>
    </w:p>
    <w:p w14:paraId="24D937BA">
      <w:pPr>
        <w:ind w:firstLine="630" w:firstLineChars="300"/>
        <w:rPr>
          <w:rFonts w:ascii="宋体" w:hAnsi="宋体" w:cs="宋体"/>
          <w:szCs w:val="21"/>
        </w:rPr>
      </w:pPr>
      <w:r>
        <w:rPr>
          <w:rFonts w:hint="eastAsia" w:ascii="宋体" w:hAnsi="宋体" w:cs="宋体"/>
          <w:szCs w:val="21"/>
        </w:rPr>
        <w:t>（2）投标报价为已含税（增值税税率 6%）价格。</w:t>
      </w:r>
    </w:p>
    <w:p w14:paraId="3835A6E4">
      <w:pPr>
        <w:ind w:firstLine="630" w:firstLineChars="300"/>
        <w:rPr>
          <w:rFonts w:ascii="宋体" w:hAnsi="宋体" w:cs="宋体"/>
          <w:szCs w:val="21"/>
        </w:rPr>
      </w:pPr>
      <w:r>
        <w:rPr>
          <w:rFonts w:hint="eastAsia" w:ascii="宋体" w:hAnsi="宋体" w:cs="宋体"/>
          <w:szCs w:val="21"/>
        </w:rPr>
        <w:t>（3）各投标人的投标报价不得超过最高投标限价。</w:t>
      </w:r>
    </w:p>
    <w:p w14:paraId="7DC585E7">
      <w:pPr>
        <w:rPr>
          <w:rFonts w:ascii="宋体" w:hAnsi="宋体" w:cs="宋体"/>
          <w:szCs w:val="21"/>
        </w:rPr>
      </w:pPr>
      <w:r>
        <w:rPr>
          <w:rFonts w:hint="eastAsia" w:ascii="宋体" w:hAnsi="宋体" w:cs="宋体"/>
          <w:szCs w:val="21"/>
        </w:rPr>
        <w:t xml:space="preserve">      （4）合同价款包括但不限于：人工费、材料费、设备费、专家咨询费、参与单位协调费、交通费、住宿费、伙食费、补贴、专家评审费及会务费、对外沟通协调费、报告编制费、报告打印费、税费、规费、不可预见费用等完成本合同服务内容相关的其他一切费用。</w:t>
      </w:r>
    </w:p>
    <w:p w14:paraId="5A755E52">
      <w:pPr>
        <w:jc w:val="center"/>
        <w:rPr>
          <w:rFonts w:ascii="Times New Roman" w:hAnsi="Times New Roman"/>
        </w:rPr>
      </w:pPr>
    </w:p>
    <w:p w14:paraId="14F48605">
      <w:pPr>
        <w:spacing w:line="440" w:lineRule="exact"/>
        <w:ind w:firstLine="2520" w:firstLineChars="1200"/>
        <w:jc w:val="left"/>
        <w:rPr>
          <w:rFonts w:ascii="Times New Roman" w:hAnsi="Times New Roman"/>
          <w:szCs w:val="21"/>
        </w:rPr>
      </w:pPr>
    </w:p>
    <w:p w14:paraId="330CBB08">
      <w:pPr>
        <w:spacing w:line="440" w:lineRule="exact"/>
        <w:ind w:firstLine="2520" w:firstLineChars="1200"/>
        <w:jc w:val="left"/>
        <w:rPr>
          <w:rFonts w:ascii="Times New Roman" w:hAnsi="Times New Roman"/>
          <w:szCs w:val="21"/>
        </w:rPr>
      </w:pPr>
    </w:p>
    <w:p w14:paraId="245DDA1E">
      <w:pPr>
        <w:spacing w:line="440" w:lineRule="exact"/>
        <w:ind w:firstLine="2520" w:firstLineChars="1200"/>
        <w:jc w:val="lef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14:paraId="40676E73">
      <w:pPr>
        <w:spacing w:line="440" w:lineRule="exact"/>
        <w:jc w:val="left"/>
        <w:rPr>
          <w:rFonts w:ascii="Times New Roman" w:hAnsi="Times New Roman"/>
          <w:szCs w:val="21"/>
        </w:rPr>
      </w:pPr>
      <w:r>
        <w:rPr>
          <w:rFonts w:ascii="Times New Roman" w:hAnsi="Times New Roman"/>
        </w:rPr>
        <w:t xml:space="preserve">                        法定代表人</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（签字</w:t>
      </w:r>
      <w:r>
        <w:rPr>
          <w:rFonts w:hint="eastAsia" w:ascii="Times New Roman" w:hAnsi="Times New Roman"/>
          <w:szCs w:val="21"/>
        </w:rPr>
        <w:t>或盖章</w:t>
      </w:r>
      <w:r>
        <w:rPr>
          <w:rFonts w:ascii="Times New Roman" w:hAnsi="Times New Roman"/>
          <w:szCs w:val="21"/>
        </w:rPr>
        <w:t>）</w:t>
      </w:r>
    </w:p>
    <w:p w14:paraId="45625FB0">
      <w:pPr>
        <w:spacing w:line="440" w:lineRule="exact"/>
        <w:ind w:firstLine="4725" w:firstLineChars="2250"/>
        <w:jc w:val="right"/>
        <w:rPr>
          <w:rFonts w:ascii="Times New Roman" w:hAnsi="Times New Roman"/>
          <w:szCs w:val="21"/>
        </w:rPr>
        <w:sectPr>
          <w:pgSz w:w="15840" w:h="12240" w:orient="landscape"/>
          <w:pgMar w:top="1627" w:right="1627" w:bottom="1373" w:left="1393" w:header="720" w:footer="720" w:gutter="0"/>
          <w:cols w:space="720" w:num="1"/>
          <w:docGrid w:linePitch="285" w:charSpace="0"/>
        </w:sectPr>
      </w:pPr>
      <w:r>
        <w:rPr>
          <w:rFonts w:ascii="Times New Roman" w:hAnsi="Times New Roman"/>
          <w:u w:val="single"/>
        </w:rPr>
        <w:t xml:space="preserve">      </w:t>
      </w:r>
      <w:r>
        <w:rPr>
          <w:rFonts w:ascii="Times New Roman" w:hAnsi="Times New Roman"/>
          <w:szCs w:val="21"/>
        </w:rPr>
        <w:t>年</w:t>
      </w:r>
      <w:r>
        <w:rPr>
          <w:rFonts w:ascii="Times New Roman" w:hAnsi="Times New Roman"/>
          <w:u w:val="single"/>
        </w:rPr>
        <w:t xml:space="preserve">      </w:t>
      </w:r>
      <w:r>
        <w:rPr>
          <w:rFonts w:ascii="Times New Roman" w:hAnsi="Times New Roman"/>
          <w:szCs w:val="21"/>
        </w:rPr>
        <w:t>月</w:t>
      </w:r>
      <w:r>
        <w:rPr>
          <w:rFonts w:ascii="Times New Roman" w:hAnsi="Times New Roman"/>
          <w:u w:val="single"/>
        </w:rPr>
        <w:t xml:space="preserve">      </w:t>
      </w:r>
      <w:r>
        <w:rPr>
          <w:rFonts w:ascii="Times New Roman" w:hAnsi="Times New Roman"/>
          <w:szCs w:val="21"/>
        </w:rPr>
        <w:t>日</w:t>
      </w:r>
    </w:p>
    <w:bookmarkEnd w:id="1146"/>
    <w:bookmarkEnd w:id="1151"/>
    <w:bookmarkEnd w:id="1152"/>
    <w:p w14:paraId="0EAC9F23">
      <w:pPr>
        <w:pStyle w:val="4"/>
        <w:keepNext w:val="0"/>
        <w:keepLines w:val="0"/>
        <w:spacing w:after="0"/>
        <w:jc w:val="center"/>
        <w:rPr>
          <w:rFonts w:ascii="Times New Roman" w:hAnsi="Times New Roman"/>
        </w:rPr>
      </w:pPr>
      <w:r>
        <w:rPr>
          <w:rFonts w:hint="eastAsia" w:ascii="Times New Roman" w:hAnsi="Times New Roman"/>
        </w:rPr>
        <w:t>四</w:t>
      </w:r>
      <w:r>
        <w:rPr>
          <w:rFonts w:ascii="Times New Roman" w:hAnsi="Times New Roman"/>
        </w:rPr>
        <w:t>、资格审查资料</w:t>
      </w:r>
      <w:bookmarkEnd w:id="1148"/>
      <w:bookmarkEnd w:id="1149"/>
      <w:bookmarkEnd w:id="1150"/>
    </w:p>
    <w:p w14:paraId="7E73614E">
      <w:pPr>
        <w:pStyle w:val="5"/>
        <w:keepNext w:val="0"/>
        <w:keepLines w:val="0"/>
        <w:spacing w:before="20" w:after="0"/>
        <w:ind w:firstLine="137"/>
        <w:jc w:val="center"/>
        <w:rPr>
          <w:rFonts w:ascii="Times New Roman" w:hAnsi="Times New Roman"/>
        </w:rPr>
      </w:pPr>
      <w:bookmarkStart w:id="1153" w:name="_Toc15029"/>
      <w:bookmarkStart w:id="1154" w:name="_Toc25680"/>
      <w:bookmarkStart w:id="1155" w:name="_Toc14222"/>
      <w:bookmarkStart w:id="1156" w:name="_Toc31262"/>
      <w:r>
        <w:rPr>
          <w:rFonts w:ascii="Times New Roman" w:hAnsi="Times New Roman"/>
        </w:rPr>
        <w:t>（一）基本情况表（格式可自定）</w:t>
      </w:r>
      <w:bookmarkEnd w:id="1153"/>
      <w:bookmarkEnd w:id="1154"/>
      <w:bookmarkEnd w:id="1155"/>
      <w:bookmarkEnd w:id="1156"/>
    </w:p>
    <w:tbl>
      <w:tblPr>
        <w:tblStyle w:val="21"/>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1D396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4BED89C">
            <w:pPr>
              <w:topLinePunct/>
              <w:spacing w:line="440" w:lineRule="exact"/>
              <w:jc w:val="center"/>
              <w:rPr>
                <w:rFonts w:ascii="Times New Roman" w:hAnsi="Times New Roman"/>
              </w:rPr>
            </w:pPr>
            <w:r>
              <w:rPr>
                <w:rFonts w:ascii="Times New Roman" w:hAnsi="Times New Roman"/>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653DCDF">
            <w:pPr>
              <w:topLinePunct/>
              <w:spacing w:line="440" w:lineRule="exact"/>
              <w:jc w:val="center"/>
              <w:rPr>
                <w:rFonts w:ascii="Times New Roman" w:hAnsi="Times New Roman"/>
              </w:rPr>
            </w:pPr>
          </w:p>
        </w:tc>
      </w:tr>
      <w:tr w14:paraId="3E476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9A84C50">
            <w:pPr>
              <w:topLinePunct/>
              <w:spacing w:line="440" w:lineRule="exact"/>
              <w:jc w:val="center"/>
              <w:rPr>
                <w:rFonts w:ascii="Times New Roman" w:hAnsi="Times New Roman"/>
              </w:rPr>
            </w:pPr>
            <w:r>
              <w:rPr>
                <w:rFonts w:ascii="Times New Roman" w:hAnsi="Times New Roman"/>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1800125E">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0142EAE">
            <w:pPr>
              <w:topLinePunct/>
              <w:spacing w:before="100" w:beforeAutospacing="1" w:after="100" w:afterAutospacing="1" w:line="440" w:lineRule="exact"/>
              <w:jc w:val="center"/>
              <w:rPr>
                <w:rFonts w:ascii="Times New Roman" w:hAnsi="Times New Roman"/>
              </w:rPr>
            </w:pPr>
            <w:r>
              <w:rPr>
                <w:rFonts w:ascii="Times New Roman" w:hAnsi="Times New Roman"/>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78C3951">
            <w:pPr>
              <w:topLinePunct/>
              <w:spacing w:line="440" w:lineRule="exact"/>
              <w:jc w:val="center"/>
              <w:rPr>
                <w:rFonts w:ascii="Times New Roman" w:hAnsi="Times New Roman"/>
              </w:rPr>
            </w:pPr>
          </w:p>
        </w:tc>
      </w:tr>
      <w:tr w14:paraId="6E24B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161DC8A0">
            <w:pPr>
              <w:topLinePunct/>
              <w:spacing w:line="440" w:lineRule="exact"/>
              <w:jc w:val="center"/>
              <w:rPr>
                <w:rFonts w:ascii="Times New Roman" w:hAnsi="Times New Roman"/>
              </w:rPr>
            </w:pPr>
            <w:r>
              <w:rPr>
                <w:rFonts w:ascii="Times New Roman" w:hAnsi="Times New Roman"/>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8ED39B6">
            <w:pPr>
              <w:topLinePunct/>
              <w:spacing w:before="100" w:beforeAutospacing="1" w:after="100" w:afterAutospacing="1" w:line="440" w:lineRule="exact"/>
              <w:jc w:val="center"/>
              <w:rPr>
                <w:rFonts w:ascii="Times New Roman" w:hAnsi="Times New Roman"/>
              </w:rPr>
            </w:pPr>
            <w:r>
              <w:rPr>
                <w:rFonts w:ascii="Times New Roman" w:hAnsi="Times New Roman"/>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30EA0E8E">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A40D7F5">
            <w:pPr>
              <w:topLinePunct/>
              <w:spacing w:before="100" w:beforeAutospacing="1" w:after="100" w:afterAutospacing="1" w:line="440" w:lineRule="exact"/>
              <w:jc w:val="center"/>
              <w:rPr>
                <w:rFonts w:ascii="Times New Roman" w:hAnsi="Times New Roman"/>
              </w:rPr>
            </w:pPr>
            <w:r>
              <w:rPr>
                <w:rFonts w:ascii="Times New Roman" w:hAnsi="Times New Roman"/>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085059E">
            <w:pPr>
              <w:topLinePunct/>
              <w:spacing w:line="440" w:lineRule="exact"/>
              <w:jc w:val="center"/>
              <w:rPr>
                <w:rFonts w:ascii="Times New Roman" w:hAnsi="Times New Roman"/>
              </w:rPr>
            </w:pPr>
          </w:p>
        </w:tc>
      </w:tr>
      <w:tr w14:paraId="3D8A0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644A24B3">
            <w:pPr>
              <w:jc w:val="center"/>
              <w:rPr>
                <w:rFonts w:ascii="Times New Roman" w:hAnsi="Times New Roman"/>
              </w:rPr>
            </w:pPr>
          </w:p>
        </w:tc>
        <w:tc>
          <w:tcPr>
            <w:tcW w:w="898" w:type="dxa"/>
            <w:tcBorders>
              <w:top w:val="single" w:color="auto" w:sz="4" w:space="0"/>
              <w:left w:val="single" w:color="auto" w:sz="4" w:space="0"/>
              <w:bottom w:val="single" w:color="auto" w:sz="4" w:space="0"/>
              <w:right w:val="single" w:color="auto" w:sz="4" w:space="0"/>
            </w:tcBorders>
            <w:vAlign w:val="center"/>
          </w:tcPr>
          <w:p w14:paraId="286B6F3D">
            <w:pPr>
              <w:topLinePunct/>
              <w:spacing w:before="100" w:beforeAutospacing="1" w:after="100" w:afterAutospacing="1" w:line="440" w:lineRule="exact"/>
              <w:jc w:val="center"/>
              <w:rPr>
                <w:rFonts w:ascii="Times New Roman" w:hAnsi="Times New Roman"/>
              </w:rPr>
            </w:pPr>
            <w:r>
              <w:rPr>
                <w:rFonts w:ascii="Times New Roman" w:hAnsi="Times New Roman"/>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4E2C8237">
            <w:pPr>
              <w:topLinePunct/>
              <w:spacing w:line="440" w:lineRule="exact"/>
              <w:jc w:val="center"/>
              <w:rPr>
                <w:rFonts w:ascii="Times New Roman" w:hAnsi="Times New Roman"/>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5590736">
            <w:pPr>
              <w:topLinePunct/>
              <w:spacing w:before="100" w:beforeAutospacing="1" w:after="100" w:afterAutospacing="1" w:line="440" w:lineRule="exact"/>
              <w:jc w:val="center"/>
              <w:rPr>
                <w:rFonts w:ascii="Times New Roman" w:hAnsi="Times New Roman"/>
              </w:rPr>
            </w:pPr>
            <w:r>
              <w:rPr>
                <w:rFonts w:ascii="Times New Roman" w:hAnsi="Times New Roman"/>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6D82542">
            <w:pPr>
              <w:topLinePunct/>
              <w:spacing w:line="440" w:lineRule="exact"/>
              <w:jc w:val="center"/>
              <w:rPr>
                <w:rFonts w:ascii="Times New Roman" w:hAnsi="Times New Roman"/>
              </w:rPr>
            </w:pPr>
          </w:p>
        </w:tc>
      </w:tr>
      <w:tr w14:paraId="166E7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95D890F">
            <w:pPr>
              <w:topLinePunct/>
              <w:spacing w:before="100" w:beforeAutospacing="1" w:after="100" w:afterAutospacing="1" w:line="440" w:lineRule="exact"/>
              <w:jc w:val="center"/>
              <w:rPr>
                <w:rFonts w:ascii="Times New Roman" w:hAnsi="Times New Roman"/>
              </w:rPr>
            </w:pPr>
            <w:r>
              <w:rPr>
                <w:rFonts w:ascii="Times New Roman" w:hAnsi="Times New Roman"/>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8E088CA">
            <w:pPr>
              <w:topLinePunct/>
              <w:spacing w:before="100" w:beforeAutospacing="1" w:after="100" w:afterAutospacing="1" w:line="440" w:lineRule="exact"/>
              <w:jc w:val="center"/>
              <w:rPr>
                <w:rFonts w:ascii="Times New Roman" w:hAnsi="Times New Roman"/>
              </w:rPr>
            </w:pPr>
            <w:r>
              <w:rPr>
                <w:rFonts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5227AAD1">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14:paraId="7C02E0E4">
            <w:pPr>
              <w:topLinePunct/>
              <w:spacing w:before="100" w:beforeAutospacing="1" w:after="100" w:afterAutospacing="1" w:line="440" w:lineRule="exact"/>
              <w:jc w:val="center"/>
              <w:rPr>
                <w:rFonts w:ascii="Times New Roman" w:hAnsi="Times New Roman"/>
              </w:rPr>
            </w:pPr>
            <w:r>
              <w:rPr>
                <w:rFonts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6A8ED17D">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C810952">
            <w:pPr>
              <w:topLinePunct/>
              <w:spacing w:before="100" w:beforeAutospacing="1" w:after="100" w:afterAutospacing="1" w:line="440" w:lineRule="exact"/>
              <w:jc w:val="center"/>
              <w:rPr>
                <w:rFonts w:ascii="Times New Roman" w:hAnsi="Times New Roman"/>
              </w:rPr>
            </w:pPr>
            <w:r>
              <w:rPr>
                <w:rFonts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130FB361">
            <w:pPr>
              <w:topLinePunct/>
              <w:spacing w:line="440" w:lineRule="exact"/>
              <w:jc w:val="center"/>
              <w:rPr>
                <w:rFonts w:ascii="Times New Roman" w:hAnsi="Times New Roman"/>
              </w:rPr>
            </w:pPr>
          </w:p>
        </w:tc>
      </w:tr>
      <w:tr w14:paraId="37BE5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80EA694">
            <w:pPr>
              <w:topLinePunct/>
              <w:spacing w:line="440" w:lineRule="exact"/>
              <w:jc w:val="center"/>
              <w:rPr>
                <w:rFonts w:ascii="Times New Roman" w:hAnsi="Times New Roman"/>
              </w:rPr>
            </w:pPr>
            <w:r>
              <w:rPr>
                <w:rFonts w:ascii="Times New Roman" w:hAnsi="Times New Roman"/>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DEC1C2F">
            <w:pPr>
              <w:topLinePunct/>
              <w:spacing w:before="100" w:beforeAutospacing="1" w:after="100" w:afterAutospacing="1" w:line="440" w:lineRule="exact"/>
              <w:jc w:val="center"/>
              <w:rPr>
                <w:rFonts w:ascii="Times New Roman" w:hAnsi="Times New Roman"/>
              </w:rPr>
            </w:pPr>
            <w:r>
              <w:rPr>
                <w:rFonts w:ascii="Times New Roman" w:hAnsi="Times New Roman"/>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00150AED">
            <w:pPr>
              <w:topLinePunct/>
              <w:spacing w:line="440" w:lineRule="exact"/>
              <w:jc w:val="center"/>
              <w:rPr>
                <w:rFonts w:ascii="Times New Roman" w:hAnsi="Times New Roman"/>
              </w:rPr>
            </w:pPr>
          </w:p>
        </w:tc>
        <w:tc>
          <w:tcPr>
            <w:tcW w:w="1287" w:type="dxa"/>
            <w:tcBorders>
              <w:top w:val="single" w:color="auto" w:sz="4" w:space="0"/>
              <w:left w:val="single" w:color="auto" w:sz="4" w:space="0"/>
              <w:bottom w:val="single" w:color="auto" w:sz="4" w:space="0"/>
              <w:right w:val="single" w:color="auto" w:sz="4" w:space="0"/>
            </w:tcBorders>
            <w:vAlign w:val="center"/>
          </w:tcPr>
          <w:p w14:paraId="0794681C">
            <w:pPr>
              <w:topLinePunct/>
              <w:spacing w:before="100" w:beforeAutospacing="1" w:after="100" w:afterAutospacing="1" w:line="440" w:lineRule="exact"/>
              <w:jc w:val="center"/>
              <w:rPr>
                <w:rFonts w:ascii="Times New Roman" w:hAnsi="Times New Roman"/>
              </w:rPr>
            </w:pPr>
            <w:r>
              <w:rPr>
                <w:rFonts w:ascii="Times New Roman" w:hAnsi="Times New Roman"/>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2AA9C852">
            <w:pPr>
              <w:topLinePunct/>
              <w:spacing w:line="440" w:lineRule="exact"/>
              <w:jc w:val="center"/>
              <w:rPr>
                <w:rFonts w:ascii="Times New Roman" w:hAnsi="Times New Roman"/>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B007A89">
            <w:pPr>
              <w:topLinePunct/>
              <w:spacing w:before="100" w:beforeAutospacing="1" w:after="100" w:afterAutospacing="1" w:line="440" w:lineRule="exact"/>
              <w:jc w:val="center"/>
              <w:rPr>
                <w:rFonts w:ascii="Times New Roman" w:hAnsi="Times New Roman"/>
              </w:rPr>
            </w:pPr>
            <w:r>
              <w:rPr>
                <w:rFonts w:ascii="Times New Roman" w:hAnsi="Times New Roman"/>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59993BDB">
            <w:pPr>
              <w:topLinePunct/>
              <w:spacing w:line="440" w:lineRule="exact"/>
              <w:jc w:val="center"/>
              <w:rPr>
                <w:rFonts w:ascii="Times New Roman" w:hAnsi="Times New Roman"/>
              </w:rPr>
            </w:pPr>
          </w:p>
        </w:tc>
      </w:tr>
      <w:tr w14:paraId="539A6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F83C905">
            <w:pPr>
              <w:topLinePunct/>
              <w:spacing w:before="100" w:beforeAutospacing="1" w:after="100" w:afterAutospacing="1" w:line="440" w:lineRule="exact"/>
              <w:jc w:val="center"/>
              <w:rPr>
                <w:rFonts w:ascii="Times New Roman" w:hAnsi="Times New Roman"/>
              </w:rPr>
            </w:pPr>
            <w:r>
              <w:rPr>
                <w:rFonts w:ascii="Times New Roman" w:hAnsi="Times New Roman"/>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F502A4E">
            <w:pPr>
              <w:topLinePunct/>
              <w:spacing w:before="100" w:beforeAutospacing="1" w:after="100" w:afterAutospacing="1" w:line="440" w:lineRule="exact"/>
              <w:ind w:firstLine="105" w:firstLineChars="50"/>
              <w:jc w:val="center"/>
              <w:rPr>
                <w:rFonts w:ascii="Times New Roman" w:hAnsi="Times New Roman"/>
              </w:rPr>
            </w:pPr>
            <w:r>
              <w:rPr>
                <w:rFonts w:ascii="Times New Roman" w:hAnsi="Times New Roman"/>
              </w:rPr>
              <w:t>类型：                    等级：      证书号：</w:t>
            </w:r>
          </w:p>
        </w:tc>
      </w:tr>
      <w:tr w14:paraId="6C8B3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8D85938">
            <w:pPr>
              <w:topLinePunct/>
              <w:spacing w:before="100" w:beforeAutospacing="1" w:after="100" w:afterAutospacing="1" w:line="440" w:lineRule="exact"/>
              <w:jc w:val="center"/>
              <w:rPr>
                <w:rFonts w:ascii="Times New Roman" w:hAnsi="Times New Roman"/>
              </w:rPr>
            </w:pPr>
            <w:r>
              <w:rPr>
                <w:rFonts w:ascii="Times New Roman" w:hAnsi="Times New Roman"/>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27398BE">
            <w:pPr>
              <w:topLinePunct/>
              <w:spacing w:line="440" w:lineRule="exact"/>
              <w:jc w:val="center"/>
              <w:rPr>
                <w:rFonts w:ascii="Times New Roman" w:hAnsi="Times New Roman"/>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691E2C70">
            <w:pPr>
              <w:topLinePunct/>
              <w:spacing w:before="100" w:beforeAutospacing="1" w:after="100" w:afterAutospacing="1" w:line="440" w:lineRule="exact"/>
              <w:jc w:val="center"/>
              <w:rPr>
                <w:rFonts w:ascii="Times New Roman" w:hAnsi="Times New Roman"/>
              </w:rPr>
            </w:pPr>
            <w:r>
              <w:rPr>
                <w:rFonts w:ascii="Times New Roman" w:hAnsi="Times New Roman"/>
              </w:rPr>
              <w:t>员工总人数：</w:t>
            </w:r>
          </w:p>
        </w:tc>
      </w:tr>
      <w:tr w14:paraId="26307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AE51B17">
            <w:pPr>
              <w:topLinePunct/>
              <w:spacing w:before="100" w:beforeAutospacing="1" w:after="100" w:afterAutospacing="1" w:line="440" w:lineRule="exact"/>
              <w:jc w:val="center"/>
              <w:rPr>
                <w:rFonts w:ascii="Times New Roman" w:hAnsi="Times New Roman"/>
              </w:rPr>
            </w:pPr>
            <w:r>
              <w:rPr>
                <w:rFonts w:ascii="Times New Roman" w:hAnsi="Times New Roman"/>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43AB480D">
            <w:pPr>
              <w:topLinePunct/>
              <w:spacing w:line="440" w:lineRule="exact"/>
              <w:jc w:val="center"/>
              <w:rPr>
                <w:rFonts w:ascii="Times New Roman" w:hAnsi="Times New Roman"/>
              </w:rPr>
            </w:pPr>
          </w:p>
        </w:tc>
        <w:tc>
          <w:tcPr>
            <w:tcW w:w="414" w:type="dxa"/>
            <w:vMerge w:val="restart"/>
            <w:tcBorders>
              <w:top w:val="single" w:color="auto" w:sz="4" w:space="0"/>
              <w:left w:val="single" w:color="auto" w:sz="4" w:space="0"/>
              <w:right w:val="single" w:color="auto" w:sz="4" w:space="0"/>
            </w:tcBorders>
            <w:vAlign w:val="center"/>
          </w:tcPr>
          <w:p w14:paraId="046638D9">
            <w:pPr>
              <w:topLinePunct/>
              <w:spacing w:before="100" w:beforeAutospacing="1" w:after="100" w:afterAutospacing="1" w:line="440" w:lineRule="exact"/>
              <w:jc w:val="center"/>
              <w:rPr>
                <w:rFonts w:ascii="Times New Roman" w:hAnsi="Times New Roman"/>
              </w:rPr>
            </w:pPr>
            <w:r>
              <w:rPr>
                <w:rFonts w:ascii="Times New Roman" w:hAnsi="Times New Roman"/>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8F869D8">
            <w:pPr>
              <w:topLinePunct/>
              <w:spacing w:before="100" w:beforeAutospacing="1" w:after="100" w:afterAutospacing="1" w:line="440" w:lineRule="exact"/>
              <w:jc w:val="center"/>
              <w:rPr>
                <w:rFonts w:ascii="Times New Roman" w:hAnsi="Times New Roman"/>
              </w:rPr>
            </w:pPr>
            <w:r>
              <w:rPr>
                <w:rFonts w:ascii="Times New Roman" w:hAnsi="Times New Roman"/>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65C4FA63">
            <w:pPr>
              <w:topLinePunct/>
              <w:spacing w:line="440" w:lineRule="exact"/>
              <w:jc w:val="center"/>
              <w:rPr>
                <w:rFonts w:ascii="Times New Roman" w:hAnsi="Times New Roman"/>
              </w:rPr>
            </w:pPr>
          </w:p>
        </w:tc>
      </w:tr>
      <w:tr w14:paraId="673AF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3209F47">
            <w:pPr>
              <w:topLinePunct/>
              <w:spacing w:before="100" w:beforeAutospacing="1" w:after="100" w:afterAutospacing="1" w:line="440" w:lineRule="exact"/>
              <w:jc w:val="center"/>
              <w:rPr>
                <w:rFonts w:ascii="Times New Roman" w:hAnsi="Times New Roman"/>
              </w:rPr>
            </w:pPr>
            <w:r>
              <w:rPr>
                <w:rFonts w:ascii="Times New Roman" w:hAnsi="Times New Roman"/>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AA6B866">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14:paraId="75CE963F">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831EF90">
            <w:pPr>
              <w:topLinePunct/>
              <w:spacing w:before="100" w:beforeAutospacing="1" w:after="100" w:afterAutospacing="1" w:line="440" w:lineRule="exact"/>
              <w:jc w:val="center"/>
              <w:rPr>
                <w:rFonts w:ascii="Times New Roman" w:hAnsi="Times New Roman"/>
              </w:rPr>
            </w:pPr>
            <w:r>
              <w:rPr>
                <w:rFonts w:ascii="Times New Roman" w:hAnsi="Times New Roman"/>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66BD54E">
            <w:pPr>
              <w:topLinePunct/>
              <w:spacing w:line="440" w:lineRule="exact"/>
              <w:jc w:val="center"/>
              <w:rPr>
                <w:rFonts w:ascii="Times New Roman" w:hAnsi="Times New Roman"/>
              </w:rPr>
            </w:pPr>
          </w:p>
        </w:tc>
      </w:tr>
      <w:tr w14:paraId="42506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3AFB95E">
            <w:pPr>
              <w:topLinePunct/>
              <w:spacing w:before="100" w:beforeAutospacing="1" w:after="100" w:afterAutospacing="1" w:line="440" w:lineRule="exact"/>
              <w:jc w:val="center"/>
              <w:rPr>
                <w:rFonts w:ascii="Times New Roman" w:hAnsi="Times New Roman"/>
              </w:rPr>
            </w:pPr>
            <w:r>
              <w:rPr>
                <w:rFonts w:ascii="Times New Roman" w:hAnsi="Times New Roman"/>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293D01A">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14:paraId="389C2AA7">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F493814">
            <w:pPr>
              <w:topLinePunct/>
              <w:spacing w:before="100" w:beforeAutospacing="1" w:after="100" w:afterAutospacing="1" w:line="440" w:lineRule="exact"/>
              <w:jc w:val="center"/>
              <w:rPr>
                <w:rFonts w:ascii="Times New Roman" w:hAnsi="Times New Roman"/>
              </w:rPr>
            </w:pPr>
            <w:r>
              <w:rPr>
                <w:rFonts w:ascii="Times New Roman" w:hAnsi="Times New Roman"/>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D6319E1">
            <w:pPr>
              <w:topLinePunct/>
              <w:spacing w:line="440" w:lineRule="exact"/>
              <w:jc w:val="center"/>
              <w:rPr>
                <w:rFonts w:ascii="Times New Roman" w:hAnsi="Times New Roman"/>
              </w:rPr>
            </w:pPr>
          </w:p>
        </w:tc>
      </w:tr>
      <w:tr w14:paraId="4679A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46C471CE">
            <w:pPr>
              <w:topLinePunct/>
              <w:spacing w:before="100" w:beforeAutospacing="1" w:after="100" w:afterAutospacing="1" w:line="440" w:lineRule="exact"/>
              <w:jc w:val="center"/>
              <w:rPr>
                <w:rFonts w:ascii="Times New Roman" w:hAnsi="Times New Roman"/>
              </w:rPr>
            </w:pPr>
            <w:r>
              <w:rPr>
                <w:rFonts w:ascii="Times New Roman" w:hAnsi="Times New Roman"/>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3AA474D">
            <w:pPr>
              <w:topLinePunct/>
              <w:spacing w:line="440" w:lineRule="exact"/>
              <w:jc w:val="center"/>
              <w:rPr>
                <w:rFonts w:ascii="Times New Roman" w:hAnsi="Times New Roman"/>
              </w:rPr>
            </w:pPr>
          </w:p>
        </w:tc>
        <w:tc>
          <w:tcPr>
            <w:tcW w:w="414" w:type="dxa"/>
            <w:vMerge w:val="continue"/>
            <w:tcBorders>
              <w:left w:val="single" w:color="auto" w:sz="4" w:space="0"/>
              <w:right w:val="single" w:color="auto" w:sz="4" w:space="0"/>
            </w:tcBorders>
            <w:vAlign w:val="center"/>
          </w:tcPr>
          <w:p w14:paraId="242634E4">
            <w:pPr>
              <w:jc w:val="center"/>
              <w:rPr>
                <w:rFonts w:ascii="Times New Roman" w:hAnsi="Times New Roman"/>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F9F5B26">
            <w:pPr>
              <w:topLinePunct/>
              <w:spacing w:before="100" w:beforeAutospacing="1" w:after="100" w:afterAutospacing="1" w:line="440" w:lineRule="exact"/>
              <w:jc w:val="center"/>
              <w:rPr>
                <w:rFonts w:ascii="Times New Roman" w:hAnsi="Times New Roman"/>
              </w:rPr>
            </w:pPr>
            <w:r>
              <w:rPr>
                <w:rFonts w:ascii="Times New Roman" w:hAnsi="Times New Roman"/>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7F3A50EC">
            <w:pPr>
              <w:topLinePunct/>
              <w:spacing w:line="440" w:lineRule="exact"/>
              <w:jc w:val="center"/>
              <w:rPr>
                <w:rFonts w:ascii="Times New Roman" w:hAnsi="Times New Roman"/>
              </w:rPr>
            </w:pPr>
          </w:p>
        </w:tc>
      </w:tr>
      <w:tr w14:paraId="317E6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F6DA9D6">
            <w:pPr>
              <w:topLinePunct/>
              <w:spacing w:before="100" w:beforeAutospacing="1" w:after="100" w:afterAutospacing="1" w:line="440" w:lineRule="exact"/>
              <w:ind w:firstLine="210" w:firstLineChars="100"/>
              <w:jc w:val="center"/>
              <w:rPr>
                <w:rFonts w:ascii="Times New Roman" w:hAnsi="Times New Roman"/>
              </w:rPr>
            </w:pPr>
            <w:r>
              <w:rPr>
                <w:rFonts w:ascii="Times New Roman" w:hAnsi="Times New Roman"/>
              </w:rPr>
              <w:t>经营范围</w:t>
            </w:r>
          </w:p>
        </w:tc>
        <w:tc>
          <w:tcPr>
            <w:tcW w:w="6840" w:type="dxa"/>
            <w:gridSpan w:val="8"/>
            <w:tcBorders>
              <w:top w:val="single" w:color="auto" w:sz="4" w:space="0"/>
              <w:left w:val="single" w:color="auto" w:sz="4" w:space="0"/>
              <w:right w:val="single" w:color="auto" w:sz="4" w:space="0"/>
            </w:tcBorders>
            <w:vAlign w:val="center"/>
          </w:tcPr>
          <w:p w14:paraId="24078380">
            <w:pPr>
              <w:topLinePunct/>
              <w:spacing w:line="440" w:lineRule="exact"/>
              <w:jc w:val="center"/>
              <w:rPr>
                <w:rFonts w:ascii="Times New Roman" w:hAnsi="Times New Roman"/>
              </w:rPr>
            </w:pPr>
          </w:p>
        </w:tc>
      </w:tr>
      <w:tr w14:paraId="38785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429C2B7D">
            <w:pPr>
              <w:topLinePunct/>
              <w:spacing w:before="100" w:beforeAutospacing="1" w:after="100" w:afterAutospacing="1" w:line="440" w:lineRule="exact"/>
              <w:jc w:val="center"/>
              <w:rPr>
                <w:rFonts w:ascii="Times New Roman" w:hAnsi="Times New Roman"/>
              </w:rPr>
            </w:pPr>
            <w:r>
              <w:rPr>
                <w:rFonts w:ascii="Times New Roman" w:hAnsi="Times New Roman"/>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3B97D1FE">
            <w:pPr>
              <w:topLinePunct/>
              <w:spacing w:line="440" w:lineRule="exact"/>
              <w:jc w:val="center"/>
              <w:rPr>
                <w:rFonts w:ascii="Times New Roman" w:hAnsi="Times New Roman"/>
              </w:rPr>
            </w:pPr>
          </w:p>
        </w:tc>
      </w:tr>
      <w:tr w14:paraId="0BABC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B3B01DD">
            <w:pPr>
              <w:topLinePunct/>
              <w:spacing w:before="100" w:beforeAutospacing="1" w:after="100" w:afterAutospacing="1" w:line="440" w:lineRule="exact"/>
              <w:jc w:val="center"/>
              <w:rPr>
                <w:rFonts w:ascii="Times New Roman" w:hAnsi="Times New Roman"/>
              </w:rPr>
            </w:pPr>
            <w:r>
              <w:rPr>
                <w:rFonts w:ascii="Times New Roman" w:hAnsi="Times New Roman"/>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3260AC5B">
            <w:pPr>
              <w:topLinePunct/>
              <w:spacing w:line="440" w:lineRule="exact"/>
              <w:jc w:val="center"/>
              <w:rPr>
                <w:rFonts w:ascii="Times New Roman" w:hAnsi="Times New Roman"/>
              </w:rPr>
            </w:pPr>
          </w:p>
        </w:tc>
      </w:tr>
    </w:tbl>
    <w:p w14:paraId="093DA885">
      <w:pPr>
        <w:spacing w:line="400" w:lineRule="exact"/>
        <w:rPr>
          <w:rFonts w:ascii="Times New Roman" w:hAnsi="Times New Roman"/>
        </w:rPr>
      </w:pPr>
      <w:r>
        <w:rPr>
          <w:rFonts w:ascii="Times New Roman" w:hAnsi="Times New Roman"/>
        </w:rPr>
        <w:t>注：</w:t>
      </w:r>
      <w:r>
        <w:rPr>
          <w:rFonts w:hint="eastAsia" w:ascii="宋体" w:hAnsi="宋体" w:cs="宋体"/>
          <w:szCs w:val="20"/>
        </w:rPr>
        <w:t>在本表后附相关证</w:t>
      </w:r>
      <w:bookmarkStart w:id="1157" w:name="_Toc520184752"/>
      <w:r>
        <w:rPr>
          <w:rFonts w:hint="eastAsia" w:ascii="宋体" w:hAnsi="宋体" w:cs="宋体"/>
          <w:szCs w:val="20"/>
        </w:rPr>
        <w:t>明材料。</w:t>
      </w:r>
      <w:bookmarkEnd w:id="1157"/>
    </w:p>
    <w:bookmarkEnd w:id="1147"/>
    <w:p w14:paraId="674ED383">
      <w:bookmarkStart w:id="1158" w:name="_Toc384308390"/>
      <w:bookmarkStart w:id="1159" w:name="_Toc370676440"/>
      <w:bookmarkStart w:id="1160" w:name="_Toc300835232"/>
      <w:bookmarkStart w:id="1161" w:name="_Toc152042594"/>
      <w:bookmarkStart w:id="1162" w:name="_Toc9737"/>
      <w:bookmarkStart w:id="1163" w:name="_Toc385943079"/>
      <w:bookmarkStart w:id="1164" w:name="_Toc482188668"/>
      <w:bookmarkStart w:id="1165" w:name="_Toc144974873"/>
      <w:bookmarkStart w:id="1166" w:name="_Toc152045805"/>
      <w:bookmarkStart w:id="1167" w:name="_Toc359594249"/>
      <w:bookmarkStart w:id="1168" w:name="_Toc179632825"/>
      <w:bookmarkStart w:id="1169" w:name="_Toc391394125"/>
      <w:bookmarkStart w:id="1170" w:name="_Toc12423"/>
      <w:bookmarkStart w:id="1171" w:name="_Toc29320"/>
      <w:bookmarkStart w:id="1172" w:name="_Toc29422"/>
      <w:bookmarkStart w:id="1173" w:name="_Toc12664"/>
    </w:p>
    <w:p w14:paraId="6DBEBD77"/>
    <w:p w14:paraId="6CD61F4F">
      <w:pPr>
        <w:pStyle w:val="2"/>
      </w:pPr>
    </w:p>
    <w:p w14:paraId="59D633B6">
      <w:pPr>
        <w:pStyle w:val="2"/>
      </w:pPr>
    </w:p>
    <w:p w14:paraId="65A9468D"/>
    <w:p w14:paraId="4E35459B">
      <w:pPr>
        <w:pStyle w:val="2"/>
      </w:pPr>
    </w:p>
    <w:p w14:paraId="5114100B">
      <w:pPr>
        <w:pStyle w:val="5"/>
        <w:keepNext w:val="0"/>
        <w:keepLines w:val="0"/>
        <w:spacing w:before="20" w:after="0"/>
        <w:ind w:firstLine="137"/>
        <w:jc w:val="center"/>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w:t>
      </w:r>
      <w:r>
        <w:rPr>
          <w:rFonts w:hint="eastAsia" w:ascii="Times New Roman" w:hAnsi="Times New Roman"/>
        </w:rPr>
        <w:t>项目负责人</w:t>
      </w:r>
      <w:r>
        <w:rPr>
          <w:rFonts w:ascii="Times New Roman" w:hAnsi="Times New Roman"/>
        </w:rPr>
        <w:t>简历表</w:t>
      </w:r>
      <w:bookmarkEnd w:id="1158"/>
      <w:bookmarkEnd w:id="1159"/>
      <w:bookmarkEnd w:id="1160"/>
      <w:bookmarkEnd w:id="1161"/>
      <w:bookmarkEnd w:id="1162"/>
      <w:bookmarkEnd w:id="1163"/>
      <w:bookmarkEnd w:id="1164"/>
      <w:bookmarkEnd w:id="1165"/>
      <w:bookmarkEnd w:id="1166"/>
      <w:bookmarkEnd w:id="1167"/>
      <w:bookmarkEnd w:id="1168"/>
      <w:bookmarkEnd w:id="1169"/>
      <w:r>
        <w:rPr>
          <w:rFonts w:ascii="Times New Roman" w:hAnsi="Times New Roman"/>
        </w:rPr>
        <w:t>（格式可自定）</w:t>
      </w:r>
      <w:bookmarkEnd w:id="1170"/>
      <w:bookmarkEnd w:id="1171"/>
      <w:bookmarkEnd w:id="1172"/>
      <w:bookmarkEnd w:id="1173"/>
    </w:p>
    <w:p w14:paraId="36EFD8D9">
      <w:pPr>
        <w:topLinePunct/>
        <w:spacing w:line="440" w:lineRule="exact"/>
        <w:jc w:val="center"/>
        <w:rPr>
          <w:rFonts w:ascii="Times New Roman" w:hAnsi="Times New Roman"/>
          <w:sz w:val="23"/>
        </w:rPr>
      </w:pP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7958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77B76563">
            <w:pPr>
              <w:spacing w:line="440" w:lineRule="exact"/>
              <w:jc w:val="center"/>
              <w:rPr>
                <w:rFonts w:ascii="Times New Roman" w:hAnsi="Times New Roman"/>
              </w:rPr>
            </w:pPr>
            <w:r>
              <w:rPr>
                <w:rFonts w:ascii="Times New Roman" w:hAnsi="Times New Roman"/>
              </w:rPr>
              <w:t>姓  名</w:t>
            </w:r>
          </w:p>
        </w:tc>
        <w:tc>
          <w:tcPr>
            <w:tcW w:w="1048" w:type="dxa"/>
            <w:gridSpan w:val="2"/>
            <w:vAlign w:val="center"/>
          </w:tcPr>
          <w:p w14:paraId="6C2F02F2">
            <w:pPr>
              <w:spacing w:line="440" w:lineRule="exact"/>
              <w:jc w:val="center"/>
              <w:rPr>
                <w:rFonts w:ascii="Times New Roman" w:hAnsi="Times New Roman"/>
              </w:rPr>
            </w:pPr>
          </w:p>
        </w:tc>
        <w:tc>
          <w:tcPr>
            <w:tcW w:w="958" w:type="dxa"/>
            <w:vAlign w:val="center"/>
          </w:tcPr>
          <w:p w14:paraId="5B0DEE01">
            <w:pPr>
              <w:spacing w:line="440" w:lineRule="exact"/>
              <w:jc w:val="center"/>
              <w:rPr>
                <w:rFonts w:ascii="Times New Roman" w:hAnsi="Times New Roman"/>
              </w:rPr>
            </w:pPr>
            <w:r>
              <w:rPr>
                <w:rFonts w:ascii="Times New Roman" w:hAnsi="Times New Roman"/>
              </w:rPr>
              <w:t>年龄</w:t>
            </w:r>
          </w:p>
        </w:tc>
        <w:tc>
          <w:tcPr>
            <w:tcW w:w="1065" w:type="dxa"/>
            <w:vAlign w:val="center"/>
          </w:tcPr>
          <w:p w14:paraId="65600ABD">
            <w:pPr>
              <w:spacing w:line="440" w:lineRule="exact"/>
              <w:jc w:val="center"/>
              <w:rPr>
                <w:rFonts w:ascii="Times New Roman" w:hAnsi="Times New Roman"/>
              </w:rPr>
            </w:pPr>
          </w:p>
        </w:tc>
        <w:tc>
          <w:tcPr>
            <w:tcW w:w="2368" w:type="dxa"/>
            <w:gridSpan w:val="3"/>
            <w:vAlign w:val="center"/>
          </w:tcPr>
          <w:p w14:paraId="7D9E0C7D">
            <w:pPr>
              <w:spacing w:line="440" w:lineRule="exact"/>
              <w:jc w:val="center"/>
              <w:rPr>
                <w:rFonts w:ascii="Times New Roman" w:hAnsi="Times New Roman"/>
              </w:rPr>
            </w:pPr>
            <w:r>
              <w:rPr>
                <w:rFonts w:ascii="Times New Roman" w:hAnsi="Times New Roman"/>
              </w:rPr>
              <w:t>拟在本项目任职</w:t>
            </w:r>
          </w:p>
        </w:tc>
        <w:tc>
          <w:tcPr>
            <w:tcW w:w="1896" w:type="dxa"/>
            <w:vAlign w:val="center"/>
          </w:tcPr>
          <w:p w14:paraId="5B120684">
            <w:pPr>
              <w:spacing w:line="440" w:lineRule="exact"/>
              <w:jc w:val="center"/>
              <w:rPr>
                <w:rFonts w:ascii="Times New Roman" w:hAnsi="Times New Roman"/>
              </w:rPr>
            </w:pPr>
          </w:p>
        </w:tc>
      </w:tr>
      <w:tr w14:paraId="1C4D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3A0C4AFC">
            <w:pPr>
              <w:spacing w:line="440" w:lineRule="exact"/>
              <w:jc w:val="center"/>
              <w:rPr>
                <w:rFonts w:ascii="Times New Roman" w:hAnsi="Times New Roman"/>
              </w:rPr>
            </w:pPr>
            <w:r>
              <w:rPr>
                <w:rFonts w:ascii="Times New Roman" w:hAnsi="Times New Roman"/>
              </w:rPr>
              <w:t>职  称</w:t>
            </w:r>
          </w:p>
        </w:tc>
        <w:tc>
          <w:tcPr>
            <w:tcW w:w="1048" w:type="dxa"/>
            <w:gridSpan w:val="2"/>
            <w:vAlign w:val="center"/>
          </w:tcPr>
          <w:p w14:paraId="1AE8D70C">
            <w:pPr>
              <w:spacing w:line="440" w:lineRule="exact"/>
              <w:jc w:val="center"/>
              <w:rPr>
                <w:rFonts w:ascii="Times New Roman" w:hAnsi="Times New Roman"/>
              </w:rPr>
            </w:pPr>
          </w:p>
        </w:tc>
        <w:tc>
          <w:tcPr>
            <w:tcW w:w="958" w:type="dxa"/>
            <w:vAlign w:val="center"/>
          </w:tcPr>
          <w:p w14:paraId="6F19A63C">
            <w:pPr>
              <w:spacing w:before="100" w:beforeAutospacing="1" w:after="100" w:afterAutospacing="1" w:line="440" w:lineRule="exact"/>
              <w:jc w:val="center"/>
              <w:rPr>
                <w:rFonts w:ascii="Times New Roman" w:hAnsi="Times New Roman"/>
              </w:rPr>
            </w:pPr>
            <w:r>
              <w:rPr>
                <w:rFonts w:ascii="Times New Roman" w:hAnsi="Times New Roman"/>
              </w:rPr>
              <w:t>学历</w:t>
            </w:r>
          </w:p>
        </w:tc>
        <w:tc>
          <w:tcPr>
            <w:tcW w:w="1065" w:type="dxa"/>
            <w:vAlign w:val="center"/>
          </w:tcPr>
          <w:p w14:paraId="34FE1688">
            <w:pPr>
              <w:spacing w:line="440" w:lineRule="exact"/>
              <w:jc w:val="center"/>
              <w:rPr>
                <w:rFonts w:ascii="Times New Roman" w:hAnsi="Times New Roman"/>
              </w:rPr>
            </w:pPr>
          </w:p>
        </w:tc>
        <w:tc>
          <w:tcPr>
            <w:tcW w:w="2368" w:type="dxa"/>
            <w:gridSpan w:val="3"/>
            <w:vAlign w:val="center"/>
          </w:tcPr>
          <w:p w14:paraId="4874A124">
            <w:pPr>
              <w:spacing w:before="100" w:beforeAutospacing="1" w:after="100" w:afterAutospacing="1" w:line="440" w:lineRule="exact"/>
              <w:jc w:val="center"/>
              <w:rPr>
                <w:rFonts w:ascii="Times New Roman" w:hAnsi="Times New Roman"/>
              </w:rPr>
            </w:pPr>
            <w:r>
              <w:rPr>
                <w:rFonts w:ascii="Times New Roman" w:hAnsi="Times New Roman"/>
              </w:rPr>
              <w:t>工作年限</w:t>
            </w:r>
          </w:p>
        </w:tc>
        <w:tc>
          <w:tcPr>
            <w:tcW w:w="1896" w:type="dxa"/>
            <w:vAlign w:val="center"/>
          </w:tcPr>
          <w:p w14:paraId="4FC3B262">
            <w:pPr>
              <w:spacing w:line="440" w:lineRule="exact"/>
              <w:jc w:val="center"/>
              <w:rPr>
                <w:rFonts w:ascii="Times New Roman" w:hAnsi="Times New Roman"/>
              </w:rPr>
            </w:pPr>
          </w:p>
        </w:tc>
      </w:tr>
      <w:tr w14:paraId="740E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6D6AB31A">
            <w:pPr>
              <w:spacing w:before="100" w:beforeAutospacing="1" w:after="100" w:afterAutospacing="1" w:line="440" w:lineRule="exact"/>
              <w:jc w:val="center"/>
              <w:rPr>
                <w:rFonts w:ascii="Times New Roman" w:hAnsi="Times New Roman"/>
              </w:rPr>
            </w:pPr>
            <w:r>
              <w:rPr>
                <w:rFonts w:ascii="Times New Roman" w:hAnsi="Times New Roman"/>
              </w:rPr>
              <w:t>毕业学校</w:t>
            </w:r>
          </w:p>
        </w:tc>
        <w:tc>
          <w:tcPr>
            <w:tcW w:w="7335" w:type="dxa"/>
            <w:gridSpan w:val="8"/>
            <w:vAlign w:val="center"/>
          </w:tcPr>
          <w:p w14:paraId="4345F3DC">
            <w:pPr>
              <w:spacing w:before="100" w:beforeAutospacing="1" w:after="100" w:afterAutospacing="1" w:line="440" w:lineRule="exact"/>
              <w:ind w:firstLine="1155" w:firstLineChars="550"/>
              <w:rPr>
                <w:rFonts w:ascii="Times New Roman" w:hAnsi="Times New Roman"/>
              </w:rPr>
            </w:pPr>
            <w:r>
              <w:rPr>
                <w:rFonts w:ascii="Times New Roman" w:hAnsi="Times New Roman"/>
              </w:rPr>
              <w:t>年毕业于            学校        专业</w:t>
            </w:r>
          </w:p>
        </w:tc>
      </w:tr>
      <w:tr w14:paraId="1892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14059BD3">
            <w:pPr>
              <w:spacing w:before="100" w:beforeAutospacing="1" w:after="100" w:afterAutospacing="1" w:line="440" w:lineRule="exact"/>
              <w:jc w:val="left"/>
              <w:rPr>
                <w:rFonts w:ascii="Times New Roman" w:hAnsi="Times New Roman"/>
              </w:rPr>
            </w:pPr>
            <w:r>
              <w:rPr>
                <w:rFonts w:ascii="Times New Roman" w:hAnsi="Times New Roman"/>
              </w:rPr>
              <w:t>主要工作经历</w:t>
            </w:r>
          </w:p>
        </w:tc>
      </w:tr>
      <w:tr w14:paraId="56F2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53665F06">
            <w:pPr>
              <w:spacing w:before="100" w:beforeAutospacing="1" w:after="100" w:afterAutospacing="1" w:line="440" w:lineRule="exact"/>
              <w:jc w:val="center"/>
              <w:rPr>
                <w:rFonts w:ascii="Times New Roman" w:hAnsi="Times New Roman"/>
              </w:rPr>
            </w:pPr>
            <w:r>
              <w:rPr>
                <w:rFonts w:ascii="Times New Roman" w:hAnsi="Times New Roman"/>
              </w:rPr>
              <w:t>时  间</w:t>
            </w:r>
          </w:p>
        </w:tc>
        <w:tc>
          <w:tcPr>
            <w:tcW w:w="3420" w:type="dxa"/>
            <w:gridSpan w:val="4"/>
            <w:vAlign w:val="center"/>
          </w:tcPr>
          <w:p w14:paraId="3BE87053">
            <w:pPr>
              <w:spacing w:before="100" w:beforeAutospacing="1" w:after="100" w:afterAutospacing="1" w:line="440" w:lineRule="exact"/>
              <w:jc w:val="center"/>
              <w:rPr>
                <w:rFonts w:ascii="Times New Roman" w:hAnsi="Times New Roman"/>
              </w:rPr>
            </w:pPr>
            <w:r>
              <w:rPr>
                <w:rFonts w:ascii="Times New Roman" w:hAnsi="Times New Roman"/>
              </w:rPr>
              <w:t>参加过的类似项目</w:t>
            </w:r>
          </w:p>
        </w:tc>
        <w:tc>
          <w:tcPr>
            <w:tcW w:w="1261" w:type="dxa"/>
            <w:vAlign w:val="center"/>
          </w:tcPr>
          <w:p w14:paraId="27DE246F">
            <w:pPr>
              <w:spacing w:before="100" w:beforeAutospacing="1" w:after="100" w:afterAutospacing="1" w:line="440" w:lineRule="exact"/>
              <w:jc w:val="center"/>
              <w:rPr>
                <w:rFonts w:ascii="Times New Roman" w:hAnsi="Times New Roman"/>
              </w:rPr>
            </w:pPr>
            <w:r>
              <w:rPr>
                <w:rFonts w:ascii="Times New Roman" w:hAnsi="Times New Roman"/>
              </w:rPr>
              <w:t>担任职务</w:t>
            </w:r>
          </w:p>
        </w:tc>
        <w:tc>
          <w:tcPr>
            <w:tcW w:w="2297" w:type="dxa"/>
            <w:gridSpan w:val="2"/>
            <w:vAlign w:val="center"/>
          </w:tcPr>
          <w:p w14:paraId="28AF9A89">
            <w:pPr>
              <w:spacing w:before="100" w:beforeAutospacing="1" w:after="100" w:afterAutospacing="1" w:line="440" w:lineRule="exact"/>
              <w:jc w:val="center"/>
              <w:rPr>
                <w:rFonts w:ascii="Times New Roman" w:hAnsi="Times New Roman"/>
              </w:rPr>
            </w:pPr>
            <w:r>
              <w:rPr>
                <w:rFonts w:ascii="Times New Roman" w:hAnsi="Times New Roman"/>
              </w:rPr>
              <w:t>委托人及联系电话</w:t>
            </w:r>
          </w:p>
        </w:tc>
      </w:tr>
      <w:tr w14:paraId="42E5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1B46FA60">
            <w:pPr>
              <w:spacing w:line="440" w:lineRule="exact"/>
              <w:rPr>
                <w:rFonts w:ascii="Times New Roman" w:hAnsi="Times New Roman"/>
              </w:rPr>
            </w:pPr>
          </w:p>
        </w:tc>
        <w:tc>
          <w:tcPr>
            <w:tcW w:w="3420" w:type="dxa"/>
            <w:gridSpan w:val="4"/>
          </w:tcPr>
          <w:p w14:paraId="39BCAC90">
            <w:pPr>
              <w:spacing w:line="440" w:lineRule="exact"/>
              <w:rPr>
                <w:rFonts w:ascii="Times New Roman" w:hAnsi="Times New Roman"/>
              </w:rPr>
            </w:pPr>
          </w:p>
        </w:tc>
        <w:tc>
          <w:tcPr>
            <w:tcW w:w="1261" w:type="dxa"/>
          </w:tcPr>
          <w:p w14:paraId="14A1C07B">
            <w:pPr>
              <w:spacing w:line="440" w:lineRule="exact"/>
              <w:rPr>
                <w:rFonts w:ascii="Times New Roman" w:hAnsi="Times New Roman"/>
              </w:rPr>
            </w:pPr>
          </w:p>
        </w:tc>
        <w:tc>
          <w:tcPr>
            <w:tcW w:w="2297" w:type="dxa"/>
            <w:gridSpan w:val="2"/>
          </w:tcPr>
          <w:p w14:paraId="012A8415">
            <w:pPr>
              <w:spacing w:line="440" w:lineRule="exact"/>
              <w:rPr>
                <w:rFonts w:ascii="Times New Roman" w:hAnsi="Times New Roman"/>
              </w:rPr>
            </w:pPr>
          </w:p>
        </w:tc>
      </w:tr>
      <w:tr w14:paraId="7E01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6D997058">
            <w:pPr>
              <w:spacing w:line="440" w:lineRule="exact"/>
              <w:rPr>
                <w:rFonts w:ascii="Times New Roman" w:hAnsi="Times New Roman"/>
              </w:rPr>
            </w:pPr>
          </w:p>
        </w:tc>
        <w:tc>
          <w:tcPr>
            <w:tcW w:w="3420" w:type="dxa"/>
            <w:gridSpan w:val="4"/>
          </w:tcPr>
          <w:p w14:paraId="341FDE6A">
            <w:pPr>
              <w:spacing w:line="440" w:lineRule="exact"/>
              <w:rPr>
                <w:rFonts w:ascii="Times New Roman" w:hAnsi="Times New Roman"/>
              </w:rPr>
            </w:pPr>
          </w:p>
        </w:tc>
        <w:tc>
          <w:tcPr>
            <w:tcW w:w="1261" w:type="dxa"/>
          </w:tcPr>
          <w:p w14:paraId="06BD57E9">
            <w:pPr>
              <w:spacing w:line="440" w:lineRule="exact"/>
              <w:rPr>
                <w:rFonts w:ascii="Times New Roman" w:hAnsi="Times New Roman"/>
              </w:rPr>
            </w:pPr>
          </w:p>
        </w:tc>
        <w:tc>
          <w:tcPr>
            <w:tcW w:w="2297" w:type="dxa"/>
            <w:gridSpan w:val="2"/>
          </w:tcPr>
          <w:p w14:paraId="1F4F7C8D">
            <w:pPr>
              <w:spacing w:line="440" w:lineRule="exact"/>
              <w:rPr>
                <w:rFonts w:ascii="Times New Roman" w:hAnsi="Times New Roman"/>
              </w:rPr>
            </w:pPr>
          </w:p>
        </w:tc>
      </w:tr>
      <w:tr w14:paraId="233F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76A2302">
            <w:pPr>
              <w:spacing w:line="440" w:lineRule="exact"/>
              <w:rPr>
                <w:rFonts w:ascii="Times New Roman" w:hAnsi="Times New Roman"/>
              </w:rPr>
            </w:pPr>
          </w:p>
        </w:tc>
        <w:tc>
          <w:tcPr>
            <w:tcW w:w="3420" w:type="dxa"/>
            <w:gridSpan w:val="4"/>
          </w:tcPr>
          <w:p w14:paraId="0107A2BF">
            <w:pPr>
              <w:spacing w:line="440" w:lineRule="exact"/>
              <w:rPr>
                <w:rFonts w:ascii="Times New Roman" w:hAnsi="Times New Roman"/>
              </w:rPr>
            </w:pPr>
          </w:p>
        </w:tc>
        <w:tc>
          <w:tcPr>
            <w:tcW w:w="1261" w:type="dxa"/>
          </w:tcPr>
          <w:p w14:paraId="79C67675">
            <w:pPr>
              <w:spacing w:line="440" w:lineRule="exact"/>
              <w:rPr>
                <w:rFonts w:ascii="Times New Roman" w:hAnsi="Times New Roman"/>
              </w:rPr>
            </w:pPr>
          </w:p>
        </w:tc>
        <w:tc>
          <w:tcPr>
            <w:tcW w:w="2297" w:type="dxa"/>
            <w:gridSpan w:val="2"/>
          </w:tcPr>
          <w:p w14:paraId="0C2C5F68">
            <w:pPr>
              <w:spacing w:line="440" w:lineRule="exact"/>
              <w:rPr>
                <w:rFonts w:ascii="Times New Roman" w:hAnsi="Times New Roman"/>
              </w:rPr>
            </w:pPr>
          </w:p>
        </w:tc>
      </w:tr>
      <w:tr w14:paraId="646C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1DEE215">
            <w:pPr>
              <w:spacing w:line="440" w:lineRule="exact"/>
              <w:rPr>
                <w:rFonts w:ascii="Times New Roman" w:hAnsi="Times New Roman"/>
              </w:rPr>
            </w:pPr>
          </w:p>
        </w:tc>
        <w:tc>
          <w:tcPr>
            <w:tcW w:w="3420" w:type="dxa"/>
            <w:gridSpan w:val="4"/>
            <w:vAlign w:val="center"/>
          </w:tcPr>
          <w:p w14:paraId="036FB769">
            <w:pPr>
              <w:spacing w:line="440" w:lineRule="exact"/>
              <w:rPr>
                <w:rFonts w:ascii="Times New Roman" w:hAnsi="Times New Roman"/>
              </w:rPr>
            </w:pPr>
          </w:p>
        </w:tc>
        <w:tc>
          <w:tcPr>
            <w:tcW w:w="1261" w:type="dxa"/>
            <w:vAlign w:val="center"/>
          </w:tcPr>
          <w:p w14:paraId="525A5A99">
            <w:pPr>
              <w:spacing w:line="440" w:lineRule="exact"/>
              <w:rPr>
                <w:rFonts w:ascii="Times New Roman" w:hAnsi="Times New Roman"/>
              </w:rPr>
            </w:pPr>
          </w:p>
        </w:tc>
        <w:tc>
          <w:tcPr>
            <w:tcW w:w="2297" w:type="dxa"/>
            <w:gridSpan w:val="2"/>
            <w:vAlign w:val="center"/>
          </w:tcPr>
          <w:p w14:paraId="044A3594">
            <w:pPr>
              <w:spacing w:line="440" w:lineRule="exact"/>
              <w:rPr>
                <w:rFonts w:ascii="Times New Roman" w:hAnsi="Times New Roman"/>
              </w:rPr>
            </w:pPr>
          </w:p>
        </w:tc>
      </w:tr>
      <w:tr w14:paraId="0144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5D55BA83">
            <w:pPr>
              <w:spacing w:line="440" w:lineRule="exact"/>
              <w:rPr>
                <w:rFonts w:ascii="Times New Roman" w:hAnsi="Times New Roman"/>
              </w:rPr>
            </w:pPr>
          </w:p>
        </w:tc>
        <w:tc>
          <w:tcPr>
            <w:tcW w:w="3420" w:type="dxa"/>
            <w:gridSpan w:val="4"/>
            <w:vAlign w:val="center"/>
          </w:tcPr>
          <w:p w14:paraId="5392589F">
            <w:pPr>
              <w:spacing w:line="440" w:lineRule="exact"/>
              <w:rPr>
                <w:rFonts w:ascii="Times New Roman" w:hAnsi="Times New Roman"/>
              </w:rPr>
            </w:pPr>
          </w:p>
        </w:tc>
        <w:tc>
          <w:tcPr>
            <w:tcW w:w="1261" w:type="dxa"/>
            <w:vAlign w:val="center"/>
          </w:tcPr>
          <w:p w14:paraId="4408D959">
            <w:pPr>
              <w:spacing w:line="440" w:lineRule="exact"/>
              <w:rPr>
                <w:rFonts w:ascii="Times New Roman" w:hAnsi="Times New Roman"/>
              </w:rPr>
            </w:pPr>
          </w:p>
        </w:tc>
        <w:tc>
          <w:tcPr>
            <w:tcW w:w="2297" w:type="dxa"/>
            <w:gridSpan w:val="2"/>
            <w:vAlign w:val="center"/>
          </w:tcPr>
          <w:p w14:paraId="793A9944">
            <w:pPr>
              <w:spacing w:line="440" w:lineRule="exact"/>
              <w:rPr>
                <w:rFonts w:ascii="Times New Roman" w:hAnsi="Times New Roman"/>
              </w:rPr>
            </w:pPr>
          </w:p>
        </w:tc>
      </w:tr>
      <w:tr w14:paraId="1207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7ACEDD94">
            <w:pPr>
              <w:spacing w:line="440" w:lineRule="exact"/>
              <w:rPr>
                <w:rFonts w:ascii="Times New Roman" w:hAnsi="Times New Roman"/>
              </w:rPr>
            </w:pPr>
          </w:p>
        </w:tc>
        <w:tc>
          <w:tcPr>
            <w:tcW w:w="3420" w:type="dxa"/>
            <w:gridSpan w:val="4"/>
            <w:vAlign w:val="center"/>
          </w:tcPr>
          <w:p w14:paraId="4D306206">
            <w:pPr>
              <w:spacing w:line="440" w:lineRule="exact"/>
              <w:rPr>
                <w:rFonts w:ascii="Times New Roman" w:hAnsi="Times New Roman"/>
              </w:rPr>
            </w:pPr>
          </w:p>
        </w:tc>
        <w:tc>
          <w:tcPr>
            <w:tcW w:w="1261" w:type="dxa"/>
            <w:vAlign w:val="center"/>
          </w:tcPr>
          <w:p w14:paraId="3DDADE75">
            <w:pPr>
              <w:spacing w:line="440" w:lineRule="exact"/>
              <w:rPr>
                <w:rFonts w:ascii="Times New Roman" w:hAnsi="Times New Roman"/>
              </w:rPr>
            </w:pPr>
          </w:p>
        </w:tc>
        <w:tc>
          <w:tcPr>
            <w:tcW w:w="2297" w:type="dxa"/>
            <w:gridSpan w:val="2"/>
            <w:vAlign w:val="center"/>
          </w:tcPr>
          <w:p w14:paraId="41C33DD3">
            <w:pPr>
              <w:spacing w:line="440" w:lineRule="exact"/>
              <w:rPr>
                <w:rFonts w:ascii="Times New Roman" w:hAnsi="Times New Roman"/>
              </w:rPr>
            </w:pPr>
          </w:p>
        </w:tc>
      </w:tr>
      <w:tr w14:paraId="03A3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5D337A2">
            <w:pPr>
              <w:spacing w:line="440" w:lineRule="exact"/>
              <w:rPr>
                <w:rFonts w:ascii="Times New Roman" w:hAnsi="Times New Roman"/>
              </w:rPr>
            </w:pPr>
          </w:p>
        </w:tc>
        <w:tc>
          <w:tcPr>
            <w:tcW w:w="3420" w:type="dxa"/>
            <w:gridSpan w:val="4"/>
            <w:vAlign w:val="center"/>
          </w:tcPr>
          <w:p w14:paraId="46B6168A">
            <w:pPr>
              <w:spacing w:line="440" w:lineRule="exact"/>
              <w:rPr>
                <w:rFonts w:ascii="Times New Roman" w:hAnsi="Times New Roman"/>
              </w:rPr>
            </w:pPr>
          </w:p>
        </w:tc>
        <w:tc>
          <w:tcPr>
            <w:tcW w:w="1261" w:type="dxa"/>
            <w:vAlign w:val="center"/>
          </w:tcPr>
          <w:p w14:paraId="461315DF">
            <w:pPr>
              <w:spacing w:line="440" w:lineRule="exact"/>
              <w:rPr>
                <w:rFonts w:ascii="Times New Roman" w:hAnsi="Times New Roman"/>
              </w:rPr>
            </w:pPr>
          </w:p>
        </w:tc>
        <w:tc>
          <w:tcPr>
            <w:tcW w:w="2297" w:type="dxa"/>
            <w:gridSpan w:val="2"/>
            <w:vAlign w:val="center"/>
          </w:tcPr>
          <w:p w14:paraId="3C85519F">
            <w:pPr>
              <w:spacing w:line="440" w:lineRule="exact"/>
              <w:rPr>
                <w:rFonts w:ascii="Times New Roman" w:hAnsi="Times New Roman"/>
              </w:rPr>
            </w:pPr>
          </w:p>
        </w:tc>
      </w:tr>
    </w:tbl>
    <w:p w14:paraId="3A52C069">
      <w:pPr>
        <w:spacing w:line="440" w:lineRule="exact"/>
        <w:rPr>
          <w:rFonts w:ascii="Times New Roman" w:hAnsi="Times New Roman"/>
        </w:rPr>
      </w:pPr>
      <w:r>
        <w:rPr>
          <w:rFonts w:ascii="Times New Roman" w:hAnsi="Times New Roman"/>
        </w:rPr>
        <w:t>注：</w:t>
      </w:r>
      <w:r>
        <w:rPr>
          <w:rFonts w:hint="eastAsia" w:ascii="Times New Roman" w:hAnsi="Times New Roman"/>
        </w:rPr>
        <w:t>在本表后附相关证明材料。</w:t>
      </w:r>
    </w:p>
    <w:p w14:paraId="7AFE251B">
      <w:pPr>
        <w:spacing w:line="440" w:lineRule="exact"/>
        <w:rPr>
          <w:rFonts w:ascii="Times New Roman" w:hAnsi="Times New Roman"/>
        </w:rPr>
      </w:pPr>
    </w:p>
    <w:p w14:paraId="20744B7E">
      <w:pPr>
        <w:spacing w:line="440" w:lineRule="exact"/>
        <w:rPr>
          <w:rFonts w:ascii="Times New Roman" w:hAnsi="Times New Roman"/>
        </w:rPr>
      </w:pPr>
      <w:bookmarkStart w:id="1174" w:name="_Toc352703741"/>
      <w:bookmarkStart w:id="1175" w:name="_Toc300835229"/>
    </w:p>
    <w:p w14:paraId="119D46BA">
      <w:pPr>
        <w:spacing w:line="440" w:lineRule="exact"/>
        <w:jc w:val="center"/>
        <w:rPr>
          <w:rFonts w:ascii="Times New Roman" w:hAnsi="Times New Roman" w:eastAsia="黑体"/>
          <w:sz w:val="28"/>
          <w:szCs w:val="20"/>
        </w:rPr>
      </w:pPr>
    </w:p>
    <w:p w14:paraId="0BC04283">
      <w:pPr>
        <w:pStyle w:val="19"/>
      </w:pPr>
    </w:p>
    <w:p w14:paraId="551B5CE1">
      <w:pPr>
        <w:pStyle w:val="19"/>
      </w:pPr>
    </w:p>
    <w:p w14:paraId="56594ACF">
      <w:pPr>
        <w:spacing w:line="440" w:lineRule="exact"/>
        <w:jc w:val="center"/>
        <w:rPr>
          <w:rFonts w:ascii="Times New Roman" w:hAnsi="Times New Roman" w:eastAsia="黑体"/>
          <w:sz w:val="28"/>
          <w:szCs w:val="20"/>
        </w:rPr>
      </w:pPr>
    </w:p>
    <w:bookmarkEnd w:id="1174"/>
    <w:bookmarkEnd w:id="1175"/>
    <w:p w14:paraId="4054E9F9">
      <w:pPr>
        <w:spacing w:line="440" w:lineRule="exact"/>
        <w:jc w:val="center"/>
        <w:rPr>
          <w:rFonts w:ascii="Times New Roman" w:hAnsi="Times New Roman" w:eastAsia="黑体"/>
          <w:sz w:val="28"/>
          <w:szCs w:val="20"/>
        </w:rPr>
      </w:pPr>
      <w:bookmarkStart w:id="1176" w:name="_Toc482188666"/>
    </w:p>
    <w:p w14:paraId="5E699376">
      <w:pPr>
        <w:pStyle w:val="5"/>
        <w:keepNext w:val="0"/>
        <w:keepLines w:val="0"/>
        <w:spacing w:before="20" w:after="0"/>
        <w:ind w:firstLine="137"/>
        <w:jc w:val="left"/>
        <w:rPr>
          <w:rFonts w:ascii="Times New Roman" w:hAnsi="Times New Roman"/>
        </w:rPr>
      </w:pPr>
      <w:bookmarkStart w:id="1177" w:name="_Toc12430"/>
      <w:bookmarkStart w:id="1178" w:name="_Toc253"/>
      <w:bookmarkStart w:id="1179" w:name="_Toc1193"/>
      <w:bookmarkStart w:id="1180" w:name="_Toc168"/>
      <w:r>
        <w:rPr>
          <w:rFonts w:ascii="Times New Roman" w:hAnsi="Times New Roman"/>
        </w:rPr>
        <w:t>（</w:t>
      </w:r>
      <w:r>
        <w:rPr>
          <w:rFonts w:hint="eastAsia" w:ascii="Times New Roman" w:hAnsi="Times New Roman"/>
        </w:rPr>
        <w:t>三</w:t>
      </w:r>
      <w:r>
        <w:rPr>
          <w:rFonts w:ascii="Times New Roman" w:hAnsi="Times New Roman"/>
        </w:rPr>
        <w:t>）</w:t>
      </w:r>
      <w:r>
        <w:rPr>
          <w:rFonts w:hint="eastAsia" w:ascii="Times New Roman" w:hAnsi="Times New Roman"/>
        </w:rPr>
        <w:t>资格审查前在广州公共资源交易中心企业库的信息截图</w:t>
      </w:r>
      <w:bookmarkEnd w:id="1177"/>
      <w:bookmarkEnd w:id="1178"/>
      <w:bookmarkEnd w:id="1179"/>
      <w:bookmarkEnd w:id="1180"/>
    </w:p>
    <w:p w14:paraId="203C39D1">
      <w:pPr>
        <w:spacing w:line="440" w:lineRule="exact"/>
        <w:rPr>
          <w:rFonts w:ascii="Times New Roman" w:hAnsi="Times New Roman"/>
        </w:rPr>
      </w:pPr>
    </w:p>
    <w:p w14:paraId="194501D5">
      <w:pPr>
        <w:spacing w:line="440" w:lineRule="exact"/>
        <w:jc w:val="center"/>
        <w:rPr>
          <w:rFonts w:ascii="Times New Roman" w:hAnsi="Times New Roman"/>
        </w:rPr>
      </w:pPr>
      <w:r>
        <w:rPr>
          <w:rFonts w:ascii="Times New Roman" w:hAnsi="Times New Roman"/>
        </w:rPr>
        <w:t>注：附相关证明材料。</w:t>
      </w:r>
    </w:p>
    <w:p w14:paraId="6EF4FDF2">
      <w:pPr>
        <w:pStyle w:val="5"/>
        <w:keepNext w:val="0"/>
        <w:keepLines w:val="0"/>
        <w:spacing w:before="20" w:after="0"/>
        <w:ind w:firstLine="137"/>
        <w:jc w:val="center"/>
        <w:rPr>
          <w:rFonts w:ascii="Times New Roman" w:hAnsi="Times New Roman"/>
        </w:rPr>
      </w:pPr>
      <w:r>
        <w:rPr>
          <w:rFonts w:ascii="Times New Roman" w:hAnsi="Times New Roman"/>
        </w:rPr>
        <w:br w:type="page"/>
      </w:r>
      <w:bookmarkEnd w:id="1176"/>
      <w:bookmarkStart w:id="1181" w:name="_Toc27871"/>
      <w:bookmarkStart w:id="1182" w:name="_Toc24618"/>
      <w:bookmarkStart w:id="1183" w:name="_Toc10173"/>
      <w:bookmarkStart w:id="1184" w:name="_Toc26812"/>
      <w:r>
        <w:rPr>
          <w:rFonts w:ascii="Times New Roman" w:hAnsi="Times New Roman"/>
        </w:rPr>
        <w:t>（</w:t>
      </w:r>
      <w:r>
        <w:rPr>
          <w:rFonts w:hint="eastAsia" w:ascii="Times New Roman" w:hAnsi="Times New Roman"/>
        </w:rPr>
        <w:t>四</w:t>
      </w:r>
      <w:r>
        <w:rPr>
          <w:rFonts w:ascii="Times New Roman" w:hAnsi="Times New Roman"/>
        </w:rPr>
        <w:t>）</w:t>
      </w:r>
      <w:r>
        <w:rPr>
          <w:rFonts w:hint="eastAsia" w:ascii="Times New Roman" w:hAnsi="Times New Roman"/>
        </w:rPr>
        <w:t>投标人声明</w:t>
      </w:r>
      <w:bookmarkEnd w:id="1181"/>
      <w:bookmarkEnd w:id="1182"/>
      <w:bookmarkEnd w:id="1183"/>
      <w:bookmarkEnd w:id="1184"/>
    </w:p>
    <w:p w14:paraId="6BAD5189">
      <w:pPr>
        <w:pStyle w:val="4"/>
        <w:keepNext w:val="0"/>
        <w:keepLines w:val="0"/>
        <w:jc w:val="center"/>
        <w:rPr>
          <w:rFonts w:ascii="Times New Roman" w:hAnsi="Times New Roman" w:eastAsia="宋体"/>
          <w:b w:val="0"/>
          <w:sz w:val="21"/>
          <w:szCs w:val="22"/>
        </w:rPr>
      </w:pPr>
      <w:bookmarkStart w:id="1185" w:name="_Toc5124"/>
      <w:bookmarkStart w:id="1186" w:name="_Toc30285"/>
      <w:bookmarkStart w:id="1187" w:name="_Toc32767"/>
      <w:bookmarkStart w:id="1188" w:name="_Toc23748"/>
      <w:bookmarkStart w:id="1189" w:name="_Toc571"/>
      <w:r>
        <w:rPr>
          <w:rFonts w:hint="eastAsia" w:ascii="Times New Roman" w:hAnsi="Times New Roman" w:eastAsia="宋体"/>
          <w:b w:val="0"/>
          <w:sz w:val="21"/>
          <w:szCs w:val="22"/>
        </w:rPr>
        <w:t>格式详见招标公告附件一</w:t>
      </w:r>
      <w:bookmarkEnd w:id="1185"/>
      <w:bookmarkEnd w:id="1186"/>
      <w:bookmarkEnd w:id="1187"/>
      <w:bookmarkEnd w:id="1188"/>
      <w:bookmarkEnd w:id="1189"/>
    </w:p>
    <w:p w14:paraId="482AA8ED">
      <w:pPr>
        <w:spacing w:line="360" w:lineRule="auto"/>
        <w:ind w:firstLine="4920" w:firstLineChars="2050"/>
        <w:rPr>
          <w:rFonts w:ascii="宋体" w:hAnsi="宋体" w:cs="宋体"/>
          <w:kern w:val="0"/>
          <w:sz w:val="24"/>
          <w:szCs w:val="24"/>
        </w:rPr>
      </w:pPr>
    </w:p>
    <w:p w14:paraId="30D1F394">
      <w:pPr>
        <w:pStyle w:val="9"/>
        <w:rPr>
          <w:rFonts w:ascii="宋体" w:hAnsi="宋体" w:cs="宋体"/>
          <w:kern w:val="0"/>
          <w:sz w:val="24"/>
          <w:szCs w:val="24"/>
        </w:rPr>
      </w:pPr>
    </w:p>
    <w:p w14:paraId="1F9117A0">
      <w:pPr>
        <w:pStyle w:val="9"/>
        <w:rPr>
          <w:rFonts w:ascii="宋体" w:hAnsi="宋体" w:cs="宋体"/>
          <w:kern w:val="0"/>
          <w:sz w:val="24"/>
          <w:szCs w:val="24"/>
        </w:rPr>
      </w:pPr>
    </w:p>
    <w:p w14:paraId="09C78E4F">
      <w:pPr>
        <w:pStyle w:val="9"/>
        <w:rPr>
          <w:rFonts w:ascii="宋体" w:hAnsi="宋体" w:cs="宋体"/>
          <w:kern w:val="0"/>
          <w:sz w:val="24"/>
          <w:szCs w:val="24"/>
        </w:rPr>
      </w:pPr>
    </w:p>
    <w:p w14:paraId="2A55E9EF">
      <w:pPr>
        <w:pStyle w:val="9"/>
        <w:rPr>
          <w:rFonts w:ascii="宋体" w:hAnsi="宋体" w:cs="宋体"/>
          <w:kern w:val="0"/>
          <w:sz w:val="24"/>
          <w:szCs w:val="24"/>
        </w:rPr>
      </w:pPr>
    </w:p>
    <w:p w14:paraId="49150861">
      <w:pPr>
        <w:pStyle w:val="9"/>
        <w:rPr>
          <w:rFonts w:ascii="宋体" w:hAnsi="宋体" w:cs="宋体"/>
          <w:kern w:val="0"/>
          <w:sz w:val="24"/>
          <w:szCs w:val="24"/>
        </w:rPr>
      </w:pPr>
    </w:p>
    <w:p w14:paraId="342ABC4D">
      <w:pPr>
        <w:pStyle w:val="9"/>
        <w:rPr>
          <w:rFonts w:ascii="宋体" w:hAnsi="宋体" w:cs="宋体"/>
          <w:kern w:val="0"/>
          <w:sz w:val="24"/>
          <w:szCs w:val="24"/>
        </w:rPr>
      </w:pPr>
    </w:p>
    <w:p w14:paraId="3CC64C1E">
      <w:pPr>
        <w:pStyle w:val="9"/>
        <w:rPr>
          <w:rFonts w:ascii="宋体" w:hAnsi="宋体" w:cs="宋体"/>
          <w:kern w:val="0"/>
          <w:sz w:val="24"/>
          <w:szCs w:val="24"/>
        </w:rPr>
      </w:pPr>
    </w:p>
    <w:p w14:paraId="6E1084EF">
      <w:pPr>
        <w:pStyle w:val="9"/>
        <w:rPr>
          <w:rFonts w:ascii="宋体" w:hAnsi="宋体" w:cs="宋体"/>
          <w:kern w:val="0"/>
          <w:sz w:val="24"/>
          <w:szCs w:val="24"/>
        </w:rPr>
      </w:pPr>
    </w:p>
    <w:p w14:paraId="42E5BF6E">
      <w:pPr>
        <w:pStyle w:val="9"/>
        <w:rPr>
          <w:rFonts w:ascii="宋体" w:hAnsi="宋体" w:cs="宋体"/>
          <w:kern w:val="0"/>
          <w:sz w:val="24"/>
          <w:szCs w:val="24"/>
        </w:rPr>
      </w:pPr>
    </w:p>
    <w:p w14:paraId="6DB398BD">
      <w:pPr>
        <w:pStyle w:val="9"/>
        <w:rPr>
          <w:rFonts w:ascii="宋体" w:hAnsi="宋体" w:cs="宋体"/>
          <w:kern w:val="0"/>
          <w:sz w:val="24"/>
          <w:szCs w:val="24"/>
        </w:rPr>
      </w:pPr>
    </w:p>
    <w:p w14:paraId="5E5792E5">
      <w:pPr>
        <w:pStyle w:val="9"/>
        <w:rPr>
          <w:rFonts w:ascii="宋体" w:hAnsi="宋体" w:cs="宋体"/>
          <w:kern w:val="0"/>
          <w:sz w:val="24"/>
          <w:szCs w:val="24"/>
        </w:rPr>
      </w:pPr>
    </w:p>
    <w:p w14:paraId="02DF6081">
      <w:pPr>
        <w:pStyle w:val="9"/>
        <w:rPr>
          <w:rFonts w:ascii="宋体" w:hAnsi="宋体" w:cs="宋体"/>
          <w:kern w:val="0"/>
          <w:sz w:val="24"/>
          <w:szCs w:val="24"/>
        </w:rPr>
      </w:pPr>
    </w:p>
    <w:p w14:paraId="594A9B9D">
      <w:pPr>
        <w:pStyle w:val="9"/>
        <w:rPr>
          <w:rFonts w:ascii="宋体" w:hAnsi="宋体" w:cs="宋体"/>
          <w:kern w:val="0"/>
          <w:sz w:val="24"/>
          <w:szCs w:val="24"/>
        </w:rPr>
      </w:pPr>
    </w:p>
    <w:p w14:paraId="1B48D896">
      <w:pPr>
        <w:pStyle w:val="9"/>
        <w:rPr>
          <w:rFonts w:ascii="宋体" w:hAnsi="宋体" w:cs="宋体"/>
          <w:kern w:val="0"/>
          <w:sz w:val="24"/>
          <w:szCs w:val="24"/>
        </w:rPr>
      </w:pPr>
    </w:p>
    <w:p w14:paraId="6C928A55">
      <w:pPr>
        <w:pStyle w:val="9"/>
        <w:rPr>
          <w:rFonts w:ascii="宋体" w:hAnsi="宋体" w:cs="宋体"/>
          <w:kern w:val="0"/>
          <w:sz w:val="24"/>
          <w:szCs w:val="24"/>
        </w:rPr>
      </w:pPr>
    </w:p>
    <w:p w14:paraId="7085ADEA">
      <w:pPr>
        <w:pStyle w:val="9"/>
        <w:rPr>
          <w:rFonts w:ascii="宋体" w:hAnsi="宋体" w:cs="宋体"/>
          <w:kern w:val="0"/>
          <w:sz w:val="24"/>
          <w:szCs w:val="24"/>
        </w:rPr>
      </w:pPr>
    </w:p>
    <w:p w14:paraId="321EC518">
      <w:pPr>
        <w:pStyle w:val="9"/>
        <w:rPr>
          <w:rFonts w:ascii="宋体" w:hAnsi="宋体" w:cs="宋体"/>
          <w:kern w:val="0"/>
          <w:sz w:val="24"/>
          <w:szCs w:val="24"/>
        </w:rPr>
      </w:pPr>
    </w:p>
    <w:p w14:paraId="48FC7092">
      <w:pPr>
        <w:jc w:val="right"/>
        <w:rPr>
          <w:rFonts w:ascii="宋体" w:hAnsi="宋体" w:cs="宋体"/>
          <w:kern w:val="0"/>
          <w:sz w:val="24"/>
        </w:rPr>
      </w:pPr>
    </w:p>
    <w:p w14:paraId="73B0D3AA">
      <w:pPr>
        <w:rPr>
          <w:rFonts w:ascii="宋体" w:hAnsi="宋体" w:cs="宋体"/>
          <w:kern w:val="0"/>
          <w:sz w:val="24"/>
        </w:rPr>
      </w:pPr>
    </w:p>
    <w:p w14:paraId="47A6ADA3">
      <w:pPr>
        <w:rPr>
          <w:rFonts w:ascii="Times New Roman" w:hAnsi="Times New Roman"/>
          <w:sz w:val="28"/>
          <w:szCs w:val="28"/>
        </w:rPr>
      </w:pPr>
    </w:p>
    <w:p w14:paraId="265A2AD8">
      <w:pPr>
        <w:rPr>
          <w:rFonts w:ascii="Times New Roman" w:hAnsi="Times New Roman"/>
          <w:sz w:val="28"/>
          <w:szCs w:val="28"/>
        </w:rPr>
      </w:pPr>
    </w:p>
    <w:p w14:paraId="3F2D2B43">
      <w:pPr>
        <w:jc w:val="center"/>
        <w:rPr>
          <w:rFonts w:ascii="Times New Roman" w:hAnsi="Times New Roman" w:eastAsia="黑体"/>
          <w:sz w:val="28"/>
          <w:szCs w:val="20"/>
        </w:rPr>
      </w:pPr>
    </w:p>
    <w:p w14:paraId="10BA5697">
      <w:pPr>
        <w:jc w:val="center"/>
        <w:rPr>
          <w:rFonts w:ascii="Times New Roman" w:hAnsi="Times New Roman" w:eastAsia="黑体"/>
          <w:sz w:val="28"/>
          <w:szCs w:val="20"/>
        </w:rPr>
      </w:pPr>
    </w:p>
    <w:p w14:paraId="0AC51293">
      <w:pPr>
        <w:jc w:val="center"/>
        <w:rPr>
          <w:rFonts w:ascii="Times New Roman" w:hAnsi="Times New Roman" w:eastAsia="黑体"/>
          <w:sz w:val="28"/>
          <w:szCs w:val="20"/>
        </w:rPr>
      </w:pPr>
    </w:p>
    <w:p w14:paraId="68D8C793">
      <w:pPr>
        <w:jc w:val="center"/>
        <w:rPr>
          <w:rFonts w:ascii="Times New Roman" w:hAnsi="Times New Roman" w:eastAsia="黑体"/>
          <w:sz w:val="28"/>
          <w:szCs w:val="20"/>
        </w:rPr>
      </w:pPr>
    </w:p>
    <w:p w14:paraId="2D9DA765">
      <w:pPr>
        <w:jc w:val="center"/>
        <w:rPr>
          <w:rFonts w:ascii="Times New Roman" w:hAnsi="Times New Roman" w:eastAsia="黑体"/>
          <w:sz w:val="28"/>
          <w:szCs w:val="20"/>
        </w:rPr>
      </w:pPr>
    </w:p>
    <w:p w14:paraId="056B2979">
      <w:pPr>
        <w:pStyle w:val="30"/>
      </w:pPr>
    </w:p>
    <w:p w14:paraId="23675843">
      <w:pPr>
        <w:pStyle w:val="4"/>
        <w:keepNext w:val="0"/>
        <w:keepLines w:val="0"/>
        <w:spacing w:after="0"/>
        <w:jc w:val="center"/>
        <w:rPr>
          <w:rFonts w:ascii="Times New Roman" w:hAnsi="Times New Roman"/>
        </w:rPr>
      </w:pPr>
      <w:r>
        <w:rPr>
          <w:rFonts w:hint="eastAsia" w:ascii="Times New Roman" w:hAnsi="Times New Roman"/>
          <w:sz w:val="28"/>
        </w:rPr>
        <w:br w:type="page"/>
      </w:r>
      <w:bookmarkStart w:id="1190" w:name="_Toc148"/>
      <w:bookmarkStart w:id="1191" w:name="_Toc14187"/>
      <w:bookmarkStart w:id="1192" w:name="_Toc22053"/>
      <w:r>
        <w:rPr>
          <w:rFonts w:hint="eastAsia" w:ascii="Times New Roman" w:hAnsi="Times New Roman"/>
          <w:sz w:val="28"/>
          <w:lang w:eastAsia="zh-CN"/>
        </w:rPr>
        <w:t>五</w:t>
      </w:r>
      <w:r>
        <w:rPr>
          <w:rFonts w:ascii="Times New Roman" w:hAnsi="Times New Roman"/>
        </w:rPr>
        <w:t>、</w:t>
      </w:r>
      <w:bookmarkEnd w:id="1190"/>
      <w:r>
        <w:rPr>
          <w:rFonts w:hint="eastAsia" w:ascii="Times New Roman" w:hAnsi="Times New Roman"/>
          <w:b w:val="0"/>
        </w:rPr>
        <w:t>技术服务方案</w:t>
      </w:r>
      <w:bookmarkEnd w:id="1191"/>
      <w:bookmarkEnd w:id="1192"/>
    </w:p>
    <w:p w14:paraId="3D18F0B0">
      <w:pPr>
        <w:spacing w:line="360" w:lineRule="auto"/>
        <w:ind w:firstLine="474" w:firstLineChars="226"/>
        <w:rPr>
          <w:rFonts w:ascii="Times New Roman" w:hAnsi="Times New Roman"/>
          <w:szCs w:val="21"/>
        </w:rPr>
      </w:pPr>
      <w:r>
        <w:rPr>
          <w:rFonts w:hint="eastAsia" w:ascii="Times New Roman" w:hAnsi="Times New Roman"/>
          <w:szCs w:val="21"/>
        </w:rPr>
        <w:t>按技术服务方案评分标准的要求提供相关内容。</w:t>
      </w:r>
    </w:p>
    <w:p w14:paraId="25D3F2CD">
      <w:pPr>
        <w:spacing w:line="360" w:lineRule="auto"/>
        <w:ind w:firstLine="474" w:firstLineChars="226"/>
        <w:rPr>
          <w:rFonts w:ascii="Times New Roman" w:hAnsi="Times New Roman"/>
          <w:szCs w:val="21"/>
        </w:rPr>
      </w:pPr>
    </w:p>
    <w:p w14:paraId="065AE434">
      <w:pPr>
        <w:rPr>
          <w:rFonts w:ascii="Times New Roman" w:hAnsi="Times New Roman"/>
        </w:rPr>
      </w:pPr>
    </w:p>
    <w:p w14:paraId="501901E7"/>
    <w:p w14:paraId="47E8C481"/>
    <w:p w14:paraId="51F77165"/>
    <w:p w14:paraId="13DC66D8"/>
    <w:p w14:paraId="14A9922A"/>
    <w:p w14:paraId="27F20662">
      <w:pPr>
        <w:pStyle w:val="4"/>
        <w:keepNext w:val="0"/>
        <w:keepLines w:val="0"/>
        <w:spacing w:after="0"/>
        <w:jc w:val="center"/>
      </w:pPr>
      <w:r>
        <w:rPr>
          <w:rFonts w:hint="eastAsia"/>
        </w:rPr>
        <w:br w:type="page"/>
      </w:r>
      <w:bookmarkStart w:id="1193" w:name="_Toc20862"/>
      <w:bookmarkStart w:id="1194" w:name="_Toc17423"/>
      <w:bookmarkStart w:id="1195" w:name="_Toc11133"/>
      <w:r>
        <w:rPr>
          <w:rFonts w:hint="eastAsia"/>
          <w:lang w:eastAsia="zh-CN"/>
        </w:rPr>
        <w:t>六</w:t>
      </w:r>
      <w:bookmarkStart w:id="1208" w:name="_GoBack"/>
      <w:bookmarkEnd w:id="1208"/>
      <w:r>
        <w:rPr>
          <w:rFonts w:hint="eastAsia"/>
        </w:rPr>
        <w:t>、其他资料</w:t>
      </w:r>
      <w:bookmarkEnd w:id="1193"/>
      <w:bookmarkEnd w:id="1194"/>
      <w:bookmarkEnd w:id="1195"/>
    </w:p>
    <w:p w14:paraId="035B4914">
      <w:pPr>
        <w:pStyle w:val="5"/>
        <w:keepNext w:val="0"/>
        <w:keepLines w:val="0"/>
        <w:ind w:firstLine="137"/>
        <w:jc w:val="center"/>
        <w:rPr>
          <w:rFonts w:ascii="Times New Roman" w:hAnsi="Times New Roman"/>
        </w:rPr>
      </w:pPr>
      <w:bookmarkStart w:id="1196" w:name="_Toc4532"/>
      <w:bookmarkStart w:id="1197" w:name="_Toc6992"/>
      <w:bookmarkStart w:id="1198" w:name="_Toc32210"/>
      <w:r>
        <w:rPr>
          <w:rFonts w:hint="eastAsia" w:ascii="Times New Roman" w:hAnsi="Times New Roman"/>
        </w:rPr>
        <w:t>（一）</w:t>
      </w:r>
      <w:r>
        <w:rPr>
          <w:rFonts w:ascii="Times New Roman" w:hAnsi="Times New Roman"/>
        </w:rPr>
        <w:t>近年</w:t>
      </w:r>
      <w:r>
        <w:rPr>
          <w:rFonts w:hint="eastAsia" w:ascii="Times New Roman" w:hAnsi="Times New Roman"/>
        </w:rPr>
        <w:t>承接</w:t>
      </w:r>
      <w:r>
        <w:rPr>
          <w:rFonts w:ascii="Times New Roman" w:hAnsi="Times New Roman"/>
        </w:rPr>
        <w:t>的类似项目情况表（格式可自定）</w:t>
      </w:r>
      <w:bookmarkEnd w:id="1196"/>
      <w:bookmarkEnd w:id="1197"/>
      <w:bookmarkEnd w:id="1198"/>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583"/>
        <w:gridCol w:w="1333"/>
        <w:gridCol w:w="1586"/>
        <w:gridCol w:w="1319"/>
        <w:gridCol w:w="1662"/>
        <w:gridCol w:w="976"/>
      </w:tblGrid>
      <w:tr w14:paraId="5BF0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7282549C">
            <w:pPr>
              <w:spacing w:line="440" w:lineRule="exact"/>
              <w:jc w:val="center"/>
              <w:rPr>
                <w:rFonts w:ascii="Times New Roman" w:hAnsi="Times New Roman"/>
              </w:rPr>
            </w:pPr>
            <w:r>
              <w:rPr>
                <w:rFonts w:hint="eastAsia" w:ascii="Times New Roman" w:hAnsi="Times New Roman"/>
              </w:rPr>
              <w:t>序号</w:t>
            </w:r>
          </w:p>
        </w:tc>
        <w:tc>
          <w:tcPr>
            <w:tcW w:w="1583" w:type="dxa"/>
          </w:tcPr>
          <w:p w14:paraId="3950EC1B">
            <w:pPr>
              <w:spacing w:line="440" w:lineRule="exact"/>
              <w:jc w:val="center"/>
              <w:rPr>
                <w:rFonts w:ascii="Times New Roman" w:hAnsi="Times New Roman"/>
              </w:rPr>
            </w:pPr>
            <w:r>
              <w:rPr>
                <w:rFonts w:hint="eastAsia" w:ascii="Times New Roman" w:hAnsi="Times New Roman"/>
              </w:rPr>
              <w:t>委托人名称</w:t>
            </w:r>
          </w:p>
        </w:tc>
        <w:tc>
          <w:tcPr>
            <w:tcW w:w="1333" w:type="dxa"/>
          </w:tcPr>
          <w:p w14:paraId="622FEA9C">
            <w:pPr>
              <w:spacing w:line="440" w:lineRule="exact"/>
              <w:jc w:val="center"/>
              <w:rPr>
                <w:rFonts w:ascii="Times New Roman" w:hAnsi="Times New Roman"/>
              </w:rPr>
            </w:pPr>
            <w:r>
              <w:rPr>
                <w:rFonts w:hint="eastAsia" w:ascii="Times New Roman" w:hAnsi="Times New Roman"/>
              </w:rPr>
              <w:t>合同名称</w:t>
            </w:r>
          </w:p>
        </w:tc>
        <w:tc>
          <w:tcPr>
            <w:tcW w:w="1586" w:type="dxa"/>
          </w:tcPr>
          <w:p w14:paraId="042CD57B">
            <w:pPr>
              <w:spacing w:line="440" w:lineRule="exact"/>
              <w:jc w:val="center"/>
              <w:rPr>
                <w:rFonts w:ascii="Times New Roman" w:hAnsi="Times New Roman"/>
              </w:rPr>
            </w:pPr>
            <w:r>
              <w:rPr>
                <w:rFonts w:hint="eastAsia" w:ascii="Times New Roman" w:hAnsi="Times New Roman"/>
              </w:rPr>
              <w:t>合同签订时间</w:t>
            </w:r>
          </w:p>
        </w:tc>
        <w:tc>
          <w:tcPr>
            <w:tcW w:w="1319" w:type="dxa"/>
          </w:tcPr>
          <w:p w14:paraId="5CFAAA03">
            <w:pPr>
              <w:spacing w:line="440" w:lineRule="exact"/>
              <w:jc w:val="center"/>
              <w:rPr>
                <w:rFonts w:ascii="Times New Roman" w:hAnsi="Times New Roman"/>
              </w:rPr>
            </w:pPr>
            <w:r>
              <w:rPr>
                <w:rFonts w:hint="eastAsia" w:ascii="Times New Roman" w:hAnsi="Times New Roman"/>
              </w:rPr>
              <w:t>合同金额</w:t>
            </w:r>
          </w:p>
        </w:tc>
        <w:tc>
          <w:tcPr>
            <w:tcW w:w="1662" w:type="dxa"/>
          </w:tcPr>
          <w:p w14:paraId="438067B6">
            <w:pPr>
              <w:spacing w:line="440" w:lineRule="exact"/>
              <w:jc w:val="center"/>
              <w:rPr>
                <w:rFonts w:ascii="Times New Roman" w:hAnsi="Times New Roman"/>
              </w:rPr>
            </w:pPr>
            <w:r>
              <w:rPr>
                <w:rFonts w:hint="eastAsia" w:ascii="Times New Roman" w:hAnsi="Times New Roman"/>
              </w:rPr>
              <w:t>联系人及电话</w:t>
            </w:r>
          </w:p>
        </w:tc>
        <w:tc>
          <w:tcPr>
            <w:tcW w:w="976" w:type="dxa"/>
          </w:tcPr>
          <w:p w14:paraId="33980009">
            <w:pPr>
              <w:spacing w:line="440" w:lineRule="exact"/>
              <w:jc w:val="center"/>
              <w:rPr>
                <w:rFonts w:ascii="Times New Roman" w:hAnsi="Times New Roman"/>
              </w:rPr>
            </w:pPr>
            <w:r>
              <w:rPr>
                <w:rFonts w:hint="eastAsia" w:ascii="Times New Roman" w:hAnsi="Times New Roman"/>
              </w:rPr>
              <w:t>备注</w:t>
            </w:r>
          </w:p>
        </w:tc>
      </w:tr>
      <w:tr w14:paraId="7819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437BCC10">
            <w:pPr>
              <w:spacing w:line="440" w:lineRule="exact"/>
              <w:rPr>
                <w:rFonts w:ascii="Times New Roman" w:hAnsi="Times New Roman"/>
              </w:rPr>
            </w:pPr>
          </w:p>
        </w:tc>
        <w:tc>
          <w:tcPr>
            <w:tcW w:w="1583" w:type="dxa"/>
          </w:tcPr>
          <w:p w14:paraId="7D48B02F">
            <w:pPr>
              <w:spacing w:line="440" w:lineRule="exact"/>
              <w:rPr>
                <w:rFonts w:ascii="Times New Roman" w:hAnsi="Times New Roman"/>
              </w:rPr>
            </w:pPr>
          </w:p>
        </w:tc>
        <w:tc>
          <w:tcPr>
            <w:tcW w:w="1333" w:type="dxa"/>
          </w:tcPr>
          <w:p w14:paraId="24A0CA90">
            <w:pPr>
              <w:spacing w:line="440" w:lineRule="exact"/>
              <w:rPr>
                <w:rFonts w:ascii="Times New Roman" w:hAnsi="Times New Roman"/>
              </w:rPr>
            </w:pPr>
          </w:p>
        </w:tc>
        <w:tc>
          <w:tcPr>
            <w:tcW w:w="1586" w:type="dxa"/>
          </w:tcPr>
          <w:p w14:paraId="2AA88A42">
            <w:pPr>
              <w:spacing w:line="440" w:lineRule="exact"/>
              <w:rPr>
                <w:rFonts w:ascii="Times New Roman" w:hAnsi="Times New Roman"/>
              </w:rPr>
            </w:pPr>
          </w:p>
        </w:tc>
        <w:tc>
          <w:tcPr>
            <w:tcW w:w="1319" w:type="dxa"/>
          </w:tcPr>
          <w:p w14:paraId="4F685CD9">
            <w:pPr>
              <w:spacing w:line="440" w:lineRule="exact"/>
              <w:rPr>
                <w:rFonts w:ascii="Times New Roman" w:hAnsi="Times New Roman"/>
              </w:rPr>
            </w:pPr>
          </w:p>
        </w:tc>
        <w:tc>
          <w:tcPr>
            <w:tcW w:w="1662" w:type="dxa"/>
          </w:tcPr>
          <w:p w14:paraId="32C44B07">
            <w:pPr>
              <w:spacing w:line="440" w:lineRule="exact"/>
              <w:rPr>
                <w:rFonts w:ascii="Times New Roman" w:hAnsi="Times New Roman"/>
              </w:rPr>
            </w:pPr>
          </w:p>
        </w:tc>
        <w:tc>
          <w:tcPr>
            <w:tcW w:w="976" w:type="dxa"/>
          </w:tcPr>
          <w:p w14:paraId="1F992C24">
            <w:pPr>
              <w:spacing w:line="440" w:lineRule="exact"/>
              <w:rPr>
                <w:rFonts w:ascii="Times New Roman" w:hAnsi="Times New Roman"/>
              </w:rPr>
            </w:pPr>
          </w:p>
        </w:tc>
      </w:tr>
      <w:tr w14:paraId="05E6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47FF892E">
            <w:pPr>
              <w:spacing w:line="440" w:lineRule="exact"/>
              <w:rPr>
                <w:rFonts w:ascii="Times New Roman" w:hAnsi="Times New Roman"/>
              </w:rPr>
            </w:pPr>
          </w:p>
        </w:tc>
        <w:tc>
          <w:tcPr>
            <w:tcW w:w="1583" w:type="dxa"/>
          </w:tcPr>
          <w:p w14:paraId="0A130DA2">
            <w:pPr>
              <w:spacing w:line="440" w:lineRule="exact"/>
              <w:rPr>
                <w:rFonts w:ascii="Times New Roman" w:hAnsi="Times New Roman"/>
              </w:rPr>
            </w:pPr>
          </w:p>
        </w:tc>
        <w:tc>
          <w:tcPr>
            <w:tcW w:w="1333" w:type="dxa"/>
          </w:tcPr>
          <w:p w14:paraId="77B93779">
            <w:pPr>
              <w:spacing w:line="440" w:lineRule="exact"/>
              <w:rPr>
                <w:rFonts w:ascii="Times New Roman" w:hAnsi="Times New Roman"/>
              </w:rPr>
            </w:pPr>
          </w:p>
        </w:tc>
        <w:tc>
          <w:tcPr>
            <w:tcW w:w="1586" w:type="dxa"/>
          </w:tcPr>
          <w:p w14:paraId="3E34B52B">
            <w:pPr>
              <w:spacing w:line="440" w:lineRule="exact"/>
              <w:rPr>
                <w:rFonts w:ascii="Times New Roman" w:hAnsi="Times New Roman"/>
              </w:rPr>
            </w:pPr>
          </w:p>
        </w:tc>
        <w:tc>
          <w:tcPr>
            <w:tcW w:w="1319" w:type="dxa"/>
          </w:tcPr>
          <w:p w14:paraId="59EAC32D">
            <w:pPr>
              <w:spacing w:line="440" w:lineRule="exact"/>
              <w:rPr>
                <w:rFonts w:ascii="Times New Roman" w:hAnsi="Times New Roman"/>
              </w:rPr>
            </w:pPr>
          </w:p>
        </w:tc>
        <w:tc>
          <w:tcPr>
            <w:tcW w:w="1662" w:type="dxa"/>
          </w:tcPr>
          <w:p w14:paraId="3FF0121C">
            <w:pPr>
              <w:spacing w:line="440" w:lineRule="exact"/>
              <w:rPr>
                <w:rFonts w:ascii="Times New Roman" w:hAnsi="Times New Roman"/>
              </w:rPr>
            </w:pPr>
          </w:p>
        </w:tc>
        <w:tc>
          <w:tcPr>
            <w:tcW w:w="976" w:type="dxa"/>
          </w:tcPr>
          <w:p w14:paraId="2275A887">
            <w:pPr>
              <w:spacing w:line="440" w:lineRule="exact"/>
              <w:rPr>
                <w:rFonts w:ascii="Times New Roman" w:hAnsi="Times New Roman"/>
              </w:rPr>
            </w:pPr>
          </w:p>
        </w:tc>
      </w:tr>
      <w:tr w14:paraId="12B3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53A396D5">
            <w:pPr>
              <w:spacing w:line="440" w:lineRule="exact"/>
              <w:rPr>
                <w:rFonts w:ascii="Times New Roman" w:hAnsi="Times New Roman"/>
              </w:rPr>
            </w:pPr>
          </w:p>
        </w:tc>
        <w:tc>
          <w:tcPr>
            <w:tcW w:w="1583" w:type="dxa"/>
          </w:tcPr>
          <w:p w14:paraId="102891A3">
            <w:pPr>
              <w:spacing w:line="440" w:lineRule="exact"/>
              <w:rPr>
                <w:rFonts w:ascii="Times New Roman" w:hAnsi="Times New Roman"/>
              </w:rPr>
            </w:pPr>
          </w:p>
        </w:tc>
        <w:tc>
          <w:tcPr>
            <w:tcW w:w="1333" w:type="dxa"/>
          </w:tcPr>
          <w:p w14:paraId="1D84D549">
            <w:pPr>
              <w:spacing w:line="440" w:lineRule="exact"/>
              <w:rPr>
                <w:rFonts w:ascii="Times New Roman" w:hAnsi="Times New Roman"/>
              </w:rPr>
            </w:pPr>
          </w:p>
        </w:tc>
        <w:tc>
          <w:tcPr>
            <w:tcW w:w="1586" w:type="dxa"/>
          </w:tcPr>
          <w:p w14:paraId="650161E4">
            <w:pPr>
              <w:spacing w:line="440" w:lineRule="exact"/>
              <w:rPr>
                <w:rFonts w:ascii="Times New Roman" w:hAnsi="Times New Roman"/>
              </w:rPr>
            </w:pPr>
          </w:p>
        </w:tc>
        <w:tc>
          <w:tcPr>
            <w:tcW w:w="1319" w:type="dxa"/>
          </w:tcPr>
          <w:p w14:paraId="57078C04">
            <w:pPr>
              <w:spacing w:line="440" w:lineRule="exact"/>
              <w:rPr>
                <w:rFonts w:ascii="Times New Roman" w:hAnsi="Times New Roman"/>
              </w:rPr>
            </w:pPr>
          </w:p>
        </w:tc>
        <w:tc>
          <w:tcPr>
            <w:tcW w:w="1662" w:type="dxa"/>
          </w:tcPr>
          <w:p w14:paraId="50117BBC">
            <w:pPr>
              <w:spacing w:line="440" w:lineRule="exact"/>
              <w:rPr>
                <w:rFonts w:ascii="Times New Roman" w:hAnsi="Times New Roman"/>
              </w:rPr>
            </w:pPr>
          </w:p>
        </w:tc>
        <w:tc>
          <w:tcPr>
            <w:tcW w:w="976" w:type="dxa"/>
          </w:tcPr>
          <w:p w14:paraId="230D476A">
            <w:pPr>
              <w:spacing w:line="440" w:lineRule="exact"/>
              <w:rPr>
                <w:rFonts w:ascii="Times New Roman" w:hAnsi="Times New Roman"/>
              </w:rPr>
            </w:pPr>
          </w:p>
        </w:tc>
      </w:tr>
      <w:tr w14:paraId="13DE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tcPr>
          <w:p w14:paraId="2778363A">
            <w:pPr>
              <w:spacing w:line="440" w:lineRule="exact"/>
              <w:rPr>
                <w:rFonts w:ascii="Times New Roman" w:hAnsi="Times New Roman"/>
              </w:rPr>
            </w:pPr>
          </w:p>
        </w:tc>
        <w:tc>
          <w:tcPr>
            <w:tcW w:w="1583" w:type="dxa"/>
          </w:tcPr>
          <w:p w14:paraId="33C6B91A">
            <w:pPr>
              <w:spacing w:line="440" w:lineRule="exact"/>
              <w:rPr>
                <w:rFonts w:ascii="Times New Roman" w:hAnsi="Times New Roman"/>
              </w:rPr>
            </w:pPr>
          </w:p>
        </w:tc>
        <w:tc>
          <w:tcPr>
            <w:tcW w:w="1333" w:type="dxa"/>
          </w:tcPr>
          <w:p w14:paraId="45C56D93">
            <w:pPr>
              <w:spacing w:line="440" w:lineRule="exact"/>
              <w:rPr>
                <w:rFonts w:ascii="Times New Roman" w:hAnsi="Times New Roman"/>
              </w:rPr>
            </w:pPr>
          </w:p>
        </w:tc>
        <w:tc>
          <w:tcPr>
            <w:tcW w:w="1586" w:type="dxa"/>
          </w:tcPr>
          <w:p w14:paraId="154BB660">
            <w:pPr>
              <w:spacing w:line="440" w:lineRule="exact"/>
              <w:rPr>
                <w:rFonts w:ascii="Times New Roman" w:hAnsi="Times New Roman"/>
              </w:rPr>
            </w:pPr>
          </w:p>
        </w:tc>
        <w:tc>
          <w:tcPr>
            <w:tcW w:w="1319" w:type="dxa"/>
          </w:tcPr>
          <w:p w14:paraId="6E874950">
            <w:pPr>
              <w:spacing w:line="440" w:lineRule="exact"/>
              <w:rPr>
                <w:rFonts w:ascii="Times New Roman" w:hAnsi="Times New Roman"/>
              </w:rPr>
            </w:pPr>
          </w:p>
        </w:tc>
        <w:tc>
          <w:tcPr>
            <w:tcW w:w="1662" w:type="dxa"/>
          </w:tcPr>
          <w:p w14:paraId="3C80AF42">
            <w:pPr>
              <w:spacing w:line="440" w:lineRule="exact"/>
              <w:rPr>
                <w:rFonts w:ascii="Times New Roman" w:hAnsi="Times New Roman"/>
              </w:rPr>
            </w:pPr>
          </w:p>
        </w:tc>
        <w:tc>
          <w:tcPr>
            <w:tcW w:w="976" w:type="dxa"/>
          </w:tcPr>
          <w:p w14:paraId="1E25CA2D">
            <w:pPr>
              <w:spacing w:line="440" w:lineRule="exact"/>
              <w:rPr>
                <w:rFonts w:ascii="Times New Roman" w:hAnsi="Times New Roman"/>
              </w:rPr>
            </w:pPr>
          </w:p>
        </w:tc>
      </w:tr>
    </w:tbl>
    <w:p w14:paraId="4D6A6D3C">
      <w:pPr>
        <w:spacing w:line="440" w:lineRule="exact"/>
        <w:rPr>
          <w:rFonts w:ascii="Times New Roman" w:hAnsi="Times New Roman"/>
        </w:rPr>
      </w:pPr>
    </w:p>
    <w:p w14:paraId="00E92841">
      <w:pPr>
        <w:spacing w:line="440" w:lineRule="exact"/>
        <w:rPr>
          <w:rFonts w:ascii="Times New Roman" w:hAnsi="Times New Roman"/>
        </w:rPr>
      </w:pPr>
      <w:r>
        <w:rPr>
          <w:rFonts w:ascii="Times New Roman" w:hAnsi="Times New Roman"/>
        </w:rPr>
        <w:t>注：</w:t>
      </w:r>
      <w:r>
        <w:rPr>
          <w:rFonts w:hint="eastAsia" w:ascii="Times New Roman" w:hAnsi="Times New Roman"/>
        </w:rPr>
        <w:t>按第三章评标办法</w:t>
      </w:r>
      <w:r>
        <w:rPr>
          <w:rFonts w:ascii="Times New Roman" w:hAnsi="Times New Roman"/>
        </w:rPr>
        <w:t>在本表后附相关证明材料。</w:t>
      </w:r>
    </w:p>
    <w:p w14:paraId="296CBC23">
      <w:pPr>
        <w:spacing w:line="440" w:lineRule="exact"/>
        <w:rPr>
          <w:rFonts w:ascii="Times New Roman" w:hAnsi="Times New Roman"/>
        </w:rPr>
      </w:pPr>
    </w:p>
    <w:p w14:paraId="24E91382">
      <w:pPr>
        <w:rPr>
          <w:rFonts w:ascii="Times New Roman" w:hAnsi="Times New Roman"/>
        </w:rPr>
      </w:pPr>
      <w:bookmarkStart w:id="1199" w:name="_Toc79"/>
      <w:bookmarkStart w:id="1200" w:name="_Toc3779"/>
      <w:bookmarkStart w:id="1201" w:name="_Toc12633"/>
      <w:r>
        <w:rPr>
          <w:rFonts w:hint="eastAsia" w:ascii="Times New Roman" w:hAnsi="Times New Roman"/>
        </w:rPr>
        <w:br w:type="page"/>
      </w:r>
    </w:p>
    <w:p w14:paraId="276477F7">
      <w:pPr>
        <w:pStyle w:val="5"/>
        <w:keepNext w:val="0"/>
        <w:keepLines w:val="0"/>
        <w:ind w:firstLine="137"/>
        <w:jc w:val="center"/>
        <w:rPr>
          <w:rFonts w:ascii="Times New Roman" w:hAnsi="Times New Roman"/>
        </w:rPr>
      </w:pPr>
      <w:r>
        <w:rPr>
          <w:rFonts w:hint="eastAsia" w:ascii="Times New Roman" w:hAnsi="Times New Roman"/>
        </w:rPr>
        <w:t>（二）拟投入本项目主要技术人员一览表</w:t>
      </w:r>
      <w:r>
        <w:rPr>
          <w:rFonts w:ascii="Times New Roman" w:hAnsi="Times New Roman"/>
        </w:rPr>
        <w:t>（格式可自定）</w:t>
      </w:r>
      <w:bookmarkEnd w:id="1199"/>
      <w:bookmarkEnd w:id="1200"/>
      <w:bookmarkEnd w:id="1201"/>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318"/>
        <w:gridCol w:w="1319"/>
        <w:gridCol w:w="1319"/>
        <w:gridCol w:w="1319"/>
        <w:gridCol w:w="1319"/>
        <w:gridCol w:w="1319"/>
      </w:tblGrid>
      <w:tr w14:paraId="7202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6717F2C4">
            <w:pPr>
              <w:spacing w:line="440" w:lineRule="exact"/>
              <w:rPr>
                <w:rFonts w:ascii="Times New Roman" w:hAnsi="Times New Roman"/>
              </w:rPr>
            </w:pPr>
            <w:r>
              <w:rPr>
                <w:rFonts w:hint="eastAsia" w:ascii="Times New Roman" w:hAnsi="Times New Roman"/>
              </w:rPr>
              <w:t>序号</w:t>
            </w:r>
          </w:p>
        </w:tc>
        <w:tc>
          <w:tcPr>
            <w:tcW w:w="1318" w:type="dxa"/>
          </w:tcPr>
          <w:p w14:paraId="3A0C751F">
            <w:pPr>
              <w:spacing w:line="440" w:lineRule="exact"/>
              <w:rPr>
                <w:rFonts w:ascii="Times New Roman" w:hAnsi="Times New Roman"/>
              </w:rPr>
            </w:pPr>
            <w:r>
              <w:rPr>
                <w:rFonts w:hint="eastAsia" w:ascii="Times New Roman" w:hAnsi="Times New Roman"/>
              </w:rPr>
              <w:t>拟在本项目任职</w:t>
            </w:r>
          </w:p>
        </w:tc>
        <w:tc>
          <w:tcPr>
            <w:tcW w:w="1319" w:type="dxa"/>
          </w:tcPr>
          <w:p w14:paraId="6A548190">
            <w:pPr>
              <w:spacing w:line="440" w:lineRule="exact"/>
              <w:rPr>
                <w:rFonts w:ascii="Times New Roman" w:hAnsi="Times New Roman"/>
              </w:rPr>
            </w:pPr>
            <w:r>
              <w:rPr>
                <w:rFonts w:hint="eastAsia" w:ascii="Times New Roman" w:hAnsi="Times New Roman"/>
              </w:rPr>
              <w:t>姓名</w:t>
            </w:r>
          </w:p>
        </w:tc>
        <w:tc>
          <w:tcPr>
            <w:tcW w:w="1319" w:type="dxa"/>
          </w:tcPr>
          <w:p w14:paraId="553A1C1A">
            <w:pPr>
              <w:spacing w:line="440" w:lineRule="exact"/>
              <w:rPr>
                <w:rFonts w:ascii="Times New Roman" w:hAnsi="Times New Roman"/>
              </w:rPr>
            </w:pPr>
            <w:r>
              <w:rPr>
                <w:rFonts w:hint="eastAsia" w:ascii="Times New Roman" w:hAnsi="Times New Roman"/>
              </w:rPr>
              <w:t>学历/专业</w:t>
            </w:r>
          </w:p>
        </w:tc>
        <w:tc>
          <w:tcPr>
            <w:tcW w:w="1319" w:type="dxa"/>
          </w:tcPr>
          <w:p w14:paraId="42957D50">
            <w:pPr>
              <w:spacing w:line="440" w:lineRule="exact"/>
              <w:rPr>
                <w:rFonts w:ascii="Times New Roman" w:hAnsi="Times New Roman"/>
              </w:rPr>
            </w:pPr>
            <w:r>
              <w:rPr>
                <w:rFonts w:hint="eastAsia" w:ascii="Times New Roman" w:hAnsi="Times New Roman"/>
              </w:rPr>
              <w:t>职称/专业</w:t>
            </w:r>
          </w:p>
        </w:tc>
        <w:tc>
          <w:tcPr>
            <w:tcW w:w="1319" w:type="dxa"/>
          </w:tcPr>
          <w:p w14:paraId="08E2B2AD">
            <w:pPr>
              <w:spacing w:line="440" w:lineRule="exact"/>
              <w:rPr>
                <w:rFonts w:ascii="Times New Roman" w:hAnsi="Times New Roman"/>
              </w:rPr>
            </w:pPr>
            <w:r>
              <w:rPr>
                <w:rFonts w:hint="eastAsia" w:ascii="Times New Roman" w:hAnsi="Times New Roman"/>
              </w:rPr>
              <w:t>工作年限</w:t>
            </w:r>
          </w:p>
        </w:tc>
        <w:tc>
          <w:tcPr>
            <w:tcW w:w="1319" w:type="dxa"/>
          </w:tcPr>
          <w:p w14:paraId="7246285A">
            <w:pPr>
              <w:spacing w:line="440" w:lineRule="exact"/>
              <w:rPr>
                <w:rFonts w:ascii="Times New Roman" w:hAnsi="Times New Roman"/>
              </w:rPr>
            </w:pPr>
            <w:r>
              <w:rPr>
                <w:rFonts w:hint="eastAsia" w:ascii="Times New Roman" w:hAnsi="Times New Roman"/>
              </w:rPr>
              <w:t>备注</w:t>
            </w:r>
          </w:p>
        </w:tc>
      </w:tr>
      <w:tr w14:paraId="572B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75DA3746">
            <w:pPr>
              <w:spacing w:line="440" w:lineRule="exact"/>
              <w:rPr>
                <w:rFonts w:ascii="Times New Roman" w:hAnsi="Times New Roman"/>
              </w:rPr>
            </w:pPr>
          </w:p>
        </w:tc>
        <w:tc>
          <w:tcPr>
            <w:tcW w:w="1318" w:type="dxa"/>
          </w:tcPr>
          <w:p w14:paraId="36DAAE18">
            <w:pPr>
              <w:spacing w:line="440" w:lineRule="exact"/>
              <w:rPr>
                <w:rFonts w:ascii="Times New Roman" w:hAnsi="Times New Roman"/>
              </w:rPr>
            </w:pPr>
          </w:p>
        </w:tc>
        <w:tc>
          <w:tcPr>
            <w:tcW w:w="1319" w:type="dxa"/>
          </w:tcPr>
          <w:p w14:paraId="13DE299F">
            <w:pPr>
              <w:spacing w:line="440" w:lineRule="exact"/>
              <w:rPr>
                <w:rFonts w:ascii="Times New Roman" w:hAnsi="Times New Roman"/>
              </w:rPr>
            </w:pPr>
          </w:p>
        </w:tc>
        <w:tc>
          <w:tcPr>
            <w:tcW w:w="1319" w:type="dxa"/>
          </w:tcPr>
          <w:p w14:paraId="523C82E6">
            <w:pPr>
              <w:spacing w:line="440" w:lineRule="exact"/>
              <w:rPr>
                <w:rFonts w:ascii="Times New Roman" w:hAnsi="Times New Roman"/>
              </w:rPr>
            </w:pPr>
          </w:p>
        </w:tc>
        <w:tc>
          <w:tcPr>
            <w:tcW w:w="1319" w:type="dxa"/>
          </w:tcPr>
          <w:p w14:paraId="0FF5F818">
            <w:pPr>
              <w:spacing w:line="440" w:lineRule="exact"/>
              <w:rPr>
                <w:rFonts w:ascii="Times New Roman" w:hAnsi="Times New Roman"/>
              </w:rPr>
            </w:pPr>
          </w:p>
        </w:tc>
        <w:tc>
          <w:tcPr>
            <w:tcW w:w="1319" w:type="dxa"/>
          </w:tcPr>
          <w:p w14:paraId="305A1451">
            <w:pPr>
              <w:spacing w:line="440" w:lineRule="exact"/>
              <w:rPr>
                <w:rFonts w:ascii="Times New Roman" w:hAnsi="Times New Roman"/>
              </w:rPr>
            </w:pPr>
          </w:p>
        </w:tc>
        <w:tc>
          <w:tcPr>
            <w:tcW w:w="1319" w:type="dxa"/>
          </w:tcPr>
          <w:p w14:paraId="214327AF">
            <w:pPr>
              <w:spacing w:line="440" w:lineRule="exact"/>
              <w:rPr>
                <w:rFonts w:ascii="Times New Roman" w:hAnsi="Times New Roman"/>
              </w:rPr>
            </w:pPr>
          </w:p>
        </w:tc>
      </w:tr>
      <w:tr w14:paraId="4B99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11C2934A">
            <w:pPr>
              <w:spacing w:line="440" w:lineRule="exact"/>
              <w:rPr>
                <w:rFonts w:ascii="Times New Roman" w:hAnsi="Times New Roman"/>
              </w:rPr>
            </w:pPr>
          </w:p>
        </w:tc>
        <w:tc>
          <w:tcPr>
            <w:tcW w:w="1318" w:type="dxa"/>
          </w:tcPr>
          <w:p w14:paraId="173F3ADA">
            <w:pPr>
              <w:spacing w:line="440" w:lineRule="exact"/>
              <w:rPr>
                <w:rFonts w:ascii="Times New Roman" w:hAnsi="Times New Roman"/>
              </w:rPr>
            </w:pPr>
          </w:p>
        </w:tc>
        <w:tc>
          <w:tcPr>
            <w:tcW w:w="1319" w:type="dxa"/>
          </w:tcPr>
          <w:p w14:paraId="7B1605F9">
            <w:pPr>
              <w:spacing w:line="440" w:lineRule="exact"/>
              <w:rPr>
                <w:rFonts w:ascii="Times New Roman" w:hAnsi="Times New Roman"/>
              </w:rPr>
            </w:pPr>
          </w:p>
        </w:tc>
        <w:tc>
          <w:tcPr>
            <w:tcW w:w="1319" w:type="dxa"/>
          </w:tcPr>
          <w:p w14:paraId="27733C06">
            <w:pPr>
              <w:spacing w:line="440" w:lineRule="exact"/>
              <w:rPr>
                <w:rFonts w:ascii="Times New Roman" w:hAnsi="Times New Roman"/>
              </w:rPr>
            </w:pPr>
          </w:p>
        </w:tc>
        <w:tc>
          <w:tcPr>
            <w:tcW w:w="1319" w:type="dxa"/>
          </w:tcPr>
          <w:p w14:paraId="42277386">
            <w:pPr>
              <w:spacing w:line="440" w:lineRule="exact"/>
              <w:rPr>
                <w:rFonts w:ascii="Times New Roman" w:hAnsi="Times New Roman"/>
              </w:rPr>
            </w:pPr>
          </w:p>
        </w:tc>
        <w:tc>
          <w:tcPr>
            <w:tcW w:w="1319" w:type="dxa"/>
          </w:tcPr>
          <w:p w14:paraId="0BC7AAFB">
            <w:pPr>
              <w:spacing w:line="440" w:lineRule="exact"/>
              <w:rPr>
                <w:rFonts w:ascii="Times New Roman" w:hAnsi="Times New Roman"/>
              </w:rPr>
            </w:pPr>
          </w:p>
        </w:tc>
        <w:tc>
          <w:tcPr>
            <w:tcW w:w="1319" w:type="dxa"/>
          </w:tcPr>
          <w:p w14:paraId="01C4E4C5">
            <w:pPr>
              <w:spacing w:line="440" w:lineRule="exact"/>
              <w:rPr>
                <w:rFonts w:ascii="Times New Roman" w:hAnsi="Times New Roman"/>
              </w:rPr>
            </w:pPr>
          </w:p>
        </w:tc>
      </w:tr>
      <w:tr w14:paraId="5FEB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08867F15">
            <w:pPr>
              <w:spacing w:line="440" w:lineRule="exact"/>
              <w:rPr>
                <w:rFonts w:ascii="Times New Roman" w:hAnsi="Times New Roman"/>
              </w:rPr>
            </w:pPr>
          </w:p>
        </w:tc>
        <w:tc>
          <w:tcPr>
            <w:tcW w:w="1318" w:type="dxa"/>
          </w:tcPr>
          <w:p w14:paraId="49FB5100">
            <w:pPr>
              <w:spacing w:line="440" w:lineRule="exact"/>
              <w:rPr>
                <w:rFonts w:ascii="Times New Roman" w:hAnsi="Times New Roman"/>
              </w:rPr>
            </w:pPr>
          </w:p>
        </w:tc>
        <w:tc>
          <w:tcPr>
            <w:tcW w:w="1319" w:type="dxa"/>
          </w:tcPr>
          <w:p w14:paraId="1B1D94D5">
            <w:pPr>
              <w:spacing w:line="440" w:lineRule="exact"/>
              <w:rPr>
                <w:rFonts w:ascii="Times New Roman" w:hAnsi="Times New Roman"/>
              </w:rPr>
            </w:pPr>
          </w:p>
        </w:tc>
        <w:tc>
          <w:tcPr>
            <w:tcW w:w="1319" w:type="dxa"/>
          </w:tcPr>
          <w:p w14:paraId="157E70D6">
            <w:pPr>
              <w:spacing w:line="440" w:lineRule="exact"/>
              <w:rPr>
                <w:rFonts w:ascii="Times New Roman" w:hAnsi="Times New Roman"/>
              </w:rPr>
            </w:pPr>
          </w:p>
        </w:tc>
        <w:tc>
          <w:tcPr>
            <w:tcW w:w="1319" w:type="dxa"/>
          </w:tcPr>
          <w:p w14:paraId="0A80C3D8">
            <w:pPr>
              <w:spacing w:line="440" w:lineRule="exact"/>
              <w:rPr>
                <w:rFonts w:ascii="Times New Roman" w:hAnsi="Times New Roman"/>
              </w:rPr>
            </w:pPr>
          </w:p>
        </w:tc>
        <w:tc>
          <w:tcPr>
            <w:tcW w:w="1319" w:type="dxa"/>
          </w:tcPr>
          <w:p w14:paraId="1626A686">
            <w:pPr>
              <w:spacing w:line="440" w:lineRule="exact"/>
              <w:rPr>
                <w:rFonts w:ascii="Times New Roman" w:hAnsi="Times New Roman"/>
              </w:rPr>
            </w:pPr>
          </w:p>
        </w:tc>
        <w:tc>
          <w:tcPr>
            <w:tcW w:w="1319" w:type="dxa"/>
          </w:tcPr>
          <w:p w14:paraId="2D112168">
            <w:pPr>
              <w:spacing w:line="440" w:lineRule="exact"/>
              <w:rPr>
                <w:rFonts w:ascii="Times New Roman" w:hAnsi="Times New Roman"/>
              </w:rPr>
            </w:pPr>
          </w:p>
        </w:tc>
      </w:tr>
      <w:tr w14:paraId="5E3C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14:paraId="7F79F602">
            <w:pPr>
              <w:spacing w:line="440" w:lineRule="exact"/>
              <w:rPr>
                <w:rFonts w:ascii="Times New Roman" w:hAnsi="Times New Roman"/>
              </w:rPr>
            </w:pPr>
          </w:p>
        </w:tc>
        <w:tc>
          <w:tcPr>
            <w:tcW w:w="1318" w:type="dxa"/>
          </w:tcPr>
          <w:p w14:paraId="56BC97D4">
            <w:pPr>
              <w:spacing w:line="440" w:lineRule="exact"/>
              <w:rPr>
                <w:rFonts w:ascii="Times New Roman" w:hAnsi="Times New Roman"/>
              </w:rPr>
            </w:pPr>
          </w:p>
        </w:tc>
        <w:tc>
          <w:tcPr>
            <w:tcW w:w="1319" w:type="dxa"/>
          </w:tcPr>
          <w:p w14:paraId="55882DCB">
            <w:pPr>
              <w:spacing w:line="440" w:lineRule="exact"/>
              <w:rPr>
                <w:rFonts w:ascii="Times New Roman" w:hAnsi="Times New Roman"/>
              </w:rPr>
            </w:pPr>
          </w:p>
        </w:tc>
        <w:tc>
          <w:tcPr>
            <w:tcW w:w="1319" w:type="dxa"/>
          </w:tcPr>
          <w:p w14:paraId="10DF206F">
            <w:pPr>
              <w:spacing w:line="440" w:lineRule="exact"/>
              <w:rPr>
                <w:rFonts w:ascii="Times New Roman" w:hAnsi="Times New Roman"/>
              </w:rPr>
            </w:pPr>
          </w:p>
        </w:tc>
        <w:tc>
          <w:tcPr>
            <w:tcW w:w="1319" w:type="dxa"/>
          </w:tcPr>
          <w:p w14:paraId="14986A47">
            <w:pPr>
              <w:spacing w:line="440" w:lineRule="exact"/>
              <w:rPr>
                <w:rFonts w:ascii="Times New Roman" w:hAnsi="Times New Roman"/>
              </w:rPr>
            </w:pPr>
          </w:p>
        </w:tc>
        <w:tc>
          <w:tcPr>
            <w:tcW w:w="1319" w:type="dxa"/>
          </w:tcPr>
          <w:p w14:paraId="68E9B7A0">
            <w:pPr>
              <w:spacing w:line="440" w:lineRule="exact"/>
              <w:rPr>
                <w:rFonts w:ascii="Times New Roman" w:hAnsi="Times New Roman"/>
              </w:rPr>
            </w:pPr>
          </w:p>
        </w:tc>
        <w:tc>
          <w:tcPr>
            <w:tcW w:w="1319" w:type="dxa"/>
          </w:tcPr>
          <w:p w14:paraId="134A90F5">
            <w:pPr>
              <w:spacing w:line="440" w:lineRule="exact"/>
              <w:rPr>
                <w:rFonts w:ascii="Times New Roman" w:hAnsi="Times New Roman"/>
              </w:rPr>
            </w:pPr>
          </w:p>
        </w:tc>
      </w:tr>
    </w:tbl>
    <w:p w14:paraId="1C820F9D">
      <w:pPr>
        <w:spacing w:line="440" w:lineRule="exact"/>
        <w:rPr>
          <w:rFonts w:ascii="Times New Roman" w:hAnsi="Times New Roman"/>
        </w:rPr>
      </w:pPr>
    </w:p>
    <w:p w14:paraId="57628963">
      <w:pPr>
        <w:spacing w:line="440" w:lineRule="exact"/>
        <w:rPr>
          <w:rFonts w:ascii="Times New Roman" w:hAnsi="Times New Roman"/>
        </w:rPr>
      </w:pPr>
      <w:r>
        <w:rPr>
          <w:rFonts w:ascii="Times New Roman" w:hAnsi="Times New Roman"/>
        </w:rPr>
        <w:t>注：</w:t>
      </w:r>
      <w:r>
        <w:rPr>
          <w:rFonts w:hint="eastAsia" w:ascii="Times New Roman" w:hAnsi="Times New Roman"/>
        </w:rPr>
        <w:t>按第三章评标办法</w:t>
      </w:r>
      <w:r>
        <w:rPr>
          <w:rFonts w:ascii="Times New Roman" w:hAnsi="Times New Roman"/>
        </w:rPr>
        <w:t>在本表后附相关证明材料。</w:t>
      </w:r>
    </w:p>
    <w:p w14:paraId="32D65F1D"/>
    <w:p w14:paraId="2300E237">
      <w:pPr>
        <w:rPr>
          <w:rFonts w:ascii="Times New Roman" w:hAnsi="Times New Roman"/>
        </w:rPr>
      </w:pPr>
    </w:p>
    <w:p w14:paraId="4E25C687">
      <w:pPr>
        <w:pStyle w:val="12"/>
        <w:rPr>
          <w:rFonts w:ascii="Times New Roman" w:hAnsi="Times New Roman"/>
        </w:rPr>
      </w:pPr>
    </w:p>
    <w:p w14:paraId="31E1072F">
      <w:pPr>
        <w:rPr>
          <w:rFonts w:ascii="Times New Roman" w:hAnsi="Times New Roman"/>
        </w:rPr>
      </w:pPr>
    </w:p>
    <w:p w14:paraId="1C5F11DF">
      <w:pPr>
        <w:pStyle w:val="12"/>
      </w:pPr>
    </w:p>
    <w:p w14:paraId="4FDB366E">
      <w:pPr>
        <w:rPr>
          <w:rFonts w:ascii="Times New Roman" w:hAnsi="Times New Roman"/>
        </w:rPr>
      </w:pPr>
      <w:bookmarkStart w:id="1202" w:name="_Toc24451"/>
      <w:bookmarkStart w:id="1203" w:name="_Toc18804"/>
      <w:bookmarkStart w:id="1204" w:name="_Toc388"/>
      <w:r>
        <w:rPr>
          <w:rFonts w:hint="eastAsia" w:ascii="Times New Roman" w:hAnsi="Times New Roman"/>
        </w:rPr>
        <w:br w:type="page"/>
      </w:r>
    </w:p>
    <w:p w14:paraId="5328B5AB">
      <w:pPr>
        <w:pStyle w:val="5"/>
        <w:keepNext w:val="0"/>
        <w:keepLines w:val="0"/>
        <w:ind w:firstLine="137"/>
        <w:rPr>
          <w:rFonts w:ascii="Times New Roman" w:hAnsi="Times New Roman"/>
        </w:rPr>
      </w:pPr>
      <w:r>
        <w:rPr>
          <w:rFonts w:hint="eastAsia" w:ascii="Times New Roman" w:hAnsi="Times New Roman"/>
        </w:rPr>
        <w:t>（三）拟投入本项目的主要的仪器设备一览表</w:t>
      </w:r>
      <w:r>
        <w:rPr>
          <w:rFonts w:ascii="Times New Roman" w:hAnsi="Times New Roman"/>
        </w:rPr>
        <w:t>（格式可自定）</w:t>
      </w:r>
      <w:bookmarkEnd w:id="1202"/>
      <w:bookmarkEnd w:id="1203"/>
      <w:bookmarkEnd w:id="1204"/>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335"/>
        <w:gridCol w:w="2183"/>
        <w:gridCol w:w="2100"/>
        <w:gridCol w:w="1405"/>
      </w:tblGrid>
      <w:tr w14:paraId="6A30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51" w:type="pct"/>
            <w:vAlign w:val="center"/>
          </w:tcPr>
          <w:p w14:paraId="254E5FCC">
            <w:pPr>
              <w:spacing w:line="440" w:lineRule="exact"/>
              <w:rPr>
                <w:rFonts w:ascii="Times New Roman" w:hAnsi="Times New Roman"/>
                <w:szCs w:val="21"/>
              </w:rPr>
            </w:pPr>
            <w:r>
              <w:rPr>
                <w:rFonts w:ascii="Times New Roman" w:hAnsi="Times New Roman"/>
                <w:szCs w:val="21"/>
              </w:rPr>
              <w:t>序号</w:t>
            </w:r>
          </w:p>
        </w:tc>
        <w:tc>
          <w:tcPr>
            <w:tcW w:w="1265" w:type="pct"/>
            <w:vAlign w:val="center"/>
          </w:tcPr>
          <w:p w14:paraId="50705EB9">
            <w:pPr>
              <w:spacing w:line="440" w:lineRule="exact"/>
              <w:jc w:val="center"/>
              <w:rPr>
                <w:rFonts w:ascii="Times New Roman" w:hAnsi="Times New Roman"/>
                <w:szCs w:val="21"/>
              </w:rPr>
            </w:pPr>
            <w:r>
              <w:rPr>
                <w:rFonts w:ascii="Times New Roman" w:hAnsi="Times New Roman"/>
                <w:szCs w:val="21"/>
              </w:rPr>
              <w:t>仪器设备名称</w:t>
            </w:r>
          </w:p>
        </w:tc>
        <w:tc>
          <w:tcPr>
            <w:tcW w:w="1183" w:type="pct"/>
            <w:vAlign w:val="center"/>
          </w:tcPr>
          <w:p w14:paraId="2D06DDAD">
            <w:pPr>
              <w:spacing w:line="440" w:lineRule="exact"/>
              <w:jc w:val="center"/>
              <w:rPr>
                <w:rFonts w:ascii="Times New Roman" w:hAnsi="Times New Roman"/>
                <w:szCs w:val="21"/>
              </w:rPr>
            </w:pPr>
            <w:r>
              <w:rPr>
                <w:rFonts w:ascii="Times New Roman" w:hAnsi="Times New Roman"/>
                <w:szCs w:val="21"/>
              </w:rPr>
              <w:t>型号规格</w:t>
            </w:r>
          </w:p>
        </w:tc>
        <w:tc>
          <w:tcPr>
            <w:tcW w:w="1138" w:type="pct"/>
            <w:vAlign w:val="center"/>
          </w:tcPr>
          <w:p w14:paraId="24A6CDCB">
            <w:pPr>
              <w:spacing w:line="440" w:lineRule="exact"/>
              <w:jc w:val="center"/>
              <w:rPr>
                <w:rFonts w:ascii="Times New Roman" w:hAnsi="Times New Roman"/>
                <w:szCs w:val="21"/>
              </w:rPr>
            </w:pPr>
            <w:r>
              <w:rPr>
                <w:rFonts w:ascii="Times New Roman" w:hAnsi="Times New Roman"/>
                <w:szCs w:val="21"/>
              </w:rPr>
              <w:t>数量</w:t>
            </w:r>
          </w:p>
        </w:tc>
        <w:tc>
          <w:tcPr>
            <w:tcW w:w="761" w:type="pct"/>
            <w:vAlign w:val="center"/>
          </w:tcPr>
          <w:p w14:paraId="35AD0FF4">
            <w:pPr>
              <w:spacing w:line="440" w:lineRule="exact"/>
              <w:jc w:val="center"/>
              <w:rPr>
                <w:rFonts w:ascii="Times New Roman" w:hAnsi="Times New Roman"/>
                <w:szCs w:val="21"/>
              </w:rPr>
            </w:pPr>
            <w:r>
              <w:rPr>
                <w:rFonts w:ascii="Times New Roman" w:hAnsi="Times New Roman"/>
                <w:szCs w:val="21"/>
              </w:rPr>
              <w:t>备注</w:t>
            </w:r>
          </w:p>
        </w:tc>
      </w:tr>
      <w:tr w14:paraId="77EA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vAlign w:val="center"/>
          </w:tcPr>
          <w:p w14:paraId="740C0125">
            <w:pPr>
              <w:spacing w:line="440" w:lineRule="exact"/>
              <w:jc w:val="center"/>
              <w:rPr>
                <w:rFonts w:ascii="Times New Roman" w:hAnsi="Times New Roman"/>
                <w:szCs w:val="21"/>
              </w:rPr>
            </w:pPr>
          </w:p>
        </w:tc>
        <w:tc>
          <w:tcPr>
            <w:tcW w:w="1265" w:type="pct"/>
            <w:vAlign w:val="center"/>
          </w:tcPr>
          <w:p w14:paraId="7C40C8FE">
            <w:pPr>
              <w:spacing w:line="440" w:lineRule="exact"/>
              <w:jc w:val="center"/>
              <w:rPr>
                <w:rFonts w:ascii="Times New Roman" w:hAnsi="Times New Roman"/>
                <w:szCs w:val="21"/>
              </w:rPr>
            </w:pPr>
          </w:p>
        </w:tc>
        <w:tc>
          <w:tcPr>
            <w:tcW w:w="1183" w:type="pct"/>
            <w:vAlign w:val="center"/>
          </w:tcPr>
          <w:p w14:paraId="2E42E543">
            <w:pPr>
              <w:spacing w:line="440" w:lineRule="exact"/>
              <w:jc w:val="center"/>
              <w:rPr>
                <w:rFonts w:ascii="Times New Roman" w:hAnsi="Times New Roman"/>
                <w:szCs w:val="21"/>
              </w:rPr>
            </w:pPr>
          </w:p>
        </w:tc>
        <w:tc>
          <w:tcPr>
            <w:tcW w:w="1138" w:type="pct"/>
            <w:vAlign w:val="center"/>
          </w:tcPr>
          <w:p w14:paraId="7554EC05">
            <w:pPr>
              <w:spacing w:line="440" w:lineRule="exact"/>
              <w:jc w:val="center"/>
              <w:rPr>
                <w:rFonts w:ascii="Times New Roman" w:hAnsi="Times New Roman"/>
                <w:szCs w:val="21"/>
              </w:rPr>
            </w:pPr>
          </w:p>
        </w:tc>
        <w:tc>
          <w:tcPr>
            <w:tcW w:w="761" w:type="pct"/>
            <w:vAlign w:val="center"/>
          </w:tcPr>
          <w:p w14:paraId="74AF752A">
            <w:pPr>
              <w:spacing w:line="440" w:lineRule="exact"/>
              <w:jc w:val="center"/>
              <w:rPr>
                <w:rFonts w:ascii="Times New Roman" w:hAnsi="Times New Roman"/>
                <w:szCs w:val="21"/>
              </w:rPr>
            </w:pPr>
          </w:p>
        </w:tc>
      </w:tr>
      <w:tr w14:paraId="7CBC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vAlign w:val="center"/>
          </w:tcPr>
          <w:p w14:paraId="241FC6F7">
            <w:pPr>
              <w:spacing w:line="440" w:lineRule="exact"/>
              <w:jc w:val="center"/>
              <w:rPr>
                <w:rFonts w:ascii="Times New Roman" w:hAnsi="Times New Roman"/>
                <w:szCs w:val="21"/>
              </w:rPr>
            </w:pPr>
          </w:p>
        </w:tc>
        <w:tc>
          <w:tcPr>
            <w:tcW w:w="1265" w:type="pct"/>
            <w:vAlign w:val="center"/>
          </w:tcPr>
          <w:p w14:paraId="6A6BDF12">
            <w:pPr>
              <w:spacing w:line="440" w:lineRule="exact"/>
              <w:jc w:val="center"/>
              <w:rPr>
                <w:rFonts w:ascii="Times New Roman" w:hAnsi="Times New Roman"/>
                <w:szCs w:val="21"/>
              </w:rPr>
            </w:pPr>
          </w:p>
        </w:tc>
        <w:tc>
          <w:tcPr>
            <w:tcW w:w="1183" w:type="pct"/>
            <w:vAlign w:val="center"/>
          </w:tcPr>
          <w:p w14:paraId="65708F86">
            <w:pPr>
              <w:spacing w:line="440" w:lineRule="exact"/>
              <w:jc w:val="center"/>
              <w:rPr>
                <w:rFonts w:ascii="Times New Roman" w:hAnsi="Times New Roman"/>
                <w:szCs w:val="21"/>
              </w:rPr>
            </w:pPr>
          </w:p>
        </w:tc>
        <w:tc>
          <w:tcPr>
            <w:tcW w:w="1138" w:type="pct"/>
            <w:vAlign w:val="center"/>
          </w:tcPr>
          <w:p w14:paraId="5F9CECF6">
            <w:pPr>
              <w:spacing w:line="440" w:lineRule="exact"/>
              <w:jc w:val="center"/>
              <w:rPr>
                <w:rFonts w:ascii="Times New Roman" w:hAnsi="Times New Roman"/>
                <w:szCs w:val="21"/>
              </w:rPr>
            </w:pPr>
          </w:p>
        </w:tc>
        <w:tc>
          <w:tcPr>
            <w:tcW w:w="761" w:type="pct"/>
            <w:vAlign w:val="center"/>
          </w:tcPr>
          <w:p w14:paraId="63F55F10">
            <w:pPr>
              <w:spacing w:line="440" w:lineRule="exact"/>
              <w:jc w:val="center"/>
              <w:rPr>
                <w:rFonts w:ascii="Times New Roman" w:hAnsi="Times New Roman"/>
                <w:szCs w:val="21"/>
              </w:rPr>
            </w:pPr>
          </w:p>
        </w:tc>
      </w:tr>
      <w:tr w14:paraId="61C2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7EF75E3A">
            <w:pPr>
              <w:spacing w:line="440" w:lineRule="exact"/>
              <w:jc w:val="center"/>
              <w:rPr>
                <w:rFonts w:ascii="Times New Roman" w:hAnsi="Times New Roman"/>
                <w:szCs w:val="21"/>
              </w:rPr>
            </w:pPr>
          </w:p>
        </w:tc>
        <w:tc>
          <w:tcPr>
            <w:tcW w:w="1265" w:type="pct"/>
          </w:tcPr>
          <w:p w14:paraId="222C0A13">
            <w:pPr>
              <w:spacing w:line="440" w:lineRule="exact"/>
              <w:jc w:val="center"/>
              <w:rPr>
                <w:rFonts w:ascii="Times New Roman" w:hAnsi="Times New Roman"/>
                <w:szCs w:val="21"/>
              </w:rPr>
            </w:pPr>
          </w:p>
        </w:tc>
        <w:tc>
          <w:tcPr>
            <w:tcW w:w="1183" w:type="pct"/>
          </w:tcPr>
          <w:p w14:paraId="27AAEF67">
            <w:pPr>
              <w:spacing w:line="440" w:lineRule="exact"/>
              <w:jc w:val="center"/>
              <w:rPr>
                <w:rFonts w:ascii="Times New Roman" w:hAnsi="Times New Roman"/>
                <w:szCs w:val="21"/>
              </w:rPr>
            </w:pPr>
          </w:p>
        </w:tc>
        <w:tc>
          <w:tcPr>
            <w:tcW w:w="1138" w:type="pct"/>
          </w:tcPr>
          <w:p w14:paraId="589E8AA6">
            <w:pPr>
              <w:spacing w:line="440" w:lineRule="exact"/>
              <w:jc w:val="center"/>
              <w:rPr>
                <w:rFonts w:ascii="Times New Roman" w:hAnsi="Times New Roman"/>
                <w:szCs w:val="21"/>
              </w:rPr>
            </w:pPr>
          </w:p>
        </w:tc>
        <w:tc>
          <w:tcPr>
            <w:tcW w:w="761" w:type="pct"/>
          </w:tcPr>
          <w:p w14:paraId="45FBA3DA">
            <w:pPr>
              <w:spacing w:line="440" w:lineRule="exact"/>
              <w:jc w:val="center"/>
              <w:rPr>
                <w:rFonts w:ascii="Times New Roman" w:hAnsi="Times New Roman"/>
                <w:szCs w:val="21"/>
              </w:rPr>
            </w:pPr>
          </w:p>
        </w:tc>
      </w:tr>
      <w:tr w14:paraId="4D9B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04861386">
            <w:pPr>
              <w:spacing w:line="440" w:lineRule="exact"/>
              <w:jc w:val="center"/>
              <w:rPr>
                <w:rFonts w:ascii="Times New Roman" w:hAnsi="Times New Roman"/>
                <w:szCs w:val="21"/>
              </w:rPr>
            </w:pPr>
          </w:p>
        </w:tc>
        <w:tc>
          <w:tcPr>
            <w:tcW w:w="1265" w:type="pct"/>
          </w:tcPr>
          <w:p w14:paraId="68E96031">
            <w:pPr>
              <w:spacing w:line="440" w:lineRule="exact"/>
              <w:jc w:val="center"/>
              <w:rPr>
                <w:rFonts w:ascii="Times New Roman" w:hAnsi="Times New Roman"/>
                <w:szCs w:val="21"/>
              </w:rPr>
            </w:pPr>
          </w:p>
        </w:tc>
        <w:tc>
          <w:tcPr>
            <w:tcW w:w="1183" w:type="pct"/>
          </w:tcPr>
          <w:p w14:paraId="32ABD83A">
            <w:pPr>
              <w:spacing w:line="440" w:lineRule="exact"/>
              <w:jc w:val="center"/>
              <w:rPr>
                <w:rFonts w:ascii="Times New Roman" w:hAnsi="Times New Roman"/>
                <w:szCs w:val="21"/>
              </w:rPr>
            </w:pPr>
          </w:p>
        </w:tc>
        <w:tc>
          <w:tcPr>
            <w:tcW w:w="1138" w:type="pct"/>
          </w:tcPr>
          <w:p w14:paraId="6C46F16E">
            <w:pPr>
              <w:spacing w:line="440" w:lineRule="exact"/>
              <w:jc w:val="center"/>
              <w:rPr>
                <w:rFonts w:ascii="Times New Roman" w:hAnsi="Times New Roman"/>
                <w:szCs w:val="21"/>
              </w:rPr>
            </w:pPr>
          </w:p>
        </w:tc>
        <w:tc>
          <w:tcPr>
            <w:tcW w:w="761" w:type="pct"/>
          </w:tcPr>
          <w:p w14:paraId="6A26B4CA">
            <w:pPr>
              <w:spacing w:line="440" w:lineRule="exact"/>
              <w:jc w:val="center"/>
              <w:rPr>
                <w:rFonts w:ascii="Times New Roman" w:hAnsi="Times New Roman"/>
                <w:szCs w:val="21"/>
              </w:rPr>
            </w:pPr>
          </w:p>
        </w:tc>
      </w:tr>
      <w:tr w14:paraId="54D7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51" w:type="pct"/>
          </w:tcPr>
          <w:p w14:paraId="37BEFE1D">
            <w:pPr>
              <w:spacing w:line="440" w:lineRule="exact"/>
              <w:jc w:val="center"/>
              <w:rPr>
                <w:rFonts w:ascii="Times New Roman" w:hAnsi="Times New Roman"/>
                <w:szCs w:val="21"/>
              </w:rPr>
            </w:pPr>
          </w:p>
        </w:tc>
        <w:tc>
          <w:tcPr>
            <w:tcW w:w="1265" w:type="pct"/>
          </w:tcPr>
          <w:p w14:paraId="52C77432">
            <w:pPr>
              <w:spacing w:line="440" w:lineRule="exact"/>
              <w:jc w:val="center"/>
              <w:rPr>
                <w:rFonts w:ascii="Times New Roman" w:hAnsi="Times New Roman"/>
                <w:szCs w:val="21"/>
              </w:rPr>
            </w:pPr>
          </w:p>
        </w:tc>
        <w:tc>
          <w:tcPr>
            <w:tcW w:w="1183" w:type="pct"/>
          </w:tcPr>
          <w:p w14:paraId="076BBFAC">
            <w:pPr>
              <w:spacing w:line="440" w:lineRule="exact"/>
              <w:jc w:val="center"/>
              <w:rPr>
                <w:rFonts w:ascii="Times New Roman" w:hAnsi="Times New Roman"/>
                <w:szCs w:val="21"/>
              </w:rPr>
            </w:pPr>
          </w:p>
        </w:tc>
        <w:tc>
          <w:tcPr>
            <w:tcW w:w="1138" w:type="pct"/>
          </w:tcPr>
          <w:p w14:paraId="0564F08A">
            <w:pPr>
              <w:spacing w:line="440" w:lineRule="exact"/>
              <w:jc w:val="center"/>
              <w:rPr>
                <w:rFonts w:ascii="Times New Roman" w:hAnsi="Times New Roman"/>
                <w:szCs w:val="21"/>
              </w:rPr>
            </w:pPr>
          </w:p>
        </w:tc>
        <w:tc>
          <w:tcPr>
            <w:tcW w:w="761" w:type="pct"/>
          </w:tcPr>
          <w:p w14:paraId="76B6AFC5">
            <w:pPr>
              <w:spacing w:line="440" w:lineRule="exact"/>
              <w:jc w:val="center"/>
              <w:rPr>
                <w:rFonts w:ascii="Times New Roman" w:hAnsi="Times New Roman"/>
                <w:szCs w:val="21"/>
              </w:rPr>
            </w:pPr>
          </w:p>
        </w:tc>
      </w:tr>
      <w:tr w14:paraId="7038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70A416BF">
            <w:pPr>
              <w:spacing w:line="440" w:lineRule="exact"/>
              <w:jc w:val="center"/>
              <w:rPr>
                <w:rFonts w:ascii="Times New Roman" w:hAnsi="Times New Roman"/>
                <w:szCs w:val="21"/>
              </w:rPr>
            </w:pPr>
          </w:p>
        </w:tc>
        <w:tc>
          <w:tcPr>
            <w:tcW w:w="1265" w:type="pct"/>
          </w:tcPr>
          <w:p w14:paraId="038062A8">
            <w:pPr>
              <w:spacing w:line="440" w:lineRule="exact"/>
              <w:jc w:val="center"/>
              <w:rPr>
                <w:rFonts w:ascii="Times New Roman" w:hAnsi="Times New Roman"/>
                <w:szCs w:val="21"/>
              </w:rPr>
            </w:pPr>
          </w:p>
        </w:tc>
        <w:tc>
          <w:tcPr>
            <w:tcW w:w="1183" w:type="pct"/>
          </w:tcPr>
          <w:p w14:paraId="2B355084">
            <w:pPr>
              <w:spacing w:line="440" w:lineRule="exact"/>
              <w:jc w:val="center"/>
              <w:rPr>
                <w:rFonts w:ascii="Times New Roman" w:hAnsi="Times New Roman"/>
                <w:szCs w:val="21"/>
              </w:rPr>
            </w:pPr>
          </w:p>
        </w:tc>
        <w:tc>
          <w:tcPr>
            <w:tcW w:w="1138" w:type="pct"/>
          </w:tcPr>
          <w:p w14:paraId="72C1ED04">
            <w:pPr>
              <w:spacing w:line="440" w:lineRule="exact"/>
              <w:jc w:val="center"/>
              <w:rPr>
                <w:rFonts w:ascii="Times New Roman" w:hAnsi="Times New Roman"/>
                <w:szCs w:val="21"/>
              </w:rPr>
            </w:pPr>
          </w:p>
        </w:tc>
        <w:tc>
          <w:tcPr>
            <w:tcW w:w="761" w:type="pct"/>
          </w:tcPr>
          <w:p w14:paraId="395C7508">
            <w:pPr>
              <w:spacing w:line="440" w:lineRule="exact"/>
              <w:jc w:val="center"/>
              <w:rPr>
                <w:rFonts w:ascii="Times New Roman" w:hAnsi="Times New Roman"/>
                <w:szCs w:val="21"/>
              </w:rPr>
            </w:pPr>
          </w:p>
        </w:tc>
      </w:tr>
      <w:tr w14:paraId="5814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32736618">
            <w:pPr>
              <w:spacing w:line="440" w:lineRule="exact"/>
              <w:jc w:val="center"/>
              <w:rPr>
                <w:rFonts w:ascii="Times New Roman" w:hAnsi="Times New Roman"/>
                <w:szCs w:val="21"/>
              </w:rPr>
            </w:pPr>
          </w:p>
        </w:tc>
        <w:tc>
          <w:tcPr>
            <w:tcW w:w="1265" w:type="pct"/>
          </w:tcPr>
          <w:p w14:paraId="23E4EDEC">
            <w:pPr>
              <w:spacing w:line="440" w:lineRule="exact"/>
              <w:jc w:val="center"/>
              <w:rPr>
                <w:rFonts w:ascii="Times New Roman" w:hAnsi="Times New Roman"/>
                <w:szCs w:val="21"/>
              </w:rPr>
            </w:pPr>
          </w:p>
        </w:tc>
        <w:tc>
          <w:tcPr>
            <w:tcW w:w="1183" w:type="pct"/>
          </w:tcPr>
          <w:p w14:paraId="2880D340">
            <w:pPr>
              <w:spacing w:line="440" w:lineRule="exact"/>
              <w:jc w:val="center"/>
              <w:rPr>
                <w:rFonts w:ascii="Times New Roman" w:hAnsi="Times New Roman"/>
                <w:szCs w:val="21"/>
              </w:rPr>
            </w:pPr>
          </w:p>
        </w:tc>
        <w:tc>
          <w:tcPr>
            <w:tcW w:w="1138" w:type="pct"/>
          </w:tcPr>
          <w:p w14:paraId="55DB5C63">
            <w:pPr>
              <w:spacing w:line="440" w:lineRule="exact"/>
              <w:jc w:val="center"/>
              <w:rPr>
                <w:rFonts w:ascii="Times New Roman" w:hAnsi="Times New Roman"/>
                <w:szCs w:val="21"/>
              </w:rPr>
            </w:pPr>
          </w:p>
        </w:tc>
        <w:tc>
          <w:tcPr>
            <w:tcW w:w="761" w:type="pct"/>
          </w:tcPr>
          <w:p w14:paraId="40D33729">
            <w:pPr>
              <w:spacing w:line="440" w:lineRule="exact"/>
              <w:jc w:val="center"/>
              <w:rPr>
                <w:rFonts w:ascii="Times New Roman" w:hAnsi="Times New Roman"/>
                <w:szCs w:val="21"/>
              </w:rPr>
            </w:pPr>
          </w:p>
        </w:tc>
      </w:tr>
      <w:tr w14:paraId="2321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3D03B04B">
            <w:pPr>
              <w:spacing w:line="440" w:lineRule="exact"/>
              <w:jc w:val="center"/>
              <w:rPr>
                <w:rFonts w:ascii="Times New Roman" w:hAnsi="Times New Roman"/>
                <w:szCs w:val="21"/>
              </w:rPr>
            </w:pPr>
          </w:p>
        </w:tc>
        <w:tc>
          <w:tcPr>
            <w:tcW w:w="1265" w:type="pct"/>
          </w:tcPr>
          <w:p w14:paraId="49504E7F">
            <w:pPr>
              <w:spacing w:line="440" w:lineRule="exact"/>
              <w:jc w:val="center"/>
              <w:rPr>
                <w:rFonts w:ascii="Times New Roman" w:hAnsi="Times New Roman"/>
                <w:szCs w:val="21"/>
              </w:rPr>
            </w:pPr>
          </w:p>
        </w:tc>
        <w:tc>
          <w:tcPr>
            <w:tcW w:w="1183" w:type="pct"/>
          </w:tcPr>
          <w:p w14:paraId="4D683E18">
            <w:pPr>
              <w:spacing w:line="440" w:lineRule="exact"/>
              <w:jc w:val="center"/>
              <w:rPr>
                <w:rFonts w:ascii="Times New Roman" w:hAnsi="Times New Roman"/>
                <w:szCs w:val="21"/>
              </w:rPr>
            </w:pPr>
          </w:p>
        </w:tc>
        <w:tc>
          <w:tcPr>
            <w:tcW w:w="1138" w:type="pct"/>
          </w:tcPr>
          <w:p w14:paraId="7BBBF6D5">
            <w:pPr>
              <w:spacing w:line="440" w:lineRule="exact"/>
              <w:jc w:val="center"/>
              <w:rPr>
                <w:rFonts w:ascii="Times New Roman" w:hAnsi="Times New Roman"/>
                <w:szCs w:val="21"/>
              </w:rPr>
            </w:pPr>
          </w:p>
        </w:tc>
        <w:tc>
          <w:tcPr>
            <w:tcW w:w="761" w:type="pct"/>
          </w:tcPr>
          <w:p w14:paraId="4C0BD489">
            <w:pPr>
              <w:spacing w:line="440" w:lineRule="exact"/>
              <w:jc w:val="center"/>
              <w:rPr>
                <w:rFonts w:ascii="Times New Roman" w:hAnsi="Times New Roman"/>
                <w:szCs w:val="21"/>
              </w:rPr>
            </w:pPr>
          </w:p>
        </w:tc>
      </w:tr>
      <w:tr w14:paraId="3C4C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48084508">
            <w:pPr>
              <w:spacing w:line="440" w:lineRule="exact"/>
              <w:jc w:val="center"/>
              <w:rPr>
                <w:rFonts w:ascii="Times New Roman" w:hAnsi="Times New Roman"/>
                <w:szCs w:val="21"/>
              </w:rPr>
            </w:pPr>
          </w:p>
        </w:tc>
        <w:tc>
          <w:tcPr>
            <w:tcW w:w="1265" w:type="pct"/>
          </w:tcPr>
          <w:p w14:paraId="32971D48">
            <w:pPr>
              <w:spacing w:line="440" w:lineRule="exact"/>
              <w:jc w:val="center"/>
              <w:rPr>
                <w:rFonts w:ascii="Times New Roman" w:hAnsi="Times New Roman"/>
                <w:szCs w:val="21"/>
              </w:rPr>
            </w:pPr>
          </w:p>
        </w:tc>
        <w:tc>
          <w:tcPr>
            <w:tcW w:w="1183" w:type="pct"/>
          </w:tcPr>
          <w:p w14:paraId="503BF6C7">
            <w:pPr>
              <w:spacing w:line="440" w:lineRule="exact"/>
              <w:jc w:val="center"/>
              <w:rPr>
                <w:rFonts w:ascii="Times New Roman" w:hAnsi="Times New Roman"/>
                <w:szCs w:val="21"/>
              </w:rPr>
            </w:pPr>
          </w:p>
        </w:tc>
        <w:tc>
          <w:tcPr>
            <w:tcW w:w="1138" w:type="pct"/>
          </w:tcPr>
          <w:p w14:paraId="3A6CD588">
            <w:pPr>
              <w:spacing w:line="440" w:lineRule="exact"/>
              <w:jc w:val="center"/>
              <w:rPr>
                <w:rFonts w:ascii="Times New Roman" w:hAnsi="Times New Roman"/>
                <w:szCs w:val="21"/>
              </w:rPr>
            </w:pPr>
          </w:p>
        </w:tc>
        <w:tc>
          <w:tcPr>
            <w:tcW w:w="761" w:type="pct"/>
          </w:tcPr>
          <w:p w14:paraId="62100E27">
            <w:pPr>
              <w:spacing w:line="440" w:lineRule="exact"/>
              <w:jc w:val="center"/>
              <w:rPr>
                <w:rFonts w:ascii="Times New Roman" w:hAnsi="Times New Roman"/>
                <w:szCs w:val="21"/>
              </w:rPr>
            </w:pPr>
          </w:p>
        </w:tc>
      </w:tr>
      <w:tr w14:paraId="20FB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73829A45">
            <w:pPr>
              <w:spacing w:line="440" w:lineRule="exact"/>
              <w:jc w:val="center"/>
              <w:rPr>
                <w:rFonts w:ascii="Times New Roman" w:hAnsi="Times New Roman"/>
                <w:szCs w:val="21"/>
              </w:rPr>
            </w:pPr>
          </w:p>
        </w:tc>
        <w:tc>
          <w:tcPr>
            <w:tcW w:w="1265" w:type="pct"/>
          </w:tcPr>
          <w:p w14:paraId="73C9B863">
            <w:pPr>
              <w:spacing w:line="440" w:lineRule="exact"/>
              <w:jc w:val="center"/>
              <w:rPr>
                <w:rFonts w:ascii="Times New Roman" w:hAnsi="Times New Roman"/>
                <w:szCs w:val="21"/>
              </w:rPr>
            </w:pPr>
          </w:p>
        </w:tc>
        <w:tc>
          <w:tcPr>
            <w:tcW w:w="1183" w:type="pct"/>
          </w:tcPr>
          <w:p w14:paraId="5DCD997E">
            <w:pPr>
              <w:spacing w:line="440" w:lineRule="exact"/>
              <w:jc w:val="center"/>
              <w:rPr>
                <w:rFonts w:ascii="Times New Roman" w:hAnsi="Times New Roman"/>
                <w:szCs w:val="21"/>
              </w:rPr>
            </w:pPr>
          </w:p>
        </w:tc>
        <w:tc>
          <w:tcPr>
            <w:tcW w:w="1138" w:type="pct"/>
          </w:tcPr>
          <w:p w14:paraId="0F27221C">
            <w:pPr>
              <w:spacing w:line="440" w:lineRule="exact"/>
              <w:jc w:val="center"/>
              <w:rPr>
                <w:rFonts w:ascii="Times New Roman" w:hAnsi="Times New Roman"/>
                <w:szCs w:val="21"/>
              </w:rPr>
            </w:pPr>
          </w:p>
        </w:tc>
        <w:tc>
          <w:tcPr>
            <w:tcW w:w="761" w:type="pct"/>
          </w:tcPr>
          <w:p w14:paraId="6BB49ACB">
            <w:pPr>
              <w:spacing w:line="440" w:lineRule="exact"/>
              <w:jc w:val="center"/>
              <w:rPr>
                <w:rFonts w:ascii="Times New Roman" w:hAnsi="Times New Roman"/>
                <w:szCs w:val="21"/>
              </w:rPr>
            </w:pPr>
          </w:p>
        </w:tc>
      </w:tr>
      <w:tr w14:paraId="7587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1" w:type="pct"/>
          </w:tcPr>
          <w:p w14:paraId="68369132">
            <w:pPr>
              <w:spacing w:line="440" w:lineRule="exact"/>
              <w:jc w:val="center"/>
              <w:rPr>
                <w:rFonts w:ascii="Times New Roman" w:hAnsi="Times New Roman"/>
                <w:szCs w:val="21"/>
              </w:rPr>
            </w:pPr>
          </w:p>
        </w:tc>
        <w:tc>
          <w:tcPr>
            <w:tcW w:w="1265" w:type="pct"/>
          </w:tcPr>
          <w:p w14:paraId="272AAD59">
            <w:pPr>
              <w:spacing w:line="440" w:lineRule="exact"/>
              <w:jc w:val="center"/>
              <w:rPr>
                <w:rFonts w:ascii="Times New Roman" w:hAnsi="Times New Roman"/>
                <w:szCs w:val="21"/>
              </w:rPr>
            </w:pPr>
          </w:p>
        </w:tc>
        <w:tc>
          <w:tcPr>
            <w:tcW w:w="1183" w:type="pct"/>
          </w:tcPr>
          <w:p w14:paraId="30A1C9E4">
            <w:pPr>
              <w:spacing w:line="440" w:lineRule="exact"/>
              <w:jc w:val="center"/>
              <w:rPr>
                <w:rFonts w:ascii="Times New Roman" w:hAnsi="Times New Roman"/>
                <w:szCs w:val="21"/>
              </w:rPr>
            </w:pPr>
          </w:p>
        </w:tc>
        <w:tc>
          <w:tcPr>
            <w:tcW w:w="1138" w:type="pct"/>
          </w:tcPr>
          <w:p w14:paraId="23D4BAD8">
            <w:pPr>
              <w:spacing w:line="440" w:lineRule="exact"/>
              <w:jc w:val="center"/>
              <w:rPr>
                <w:rFonts w:ascii="Times New Roman" w:hAnsi="Times New Roman"/>
                <w:szCs w:val="21"/>
              </w:rPr>
            </w:pPr>
          </w:p>
        </w:tc>
        <w:tc>
          <w:tcPr>
            <w:tcW w:w="761" w:type="pct"/>
          </w:tcPr>
          <w:p w14:paraId="21A6C09B">
            <w:pPr>
              <w:spacing w:line="440" w:lineRule="exact"/>
              <w:jc w:val="center"/>
              <w:rPr>
                <w:rFonts w:ascii="Times New Roman" w:hAnsi="Times New Roman"/>
                <w:szCs w:val="21"/>
              </w:rPr>
            </w:pPr>
          </w:p>
        </w:tc>
      </w:tr>
    </w:tbl>
    <w:p w14:paraId="7F8D0CB6">
      <w:pPr>
        <w:rPr>
          <w:rFonts w:ascii="Times New Roman" w:hAnsi="Times New Roman"/>
        </w:rPr>
      </w:pPr>
    </w:p>
    <w:p w14:paraId="0A85068E"/>
    <w:p w14:paraId="0075C8BE"/>
    <w:p w14:paraId="1F50274F"/>
    <w:p w14:paraId="6F407F37">
      <w:pPr>
        <w:pStyle w:val="19"/>
      </w:pPr>
    </w:p>
    <w:p w14:paraId="30DF5D30">
      <w:r>
        <w:br w:type="page"/>
      </w:r>
    </w:p>
    <w:p w14:paraId="6EE9E360">
      <w:pPr>
        <w:pStyle w:val="5"/>
        <w:keepNext w:val="0"/>
        <w:keepLines w:val="0"/>
        <w:ind w:firstLine="1254" w:firstLineChars="448"/>
      </w:pPr>
      <w:bookmarkStart w:id="1205" w:name="_Toc3146"/>
      <w:bookmarkStart w:id="1206" w:name="_Toc32135"/>
      <w:bookmarkStart w:id="1207" w:name="_Toc29926"/>
      <w:r>
        <w:rPr>
          <w:rFonts w:hint="eastAsia" w:ascii="Times New Roman" w:hAnsi="Times New Roman"/>
        </w:rPr>
        <w:t>（四）投标人认为需要提供的资料（如有</w:t>
      </w:r>
      <w:bookmarkEnd w:id="1205"/>
      <w:bookmarkEnd w:id="1206"/>
      <w:bookmarkEnd w:id="1207"/>
      <w:r>
        <w:rPr>
          <w:rFonts w:hint="eastAsia" w:ascii="Times New Roman" w:hAnsi="Times New Roman"/>
        </w:rPr>
        <w:t>）</w:t>
      </w:r>
    </w:p>
    <w:p w14:paraId="6A5B1E6B"/>
    <w:sectPr>
      <w:pgSz w:w="12240" w:h="15840"/>
      <w:pgMar w:top="1440" w:right="1425" w:bottom="1160" w:left="180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A523">
    <w:pPr>
      <w:pStyle w:val="14"/>
      <w:jc w:val="center"/>
    </w:pPr>
    <w:r>
      <w:fldChar w:fldCharType="begin"/>
    </w:r>
    <w:r>
      <w:instrText xml:space="preserve"> PAGE   \* MERGEFORMAT </w:instrText>
    </w:r>
    <w:r>
      <w:fldChar w:fldCharType="separate"/>
    </w:r>
    <w:r>
      <w:rPr>
        <w:lang w:val="zh-CN"/>
      </w:rPr>
      <w:t>2</w:t>
    </w:r>
    <w:r>
      <w:rPr>
        <w:lang w:val="zh-CN"/>
      </w:rPr>
      <w:fldChar w:fldCharType="end"/>
    </w:r>
  </w:p>
  <w:p w14:paraId="6833802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4C656">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1770" cy="1492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1770" cy="149225"/>
                      </a:xfrm>
                      <a:prstGeom prst="rect">
                        <a:avLst/>
                      </a:prstGeom>
                      <a:noFill/>
                      <a:ln>
                        <a:noFill/>
                      </a:ln>
                    </wps:spPr>
                    <wps:txbx>
                      <w:txbxContent>
                        <w:p w14:paraId="3CA28C86">
                          <w:pPr>
                            <w:pStyle w:val="14"/>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lIns="0" tIns="0" rIns="0" bIns="0"/>
                  </wps:wsp>
                </a:graphicData>
              </a:graphic>
            </wp:anchor>
          </w:drawing>
        </mc:Choice>
        <mc:Fallback>
          <w:pict>
            <v:shape id="_x0000_s1026" o:spid="_x0000_s1026" o:spt="202" type="#_x0000_t202" style="position:absolute;left:0pt;margin-top:0pt;height:11.75pt;width:15.1pt;mso-position-horizontal:center;mso-position-horizontal-relative:margin;z-index:251659264;mso-width-relative:page;mso-height-relative:page;" filled="f" stroked="f" coordsize="21600,21600" o:gfxdata="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s+U7&#10;1AAAAAMBAAAPAAAAAAAAAAEAIAAAACIAAABkcnMvZG93bnJldi54bWxQSwECFAAUAAAACACHTuJA&#10;aMB08bMBAABlAwAADgAAAAAAAAABACAAAAAjAQAAZHJzL2Uyb0RvYy54bWxQSwUGAAAAAAYABgBZ&#10;AQAASAUAAAAA&#10;">
              <v:fill on="f" focussize="0,0"/>
              <v:stroke on="f"/>
              <v:imagedata o:title=""/>
              <o:lock v:ext="edit" aspectratio="f"/>
              <v:textbox inset="0mm,0mm,0mm,0mm">
                <w:txbxContent>
                  <w:p w14:paraId="3CA28C86">
                    <w:pPr>
                      <w:pStyle w:val="14"/>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14:paraId="5516B2B9"/>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A44F7"/>
    <w:multiLevelType w:val="singleLevel"/>
    <w:tmpl w:val="6FAA44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YTE4NTUxMWMwZjM5NDc0ZDJhYmJlYjZjNDY5ZjcifQ=="/>
    <w:docVar w:name="KSO_WPS_MARK_KEY" w:val="7a3fb6fc-03e2-45c9-b960-de7b8b033605"/>
  </w:docVars>
  <w:rsids>
    <w:rsidRoot w:val="45090BCC"/>
    <w:rsid w:val="0002535D"/>
    <w:rsid w:val="00027223"/>
    <w:rsid w:val="00030D64"/>
    <w:rsid w:val="00090B11"/>
    <w:rsid w:val="000E03E7"/>
    <w:rsid w:val="000F2884"/>
    <w:rsid w:val="0020502B"/>
    <w:rsid w:val="00206A10"/>
    <w:rsid w:val="00235DE6"/>
    <w:rsid w:val="00241E59"/>
    <w:rsid w:val="00297E4E"/>
    <w:rsid w:val="002F2B44"/>
    <w:rsid w:val="0030530F"/>
    <w:rsid w:val="00383768"/>
    <w:rsid w:val="003B001F"/>
    <w:rsid w:val="003E7D74"/>
    <w:rsid w:val="00414D56"/>
    <w:rsid w:val="004A332D"/>
    <w:rsid w:val="00502529"/>
    <w:rsid w:val="005439FE"/>
    <w:rsid w:val="00543A0C"/>
    <w:rsid w:val="00567ED0"/>
    <w:rsid w:val="00573DAF"/>
    <w:rsid w:val="005823E9"/>
    <w:rsid w:val="005E060F"/>
    <w:rsid w:val="005E6484"/>
    <w:rsid w:val="00605C87"/>
    <w:rsid w:val="00640C3D"/>
    <w:rsid w:val="0066205C"/>
    <w:rsid w:val="006A7FBD"/>
    <w:rsid w:val="00712EBE"/>
    <w:rsid w:val="0073687E"/>
    <w:rsid w:val="00771FA5"/>
    <w:rsid w:val="007F3045"/>
    <w:rsid w:val="00807D3D"/>
    <w:rsid w:val="00835C44"/>
    <w:rsid w:val="008541F7"/>
    <w:rsid w:val="008804A2"/>
    <w:rsid w:val="0089260E"/>
    <w:rsid w:val="008B1372"/>
    <w:rsid w:val="008B2756"/>
    <w:rsid w:val="008D6F91"/>
    <w:rsid w:val="008F5DAA"/>
    <w:rsid w:val="009255A3"/>
    <w:rsid w:val="009326F8"/>
    <w:rsid w:val="00963288"/>
    <w:rsid w:val="009A4BDF"/>
    <w:rsid w:val="009C7DA4"/>
    <w:rsid w:val="009F7EF2"/>
    <w:rsid w:val="00A06041"/>
    <w:rsid w:val="00A10489"/>
    <w:rsid w:val="00A70F8C"/>
    <w:rsid w:val="00A713FF"/>
    <w:rsid w:val="00AA1531"/>
    <w:rsid w:val="00B10594"/>
    <w:rsid w:val="00B3451A"/>
    <w:rsid w:val="00B729F6"/>
    <w:rsid w:val="00BE468D"/>
    <w:rsid w:val="00C25C1E"/>
    <w:rsid w:val="00C651FB"/>
    <w:rsid w:val="00C77070"/>
    <w:rsid w:val="00C879D7"/>
    <w:rsid w:val="00D815BA"/>
    <w:rsid w:val="00DB0181"/>
    <w:rsid w:val="00DE40A8"/>
    <w:rsid w:val="00DF7E6B"/>
    <w:rsid w:val="00E24331"/>
    <w:rsid w:val="00E43ED8"/>
    <w:rsid w:val="00E47CB7"/>
    <w:rsid w:val="00F27597"/>
    <w:rsid w:val="00F27F82"/>
    <w:rsid w:val="00F349DD"/>
    <w:rsid w:val="00FA4AF7"/>
    <w:rsid w:val="00FA7169"/>
    <w:rsid w:val="02F43BCF"/>
    <w:rsid w:val="03FD42A4"/>
    <w:rsid w:val="0B674CC7"/>
    <w:rsid w:val="0C2C543E"/>
    <w:rsid w:val="13B072D3"/>
    <w:rsid w:val="1418439F"/>
    <w:rsid w:val="14A749F4"/>
    <w:rsid w:val="166B4CF7"/>
    <w:rsid w:val="178E685D"/>
    <w:rsid w:val="1AD53A6F"/>
    <w:rsid w:val="1BE964F4"/>
    <w:rsid w:val="1CAF0D00"/>
    <w:rsid w:val="1E455A69"/>
    <w:rsid w:val="1EBA6A7D"/>
    <w:rsid w:val="20150C7D"/>
    <w:rsid w:val="209634ED"/>
    <w:rsid w:val="21F214BF"/>
    <w:rsid w:val="238E2BD5"/>
    <w:rsid w:val="23BE4D25"/>
    <w:rsid w:val="245D5EC6"/>
    <w:rsid w:val="249549E6"/>
    <w:rsid w:val="25452535"/>
    <w:rsid w:val="25DB26A8"/>
    <w:rsid w:val="26FE3B9A"/>
    <w:rsid w:val="271440BF"/>
    <w:rsid w:val="281A7C23"/>
    <w:rsid w:val="2BA27EE5"/>
    <w:rsid w:val="2C6E531E"/>
    <w:rsid w:val="301A764F"/>
    <w:rsid w:val="303B4F4A"/>
    <w:rsid w:val="31D125D7"/>
    <w:rsid w:val="32966C07"/>
    <w:rsid w:val="33C7209A"/>
    <w:rsid w:val="34FF774A"/>
    <w:rsid w:val="36D53206"/>
    <w:rsid w:val="37575E9B"/>
    <w:rsid w:val="38020BBB"/>
    <w:rsid w:val="39927F40"/>
    <w:rsid w:val="3A1C7CEA"/>
    <w:rsid w:val="3A6545E6"/>
    <w:rsid w:val="3B7C5CF7"/>
    <w:rsid w:val="3BD258C9"/>
    <w:rsid w:val="3CF6055C"/>
    <w:rsid w:val="3EAE5A4E"/>
    <w:rsid w:val="3F337AFE"/>
    <w:rsid w:val="3F6C1326"/>
    <w:rsid w:val="43D06531"/>
    <w:rsid w:val="45090BCC"/>
    <w:rsid w:val="46121FD0"/>
    <w:rsid w:val="4631451A"/>
    <w:rsid w:val="47816B12"/>
    <w:rsid w:val="47FF4C61"/>
    <w:rsid w:val="48327EEA"/>
    <w:rsid w:val="486B5EBE"/>
    <w:rsid w:val="49137521"/>
    <w:rsid w:val="4AC36293"/>
    <w:rsid w:val="4C2D00BF"/>
    <w:rsid w:val="4E491EC7"/>
    <w:rsid w:val="4EFE4A59"/>
    <w:rsid w:val="50381FBC"/>
    <w:rsid w:val="50CF1F80"/>
    <w:rsid w:val="50D37CC2"/>
    <w:rsid w:val="5248023B"/>
    <w:rsid w:val="536828EE"/>
    <w:rsid w:val="53EB40B9"/>
    <w:rsid w:val="5424299C"/>
    <w:rsid w:val="56233838"/>
    <w:rsid w:val="5AC562C1"/>
    <w:rsid w:val="5D3C7EAD"/>
    <w:rsid w:val="5D626323"/>
    <w:rsid w:val="5E1B4C53"/>
    <w:rsid w:val="5EC61C02"/>
    <w:rsid w:val="5F9F18F3"/>
    <w:rsid w:val="5FEA4142"/>
    <w:rsid w:val="60FA433B"/>
    <w:rsid w:val="635527B8"/>
    <w:rsid w:val="63E20220"/>
    <w:rsid w:val="658C6A18"/>
    <w:rsid w:val="672A1415"/>
    <w:rsid w:val="676A4358"/>
    <w:rsid w:val="6781295C"/>
    <w:rsid w:val="6A554799"/>
    <w:rsid w:val="6A791F94"/>
    <w:rsid w:val="6AEC33EB"/>
    <w:rsid w:val="6AED5AF6"/>
    <w:rsid w:val="6C46652D"/>
    <w:rsid w:val="6D791E5F"/>
    <w:rsid w:val="7185070D"/>
    <w:rsid w:val="728338BD"/>
    <w:rsid w:val="7724443B"/>
    <w:rsid w:val="7D0933B1"/>
    <w:rsid w:val="7D8555F0"/>
    <w:rsid w:val="7EE14905"/>
    <w:rsid w:val="7F14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Normal Indent"/>
    <w:basedOn w:val="1"/>
    <w:next w:val="1"/>
    <w:qFormat/>
    <w:uiPriority w:val="0"/>
    <w:pPr>
      <w:ind w:firstLine="420"/>
    </w:pPr>
    <w:rPr>
      <w:kern w:val="0"/>
      <w:sz w:val="20"/>
      <w:szCs w:val="20"/>
    </w:rPr>
  </w:style>
  <w:style w:type="paragraph" w:styleId="7">
    <w:name w:val="annotation text"/>
    <w:basedOn w:val="1"/>
    <w:link w:val="36"/>
    <w:qFormat/>
    <w:uiPriority w:val="0"/>
    <w:pPr>
      <w:jc w:val="left"/>
    </w:pPr>
  </w:style>
  <w:style w:type="paragraph" w:styleId="8">
    <w:name w:val="Body Text 3"/>
    <w:basedOn w:val="1"/>
    <w:qFormat/>
    <w:uiPriority w:val="0"/>
    <w:rPr>
      <w:rFonts w:ascii="宋体"/>
      <w:sz w:val="24"/>
      <w:szCs w:val="20"/>
    </w:rPr>
  </w:style>
  <w:style w:type="paragraph" w:styleId="9">
    <w:name w:val="Body Text"/>
    <w:basedOn w:val="1"/>
    <w:unhideWhenUsed/>
    <w:qFormat/>
    <w:uiPriority w:val="0"/>
    <w:pPr>
      <w:spacing w:after="120"/>
    </w:pPr>
    <w:rPr>
      <w:rFonts w:ascii="Times New Roman" w:hAnsi="Times New Roman"/>
      <w:szCs w:val="20"/>
    </w:rPr>
  </w:style>
  <w:style w:type="paragraph" w:styleId="10">
    <w:name w:val="Body Text Indent"/>
    <w:basedOn w:val="1"/>
    <w:link w:val="39"/>
    <w:qFormat/>
    <w:uiPriority w:val="0"/>
    <w:pPr>
      <w:spacing w:after="120"/>
      <w:ind w:left="420" w:leftChars="200"/>
    </w:pPr>
    <w:rPr>
      <w:rFonts w:ascii="Times New Roman" w:hAnsi="Times New Roman"/>
      <w:szCs w:val="20"/>
    </w:rPr>
  </w:style>
  <w:style w:type="paragraph" w:styleId="11">
    <w:name w:val="toc 3"/>
    <w:basedOn w:val="1"/>
    <w:next w:val="1"/>
    <w:qFormat/>
    <w:uiPriority w:val="39"/>
    <w:pPr>
      <w:ind w:left="400" w:leftChars="400"/>
    </w:pPr>
  </w:style>
  <w:style w:type="paragraph" w:styleId="12">
    <w:name w:val="Plain Text"/>
    <w:basedOn w:val="1"/>
    <w:next w:val="1"/>
    <w:qFormat/>
    <w:uiPriority w:val="99"/>
    <w:rPr>
      <w:rFonts w:ascii="宋体"/>
    </w:rPr>
  </w:style>
  <w:style w:type="paragraph" w:styleId="13">
    <w:name w:val="Balloon Text"/>
    <w:basedOn w:val="1"/>
    <w:link w:val="4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link w:val="38"/>
    <w:qFormat/>
    <w:uiPriority w:val="0"/>
    <w:pP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200" w:leftChars="200"/>
    </w:pPr>
  </w:style>
  <w:style w:type="paragraph" w:styleId="18">
    <w:name w:val="annotation subject"/>
    <w:basedOn w:val="7"/>
    <w:next w:val="7"/>
    <w:link w:val="37"/>
    <w:qFormat/>
    <w:uiPriority w:val="0"/>
    <w:rPr>
      <w:b/>
      <w:bCs/>
    </w:rPr>
  </w:style>
  <w:style w:type="paragraph" w:styleId="19">
    <w:name w:val="Body Text First Indent"/>
    <w:basedOn w:val="9"/>
    <w:qFormat/>
    <w:uiPriority w:val="0"/>
    <w:pPr>
      <w:spacing w:line="312" w:lineRule="auto"/>
      <w:ind w:firstLine="420"/>
    </w:pPr>
    <w:rPr>
      <w:szCs w:val="24"/>
    </w:rPr>
  </w:style>
  <w:style w:type="paragraph" w:styleId="20">
    <w:name w:val="Body Text First Indent 2"/>
    <w:basedOn w:val="10"/>
    <w:link w:val="40"/>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annotation reference"/>
    <w:qFormat/>
    <w:uiPriority w:val="0"/>
    <w:rPr>
      <w:sz w:val="21"/>
    </w:rPr>
  </w:style>
  <w:style w:type="paragraph" w:customStyle="1" w:styleId="2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样式 小四 行距: 1.5 倍行距"/>
    <w:basedOn w:val="1"/>
    <w:qFormat/>
    <w:uiPriority w:val="0"/>
    <w:pPr>
      <w:ind w:firstLine="480"/>
    </w:pPr>
    <w:rPr>
      <w:rFonts w:cs="宋体"/>
      <w:szCs w:val="21"/>
    </w:rPr>
  </w:style>
  <w:style w:type="paragraph" w:customStyle="1" w:styleId="27">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character" w:customStyle="1" w:styleId="28">
    <w:name w:val="NormalCharacter"/>
    <w:semiHidden/>
    <w:qFormat/>
    <w:uiPriority w:val="0"/>
  </w:style>
  <w:style w:type="paragraph" w:customStyle="1" w:styleId="29">
    <w:name w:val="Table Paragraph"/>
    <w:basedOn w:val="1"/>
    <w:unhideWhenUsed/>
    <w:qFormat/>
    <w:uiPriority w:val="99"/>
    <w:rPr>
      <w:rFonts w:hint="eastAsia"/>
    </w:rPr>
  </w:style>
  <w:style w:type="paragraph" w:customStyle="1" w:styleId="30">
    <w:name w:val="样式 宋体 行距: 1.5 倍行距"/>
    <w:basedOn w:val="1"/>
    <w:qFormat/>
    <w:uiPriority w:val="99"/>
    <w:pPr>
      <w:jc w:val="center"/>
    </w:pPr>
    <w:rPr>
      <w:b/>
      <w:bCs/>
    </w:rPr>
  </w:style>
  <w:style w:type="paragraph" w:customStyle="1" w:styleId="31">
    <w:name w:val="p0"/>
    <w:basedOn w:val="1"/>
    <w:qFormat/>
    <w:uiPriority w:val="0"/>
    <w:pPr>
      <w:widowControl/>
      <w:spacing w:before="75" w:after="75"/>
      <w:jc w:val="left"/>
    </w:pPr>
    <w:rPr>
      <w:rFonts w:ascii="宋体" w:hAnsi="宋体" w:cs="宋体"/>
      <w:kern w:val="0"/>
      <w:sz w:val="24"/>
      <w:szCs w:val="24"/>
    </w:rPr>
  </w:style>
  <w:style w:type="character" w:customStyle="1" w:styleId="32">
    <w:name w:val="font31"/>
    <w:basedOn w:val="23"/>
    <w:qFormat/>
    <w:uiPriority w:val="0"/>
    <w:rPr>
      <w:rFonts w:hint="eastAsia" w:ascii="仿宋" w:hAnsi="仿宋" w:eastAsia="仿宋" w:cs="仿宋"/>
      <w:color w:val="000000"/>
      <w:sz w:val="28"/>
      <w:szCs w:val="28"/>
      <w:u w:val="none"/>
    </w:rPr>
  </w:style>
  <w:style w:type="character" w:customStyle="1" w:styleId="33">
    <w:name w:val="font01"/>
    <w:basedOn w:val="23"/>
    <w:qFormat/>
    <w:uiPriority w:val="0"/>
    <w:rPr>
      <w:rFonts w:hint="eastAsia" w:ascii="仿宋" w:hAnsi="仿宋" w:eastAsia="仿宋" w:cs="仿宋"/>
      <w:b/>
      <w:color w:val="000000"/>
      <w:sz w:val="28"/>
      <w:szCs w:val="28"/>
      <w:u w:val="none"/>
    </w:rPr>
  </w:style>
  <w:style w:type="paragraph" w:customStyle="1" w:styleId="34">
    <w:name w:val="表格文字"/>
    <w:basedOn w:val="1"/>
    <w:next w:val="1"/>
    <w:qFormat/>
    <w:uiPriority w:val="0"/>
    <w:pPr>
      <w:adjustRightInd w:val="0"/>
      <w:spacing w:line="420" w:lineRule="atLeast"/>
      <w:jc w:val="left"/>
    </w:pPr>
    <w:rPr>
      <w:rFonts w:ascii="Times New Roman" w:hAnsi="Times New Roman" w:cs="Calibri"/>
      <w:kern w:val="0"/>
      <w:szCs w:val="20"/>
    </w:rPr>
  </w:style>
  <w:style w:type="paragraph" w:customStyle="1" w:styleId="35">
    <w:name w:val="修订1"/>
    <w:hidden/>
    <w:semiHidden/>
    <w:qFormat/>
    <w:uiPriority w:val="99"/>
    <w:rPr>
      <w:rFonts w:ascii="Calibri" w:hAnsi="Calibri" w:eastAsia="宋体" w:cs="Times New Roman"/>
      <w:kern w:val="2"/>
      <w:sz w:val="21"/>
      <w:szCs w:val="22"/>
      <w:lang w:val="en-US" w:eastAsia="zh-CN" w:bidi="ar-SA"/>
    </w:rPr>
  </w:style>
  <w:style w:type="character" w:customStyle="1" w:styleId="36">
    <w:name w:val="批注文字 字符"/>
    <w:basedOn w:val="23"/>
    <w:link w:val="7"/>
    <w:qFormat/>
    <w:uiPriority w:val="0"/>
    <w:rPr>
      <w:rFonts w:ascii="Calibri" w:hAnsi="Calibri"/>
      <w:kern w:val="2"/>
      <w:sz w:val="21"/>
      <w:szCs w:val="22"/>
    </w:rPr>
  </w:style>
  <w:style w:type="character" w:customStyle="1" w:styleId="37">
    <w:name w:val="批注主题 字符"/>
    <w:basedOn w:val="36"/>
    <w:link w:val="18"/>
    <w:qFormat/>
    <w:uiPriority w:val="0"/>
    <w:rPr>
      <w:rFonts w:ascii="Calibri" w:hAnsi="Calibri"/>
      <w:b/>
      <w:bCs/>
      <w:kern w:val="2"/>
      <w:sz w:val="21"/>
      <w:szCs w:val="22"/>
    </w:rPr>
  </w:style>
  <w:style w:type="character" w:customStyle="1" w:styleId="38">
    <w:name w:val="页眉 字符"/>
    <w:basedOn w:val="23"/>
    <w:link w:val="15"/>
    <w:qFormat/>
    <w:uiPriority w:val="0"/>
    <w:rPr>
      <w:rFonts w:ascii="Calibri" w:hAnsi="Calibri"/>
      <w:kern w:val="2"/>
      <w:sz w:val="18"/>
      <w:szCs w:val="18"/>
    </w:rPr>
  </w:style>
  <w:style w:type="character" w:customStyle="1" w:styleId="39">
    <w:name w:val="正文文本缩进 字符"/>
    <w:basedOn w:val="23"/>
    <w:link w:val="10"/>
    <w:qFormat/>
    <w:uiPriority w:val="0"/>
    <w:rPr>
      <w:kern w:val="2"/>
      <w:sz w:val="21"/>
    </w:rPr>
  </w:style>
  <w:style w:type="character" w:customStyle="1" w:styleId="40">
    <w:name w:val="正文首行缩进 2 字符"/>
    <w:basedOn w:val="39"/>
    <w:link w:val="20"/>
    <w:qFormat/>
    <w:uiPriority w:val="0"/>
    <w:rPr>
      <w:rFonts w:ascii="Calibri" w:hAnsi="Calibri"/>
      <w:kern w:val="2"/>
      <w:sz w:val="21"/>
      <w:szCs w:val="22"/>
    </w:rPr>
  </w:style>
  <w:style w:type="paragraph" w:styleId="41">
    <w:name w:val="List Paragraph"/>
    <w:basedOn w:val="1"/>
    <w:qFormat/>
    <w:uiPriority w:val="99"/>
    <w:pPr>
      <w:ind w:firstLine="420" w:firstLineChars="200"/>
    </w:pPr>
  </w:style>
  <w:style w:type="character" w:customStyle="1" w:styleId="42">
    <w:name w:val="font21"/>
    <w:basedOn w:val="23"/>
    <w:qFormat/>
    <w:uiPriority w:val="0"/>
    <w:rPr>
      <w:rFonts w:hint="eastAsia" w:ascii="宋体" w:hAnsi="宋体" w:eastAsia="宋体" w:cs="宋体"/>
      <w:b/>
      <w:bCs/>
      <w:color w:val="000000"/>
      <w:sz w:val="21"/>
      <w:szCs w:val="21"/>
      <w:u w:val="none"/>
    </w:rPr>
  </w:style>
  <w:style w:type="character" w:customStyle="1" w:styleId="43">
    <w:name w:val="font41"/>
    <w:basedOn w:val="23"/>
    <w:qFormat/>
    <w:uiPriority w:val="0"/>
    <w:rPr>
      <w:rFonts w:hint="default" w:ascii="Times New Roman" w:hAnsi="Times New Roman" w:cs="Times New Roman"/>
      <w:color w:val="000000"/>
      <w:sz w:val="21"/>
      <w:szCs w:val="21"/>
      <w:u w:val="none"/>
    </w:rPr>
  </w:style>
  <w:style w:type="character" w:customStyle="1" w:styleId="44">
    <w:name w:val="font51"/>
    <w:basedOn w:val="23"/>
    <w:qFormat/>
    <w:uiPriority w:val="0"/>
    <w:rPr>
      <w:rFonts w:hint="eastAsia" w:ascii="宋体" w:hAnsi="宋体" w:eastAsia="宋体" w:cs="宋体"/>
      <w:color w:val="000000"/>
      <w:sz w:val="21"/>
      <w:szCs w:val="21"/>
      <w:u w:val="none"/>
    </w:rPr>
  </w:style>
  <w:style w:type="character" w:customStyle="1" w:styleId="45">
    <w:name w:val="批注框文本 字符"/>
    <w:basedOn w:val="23"/>
    <w:link w:val="1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15950</Words>
  <Characters>17193</Characters>
  <Lines>59</Lines>
  <Paragraphs>69</Paragraphs>
  <TotalTime>0</TotalTime>
  <ScaleCrop>false</ScaleCrop>
  <LinksUpToDate>false</LinksUpToDate>
  <CharactersWithSpaces>17542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2022-12-09T09:10:00Z</dcterms:created>
  <dc:creator>G</dc:creator>
  <cp:lastModifiedBy>NTKO</cp:lastModifiedBy>
  <dcterms:modified xsi:type="dcterms:W3CDTF">2025-11-13T07:14:22Z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BA9967DE9D8942F9AB986C0B7AB176AB_13</vt:lpwstr>
  </property>
  <property fmtid="{D5CDD505-2E9C-101B-9397-08002B2CF9AE}" pid="4" name="KSOTemplateDocerSaveRecord">
    <vt:lpwstr>eyJoZGlkIjoiMDJmZDg4NzIzNTAyMjFkOGEyMjA2YTMwMDE0OGVmZjAiLCJ1c2VySWQiOiI1MDk3ODM1OTQifQ==</vt:lpwstr>
  </property>
</Properties>
</file>