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3CC2C">
      <w:pPr>
        <w:jc w:val="left"/>
        <w:rPr>
          <w:rFonts w:ascii="宋体" w:hAnsi="宋体"/>
          <w:b/>
          <w:sz w:val="28"/>
          <w:szCs w:val="28"/>
        </w:rPr>
      </w:pPr>
      <w:r>
        <w:rPr>
          <w:rFonts w:hint="eastAsia" w:ascii="宋体" w:hAnsi="宋体"/>
          <w:b/>
          <w:sz w:val="28"/>
          <w:szCs w:val="28"/>
        </w:rPr>
        <w:t xml:space="preserve"> </w:t>
      </w:r>
    </w:p>
    <w:p w14:paraId="53B1B2C9">
      <w:pPr>
        <w:snapToGrid w:val="0"/>
        <w:jc w:val="center"/>
        <w:rPr>
          <w:rFonts w:ascii="宋体" w:hAnsi="宋体"/>
          <w:b/>
          <w:sz w:val="15"/>
          <w:szCs w:val="15"/>
        </w:rPr>
      </w:pPr>
    </w:p>
    <w:p w14:paraId="276B11FE">
      <w:pPr>
        <w:snapToGrid w:val="0"/>
        <w:jc w:val="center"/>
        <w:rPr>
          <w:rFonts w:ascii="宋体" w:hAnsi="宋体"/>
          <w:b/>
          <w:sz w:val="15"/>
          <w:szCs w:val="15"/>
        </w:rPr>
      </w:pPr>
    </w:p>
    <w:p w14:paraId="46812B4D">
      <w:pPr>
        <w:spacing w:line="240" w:lineRule="auto"/>
        <w:jc w:val="center"/>
        <w:rPr>
          <w:sz w:val="96"/>
          <w:szCs w:val="96"/>
        </w:rPr>
      </w:pPr>
    </w:p>
    <w:p w14:paraId="2B93FE19">
      <w:pPr>
        <w:spacing w:line="240" w:lineRule="auto"/>
        <w:jc w:val="center"/>
        <w:rPr>
          <w:sz w:val="96"/>
          <w:szCs w:val="96"/>
        </w:rPr>
      </w:pPr>
      <w:r>
        <w:rPr>
          <w:rFonts w:hint="eastAsia"/>
          <w:sz w:val="96"/>
          <w:szCs w:val="96"/>
        </w:rPr>
        <w:t>招标文件</w:t>
      </w:r>
    </w:p>
    <w:p w14:paraId="26A3CA42">
      <w:pPr>
        <w:snapToGrid w:val="0"/>
        <w:jc w:val="center"/>
        <w:rPr>
          <w:bCs/>
          <w:sz w:val="48"/>
          <w:szCs w:val="48"/>
        </w:rPr>
      </w:pPr>
    </w:p>
    <w:p w14:paraId="6520448B">
      <w:pPr>
        <w:snapToGrid w:val="0"/>
        <w:jc w:val="center"/>
        <w:rPr>
          <w:bCs/>
          <w:sz w:val="48"/>
          <w:szCs w:val="48"/>
        </w:rPr>
      </w:pPr>
    </w:p>
    <w:p w14:paraId="226CB9D3">
      <w:pPr>
        <w:snapToGrid w:val="0"/>
        <w:ind w:firstLine="1280" w:firstLineChars="400"/>
        <w:jc w:val="left"/>
        <w:rPr>
          <w:bCs/>
          <w:sz w:val="32"/>
          <w:szCs w:val="32"/>
        </w:rPr>
      </w:pPr>
    </w:p>
    <w:p w14:paraId="44F405A0">
      <w:pPr>
        <w:pStyle w:val="323"/>
        <w:rPr>
          <w:bCs/>
          <w:sz w:val="32"/>
          <w:szCs w:val="32"/>
        </w:rPr>
      </w:pPr>
    </w:p>
    <w:p w14:paraId="641907CB">
      <w:pPr>
        <w:pStyle w:val="323"/>
        <w:rPr>
          <w:bCs/>
          <w:sz w:val="32"/>
          <w:szCs w:val="32"/>
        </w:rPr>
      </w:pPr>
    </w:p>
    <w:p w14:paraId="06720991">
      <w:pPr>
        <w:pStyle w:val="323"/>
        <w:rPr>
          <w:bCs/>
          <w:sz w:val="32"/>
          <w:szCs w:val="32"/>
        </w:rPr>
      </w:pPr>
    </w:p>
    <w:p w14:paraId="28407F87">
      <w:pPr>
        <w:pStyle w:val="323"/>
        <w:rPr>
          <w:bCs/>
          <w:sz w:val="32"/>
          <w:szCs w:val="32"/>
        </w:rPr>
      </w:pPr>
    </w:p>
    <w:p w14:paraId="7FD2998D">
      <w:pPr>
        <w:snapToGrid w:val="0"/>
        <w:ind w:firstLine="1120" w:firstLineChars="400"/>
        <w:jc w:val="left"/>
        <w:rPr>
          <w:bCs/>
          <w:sz w:val="28"/>
          <w:szCs w:val="28"/>
        </w:rPr>
      </w:pPr>
    </w:p>
    <w:p w14:paraId="24E22FC1">
      <w:pPr>
        <w:snapToGrid w:val="0"/>
        <w:ind w:firstLine="1280" w:firstLineChars="400"/>
        <w:jc w:val="left"/>
        <w:rPr>
          <w:bCs/>
          <w:sz w:val="32"/>
          <w:szCs w:val="32"/>
        </w:rPr>
      </w:pPr>
    </w:p>
    <w:p w14:paraId="6C6FD34E">
      <w:pPr>
        <w:snapToGrid w:val="0"/>
        <w:ind w:left="638" w:leftChars="266" w:firstLine="80" w:firstLineChars="25"/>
        <w:jc w:val="left"/>
        <w:rPr>
          <w:b/>
          <w:sz w:val="32"/>
          <w:szCs w:val="32"/>
        </w:rPr>
      </w:pPr>
    </w:p>
    <w:p w14:paraId="5925B1B4">
      <w:pPr>
        <w:snapToGrid w:val="0"/>
        <w:ind w:left="2895" w:leftChars="300" w:hanging="2175" w:hangingChars="677"/>
        <w:jc w:val="left"/>
        <w:rPr>
          <w:rFonts w:hint="eastAsia" w:eastAsia="宋体"/>
          <w:b/>
          <w:sz w:val="32"/>
          <w:szCs w:val="32"/>
          <w:u w:val="single"/>
          <w:lang w:val="en-US" w:eastAsia="zh-CN"/>
        </w:rPr>
      </w:pPr>
      <w:r>
        <w:rPr>
          <w:rFonts w:hint="eastAsia"/>
          <w:b/>
          <w:sz w:val="32"/>
          <w:szCs w:val="32"/>
        </w:rPr>
        <w:t>招标项目名称：</w:t>
      </w:r>
      <w:bookmarkStart w:id="0" w:name="OLE_LINK5"/>
      <w:r>
        <w:rPr>
          <w:rFonts w:hint="eastAsia"/>
          <w:b/>
          <w:sz w:val="32"/>
          <w:szCs w:val="32"/>
          <w:u w:val="single"/>
        </w:rPr>
        <w:t>广澳高速中山服务区西区加油站重建项目</w:t>
      </w:r>
      <w:bookmarkEnd w:id="0"/>
      <w:r>
        <w:rPr>
          <w:rFonts w:hint="eastAsia"/>
          <w:b/>
          <w:sz w:val="32"/>
          <w:szCs w:val="32"/>
          <w:u w:val="single"/>
          <w:lang w:val="en-US" w:eastAsia="zh-CN"/>
        </w:rPr>
        <w:t>土建工程</w:t>
      </w:r>
    </w:p>
    <w:p w14:paraId="08D129C9">
      <w:pPr>
        <w:snapToGrid w:val="0"/>
        <w:ind w:firstLine="723" w:firstLineChars="225"/>
        <w:rPr>
          <w:b/>
          <w:sz w:val="32"/>
          <w:szCs w:val="32"/>
          <w:u w:val="single"/>
        </w:rPr>
      </w:pPr>
      <w:r>
        <w:rPr>
          <w:rFonts w:hint="eastAsia"/>
          <w:b/>
          <w:sz w:val="32"/>
          <w:szCs w:val="32"/>
        </w:rPr>
        <w:t>招标人：</w:t>
      </w:r>
      <w:r>
        <w:rPr>
          <w:rFonts w:hint="eastAsia"/>
          <w:b/>
          <w:sz w:val="32"/>
          <w:szCs w:val="32"/>
          <w:u w:val="single"/>
        </w:rPr>
        <w:t>广东中粤通油品经营有限公司</w:t>
      </w:r>
    </w:p>
    <w:p w14:paraId="7FE3EAB6">
      <w:pPr>
        <w:snapToGrid w:val="0"/>
        <w:ind w:right="-168" w:rightChars="-70" w:firstLine="723" w:firstLineChars="225"/>
        <w:rPr>
          <w:rFonts w:ascii="宋体" w:hAnsi="宋体"/>
          <w:b/>
          <w:sz w:val="32"/>
          <w:szCs w:val="32"/>
          <w:u w:val="single"/>
        </w:rPr>
      </w:pPr>
      <w:r>
        <w:rPr>
          <w:rFonts w:hint="eastAsia" w:ascii="宋体" w:hAnsi="宋体"/>
          <w:b/>
          <w:sz w:val="32"/>
          <w:szCs w:val="32"/>
        </w:rPr>
        <w:t>招标代理机构：</w:t>
      </w:r>
      <w:r>
        <w:rPr>
          <w:rFonts w:hint="eastAsia"/>
          <w:b/>
          <w:sz w:val="32"/>
          <w:szCs w:val="32"/>
          <w:u w:val="single"/>
        </w:rPr>
        <w:t>广州诚建项目管理咨询有限公司</w:t>
      </w:r>
    </w:p>
    <w:p w14:paraId="59B019F4">
      <w:pPr>
        <w:ind w:firstLine="723" w:firstLineChars="225"/>
        <w:jc w:val="left"/>
        <w:rPr>
          <w:rFonts w:ascii="宋体" w:hAnsi="宋体"/>
          <w:b/>
          <w:sz w:val="32"/>
          <w:szCs w:val="32"/>
        </w:rPr>
      </w:pPr>
      <w:r>
        <w:rPr>
          <w:rFonts w:hint="eastAsia" w:ascii="宋体" w:hAnsi="宋体"/>
          <w:b/>
          <w:sz w:val="32"/>
          <w:szCs w:val="32"/>
        </w:rPr>
        <w:t>日期：</w:t>
      </w:r>
      <w:r>
        <w:rPr>
          <w:rFonts w:hint="eastAsia" w:ascii="宋体" w:hAnsi="宋体"/>
          <w:b/>
          <w:sz w:val="32"/>
          <w:szCs w:val="32"/>
          <w:u w:val="single"/>
        </w:rPr>
        <w:t>2025</w:t>
      </w:r>
      <w:r>
        <w:rPr>
          <w:rFonts w:hint="eastAsia" w:ascii="宋体" w:hAnsi="宋体"/>
          <w:b/>
          <w:sz w:val="32"/>
          <w:szCs w:val="32"/>
        </w:rPr>
        <w:t>年</w:t>
      </w:r>
      <w:r>
        <w:rPr>
          <w:rFonts w:hint="eastAsia" w:ascii="宋体" w:hAnsi="宋体"/>
          <w:b/>
          <w:sz w:val="32"/>
          <w:szCs w:val="32"/>
          <w:u w:val="single"/>
        </w:rPr>
        <w:t xml:space="preserve"> 11 </w:t>
      </w:r>
      <w:r>
        <w:rPr>
          <w:rFonts w:hint="eastAsia" w:ascii="宋体" w:hAnsi="宋体"/>
          <w:b/>
          <w:sz w:val="32"/>
          <w:szCs w:val="32"/>
        </w:rPr>
        <w:t>月</w:t>
      </w:r>
    </w:p>
    <w:p w14:paraId="17C1A27F">
      <w:pPr>
        <w:snapToGrid w:val="0"/>
        <w:jc w:val="center"/>
        <w:rPr>
          <w:rFonts w:ascii="宋体" w:hAnsi="宋体"/>
          <w:b/>
          <w:sz w:val="32"/>
          <w:szCs w:val="32"/>
        </w:rPr>
      </w:pPr>
    </w:p>
    <w:p w14:paraId="1BAC18D0">
      <w:pPr>
        <w:jc w:val="center"/>
        <w:rPr>
          <w:rFonts w:ascii="宋体" w:hAnsi="宋体"/>
          <w:szCs w:val="21"/>
          <w:u w:val="single"/>
        </w:rPr>
      </w:pPr>
    </w:p>
    <w:p w14:paraId="27FB3A17">
      <w:pPr>
        <w:snapToGrid w:val="0"/>
        <w:jc w:val="center"/>
        <w:rPr>
          <w:rFonts w:ascii="宋体" w:hAnsi="宋体"/>
          <w:b/>
          <w:szCs w:val="21"/>
          <w:u w:val="single"/>
        </w:rPr>
      </w:pPr>
    </w:p>
    <w:p w14:paraId="334EFC40">
      <w:pPr>
        <w:pStyle w:val="323"/>
      </w:pPr>
    </w:p>
    <w:p w14:paraId="1FAB68E0">
      <w:pPr>
        <w:jc w:val="center"/>
        <w:rPr>
          <w:b/>
          <w:bCs/>
          <w:sz w:val="44"/>
          <w:szCs w:val="44"/>
        </w:rPr>
        <w:sectPr>
          <w:headerReference r:id="rId5" w:type="default"/>
          <w:footerReference r:id="rId6" w:type="default"/>
          <w:pgSz w:w="11906" w:h="16838"/>
          <w:pgMar w:top="1440" w:right="1080" w:bottom="1440" w:left="1080" w:header="851" w:footer="992" w:gutter="0"/>
          <w:cols w:space="720" w:num="1"/>
          <w:docGrid w:linePitch="286" w:charSpace="0"/>
        </w:sectPr>
      </w:pPr>
    </w:p>
    <w:p w14:paraId="38FD6C4D">
      <w:pPr>
        <w:jc w:val="center"/>
        <w:rPr>
          <w:b/>
          <w:bCs/>
          <w:sz w:val="44"/>
          <w:szCs w:val="44"/>
        </w:rPr>
      </w:pPr>
      <w:r>
        <w:rPr>
          <w:rFonts w:hint="eastAsia"/>
          <w:b/>
          <w:bCs/>
          <w:sz w:val="44"/>
          <w:szCs w:val="44"/>
        </w:rPr>
        <w:t>目录</w:t>
      </w:r>
    </w:p>
    <w:p w14:paraId="3E8876C9">
      <w:pPr>
        <w:pStyle w:val="43"/>
        <w:tabs>
          <w:tab w:val="right" w:leader="dot" w:pos="9746"/>
        </w:tabs>
      </w:pPr>
      <w:bookmarkStart w:id="1" w:name="_Toc144974479"/>
      <w:bookmarkStart w:id="2" w:name="_Toc152045511"/>
      <w:bookmarkStart w:id="3" w:name="_Toc152042287"/>
      <w:r>
        <w:rPr>
          <w:b w:val="0"/>
          <w:bCs w:val="0"/>
        </w:rPr>
        <w:fldChar w:fldCharType="begin"/>
      </w:r>
      <w:r>
        <w:rPr>
          <w:rStyle w:val="71"/>
          <w:b w:val="0"/>
          <w:bCs w:val="0"/>
          <w:color w:val="auto"/>
        </w:rPr>
        <w:instrText xml:space="preserve">TOC \o "1-1" \h \u </w:instrText>
      </w:r>
      <w:r>
        <w:rPr>
          <w:b w:val="0"/>
          <w:bCs w:val="0"/>
        </w:rPr>
        <w:fldChar w:fldCharType="separate"/>
      </w:r>
      <w:r>
        <w:fldChar w:fldCharType="begin"/>
      </w:r>
      <w:r>
        <w:instrText xml:space="preserve"> HYPERLINK \l "_Toc17458" </w:instrText>
      </w:r>
      <w:r>
        <w:fldChar w:fldCharType="separate"/>
      </w:r>
      <w:r>
        <w:rPr>
          <w:rFonts w:hint="eastAsia"/>
          <w:bCs w:val="0"/>
        </w:rPr>
        <w:t>第一章 招标公告</w:t>
      </w:r>
      <w:r>
        <w:tab/>
      </w:r>
      <w:r>
        <w:fldChar w:fldCharType="begin"/>
      </w:r>
      <w:r>
        <w:instrText xml:space="preserve"> PAGEREF _Toc17458 \h </w:instrText>
      </w:r>
      <w:r>
        <w:fldChar w:fldCharType="separate"/>
      </w:r>
      <w:r>
        <w:t>2</w:t>
      </w:r>
      <w:r>
        <w:fldChar w:fldCharType="end"/>
      </w:r>
      <w:r>
        <w:fldChar w:fldCharType="end"/>
      </w:r>
    </w:p>
    <w:p w14:paraId="41A2382D">
      <w:pPr>
        <w:pStyle w:val="43"/>
        <w:tabs>
          <w:tab w:val="right" w:leader="dot" w:pos="9746"/>
        </w:tabs>
      </w:pPr>
      <w:r>
        <w:fldChar w:fldCharType="begin"/>
      </w:r>
      <w:r>
        <w:instrText xml:space="preserve"> HYPERLINK \l "_Toc32076" </w:instrText>
      </w:r>
      <w:r>
        <w:fldChar w:fldCharType="separate"/>
      </w:r>
      <w:r>
        <w:rPr>
          <w:rFonts w:hint="eastAsia"/>
          <w:szCs w:val="44"/>
        </w:rPr>
        <w:t>第二章 投标人须知</w:t>
      </w:r>
      <w:r>
        <w:tab/>
      </w:r>
      <w:r>
        <w:fldChar w:fldCharType="begin"/>
      </w:r>
      <w:r>
        <w:instrText xml:space="preserve"> PAGEREF _Toc32076 \h </w:instrText>
      </w:r>
      <w:r>
        <w:fldChar w:fldCharType="separate"/>
      </w:r>
      <w:r>
        <w:t>10</w:t>
      </w:r>
      <w:r>
        <w:fldChar w:fldCharType="end"/>
      </w:r>
      <w:r>
        <w:fldChar w:fldCharType="end"/>
      </w:r>
    </w:p>
    <w:p w14:paraId="10F84BBE">
      <w:pPr>
        <w:pStyle w:val="43"/>
        <w:tabs>
          <w:tab w:val="right" w:leader="dot" w:pos="9746"/>
        </w:tabs>
      </w:pPr>
      <w:r>
        <w:fldChar w:fldCharType="begin"/>
      </w:r>
      <w:r>
        <w:instrText xml:space="preserve"> HYPERLINK \l "_Toc16750" </w:instrText>
      </w:r>
      <w:r>
        <w:fldChar w:fldCharType="separate"/>
      </w:r>
      <w:r>
        <w:rPr>
          <w:rFonts w:hint="eastAsia"/>
          <w:bCs w:val="0"/>
        </w:rPr>
        <w:t>第三章 投标报价</w:t>
      </w:r>
      <w:r>
        <w:tab/>
      </w:r>
      <w:r>
        <w:fldChar w:fldCharType="begin"/>
      </w:r>
      <w:r>
        <w:instrText xml:space="preserve"> PAGEREF _Toc16750 \h </w:instrText>
      </w:r>
      <w:r>
        <w:fldChar w:fldCharType="separate"/>
      </w:r>
      <w:r>
        <w:t>27</w:t>
      </w:r>
      <w:r>
        <w:fldChar w:fldCharType="end"/>
      </w:r>
      <w:r>
        <w:fldChar w:fldCharType="end"/>
      </w:r>
    </w:p>
    <w:p w14:paraId="51700620">
      <w:pPr>
        <w:pStyle w:val="43"/>
        <w:tabs>
          <w:tab w:val="right" w:leader="dot" w:pos="9746"/>
        </w:tabs>
        <w:rPr>
          <w:rFonts w:hint="default" w:eastAsia="宋体"/>
          <w:lang w:val="en-US" w:eastAsia="zh-CN"/>
        </w:rPr>
      </w:pPr>
      <w:r>
        <w:fldChar w:fldCharType="begin"/>
      </w:r>
      <w:r>
        <w:instrText xml:space="preserve"> HYPERLINK \l "_Toc28969" </w:instrText>
      </w:r>
      <w:r>
        <w:fldChar w:fldCharType="separate"/>
      </w:r>
      <w:r>
        <w:rPr>
          <w:rFonts w:hint="eastAsia"/>
          <w:szCs w:val="44"/>
        </w:rPr>
        <w:t>第四章 评标办法</w:t>
      </w:r>
      <w:r>
        <w:tab/>
      </w:r>
      <w:r>
        <w:fldChar w:fldCharType="end"/>
      </w:r>
      <w:r>
        <w:rPr>
          <w:rFonts w:hint="eastAsia"/>
          <w:lang w:val="en-US" w:eastAsia="zh-CN"/>
        </w:rPr>
        <w:t>30</w:t>
      </w:r>
    </w:p>
    <w:p w14:paraId="170EF8B3">
      <w:pPr>
        <w:pStyle w:val="43"/>
        <w:tabs>
          <w:tab w:val="right" w:leader="dot" w:pos="9746"/>
        </w:tabs>
        <w:rPr>
          <w:rFonts w:hint="default" w:eastAsia="宋体"/>
          <w:lang w:val="en-US" w:eastAsia="zh-CN"/>
        </w:rPr>
      </w:pPr>
      <w:r>
        <w:fldChar w:fldCharType="begin"/>
      </w:r>
      <w:r>
        <w:instrText xml:space="preserve"> HYPERLINK \l "_Toc20039" </w:instrText>
      </w:r>
      <w:r>
        <w:fldChar w:fldCharType="separate"/>
      </w:r>
      <w:r>
        <w:rPr>
          <w:rFonts w:hint="eastAsia"/>
          <w:szCs w:val="44"/>
        </w:rPr>
        <w:t>第五章 合同条款及格式</w:t>
      </w:r>
      <w:r>
        <w:tab/>
      </w:r>
      <w:r>
        <w:fldChar w:fldCharType="end"/>
      </w:r>
      <w:r>
        <w:rPr>
          <w:rFonts w:hint="eastAsia"/>
          <w:lang w:val="en-US" w:eastAsia="zh-CN"/>
        </w:rPr>
        <w:t>60</w:t>
      </w:r>
    </w:p>
    <w:p w14:paraId="11F20187">
      <w:pPr>
        <w:pStyle w:val="43"/>
        <w:tabs>
          <w:tab w:val="right" w:leader="dot" w:pos="9746"/>
        </w:tabs>
        <w:rPr>
          <w:rFonts w:hint="default" w:eastAsia="宋体"/>
          <w:lang w:val="en-US" w:eastAsia="zh-CN"/>
        </w:rPr>
      </w:pPr>
      <w:r>
        <w:fldChar w:fldCharType="begin"/>
      </w:r>
      <w:r>
        <w:instrText xml:space="preserve"> HYPERLINK \l "_Toc4081" </w:instrText>
      </w:r>
      <w:r>
        <w:fldChar w:fldCharType="separate"/>
      </w:r>
      <w:r>
        <w:rPr>
          <w:rFonts w:hint="eastAsia"/>
          <w:szCs w:val="44"/>
        </w:rPr>
        <w:t>第六章 技术规格及要求</w:t>
      </w:r>
      <w:r>
        <w:tab/>
      </w:r>
      <w:r>
        <w:fldChar w:fldCharType="end"/>
      </w:r>
      <w:r>
        <w:rPr>
          <w:rFonts w:hint="eastAsia"/>
          <w:lang w:val="en-US" w:eastAsia="zh-CN"/>
        </w:rPr>
        <w:t>150</w:t>
      </w:r>
    </w:p>
    <w:p w14:paraId="6270036D">
      <w:pPr>
        <w:pStyle w:val="43"/>
        <w:tabs>
          <w:tab w:val="right" w:leader="dot" w:pos="9746"/>
        </w:tabs>
        <w:rPr>
          <w:rFonts w:hint="default" w:eastAsia="宋体"/>
          <w:lang w:val="en-US" w:eastAsia="zh-CN"/>
        </w:rPr>
      </w:pPr>
      <w:r>
        <w:fldChar w:fldCharType="begin"/>
      </w:r>
      <w:r>
        <w:instrText xml:space="preserve"> HYPERLINK \l "_Toc9751" </w:instrText>
      </w:r>
      <w:r>
        <w:fldChar w:fldCharType="separate"/>
      </w:r>
      <w:r>
        <w:rPr>
          <w:szCs w:val="44"/>
        </w:rPr>
        <w:t>第</w:t>
      </w:r>
      <w:r>
        <w:rPr>
          <w:rFonts w:hint="eastAsia"/>
          <w:szCs w:val="44"/>
        </w:rPr>
        <w:t>七</w:t>
      </w:r>
      <w:r>
        <w:rPr>
          <w:szCs w:val="44"/>
        </w:rPr>
        <w:t>章</w:t>
      </w:r>
      <w:r>
        <w:rPr>
          <w:rFonts w:hint="eastAsia"/>
          <w:szCs w:val="44"/>
        </w:rPr>
        <w:t xml:space="preserve"> 投标文件格式</w:t>
      </w:r>
      <w:r>
        <w:tab/>
      </w:r>
      <w:r>
        <w:fldChar w:fldCharType="end"/>
      </w:r>
      <w:r>
        <w:rPr>
          <w:rFonts w:hint="eastAsia"/>
          <w:lang w:val="en-US" w:eastAsia="zh-CN"/>
        </w:rPr>
        <w:t>157</w:t>
      </w:r>
    </w:p>
    <w:p w14:paraId="0C24AA23">
      <w:pPr>
        <w:pStyle w:val="43"/>
        <w:sectPr>
          <w:footerReference r:id="rId7" w:type="default"/>
          <w:pgSz w:w="11906" w:h="16838"/>
          <w:pgMar w:top="1440" w:right="1080" w:bottom="1440" w:left="1080" w:header="851" w:footer="992" w:gutter="0"/>
          <w:pgNumType w:start="1"/>
          <w:cols w:space="720" w:num="1"/>
          <w:docGrid w:linePitch="286" w:charSpace="0"/>
        </w:sectPr>
      </w:pPr>
      <w:r>
        <w:rPr>
          <w:bCs w:val="0"/>
        </w:rPr>
        <w:fldChar w:fldCharType="end"/>
      </w:r>
    </w:p>
    <w:bookmarkEnd w:id="1"/>
    <w:bookmarkEnd w:id="2"/>
    <w:bookmarkEnd w:id="3"/>
    <w:p w14:paraId="2F029335">
      <w:pPr>
        <w:pStyle w:val="4"/>
        <w:spacing w:before="0" w:after="0" w:line="276" w:lineRule="auto"/>
        <w:ind w:left="2760" w:leftChars="1150" w:right="2760" w:rightChars="1150"/>
        <w:rPr>
          <w:bCs w:val="0"/>
        </w:rPr>
      </w:pPr>
      <w:bookmarkStart w:id="4" w:name="_Toc489214103"/>
      <w:bookmarkStart w:id="5" w:name="_Toc402858982"/>
      <w:bookmarkStart w:id="6" w:name="OLE_LINK6"/>
      <w:bookmarkStart w:id="7" w:name="OLE_LINK7"/>
    </w:p>
    <w:p w14:paraId="32F2EB36">
      <w:pPr>
        <w:pStyle w:val="4"/>
        <w:spacing w:before="0" w:after="0" w:line="276" w:lineRule="auto"/>
        <w:ind w:left="2760" w:leftChars="1150" w:right="2760" w:rightChars="1150"/>
        <w:rPr>
          <w:bCs w:val="0"/>
        </w:rPr>
      </w:pPr>
      <w:bookmarkStart w:id="8" w:name="_Toc16658"/>
      <w:bookmarkStart w:id="9" w:name="_Toc9609"/>
    </w:p>
    <w:p w14:paraId="5A9971C8">
      <w:pPr>
        <w:pStyle w:val="4"/>
        <w:spacing w:before="0" w:after="0" w:line="276" w:lineRule="auto"/>
        <w:ind w:left="2760" w:leftChars="1150" w:right="2760" w:rightChars="1150"/>
        <w:rPr>
          <w:bCs w:val="0"/>
        </w:rPr>
      </w:pPr>
    </w:p>
    <w:p w14:paraId="3DBB034B">
      <w:pPr>
        <w:pStyle w:val="4"/>
        <w:spacing w:before="0" w:after="0" w:line="276" w:lineRule="auto"/>
        <w:ind w:left="2760" w:leftChars="1150" w:right="2760" w:rightChars="1150"/>
        <w:rPr>
          <w:bCs w:val="0"/>
        </w:rPr>
      </w:pPr>
    </w:p>
    <w:p w14:paraId="5FA26CD6">
      <w:pPr>
        <w:pStyle w:val="4"/>
        <w:spacing w:before="0" w:after="0" w:line="276" w:lineRule="auto"/>
        <w:ind w:left="2760" w:leftChars="1150" w:right="2760" w:rightChars="1150"/>
        <w:rPr>
          <w:bCs w:val="0"/>
        </w:rPr>
      </w:pPr>
    </w:p>
    <w:p w14:paraId="3C1BE1D3">
      <w:pPr>
        <w:pStyle w:val="4"/>
        <w:spacing w:before="0" w:after="0" w:line="276" w:lineRule="auto"/>
        <w:ind w:left="2760" w:leftChars="1150" w:right="2760" w:rightChars="1150"/>
        <w:rPr>
          <w:bCs w:val="0"/>
        </w:rPr>
      </w:pPr>
    </w:p>
    <w:p w14:paraId="52090965">
      <w:pPr>
        <w:pStyle w:val="4"/>
        <w:spacing w:before="0" w:after="0" w:line="276" w:lineRule="auto"/>
        <w:ind w:left="2760" w:leftChars="1150" w:right="2760" w:rightChars="1150"/>
        <w:rPr>
          <w:bCs w:val="0"/>
        </w:rPr>
      </w:pPr>
    </w:p>
    <w:p w14:paraId="6443A251">
      <w:pPr>
        <w:pStyle w:val="4"/>
        <w:spacing w:before="0" w:after="0" w:line="276" w:lineRule="auto"/>
        <w:ind w:left="2760" w:leftChars="1150" w:right="2760" w:rightChars="1150"/>
        <w:rPr>
          <w:bCs w:val="0"/>
        </w:rPr>
      </w:pPr>
    </w:p>
    <w:p w14:paraId="51309518">
      <w:pPr>
        <w:pStyle w:val="4"/>
        <w:spacing w:before="0" w:after="0" w:line="276" w:lineRule="auto"/>
        <w:ind w:left="2760" w:leftChars="1150" w:right="2760" w:rightChars="1150"/>
        <w:rPr>
          <w:bCs w:val="0"/>
        </w:rPr>
      </w:pPr>
    </w:p>
    <w:p w14:paraId="6DA05D1B">
      <w:pPr>
        <w:pStyle w:val="4"/>
        <w:spacing w:before="0" w:after="0" w:line="276" w:lineRule="auto"/>
        <w:ind w:left="2760" w:leftChars="1150" w:right="2760" w:rightChars="1150"/>
        <w:rPr>
          <w:rFonts w:ascii="宋体" w:hAnsi="宋体"/>
          <w:bCs w:val="0"/>
          <w:kern w:val="0"/>
          <w:szCs w:val="21"/>
        </w:rPr>
      </w:pPr>
      <w:bookmarkStart w:id="10" w:name="_Toc17458"/>
      <w:bookmarkStart w:id="11" w:name="_Toc23492"/>
      <w:bookmarkStart w:id="12" w:name="_Toc1073"/>
      <w:bookmarkStart w:id="13" w:name="_Toc30122"/>
      <w:r>
        <w:rPr>
          <w:rFonts w:hint="eastAsia"/>
          <w:bCs w:val="0"/>
        </w:rPr>
        <w:t>第一章 招标公告</w:t>
      </w:r>
      <w:bookmarkEnd w:id="4"/>
      <w:bookmarkEnd w:id="8"/>
      <w:bookmarkEnd w:id="9"/>
      <w:bookmarkEnd w:id="10"/>
      <w:bookmarkEnd w:id="11"/>
      <w:bookmarkEnd w:id="12"/>
      <w:bookmarkEnd w:id="13"/>
    </w:p>
    <w:p w14:paraId="02D7D7F1">
      <w:pPr>
        <w:rPr>
          <w:rFonts w:ascii="宋体" w:hAnsi="宋体"/>
        </w:rPr>
      </w:pPr>
    </w:p>
    <w:p w14:paraId="01688652">
      <w:pPr>
        <w:snapToGrid w:val="0"/>
        <w:ind w:firstLine="281"/>
        <w:jc w:val="center"/>
        <w:rPr>
          <w:rFonts w:ascii="宋体" w:hAnsi="宋体"/>
          <w:b/>
          <w:bCs/>
          <w:kern w:val="0"/>
          <w:sz w:val="30"/>
          <w:szCs w:val="30"/>
          <w:u w:val="single"/>
        </w:rPr>
      </w:pPr>
    </w:p>
    <w:p w14:paraId="1FEAA935">
      <w:pPr>
        <w:snapToGrid w:val="0"/>
        <w:ind w:firstLine="281"/>
        <w:jc w:val="center"/>
        <w:rPr>
          <w:rFonts w:ascii="宋体" w:hAnsi="宋体"/>
          <w:b/>
          <w:bCs/>
          <w:kern w:val="0"/>
          <w:sz w:val="30"/>
          <w:szCs w:val="30"/>
          <w:u w:val="single"/>
        </w:rPr>
      </w:pPr>
    </w:p>
    <w:p w14:paraId="462702D4">
      <w:pPr>
        <w:snapToGrid w:val="0"/>
        <w:ind w:firstLine="281"/>
        <w:jc w:val="center"/>
        <w:rPr>
          <w:rFonts w:ascii="宋体" w:hAnsi="宋体"/>
          <w:b/>
          <w:bCs/>
          <w:kern w:val="0"/>
          <w:sz w:val="30"/>
          <w:szCs w:val="30"/>
          <w:u w:val="single"/>
        </w:rPr>
      </w:pPr>
    </w:p>
    <w:p w14:paraId="574BA977">
      <w:pPr>
        <w:snapToGrid w:val="0"/>
        <w:ind w:firstLine="281"/>
        <w:jc w:val="center"/>
        <w:rPr>
          <w:rFonts w:ascii="宋体" w:hAnsi="宋体"/>
          <w:b/>
          <w:bCs/>
          <w:kern w:val="0"/>
          <w:sz w:val="30"/>
          <w:szCs w:val="30"/>
          <w:u w:val="single"/>
        </w:rPr>
      </w:pPr>
    </w:p>
    <w:p w14:paraId="3FEB7E9E">
      <w:pPr>
        <w:snapToGrid w:val="0"/>
        <w:ind w:firstLine="281"/>
        <w:jc w:val="center"/>
        <w:rPr>
          <w:rFonts w:ascii="宋体" w:hAnsi="宋体"/>
          <w:b/>
          <w:bCs/>
          <w:kern w:val="0"/>
          <w:sz w:val="30"/>
          <w:szCs w:val="30"/>
          <w:u w:val="single"/>
        </w:rPr>
      </w:pPr>
    </w:p>
    <w:p w14:paraId="7A90660C">
      <w:pPr>
        <w:snapToGrid w:val="0"/>
        <w:ind w:firstLine="281"/>
        <w:jc w:val="center"/>
        <w:rPr>
          <w:rFonts w:ascii="宋体" w:hAnsi="宋体"/>
          <w:b/>
          <w:bCs/>
          <w:kern w:val="0"/>
          <w:sz w:val="30"/>
          <w:szCs w:val="30"/>
          <w:u w:val="single"/>
        </w:rPr>
      </w:pPr>
    </w:p>
    <w:p w14:paraId="210B0086">
      <w:pPr>
        <w:adjustRightInd w:val="0"/>
        <w:snapToGrid w:val="0"/>
        <w:ind w:firstLine="284"/>
        <w:jc w:val="center"/>
        <w:rPr>
          <w:rFonts w:ascii="宋体" w:hAnsi="宋体"/>
          <w:b/>
          <w:bCs/>
          <w:kern w:val="0"/>
          <w:sz w:val="30"/>
          <w:szCs w:val="30"/>
          <w:u w:val="single"/>
        </w:rPr>
      </w:pPr>
      <w:r>
        <w:rPr>
          <w:rFonts w:ascii="宋体" w:hAnsi="宋体"/>
          <w:b/>
          <w:bCs/>
          <w:kern w:val="0"/>
          <w:sz w:val="30"/>
          <w:szCs w:val="30"/>
          <w:u w:val="single"/>
        </w:rPr>
        <w:br w:type="page"/>
      </w:r>
      <w:r>
        <w:rPr>
          <w:rFonts w:hint="eastAsia" w:ascii="宋体" w:hAnsi="宋体"/>
          <w:b/>
          <w:bCs/>
          <w:kern w:val="0"/>
          <w:sz w:val="30"/>
          <w:szCs w:val="30"/>
          <w:u w:val="single"/>
        </w:rPr>
        <w:t>广澳高速中山服务区西区加油站重建项目土建工程</w:t>
      </w:r>
    </w:p>
    <w:p w14:paraId="3DB73E99">
      <w:pPr>
        <w:adjustRightInd w:val="0"/>
        <w:snapToGrid w:val="0"/>
        <w:ind w:firstLine="284"/>
        <w:jc w:val="center"/>
        <w:rPr>
          <w:rFonts w:ascii="宋体" w:hAnsi="宋体"/>
          <w:b/>
          <w:bCs/>
          <w:kern w:val="0"/>
          <w:sz w:val="30"/>
          <w:szCs w:val="30"/>
        </w:rPr>
      </w:pPr>
      <w:r>
        <w:rPr>
          <w:rFonts w:hint="eastAsia" w:ascii="宋体" w:hAnsi="宋体"/>
          <w:b/>
          <w:bCs/>
          <w:kern w:val="0"/>
          <w:sz w:val="30"/>
          <w:szCs w:val="30"/>
        </w:rPr>
        <w:t>招标公告</w:t>
      </w:r>
    </w:p>
    <w:p w14:paraId="27FD6E8B">
      <w:pPr>
        <w:pStyle w:val="5"/>
        <w:adjustRightInd w:val="0"/>
        <w:snapToGrid w:val="0"/>
        <w:rPr>
          <w:rFonts w:ascii="宋体" w:hAnsi="宋体"/>
        </w:rPr>
      </w:pPr>
      <w:bookmarkStart w:id="14" w:name="_Toc2793"/>
      <w:bookmarkStart w:id="15" w:name="_Toc489214104"/>
      <w:bookmarkStart w:id="16" w:name="_Toc10376"/>
      <w:bookmarkStart w:id="17" w:name="_Toc13209"/>
      <w:r>
        <w:rPr>
          <w:rFonts w:ascii="宋体" w:hAnsi="宋体"/>
        </w:rPr>
        <w:t>1．招标条件</w:t>
      </w:r>
      <w:bookmarkEnd w:id="14"/>
      <w:bookmarkEnd w:id="15"/>
      <w:bookmarkEnd w:id="16"/>
      <w:bookmarkEnd w:id="17"/>
    </w:p>
    <w:p w14:paraId="0A940D69">
      <w:pPr>
        <w:widowControl/>
        <w:snapToGrid w:val="0"/>
        <w:ind w:firstLine="480" w:firstLineChars="200"/>
        <w:jc w:val="left"/>
        <w:rPr>
          <w:rFonts w:ascii="宋体" w:hAnsi="宋体"/>
          <w:highlight w:val="none"/>
        </w:rPr>
      </w:pPr>
      <w:r>
        <w:rPr>
          <w:rFonts w:hint="eastAsia" w:ascii="宋体" w:hAnsi="宋体"/>
          <w:u w:val="single"/>
        </w:rPr>
        <w:t>广澳高速中山服务区西区加油站重建项目土建工程，</w:t>
      </w:r>
      <w:r>
        <w:rPr>
          <w:rFonts w:ascii="宋体" w:hAnsi="宋体"/>
        </w:rPr>
        <w:t>建设资金</w:t>
      </w:r>
      <w:r>
        <w:rPr>
          <w:rFonts w:hint="eastAsia" w:ascii="宋体" w:hAnsi="宋体"/>
        </w:rPr>
        <w:t>来自</w:t>
      </w:r>
      <w:r>
        <w:rPr>
          <w:rFonts w:hint="eastAsia" w:ascii="宋体" w:hAnsi="宋体"/>
          <w:u w:val="single"/>
        </w:rPr>
        <w:t>企业自筹</w:t>
      </w:r>
      <w:r>
        <w:rPr>
          <w:rFonts w:hint="eastAsia" w:ascii="宋体" w:hAnsi="宋体"/>
          <w:u w:val="none"/>
        </w:rPr>
        <w:t>。招标人为</w:t>
      </w:r>
      <w:r>
        <w:rPr>
          <w:rFonts w:hint="eastAsia" w:ascii="宋体" w:hAnsi="宋体"/>
          <w:u w:val="single"/>
        </w:rPr>
        <w:t>广东中粤通油品经营有限公司</w:t>
      </w:r>
      <w:r>
        <w:rPr>
          <w:rFonts w:hint="eastAsia" w:ascii="宋体" w:hAnsi="宋体"/>
        </w:rPr>
        <w:t>，招标代理机构为</w:t>
      </w:r>
      <w:r>
        <w:rPr>
          <w:rFonts w:hint="eastAsia" w:ascii="宋体" w:hAnsi="宋体"/>
          <w:u w:val="single"/>
        </w:rPr>
        <w:t>广州诚建项目管理咨询有限公司</w:t>
      </w:r>
      <w:r>
        <w:rPr>
          <w:rFonts w:hint="eastAsia" w:ascii="宋体" w:hAnsi="宋体"/>
        </w:rPr>
        <w:t>。</w:t>
      </w:r>
      <w:r>
        <w:rPr>
          <w:rFonts w:hint="eastAsia" w:ascii="宋体" w:hAnsi="宋体"/>
          <w:u w:val="single"/>
        </w:rPr>
        <w:t>广澳高速中山服务区西区加油站重建项目</w:t>
      </w:r>
      <w:r>
        <w:rPr>
          <w:rFonts w:hint="eastAsia" w:ascii="宋体" w:hAnsi="宋体"/>
          <w:highlight w:val="none"/>
          <w:u w:val="single"/>
        </w:rPr>
        <w:t>土建工程</w:t>
      </w:r>
      <w:r>
        <w:rPr>
          <w:rFonts w:hint="eastAsia" w:ascii="宋体" w:hAnsi="宋体"/>
          <w:highlight w:val="none"/>
        </w:rPr>
        <w:t>施工已具备招标条件，现进行公开招标</w:t>
      </w:r>
      <w:r>
        <w:rPr>
          <w:rFonts w:hint="eastAsia" w:ascii="宋体" w:hAnsi="宋体" w:cs="宋体"/>
          <w:color w:val="auto"/>
          <w:sz w:val="24"/>
          <w:szCs w:val="24"/>
          <w:highlight w:val="none"/>
        </w:rPr>
        <w:t>，选定承包人</w:t>
      </w:r>
      <w:r>
        <w:rPr>
          <w:rFonts w:hint="eastAsia" w:ascii="宋体" w:hAnsi="宋体"/>
          <w:highlight w:val="none"/>
        </w:rPr>
        <w:t>。</w:t>
      </w:r>
    </w:p>
    <w:p w14:paraId="627AAEF5">
      <w:pPr>
        <w:pStyle w:val="5"/>
        <w:adjustRightInd w:val="0"/>
        <w:snapToGrid w:val="0"/>
        <w:rPr>
          <w:rFonts w:ascii="宋体" w:hAnsi="宋体"/>
          <w:highlight w:val="none"/>
        </w:rPr>
      </w:pPr>
      <w:bookmarkStart w:id="18" w:name="_Toc18397"/>
      <w:bookmarkStart w:id="19" w:name="_Toc19740"/>
      <w:bookmarkStart w:id="20" w:name="_Toc66"/>
      <w:r>
        <w:rPr>
          <w:rFonts w:hint="eastAsia" w:ascii="宋体" w:hAnsi="宋体"/>
          <w:highlight w:val="none"/>
        </w:rPr>
        <w:t>2．</w:t>
      </w:r>
      <w:r>
        <w:rPr>
          <w:rFonts w:ascii="宋体" w:hAnsi="宋体"/>
          <w:highlight w:val="none"/>
        </w:rPr>
        <w:t>项目概况</w:t>
      </w:r>
      <w:r>
        <w:rPr>
          <w:rFonts w:hint="eastAsia" w:ascii="宋体" w:hAnsi="宋体"/>
          <w:highlight w:val="none"/>
        </w:rPr>
        <w:t>与招标范围</w:t>
      </w:r>
      <w:bookmarkEnd w:id="18"/>
      <w:bookmarkEnd w:id="19"/>
      <w:bookmarkEnd w:id="20"/>
    </w:p>
    <w:p w14:paraId="0F380539">
      <w:pPr>
        <w:adjustRightInd w:val="0"/>
        <w:snapToGrid w:val="0"/>
        <w:ind w:firstLine="480" w:firstLineChars="200"/>
        <w:rPr>
          <w:rFonts w:hint="eastAsia" w:ascii="宋体" w:hAnsi="宋体"/>
          <w:highlight w:val="none"/>
        </w:rPr>
      </w:pPr>
      <w:r>
        <w:rPr>
          <w:rFonts w:hint="eastAsia" w:ascii="宋体" w:hAnsi="宋体"/>
          <w:highlight w:val="none"/>
        </w:rPr>
        <w:t>2.1招标项目名称：广澳高速中山服务区西区加油站重建项目土建工程</w:t>
      </w:r>
    </w:p>
    <w:p w14:paraId="5E4AB8D0">
      <w:pPr>
        <w:adjustRightInd w:val="0"/>
        <w:snapToGrid w:val="0"/>
        <w:ind w:firstLine="960" w:firstLineChars="400"/>
        <w:rPr>
          <w:rFonts w:hint="default" w:eastAsia="宋体"/>
          <w:lang w:val="en-US" w:eastAsia="zh-CN"/>
        </w:rPr>
      </w:pPr>
      <w:r>
        <w:rPr>
          <w:rFonts w:hint="eastAsia" w:ascii="宋体" w:hAnsi="宋体"/>
          <w:highlight w:val="none"/>
          <w:lang w:val="en-US" w:eastAsia="zh-CN"/>
        </w:rPr>
        <w:t>项目代码：</w:t>
      </w:r>
      <w:r>
        <w:rPr>
          <w:rFonts w:hint="eastAsia" w:ascii="宋体" w:hAnsi="宋体"/>
          <w:highlight w:val="none"/>
          <w:u w:val="single"/>
          <w:lang w:val="en-US" w:eastAsia="zh-CN"/>
        </w:rPr>
        <w:t>2509-442000-04-01-187208</w:t>
      </w:r>
    </w:p>
    <w:p w14:paraId="34EDF252">
      <w:pPr>
        <w:adjustRightInd w:val="0"/>
        <w:snapToGrid w:val="0"/>
        <w:ind w:firstLine="480" w:firstLineChars="200"/>
        <w:rPr>
          <w:rFonts w:ascii="宋体" w:hAnsi="宋体"/>
        </w:rPr>
      </w:pPr>
      <w:r>
        <w:rPr>
          <w:rFonts w:hint="eastAsia" w:ascii="宋体" w:hAnsi="宋体"/>
        </w:rPr>
        <w:t>2</w:t>
      </w:r>
      <w:r>
        <w:rPr>
          <w:rFonts w:ascii="宋体" w:hAnsi="宋体"/>
        </w:rPr>
        <w:t>.</w:t>
      </w:r>
      <w:r>
        <w:rPr>
          <w:rFonts w:hint="eastAsia" w:ascii="宋体" w:hAnsi="宋体"/>
        </w:rPr>
        <w:t>2建设地址：中山市火炬开发区民众街道京珠高速公路广珠浪网路段K63路牌南行300米处（中山火炬高技术产业开发区）。</w:t>
      </w:r>
    </w:p>
    <w:p w14:paraId="0F003C7F">
      <w:pPr>
        <w:adjustRightInd w:val="0"/>
        <w:snapToGrid w:val="0"/>
        <w:ind w:firstLine="480" w:firstLineChars="200"/>
        <w:rPr>
          <w:rFonts w:ascii="宋体" w:hAnsi="宋体"/>
          <w:highlight w:val="yellow"/>
        </w:rPr>
      </w:pPr>
      <w:r>
        <w:rPr>
          <w:rFonts w:hint="eastAsia" w:ascii="宋体" w:hAnsi="宋体"/>
        </w:rPr>
        <w:t>2</w:t>
      </w:r>
      <w:r>
        <w:rPr>
          <w:rFonts w:ascii="宋体" w:hAnsi="宋体"/>
        </w:rPr>
        <w:t>.</w:t>
      </w:r>
      <w:r>
        <w:rPr>
          <w:rFonts w:hint="eastAsia" w:ascii="宋体" w:hAnsi="宋体"/>
        </w:rPr>
        <w:t>3</w:t>
      </w:r>
      <w:r>
        <w:rPr>
          <w:rFonts w:ascii="宋体" w:hAnsi="宋体"/>
        </w:rPr>
        <w:t>建设规模：</w:t>
      </w:r>
      <w:r>
        <w:rPr>
          <w:rFonts w:hint="eastAsia" w:ascii="宋体" w:hAnsi="宋体"/>
        </w:rPr>
        <w:t>新建加油站位于广澳高速中山服务区西区，总用地面积2961.10平方米，建设混凝土框架结构站房一座（1层），建筑面积：200平方米 ，钢结构罩棚1座，面积：275.66平方米（投影面积：763平方米）;容量分别为50立方米柴油罐1个，50立方米汽油罐2个，20立方米汽油罐1个，总罐容170立方米，折合汽油容积145立方米，拟设置6枪加油机4台（含油气回收在线监测系统，共24支加油枪），尾气处理液加注机及储罐一套。本项目需安排专人办理工程项目全过程相关政府报建及验收手续，属于建设单位办理事宜，需安排专人协助建设单位办理，相关费用已包含在合同总价。</w:t>
      </w:r>
    </w:p>
    <w:p w14:paraId="1181B880">
      <w:pPr>
        <w:adjustRightInd w:val="0"/>
        <w:snapToGrid w:val="0"/>
        <w:ind w:firstLine="480" w:firstLineChars="200"/>
        <w:rPr>
          <w:rFonts w:ascii="宋体" w:hAnsi="宋体"/>
        </w:rPr>
      </w:pPr>
      <w:r>
        <w:rPr>
          <w:rFonts w:hint="eastAsia" w:ascii="宋体" w:hAnsi="宋体"/>
        </w:rPr>
        <w:t>2.4标段划分：本项目划分为 1个标段。</w:t>
      </w:r>
    </w:p>
    <w:p w14:paraId="66E4025A">
      <w:pPr>
        <w:adjustRightInd w:val="0"/>
        <w:snapToGrid w:val="0"/>
        <w:ind w:firstLine="480" w:firstLineChars="200"/>
        <w:rPr>
          <w:rFonts w:ascii="宋体" w:hAnsi="宋体"/>
        </w:rPr>
      </w:pPr>
      <w:r>
        <w:rPr>
          <w:rFonts w:hint="eastAsia" w:ascii="宋体" w:hAnsi="宋体"/>
        </w:rPr>
        <w:t>2.5标段招标范围：广澳高速中山服务区西区加油站重建项目土建工程，工程内容包括但不仅限于土建工程、装修工程、室外道路工程、给排水工程、弱电气工程、罩棚檐口标识工程、防雷工程、设备安装等，从施工安装开始到竣工验收并投入运行后2年质保期满所含全部工程内容及工程质量保修服务。具体工程量详见发包人提供的招标文件、招标答疑文件、招标施工图纸、工程量清单、设计说明及补充说明有关资料。</w:t>
      </w:r>
    </w:p>
    <w:p w14:paraId="61ADC489">
      <w:pPr>
        <w:adjustRightInd w:val="0"/>
        <w:snapToGrid w:val="0"/>
        <w:ind w:firstLine="480" w:firstLineChars="200"/>
        <w:rPr>
          <w:rFonts w:ascii="宋体" w:hAnsi="宋体"/>
        </w:rPr>
      </w:pPr>
      <w:r>
        <w:rPr>
          <w:rFonts w:hint="eastAsia" w:ascii="宋体" w:hAnsi="宋体"/>
        </w:rPr>
        <w:t>2.6最高投标限价：</w:t>
      </w:r>
      <w:r>
        <w:rPr>
          <w:rFonts w:hint="default" w:ascii="宋体" w:hAnsi="宋体"/>
          <w:u w:val="single"/>
          <w:lang w:val="en-US"/>
        </w:rPr>
        <w:t>5752331.15</w:t>
      </w:r>
      <w:r>
        <w:rPr>
          <w:rFonts w:hint="eastAsia" w:ascii="宋体" w:hAnsi="宋体"/>
        </w:rPr>
        <w:t>元（含税）。</w:t>
      </w:r>
    </w:p>
    <w:p w14:paraId="7F185C76">
      <w:pPr>
        <w:snapToGrid w:val="0"/>
        <w:ind w:firstLine="480"/>
        <w:rPr>
          <w:rFonts w:hint="eastAsia" w:ascii="宋体" w:hAnsi="宋体"/>
          <w:lang w:val="en-US" w:eastAsia="zh-CN"/>
        </w:rPr>
      </w:pPr>
      <w:r>
        <w:rPr>
          <w:rFonts w:hint="eastAsia" w:ascii="宋体" w:hAnsi="宋体"/>
        </w:rPr>
        <w:t>2.7计划工期：60个日历天。</w:t>
      </w:r>
    </w:p>
    <w:p w14:paraId="3EBB8A30">
      <w:pPr>
        <w:snapToGrid w:val="0"/>
        <w:ind w:firstLine="480"/>
        <w:rPr>
          <w:rFonts w:hint="default" w:eastAsia="宋体"/>
          <w:lang w:val="en-US" w:eastAsia="zh-CN"/>
        </w:rPr>
      </w:pPr>
      <w:r>
        <w:rPr>
          <w:rFonts w:hint="eastAsia" w:ascii="宋体" w:hAnsi="宋体"/>
          <w:lang w:val="en-US" w:eastAsia="zh-CN"/>
        </w:rPr>
        <w:t>2.8质量要求</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u w:val="single"/>
          <w:lang w:val="en-US" w:eastAsia="zh-CN" w:bidi="ar"/>
        </w:rPr>
        <w:t>合格</w:t>
      </w:r>
      <w:r>
        <w:rPr>
          <w:rFonts w:hint="eastAsia" w:ascii="宋体" w:hAnsi="宋体" w:cs="宋体"/>
          <w:color w:val="auto"/>
          <w:kern w:val="0"/>
          <w:sz w:val="24"/>
          <w:szCs w:val="24"/>
          <w:highlight w:val="none"/>
          <w:u w:val="single"/>
          <w:lang w:val="en-US" w:eastAsia="zh-CN" w:bidi="ar"/>
        </w:rPr>
        <w:t>。</w:t>
      </w:r>
    </w:p>
    <w:p w14:paraId="787C1FFE">
      <w:pPr>
        <w:pStyle w:val="5"/>
        <w:adjustRightInd w:val="0"/>
        <w:snapToGrid w:val="0"/>
        <w:rPr>
          <w:rFonts w:ascii="宋体" w:hAnsi="宋体"/>
        </w:rPr>
      </w:pPr>
      <w:bookmarkStart w:id="21" w:name="_Toc20853"/>
      <w:bookmarkStart w:id="22" w:name="_Toc12270"/>
      <w:bookmarkStart w:id="23" w:name="_Toc5184"/>
      <w:r>
        <w:rPr>
          <w:rFonts w:hint="eastAsia" w:ascii="宋体" w:hAnsi="宋体"/>
        </w:rPr>
        <w:t>3．投标人资格要求</w:t>
      </w:r>
      <w:bookmarkEnd w:id="21"/>
      <w:bookmarkEnd w:id="22"/>
      <w:bookmarkEnd w:id="23"/>
    </w:p>
    <w:p w14:paraId="68D7CC82">
      <w:pPr>
        <w:adjustRightInd w:val="0"/>
        <w:snapToGrid w:val="0"/>
        <w:ind w:firstLine="482" w:firstLineChars="200"/>
        <w:rPr>
          <w:rFonts w:hint="default" w:ascii="宋体" w:hAnsi="宋体" w:eastAsia="宋体"/>
          <w:b/>
          <w:lang w:val="en-US" w:eastAsia="zh-CN"/>
        </w:rPr>
      </w:pPr>
      <w:r>
        <w:rPr>
          <w:rFonts w:hint="eastAsia" w:ascii="宋体" w:hAnsi="宋体"/>
          <w:b/>
          <w:lang w:val="en-US" w:eastAsia="zh-CN"/>
        </w:rPr>
        <w:t>3.1</w:t>
      </w:r>
      <w:r>
        <w:rPr>
          <w:rFonts w:hint="eastAsia" w:ascii="宋体" w:hAnsi="宋体"/>
          <w:color w:val="auto"/>
          <w:sz w:val="24"/>
          <w:highlight w:val="none"/>
        </w:rPr>
        <w:t>投标人参加投标的意思表达清楚，投标人代表被授权有效。</w:t>
      </w:r>
    </w:p>
    <w:p w14:paraId="7CBAA4F1">
      <w:pPr>
        <w:adjustRightInd w:val="0"/>
        <w:snapToGrid w:val="0"/>
        <w:ind w:firstLine="482" w:firstLineChars="200"/>
        <w:rPr>
          <w:rFonts w:ascii="宋体" w:hAnsi="宋体"/>
          <w:b/>
        </w:rPr>
      </w:pPr>
      <w:r>
        <w:rPr>
          <w:rFonts w:hint="eastAsia" w:ascii="宋体" w:hAnsi="宋体"/>
          <w:b/>
        </w:rPr>
        <w:t>3</w:t>
      </w:r>
      <w:r>
        <w:rPr>
          <w:rFonts w:ascii="宋体" w:hAnsi="宋体"/>
          <w:b/>
        </w:rPr>
        <w:t>.</w:t>
      </w:r>
      <w:r>
        <w:rPr>
          <w:rFonts w:hint="eastAsia" w:ascii="宋体" w:hAnsi="宋体"/>
          <w:b/>
          <w:lang w:val="en-US" w:eastAsia="zh-CN"/>
        </w:rPr>
        <w:t>2</w:t>
      </w:r>
      <w:r>
        <w:rPr>
          <w:rFonts w:hint="eastAsia" w:ascii="宋体" w:hAnsi="宋体"/>
          <w:b/>
        </w:rPr>
        <w:t>投标人应具备以下基本资格条件：</w:t>
      </w:r>
    </w:p>
    <w:p w14:paraId="7985BD34">
      <w:pPr>
        <w:widowControl/>
        <w:adjustRightInd w:val="0"/>
        <w:snapToGrid w:val="0"/>
        <w:ind w:firstLine="480" w:firstLineChars="200"/>
        <w:rPr>
          <w:rFonts w:ascii="宋体" w:hAnsi="宋体"/>
          <w:bCs/>
        </w:rPr>
      </w:pPr>
      <w:r>
        <w:rPr>
          <w:rFonts w:hint="eastAsia" w:ascii="宋体" w:hAnsi="宋体"/>
          <w:bCs/>
        </w:rPr>
        <w:t>（1）</w:t>
      </w:r>
      <w:r>
        <w:rPr>
          <w:rFonts w:ascii="宋体" w:hAnsi="宋体"/>
          <w:bCs/>
        </w:rPr>
        <w:t>在中华人民共和国</w:t>
      </w:r>
      <w:r>
        <w:rPr>
          <w:rFonts w:hint="eastAsia" w:ascii="宋体" w:hAnsi="宋体"/>
          <w:bCs/>
        </w:rPr>
        <w:t>境内</w:t>
      </w:r>
      <w:r>
        <w:rPr>
          <w:rFonts w:ascii="宋体" w:hAnsi="宋体"/>
          <w:bCs/>
        </w:rPr>
        <w:t>注册的独立法人</w:t>
      </w:r>
      <w:r>
        <w:rPr>
          <w:rFonts w:hint="eastAsia" w:ascii="宋体" w:hAnsi="宋体"/>
          <w:bCs/>
        </w:rPr>
        <w:t>，持有合法有效的法人营业执照。</w:t>
      </w:r>
    </w:p>
    <w:p w14:paraId="61F00BC2">
      <w:pPr>
        <w:widowControl/>
        <w:adjustRightInd w:val="0"/>
        <w:snapToGrid w:val="0"/>
        <w:ind w:firstLine="480" w:firstLineChars="200"/>
        <w:rPr>
          <w:rFonts w:ascii="楷体" w:hAnsi="楷体" w:eastAsia="楷体" w:cs="楷体"/>
          <w:bCs/>
          <w:sz w:val="22"/>
          <w:szCs w:val="22"/>
        </w:rPr>
      </w:pPr>
      <w:r>
        <w:rPr>
          <w:rFonts w:hint="eastAsia" w:ascii="宋体" w:hAnsi="宋体"/>
          <w:bCs/>
        </w:rPr>
        <w:t>（2）持有建设行政主管部门核发的</w:t>
      </w:r>
      <w:r>
        <w:rPr>
          <w:rFonts w:hint="eastAsia" w:ascii="宋体" w:hAnsi="宋体"/>
          <w:bCs/>
          <w:u w:val="single"/>
        </w:rPr>
        <w:t>建筑工程施工总承包三级（或以上）资质证书</w:t>
      </w:r>
      <w:r>
        <w:rPr>
          <w:rFonts w:hint="eastAsia" w:ascii="宋体" w:hAnsi="宋体"/>
          <w:bCs/>
        </w:rPr>
        <w:t>。</w:t>
      </w:r>
    </w:p>
    <w:p w14:paraId="27ABF061">
      <w:pPr>
        <w:pStyle w:val="333"/>
        <w:snapToGrid w:val="0"/>
        <w:spacing w:line="360" w:lineRule="auto"/>
        <w:ind w:firstLine="440" w:firstLineChars="200"/>
        <w:rPr>
          <w:rFonts w:ascii="楷体" w:hAnsi="楷体" w:eastAsia="楷体" w:cs="楷体"/>
          <w:bCs/>
          <w:color w:val="auto"/>
          <w:sz w:val="22"/>
          <w:szCs w:val="22"/>
        </w:rPr>
      </w:pPr>
      <w:r>
        <w:rPr>
          <w:rFonts w:hint="eastAsia" w:ascii="楷体" w:hAnsi="楷体" w:eastAsia="楷体" w:cs="楷体"/>
          <w:bCs/>
          <w:color w:val="auto"/>
          <w:sz w:val="22"/>
          <w:szCs w:val="22"/>
        </w:rPr>
        <w:t>注：①投标人还应当符合《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住房城乡建设部建筑市场监管司关于建设工程企业资质延续有关事项的通知》（建司局函市〔2023〕116号）、《住建部做好企业资质证书换领和延续工作的通知》（建办市〔2023〕47号）、《广东省住房和城乡建设厅关于建设工程企业资质延续有关事项的通知》（粤建许函〔2023〕820号）等相关规定。根据上述文件的要求，投标人需办理企业资质有效期延续的，应当按照相关规定及时办理。</w:t>
      </w:r>
    </w:p>
    <w:p w14:paraId="7EE0B76E">
      <w:pPr>
        <w:pStyle w:val="333"/>
        <w:snapToGrid w:val="0"/>
        <w:spacing w:line="360" w:lineRule="auto"/>
        <w:ind w:firstLine="440" w:firstLineChars="200"/>
        <w:rPr>
          <w:rFonts w:eastAsia="楷体"/>
          <w:bCs/>
          <w:color w:val="auto"/>
          <w:u w:val="single"/>
        </w:rPr>
      </w:pPr>
      <w:r>
        <w:rPr>
          <w:rFonts w:hint="eastAsia" w:ascii="楷体" w:hAnsi="楷体" w:eastAsia="楷体" w:cs="楷体"/>
          <w:bCs/>
          <w:color w:val="auto"/>
          <w:sz w:val="22"/>
          <w:szCs w:val="22"/>
        </w:rPr>
        <w:t>②如投标人的企业资质是根据 2020年11月30日发布的《住房和城乡建设部关于印发建设工程企业资质管理制度改革方案的通知》（建市〔2020〕94号）办理的，则资质相应要求如下：</w:t>
      </w:r>
      <w:r>
        <w:rPr>
          <w:rFonts w:hint="eastAsia" w:ascii="楷体" w:hAnsi="楷体" w:eastAsia="楷体" w:cs="楷体"/>
          <w:bCs/>
          <w:color w:val="auto"/>
          <w:sz w:val="22"/>
          <w:szCs w:val="22"/>
          <w:u w:val="single"/>
        </w:rPr>
        <w:t>投标人具有承接本工程所需的施工综合资质或建筑工程施工总承包乙级（或以上）资质。</w:t>
      </w:r>
    </w:p>
    <w:p w14:paraId="662AA2D1">
      <w:pPr>
        <w:adjustRightInd w:val="0"/>
        <w:snapToGrid w:val="0"/>
        <w:ind w:firstLine="480" w:firstLineChars="200"/>
        <w:rPr>
          <w:rFonts w:ascii="宋体" w:hAnsi="宋体"/>
          <w:bCs/>
        </w:rPr>
      </w:pPr>
      <w:r>
        <w:rPr>
          <w:rFonts w:hint="eastAsia" w:ascii="宋体" w:hAnsi="宋体"/>
          <w:bCs/>
        </w:rPr>
        <w:t>（3）持有建设行政主管部门颁发的有效期内的安全生产许可证书。</w:t>
      </w:r>
    </w:p>
    <w:p w14:paraId="6E7D3D04">
      <w:pPr>
        <w:adjustRightInd w:val="0"/>
        <w:snapToGrid w:val="0"/>
        <w:ind w:firstLine="480" w:firstLineChars="200"/>
        <w:rPr>
          <w:rFonts w:ascii="宋体" w:hAnsi="宋体"/>
          <w:bCs/>
        </w:rPr>
      </w:pPr>
      <w:r>
        <w:rPr>
          <w:rFonts w:hint="eastAsia" w:ascii="宋体" w:hAnsi="宋体"/>
        </w:rPr>
        <w:t>（4）</w:t>
      </w:r>
      <w:r>
        <w:rPr>
          <w:rFonts w:hint="eastAsia" w:ascii="宋体" w:hAnsi="宋体"/>
          <w:bCs/>
        </w:rPr>
        <w:t>持有有效的质量管理、环境管理、职业健康安全管理体系认证证书。</w:t>
      </w:r>
    </w:p>
    <w:p w14:paraId="558E0FDF">
      <w:pPr>
        <w:numPr>
          <w:ilvl w:val="255"/>
          <w:numId w:val="0"/>
        </w:numPr>
        <w:adjustRightInd w:val="0"/>
        <w:snapToGrid w:val="0"/>
        <w:ind w:firstLine="480" w:firstLineChars="200"/>
      </w:pPr>
      <w:r>
        <w:rPr>
          <w:rFonts w:hint="eastAsia" w:ascii="宋体" w:hAnsi="宋体"/>
        </w:rPr>
        <w:t>（5）财务状况良好，具有足够资产及能力并有效地履行合同</w:t>
      </w:r>
      <w:r>
        <w:rPr>
          <w:rFonts w:hint="eastAsia" w:ascii="宋体" w:hAnsi="宋体"/>
          <w:bCs/>
        </w:rPr>
        <w:t>。</w:t>
      </w:r>
    </w:p>
    <w:p w14:paraId="38DCEA63">
      <w:pPr>
        <w:adjustRightInd w:val="0"/>
        <w:snapToGrid w:val="0"/>
        <w:ind w:firstLine="482" w:firstLineChars="200"/>
        <w:rPr>
          <w:rFonts w:ascii="宋体" w:hAnsi="宋体"/>
          <w:b/>
        </w:rPr>
      </w:pPr>
      <w:r>
        <w:rPr>
          <w:rFonts w:hint="eastAsia" w:ascii="宋体" w:hAnsi="宋体"/>
          <w:b/>
        </w:rPr>
        <w:t>3</w:t>
      </w:r>
      <w:r>
        <w:rPr>
          <w:rFonts w:ascii="宋体" w:hAnsi="宋体"/>
          <w:b/>
        </w:rPr>
        <w:t>.</w:t>
      </w:r>
      <w:r>
        <w:rPr>
          <w:rFonts w:hint="eastAsia" w:ascii="宋体" w:hAnsi="宋体"/>
          <w:b/>
          <w:lang w:val="en-US" w:eastAsia="zh-CN"/>
        </w:rPr>
        <w:t>3</w:t>
      </w:r>
      <w:r>
        <w:rPr>
          <w:rFonts w:hint="eastAsia" w:ascii="宋体" w:hAnsi="宋体"/>
          <w:b/>
        </w:rPr>
        <w:t>本次招标要求投标人拟派出的项目部主要人员组成为项目经理、安全负责人、技术负责人、资料管理员各1名，主要人员基本资格条件要求如下：</w:t>
      </w:r>
    </w:p>
    <w:p w14:paraId="486D5C9A">
      <w:pPr>
        <w:adjustRightInd w:val="0"/>
        <w:snapToGrid w:val="0"/>
        <w:ind w:firstLine="480" w:firstLineChars="200"/>
        <w:rPr>
          <w:rFonts w:hAnsi="宋体"/>
        </w:rPr>
      </w:pPr>
      <w:r>
        <w:rPr>
          <w:rFonts w:hint="eastAsia" w:hAnsi="宋体"/>
        </w:rPr>
        <w:t>（1）项目经理持有建筑工程专业二级（或以上）注册建造师注册证书（注册于投标人单位），持有有效期内的建筑施工企业项目负责人安全生产考核合格证书（B证）。</w:t>
      </w:r>
    </w:p>
    <w:p w14:paraId="392A3772">
      <w:pPr>
        <w:widowControl/>
        <w:adjustRightInd w:val="0"/>
        <w:snapToGrid w:val="0"/>
        <w:ind w:firstLine="440" w:firstLineChars="200"/>
        <w:jc w:val="left"/>
        <w:rPr>
          <w:rFonts w:ascii="楷体" w:hAnsi="楷体" w:eastAsia="楷体" w:cs="楷体"/>
          <w:sz w:val="22"/>
          <w:szCs w:val="22"/>
        </w:rPr>
      </w:pPr>
      <w:r>
        <w:rPr>
          <w:rFonts w:hint="eastAsia" w:ascii="楷体" w:hAnsi="楷体" w:eastAsia="楷体" w:cs="楷体"/>
          <w:sz w:val="22"/>
          <w:szCs w:val="22"/>
        </w:rPr>
        <w:t>注：①根据《住房和城乡建设部办公厅关于全面实行一级建造师电子注册证书的通知》（建办市〔2021〕40号），自2022年1月1日起，一级建造师统一使用电子证书，纸质证书作废。广东、北京、福建、四川等地二级建造师已实行电子证书，电子证书下载、签字等具体操作流程可查阅相关文件。根据规定二级建造师纸质证书未作废的，资格审查时不得以投标人未提供电子证书为由，认定投标人资格审查不通过。</w:t>
      </w:r>
    </w:p>
    <w:p w14:paraId="7E5DE94C">
      <w:pPr>
        <w:widowControl/>
        <w:adjustRightInd w:val="0"/>
        <w:snapToGrid w:val="0"/>
        <w:ind w:firstLine="440" w:firstLineChars="200"/>
        <w:jc w:val="left"/>
        <w:rPr>
          <w:rFonts w:ascii="楷体" w:hAnsi="楷体" w:eastAsia="楷体" w:cs="楷体"/>
          <w:sz w:val="22"/>
          <w:szCs w:val="22"/>
        </w:rPr>
      </w:pPr>
      <w:r>
        <w:rPr>
          <w:rFonts w:hint="eastAsia" w:ascii="楷体" w:hAnsi="楷体" w:eastAsia="楷体" w:cs="楷体"/>
          <w:sz w:val="22"/>
          <w:szCs w:val="22"/>
        </w:rPr>
        <w:t>②根据广东省住建厅《关于明确二级建造师注册执业有关问题的通知》（粤建市函〔2023〕469号），二级建造师应在考试取得执业资格的省、自治区、直辖市申请注册，二级注册建造师可随注册企业在全国范围内执业。项目负责人在任职期间不得担任安全负责人，安全负责人在任职期间也不得担任项目负责人，项目负责人和安全负责人不为同一人。</w:t>
      </w:r>
    </w:p>
    <w:p w14:paraId="1EFC357A">
      <w:pPr>
        <w:widowControl/>
        <w:adjustRightInd w:val="0"/>
        <w:snapToGrid w:val="0"/>
        <w:ind w:firstLine="440" w:firstLineChars="200"/>
        <w:jc w:val="left"/>
        <w:rPr>
          <w:rFonts w:ascii="楷体" w:hAnsi="楷体" w:eastAsia="楷体" w:cs="楷体"/>
          <w:sz w:val="22"/>
          <w:szCs w:val="22"/>
        </w:rPr>
      </w:pPr>
      <w:r>
        <w:rPr>
          <w:rFonts w:hint="eastAsia" w:ascii="楷体" w:hAnsi="楷体" w:eastAsia="楷体" w:cs="楷体"/>
          <w:sz w:val="22"/>
          <w:szCs w:val="22"/>
        </w:rPr>
        <w:t>③拟派项目经理没有在其他在建项目中担任项目经理。且自本项目开标之日起至发出中标通知书前，拟派项目经理不得被更换，不得登记参加其他工程的投标。如拟派项目经理有参与其他工程投标的情况，必须在投标文件中说明，投标人隐瞒不报获取中标的，按弄虚作假骗取中标查处，招标人将取消其中标资格，并按照评标委员会提出的中标候选人名单排序依次确定其他中标候选人为中标人。</w:t>
      </w:r>
    </w:p>
    <w:p w14:paraId="515C8EB8">
      <w:pPr>
        <w:adjustRightInd w:val="0"/>
        <w:snapToGrid w:val="0"/>
        <w:ind w:firstLine="480" w:firstLineChars="200"/>
        <w:rPr>
          <w:rFonts w:ascii="宋体" w:hAnsi="宋体"/>
        </w:rPr>
      </w:pPr>
      <w:r>
        <w:rPr>
          <w:rFonts w:hint="eastAsia" w:ascii="宋体" w:hAnsi="宋体"/>
        </w:rPr>
        <w:t>（2）技术负责人持有</w:t>
      </w:r>
      <w:r>
        <w:rPr>
          <w:rFonts w:hint="eastAsia" w:ascii="宋体" w:hAnsi="宋体"/>
          <w:u w:val="single"/>
        </w:rPr>
        <w:t>工程类中级</w:t>
      </w:r>
      <w:bookmarkStart w:id="24" w:name="OLE_LINK3"/>
      <w:r>
        <w:rPr>
          <w:rFonts w:hint="eastAsia" w:hAnsi="宋体"/>
        </w:rPr>
        <w:t>（或以上）</w:t>
      </w:r>
      <w:bookmarkEnd w:id="24"/>
      <w:r>
        <w:rPr>
          <w:rFonts w:hint="eastAsia" w:ascii="宋体" w:hAnsi="宋体"/>
        </w:rPr>
        <w:t>技术职称证书，技术负责人和项目负责人不为同一人</w:t>
      </w:r>
      <w:r>
        <w:rPr>
          <w:rFonts w:hint="eastAsia" w:ascii="宋体" w:hAnsi="宋体" w:cs="宋体"/>
          <w:kern w:val="0"/>
          <w:shd w:val="clear" w:color="auto" w:fill="FFFFFF"/>
        </w:rPr>
        <w:t>。</w:t>
      </w:r>
    </w:p>
    <w:p w14:paraId="611B1697">
      <w:pPr>
        <w:widowControl/>
        <w:tabs>
          <w:tab w:val="left" w:pos="1276"/>
        </w:tabs>
        <w:adjustRightInd w:val="0"/>
        <w:snapToGrid w:val="0"/>
        <w:ind w:firstLine="480" w:firstLineChars="200"/>
        <w:jc w:val="left"/>
        <w:rPr>
          <w:rFonts w:ascii="宋体" w:hAnsi="宋体"/>
        </w:rPr>
      </w:pPr>
      <w:r>
        <w:rPr>
          <w:rFonts w:hint="eastAsia" w:ascii="宋体" w:hAnsi="宋体"/>
        </w:rPr>
        <w:t>（3）安全负责人持有中级（或以上）注册安全工程师注册证书（注册于投标人单位），或者持有建筑施工企业专职安全生产管理人员安全生产考核合格证书（C类或C3类）。</w:t>
      </w:r>
    </w:p>
    <w:p w14:paraId="4A9A215F">
      <w:pPr>
        <w:widowControl/>
        <w:adjustRightInd w:val="0"/>
        <w:snapToGrid w:val="0"/>
        <w:ind w:firstLine="480" w:firstLineChars="200"/>
        <w:jc w:val="left"/>
        <w:rPr>
          <w:rFonts w:ascii="宋体" w:hAnsi="宋体" w:cs="宋体"/>
          <w:kern w:val="0"/>
          <w:shd w:val="clear" w:color="auto" w:fill="FFFFFF"/>
        </w:rPr>
      </w:pPr>
      <w:r>
        <w:rPr>
          <w:rFonts w:hint="eastAsia" w:ascii="宋体" w:hAnsi="宋体" w:cs="宋体"/>
          <w:kern w:val="0"/>
          <w:szCs w:val="21"/>
          <w:shd w:val="clear" w:color="auto" w:fill="FFFFFF"/>
        </w:rPr>
        <w:t>（4）提交身份证和社保文件的要求：投标人投入本项目的项目经理、安全负责人、技术负责人必须提供身份证和在本单位交纳的社保证明文件</w:t>
      </w:r>
      <w:r>
        <w:rPr>
          <w:rFonts w:hint="eastAsia" w:ascii="宋体" w:hAnsi="宋体" w:cs="宋体"/>
          <w:kern w:val="0"/>
          <w:shd w:val="clear" w:color="auto" w:fill="FFFFFF"/>
        </w:rPr>
        <w:t>，以投标人（或其分支机构）所属当地社保管理部门出具的证明原件为准（社保时间要求为投标文件递交截止时间前90天（含）内，任意时间（不少于一个月））。</w:t>
      </w:r>
    </w:p>
    <w:p w14:paraId="4B270B83">
      <w:pPr>
        <w:adjustRightInd w:val="0"/>
        <w:snapToGrid w:val="0"/>
        <w:ind w:firstLine="480"/>
        <w:rPr>
          <w:rFonts w:ascii="宋体" w:hAnsi="宋体"/>
        </w:rPr>
      </w:pPr>
      <w:r>
        <w:rPr>
          <w:rFonts w:hint="eastAsia" w:ascii="宋体" w:hAnsi="宋体"/>
          <w:bCs/>
          <w:highlight w:val="none"/>
        </w:rPr>
        <w:t>3.</w:t>
      </w:r>
      <w:r>
        <w:rPr>
          <w:rFonts w:hint="eastAsia" w:ascii="宋体" w:hAnsi="宋体"/>
          <w:bCs/>
          <w:highlight w:val="none"/>
          <w:lang w:val="en-US" w:eastAsia="zh-CN"/>
        </w:rPr>
        <w:t>4</w:t>
      </w:r>
      <w:r>
        <w:rPr>
          <w:rFonts w:hint="eastAsia" w:ascii="宋体" w:hAnsi="宋体"/>
        </w:rPr>
        <w:t>投标人不得存在下列情形之一（投标人须在投标文件中就有关内容做出承诺，除非另有要求，不需要在投标文件中提供证明材料）：</w:t>
      </w:r>
    </w:p>
    <w:p w14:paraId="7E0D18AC">
      <w:pPr>
        <w:adjustRightInd w:val="0"/>
        <w:snapToGrid w:val="0"/>
        <w:ind w:firstLine="480" w:firstLineChars="200"/>
      </w:pPr>
      <w:r>
        <w:rPr>
          <w:rFonts w:hint="eastAsia"/>
        </w:rPr>
        <w:t>（1）为招标人不具有独立法人资格的附属机构（单位）；</w:t>
      </w:r>
    </w:p>
    <w:p w14:paraId="115B4A42">
      <w:pPr>
        <w:adjustRightInd w:val="0"/>
        <w:snapToGrid w:val="0"/>
        <w:ind w:firstLine="480" w:firstLineChars="200"/>
      </w:pPr>
      <w:r>
        <w:rPr>
          <w:rFonts w:hint="eastAsia"/>
        </w:rPr>
        <w:t>（2）与招标人存在利害关系且可能影响招标公正性；</w:t>
      </w:r>
    </w:p>
    <w:p w14:paraId="61318B60">
      <w:pPr>
        <w:adjustRightInd w:val="0"/>
        <w:snapToGrid w:val="0"/>
        <w:ind w:firstLine="480" w:firstLineChars="200"/>
      </w:pPr>
      <w:r>
        <w:rPr>
          <w:rFonts w:hint="eastAsia"/>
        </w:rPr>
        <w:t>（3）与本标段的其他投标人为同一个单位负责人；</w:t>
      </w:r>
    </w:p>
    <w:p w14:paraId="3DEC81D4">
      <w:pPr>
        <w:adjustRightInd w:val="0"/>
        <w:snapToGrid w:val="0"/>
        <w:ind w:firstLine="480" w:firstLineChars="200"/>
      </w:pPr>
      <w:r>
        <w:rPr>
          <w:rFonts w:hint="eastAsia"/>
        </w:rPr>
        <w:t>（4）与本标段的其他投标人存在控股、管理关系；</w:t>
      </w:r>
    </w:p>
    <w:p w14:paraId="548EBD48">
      <w:pPr>
        <w:adjustRightInd w:val="0"/>
        <w:snapToGrid w:val="0"/>
        <w:ind w:firstLine="480" w:firstLineChars="200"/>
      </w:pPr>
      <w:r>
        <w:rPr>
          <w:rFonts w:hint="eastAsia"/>
        </w:rPr>
        <w:t>（5）为本标段的监理人或代建人或项目管理人或造价咨询人或招标代理机构；</w:t>
      </w:r>
    </w:p>
    <w:p w14:paraId="0D1662C6">
      <w:pPr>
        <w:adjustRightInd w:val="0"/>
        <w:snapToGrid w:val="0"/>
        <w:ind w:firstLine="480" w:firstLineChars="200"/>
      </w:pPr>
      <w:r>
        <w:rPr>
          <w:rFonts w:hint="eastAsia"/>
        </w:rPr>
        <w:t>（6）与本标段监理人或代建人或项目管理人或造价咨询人或招标代理机构同为一个法定代表人；</w:t>
      </w:r>
    </w:p>
    <w:p w14:paraId="09A48E9F">
      <w:pPr>
        <w:adjustRightInd w:val="0"/>
        <w:snapToGrid w:val="0"/>
        <w:ind w:firstLine="480" w:firstLineChars="200"/>
      </w:pPr>
      <w:r>
        <w:rPr>
          <w:rFonts w:hint="eastAsia"/>
        </w:rPr>
        <w:t>（7）与本标段监理人或代建人或项目管理人或造价咨询人或招标代理机构存在控股或参股关系；</w:t>
      </w:r>
    </w:p>
    <w:p w14:paraId="44BEC6F2">
      <w:pPr>
        <w:adjustRightInd w:val="0"/>
        <w:snapToGrid w:val="0"/>
        <w:ind w:firstLine="480" w:firstLineChars="200"/>
      </w:pPr>
      <w:r>
        <w:rPr>
          <w:rFonts w:hint="eastAsia"/>
        </w:rPr>
        <w:t xml:space="preserve">（8）为本标段前期准备提供设计或咨询服务； </w:t>
      </w:r>
    </w:p>
    <w:p w14:paraId="75C839AC">
      <w:pPr>
        <w:adjustRightInd w:val="0"/>
        <w:snapToGrid w:val="0"/>
        <w:ind w:firstLine="480" w:firstLineChars="200"/>
      </w:pPr>
      <w:r>
        <w:rPr>
          <w:rFonts w:hint="eastAsia"/>
        </w:rPr>
        <w:t>（9）被依法暂停或者取消投标资格；</w:t>
      </w:r>
      <w:r>
        <w:rPr>
          <w:rFonts w:hint="eastAsia"/>
        </w:rPr>
        <w:tab/>
      </w:r>
    </w:p>
    <w:p w14:paraId="0C61FA37">
      <w:pPr>
        <w:adjustRightInd w:val="0"/>
        <w:snapToGrid w:val="0"/>
        <w:ind w:firstLine="480" w:firstLineChars="200"/>
      </w:pPr>
      <w:r>
        <w:rPr>
          <w:rFonts w:hint="eastAsia"/>
        </w:rPr>
        <w:t>（10）被责令停产停业、暂扣或者吊销许可证、暂扣或者吊销执照；</w:t>
      </w:r>
    </w:p>
    <w:p w14:paraId="4C87DD4A">
      <w:pPr>
        <w:adjustRightInd w:val="0"/>
        <w:snapToGrid w:val="0"/>
        <w:ind w:firstLine="480" w:firstLineChars="200"/>
      </w:pPr>
      <w:r>
        <w:rPr>
          <w:rFonts w:hint="eastAsia"/>
        </w:rPr>
        <w:t>（11）进入清算程序，或被宣告破产，或其他丧失履约能力的情形；</w:t>
      </w:r>
    </w:p>
    <w:p w14:paraId="76460D4F">
      <w:pPr>
        <w:adjustRightInd w:val="0"/>
        <w:snapToGrid w:val="0"/>
        <w:ind w:firstLine="480" w:firstLineChars="200"/>
      </w:pPr>
      <w:r>
        <w:rPr>
          <w:rFonts w:hint="eastAsia"/>
        </w:rPr>
        <w:t>（12）在最近三年内（按投标截止时间推算）发生重大工程质量问题（以相关行业主管部门的行政处罚决定或司法机关出具的有关法律文书为准）；</w:t>
      </w:r>
    </w:p>
    <w:p w14:paraId="2513FB80">
      <w:pPr>
        <w:adjustRightInd w:val="0"/>
        <w:snapToGrid w:val="0"/>
        <w:ind w:firstLine="480" w:firstLineChars="200"/>
      </w:pPr>
      <w:r>
        <w:rPr>
          <w:rFonts w:hint="eastAsia"/>
        </w:rPr>
        <w:t>（13）在最近三年内（按投标截止时间推算）发生重大工程安全事故（以相关行业主管部门的行政处罚决定或司法机关出具的有关法律文书为准）；</w:t>
      </w:r>
    </w:p>
    <w:p w14:paraId="04B2DEE1">
      <w:pPr>
        <w:adjustRightInd w:val="0"/>
        <w:snapToGrid w:val="0"/>
        <w:ind w:firstLine="480" w:firstLineChars="200"/>
      </w:pPr>
      <w:r>
        <w:rPr>
          <w:rFonts w:hint="eastAsia"/>
        </w:rPr>
        <w:t>（14）被最高人民法院在“信用中国”网站（www.creditchina.gov.cn）中列入失信被执行人名单；</w:t>
      </w:r>
    </w:p>
    <w:p w14:paraId="365DEB5E">
      <w:pPr>
        <w:adjustRightInd w:val="0"/>
        <w:snapToGrid w:val="0"/>
        <w:ind w:firstLine="480" w:firstLineChars="200"/>
      </w:pPr>
      <w:r>
        <w:rPr>
          <w:rFonts w:hint="eastAsia"/>
        </w:rPr>
        <w:t>（15）在最近三年内（按投标截止时间推算）投标人或其法定代表人、拟委任的项目经理有行贿犯罪判决或裁定记录的（以中国裁判文书网http://wenshu.court.gov.cn查询结果为准）；</w:t>
      </w:r>
    </w:p>
    <w:p w14:paraId="2F5E784A">
      <w:pPr>
        <w:adjustRightInd w:val="0"/>
        <w:snapToGrid w:val="0"/>
        <w:ind w:firstLine="480" w:firstLineChars="200"/>
      </w:pPr>
      <w:r>
        <w:rPr>
          <w:rFonts w:hint="eastAsia"/>
        </w:rPr>
        <w:t>（16）在最近三年内（按投标截止时间推算）投标人因环境违法违规行为造成较大社会影响或被政府部门列入“黑名单”；</w:t>
      </w:r>
    </w:p>
    <w:p w14:paraId="1A2FB12E">
      <w:pPr>
        <w:adjustRightInd w:val="0"/>
        <w:snapToGrid w:val="0"/>
        <w:ind w:firstLine="480" w:firstLineChars="200"/>
      </w:pPr>
      <w:r>
        <w:rPr>
          <w:rFonts w:hint="eastAsia"/>
        </w:rPr>
        <w:t>（17）法律法规规定的其他情形。</w:t>
      </w:r>
    </w:p>
    <w:p w14:paraId="0C093CD2">
      <w:pPr>
        <w:adjustRightInd w:val="0"/>
        <w:snapToGrid w:val="0"/>
        <w:ind w:firstLine="480" w:firstLineChars="200"/>
        <w:rPr>
          <w:rFonts w:ascii="宋体" w:hAnsi="宋体"/>
          <w:bCs/>
        </w:rPr>
      </w:pPr>
      <w:r>
        <w:rPr>
          <w:rFonts w:hint="eastAsia" w:ascii="宋体" w:hAnsi="宋体"/>
        </w:rPr>
        <w:t>3.</w:t>
      </w:r>
      <w:r>
        <w:rPr>
          <w:rFonts w:hint="eastAsia" w:ascii="宋体" w:hAnsi="宋体"/>
          <w:lang w:val="en-US" w:eastAsia="zh-CN"/>
        </w:rPr>
        <w:t>5</w:t>
      </w:r>
      <w:r>
        <w:rPr>
          <w:rFonts w:hint="eastAsia" w:ascii="宋体" w:hAnsi="宋体"/>
          <w:bCs/>
        </w:rPr>
        <w:t>本次招标不接受联合体投标。</w:t>
      </w:r>
    </w:p>
    <w:p w14:paraId="039C1731">
      <w:pPr>
        <w:adjustRightInd w:val="0"/>
        <w:snapToGrid w:val="0"/>
        <w:ind w:firstLine="480"/>
        <w:rPr>
          <w:rFonts w:ascii="宋体" w:hAnsi="宋体"/>
        </w:rPr>
      </w:pPr>
      <w:r>
        <w:rPr>
          <w:rFonts w:hint="eastAsia" w:ascii="宋体" w:hAnsi="宋体"/>
        </w:rPr>
        <w:t>3.</w:t>
      </w:r>
      <w:r>
        <w:rPr>
          <w:rFonts w:hint="eastAsia" w:ascii="宋体" w:hAnsi="宋体"/>
          <w:lang w:val="en-US" w:eastAsia="zh-CN"/>
        </w:rPr>
        <w:t>6</w:t>
      </w:r>
      <w:r>
        <w:rPr>
          <w:rFonts w:hint="eastAsia" w:ascii="宋体" w:hAnsi="宋体"/>
        </w:rPr>
        <w:t>投标人应在广州公共资源交易中心办理投标企业信息登记，</w:t>
      </w:r>
      <w:r>
        <w:rPr>
          <w:rFonts w:hint="eastAsia" w:ascii="宋体" w:hAnsi="宋体" w:eastAsia="宋体" w:cs="宋体"/>
          <w:color w:val="auto"/>
          <w:sz w:val="24"/>
          <w:szCs w:val="24"/>
          <w:highlight w:val="none"/>
        </w:rPr>
        <w:t>担任本工程项目负责人须是本企业在册人员。</w:t>
      </w:r>
      <w:r>
        <w:rPr>
          <w:rFonts w:hint="eastAsia" w:ascii="宋体" w:hAnsi="宋体"/>
        </w:rPr>
        <w:t>企业信息登记的办理详情参见广州公共资源交易中心网站（http://www.gzggzy.cn）服务指南栏目。</w:t>
      </w:r>
    </w:p>
    <w:p w14:paraId="1AD1A5F1">
      <w:pPr>
        <w:adjustRightInd w:val="0"/>
        <w:snapToGrid w:val="0"/>
        <w:ind w:firstLine="480"/>
        <w:rPr>
          <w:rFonts w:ascii="宋体" w:hAnsi="宋体"/>
          <w:u w:val="single"/>
        </w:rPr>
      </w:pPr>
      <w:r>
        <w:rPr>
          <w:rFonts w:hint="eastAsia" w:ascii="宋体" w:hAnsi="宋体"/>
        </w:rPr>
        <w:t>3.</w:t>
      </w:r>
      <w:r>
        <w:rPr>
          <w:rFonts w:hint="eastAsia" w:ascii="宋体" w:hAnsi="宋体"/>
          <w:lang w:val="en-US" w:eastAsia="zh-CN"/>
        </w:rPr>
        <w:t>7</w:t>
      </w:r>
      <w:r>
        <w:rPr>
          <w:rFonts w:hint="eastAsia" w:ascii="宋体" w:hAnsi="宋体"/>
        </w:rPr>
        <w:t>本次招标资格审查方式：</w:t>
      </w:r>
      <w:r>
        <w:rPr>
          <w:rFonts w:hint="eastAsia" w:ascii="宋体" w:hAnsi="宋体" w:cs="宋体"/>
          <w:color w:val="auto"/>
          <w:sz w:val="24"/>
          <w:szCs w:val="24"/>
          <w:highlight w:val="none"/>
        </w:rPr>
        <w:t>由评标委员会负责资格审查</w:t>
      </w:r>
      <w:r>
        <w:rPr>
          <w:rFonts w:hint="eastAsia" w:ascii="宋体" w:hAnsi="宋体" w:cs="宋体"/>
          <w:color w:val="auto"/>
          <w:sz w:val="24"/>
          <w:szCs w:val="24"/>
          <w:highlight w:val="none"/>
          <w:lang w:eastAsia="zh-CN"/>
        </w:rPr>
        <w:t>，</w:t>
      </w:r>
      <w:r>
        <w:rPr>
          <w:rFonts w:hint="eastAsia" w:ascii="宋体" w:hAnsi="宋体"/>
        </w:rPr>
        <w:t>资格后审。递交投标文件的投标人少于3名或通过初步评审标准的投标人少于3名时</w:t>
      </w:r>
      <w:r>
        <w:rPr>
          <w:rFonts w:ascii="宋体" w:hAnsi="宋体" w:cs="宋体"/>
        </w:rPr>
        <w:t>为招标失败</w:t>
      </w:r>
      <w:r>
        <w:rPr>
          <w:rFonts w:hint="eastAsia" w:ascii="宋体" w:hAnsi="宋体"/>
        </w:rPr>
        <w:t>。招标人将依法修正招标方案后重新组织招标。</w:t>
      </w:r>
    </w:p>
    <w:p w14:paraId="5FF763F7">
      <w:pPr>
        <w:pStyle w:val="5"/>
        <w:adjustRightInd w:val="0"/>
        <w:snapToGrid w:val="0"/>
        <w:rPr>
          <w:rFonts w:ascii="宋体" w:hAnsi="宋体"/>
        </w:rPr>
      </w:pPr>
      <w:bookmarkStart w:id="25" w:name="_Toc950"/>
      <w:bookmarkStart w:id="26" w:name="_Toc10127"/>
      <w:bookmarkStart w:id="27" w:name="_Toc27022"/>
      <w:r>
        <w:rPr>
          <w:rFonts w:ascii="宋体" w:hAnsi="宋体"/>
        </w:rPr>
        <w:t>4．投标登记与招标文件及相关资料获取</w:t>
      </w:r>
      <w:bookmarkEnd w:id="25"/>
      <w:bookmarkEnd w:id="26"/>
      <w:bookmarkEnd w:id="27"/>
    </w:p>
    <w:p w14:paraId="49AD0C58">
      <w:pPr>
        <w:adjustRightInd w:val="0"/>
        <w:snapToGrid w:val="0"/>
        <w:ind w:firstLine="480" w:firstLineChars="200"/>
        <w:rPr>
          <w:rFonts w:ascii="宋体" w:hAnsi="宋体"/>
        </w:rPr>
      </w:pPr>
      <w:r>
        <w:rPr>
          <w:rFonts w:ascii="宋体" w:hAnsi="宋体"/>
          <w:kern w:val="0"/>
          <w:szCs w:val="32"/>
        </w:rPr>
        <w:t>4.1</w:t>
      </w:r>
      <w:r>
        <w:rPr>
          <w:rFonts w:hint="eastAsia" w:ascii="宋体" w:hAnsi="宋体"/>
        </w:rPr>
        <w:t>投标登记及获取招标文件、图纸等相关资料时间：</w:t>
      </w:r>
    </w:p>
    <w:p w14:paraId="4D9B623B">
      <w:pPr>
        <w:adjustRightInd w:val="0"/>
        <w:snapToGrid w:val="0"/>
        <w:ind w:firstLine="480" w:firstLineChars="200"/>
        <w:rPr>
          <w:highlight w:val="none"/>
        </w:rPr>
      </w:pPr>
      <w:r>
        <w:rPr>
          <w:rFonts w:hint="eastAsia" w:ascii="宋体" w:hAnsi="宋体"/>
        </w:rPr>
        <w:t>（1）获取时间：凡有意参加投标者，</w:t>
      </w:r>
      <w:r>
        <w:rPr>
          <w:rFonts w:hint="eastAsia" w:ascii="宋体" w:hAnsi="宋体"/>
          <w:highlight w:val="none"/>
        </w:rPr>
        <w:t>请于</w:t>
      </w:r>
      <w:r>
        <w:rPr>
          <w:rFonts w:hint="eastAsia" w:ascii="宋体" w:hAnsi="宋体"/>
          <w:highlight w:val="none"/>
          <w:u w:val="single"/>
        </w:rPr>
        <w:t>2025</w:t>
      </w:r>
      <w:r>
        <w:rPr>
          <w:rFonts w:ascii="宋体" w:hAnsi="宋体"/>
          <w:highlight w:val="none"/>
        </w:rPr>
        <w:t>年</w:t>
      </w:r>
      <w:r>
        <w:rPr>
          <w:rFonts w:hint="eastAsia" w:ascii="宋体" w:hAnsi="宋体"/>
          <w:highlight w:val="none"/>
          <w:u w:val="single"/>
          <w:lang w:val="en-US" w:eastAsia="zh-CN"/>
        </w:rPr>
        <w:t>11</w:t>
      </w:r>
      <w:r>
        <w:rPr>
          <w:rFonts w:ascii="宋体" w:hAnsi="宋体"/>
          <w:highlight w:val="none"/>
        </w:rPr>
        <w:t>月</w:t>
      </w:r>
      <w:r>
        <w:rPr>
          <w:rFonts w:hint="eastAsia" w:ascii="宋体" w:hAnsi="宋体"/>
          <w:highlight w:val="none"/>
          <w:u w:val="single"/>
          <w:lang w:val="en-US" w:eastAsia="zh-CN"/>
        </w:rPr>
        <w:t>14</w:t>
      </w:r>
      <w:r>
        <w:rPr>
          <w:rFonts w:ascii="宋体" w:hAnsi="宋体"/>
          <w:highlight w:val="none"/>
        </w:rPr>
        <w:t>日</w:t>
      </w:r>
      <w:r>
        <w:rPr>
          <w:rFonts w:hint="eastAsia" w:ascii="宋体" w:hAnsi="宋体"/>
          <w:highlight w:val="none"/>
        </w:rPr>
        <w:t>至</w:t>
      </w:r>
      <w:r>
        <w:rPr>
          <w:rFonts w:hint="eastAsia" w:ascii="宋体" w:hAnsi="宋体"/>
          <w:highlight w:val="none"/>
          <w:u w:val="single"/>
        </w:rPr>
        <w:t>2025</w:t>
      </w:r>
      <w:r>
        <w:rPr>
          <w:rFonts w:ascii="宋体" w:hAnsi="宋体"/>
          <w:highlight w:val="none"/>
        </w:rPr>
        <w:t>年</w:t>
      </w:r>
      <w:r>
        <w:rPr>
          <w:rFonts w:hint="eastAsia" w:ascii="宋体" w:hAnsi="宋体"/>
          <w:highlight w:val="none"/>
          <w:u w:val="single"/>
          <w:lang w:val="en-US" w:eastAsia="zh-CN"/>
        </w:rPr>
        <w:t>11</w:t>
      </w:r>
      <w:r>
        <w:rPr>
          <w:rFonts w:ascii="宋体" w:hAnsi="宋体"/>
          <w:highlight w:val="none"/>
        </w:rPr>
        <w:t>月</w:t>
      </w:r>
      <w:r>
        <w:rPr>
          <w:rFonts w:hint="eastAsia" w:ascii="宋体" w:hAnsi="宋体"/>
          <w:highlight w:val="none"/>
          <w:u w:val="single"/>
          <w:lang w:val="en-US" w:eastAsia="zh-CN"/>
        </w:rPr>
        <w:t>20</w:t>
      </w:r>
      <w:r>
        <w:rPr>
          <w:rFonts w:ascii="宋体" w:hAnsi="宋体"/>
          <w:highlight w:val="none"/>
        </w:rPr>
        <w:t>日</w:t>
      </w:r>
      <w:r>
        <w:rPr>
          <w:rFonts w:hint="eastAsia" w:ascii="宋体" w:hAnsi="宋体"/>
          <w:highlight w:val="none"/>
        </w:rPr>
        <w:t>，每日上午9:30 时至11:30时，下午14:00时至16:00时（北京时间，法定公休日、节假日除外</w:t>
      </w:r>
      <w:r>
        <w:rPr>
          <w:rFonts w:hint="eastAsia" w:ascii="宋体" w:hAnsi="宋体"/>
          <w:highlight w:val="none"/>
          <w:lang w:eastAsia="zh-CN"/>
        </w:rPr>
        <w:t>；</w:t>
      </w:r>
      <w:r>
        <w:rPr>
          <w:rFonts w:hint="eastAsia" w:ascii="宋体" w:hAnsi="宋体" w:eastAsia="宋体" w:cs="宋体"/>
          <w:color w:val="auto"/>
          <w:sz w:val="24"/>
          <w:szCs w:val="24"/>
          <w:highlight w:val="none"/>
          <w:lang w:val="en-US" w:eastAsia="zh-CN"/>
        </w:rPr>
        <w:t>详细时间安排请看广州公共资源交易中心网站日程安排</w:t>
      </w:r>
      <w:r>
        <w:rPr>
          <w:rFonts w:hint="eastAsia" w:ascii="宋体" w:hAnsi="宋体"/>
          <w:highlight w:val="none"/>
        </w:rPr>
        <w:t>），</w:t>
      </w:r>
      <w:r>
        <w:rPr>
          <w:rFonts w:hint="eastAsia"/>
          <w:highlight w:val="none"/>
        </w:rPr>
        <w:t>可选择以下任一方式办理投标信息登记：</w:t>
      </w:r>
    </w:p>
    <w:p w14:paraId="45C919B3">
      <w:pPr>
        <w:adjustRightInd w:val="0"/>
        <w:snapToGrid w:val="0"/>
        <w:ind w:firstLine="482" w:firstLineChars="200"/>
        <w:rPr>
          <w:rFonts w:ascii="宋体" w:hAnsi="宋体"/>
        </w:rPr>
      </w:pPr>
      <w:r>
        <w:rPr>
          <w:rFonts w:hint="eastAsia"/>
          <w:b/>
          <w:bCs/>
          <w:highlight w:val="none"/>
          <w:u w:val="single"/>
        </w:rPr>
        <w:t>方式一：</w:t>
      </w:r>
      <w:r>
        <w:rPr>
          <w:rFonts w:hint="eastAsia"/>
          <w:highlight w:val="none"/>
          <w:u w:val="single"/>
        </w:rPr>
        <w:t>将投标登记资料彩色扫描成册及联系方式（纸质投标登记资料</w:t>
      </w:r>
      <w:r>
        <w:rPr>
          <w:rFonts w:hint="eastAsia" w:ascii="宋体" w:hAnsi="宋体"/>
          <w:b/>
          <w:bCs/>
          <w:highlight w:val="none"/>
          <w:u w:val="single"/>
        </w:rPr>
        <w:t>①②</w:t>
      </w:r>
      <w:r>
        <w:rPr>
          <w:rFonts w:hint="eastAsia"/>
          <w:highlight w:val="none"/>
          <w:u w:val="single"/>
        </w:rPr>
        <w:t>采取邮寄方式提交给招标代理）以邮件形式发送至招标代理机构邮箱(gdcjxmglzx@163.com)并电话联系招标代理（联系人：</w:t>
      </w:r>
      <w:r>
        <w:rPr>
          <w:rFonts w:hint="eastAsia"/>
          <w:highlight w:val="none"/>
          <w:u w:val="single"/>
          <w:lang w:val="en-US" w:eastAsia="zh-CN"/>
        </w:rPr>
        <w:t>李工、18933438396</w:t>
      </w:r>
      <w:r>
        <w:rPr>
          <w:rFonts w:hint="eastAsia"/>
          <w:highlight w:val="none"/>
          <w:u w:val="single"/>
        </w:rPr>
        <w:t>）</w:t>
      </w:r>
      <w:r>
        <w:rPr>
          <w:rFonts w:hint="eastAsia"/>
          <w:u w:val="single"/>
        </w:rPr>
        <w:t>办理投标登记并</w:t>
      </w:r>
      <w:r>
        <w:rPr>
          <w:rFonts w:hint="eastAsia"/>
          <w:u w:val="single"/>
          <w:lang w:val="en-US" w:eastAsia="zh-CN"/>
        </w:rPr>
        <w:t>获取</w:t>
      </w:r>
      <w:r>
        <w:rPr>
          <w:rFonts w:hint="eastAsia"/>
          <w:u w:val="single"/>
        </w:rPr>
        <w:t>招标文件，招标文件可提供邮寄，邮费由投标单位自行承担。</w:t>
      </w:r>
    </w:p>
    <w:p w14:paraId="01E04C6B">
      <w:pPr>
        <w:adjustRightInd w:val="0"/>
        <w:snapToGrid w:val="0"/>
        <w:ind w:firstLine="482" w:firstLineChars="200"/>
        <w:rPr>
          <w:rFonts w:ascii="宋体" w:hAnsi="宋体"/>
        </w:rPr>
      </w:pPr>
      <w:r>
        <w:rPr>
          <w:rFonts w:hint="eastAsia" w:ascii="Calibri" w:hAnsi="Calibri"/>
          <w:b/>
          <w:bCs/>
          <w:u w:val="single"/>
        </w:rPr>
        <w:t>方式二：</w:t>
      </w:r>
      <w:r>
        <w:rPr>
          <w:rFonts w:hint="eastAsia" w:ascii="宋体" w:hAnsi="宋体"/>
          <w:u w:val="single"/>
        </w:rPr>
        <w:t>到广州公共资源交易中心（广州市天河区天润路333号）第</w:t>
      </w:r>
      <w:r>
        <w:rPr>
          <w:rFonts w:hint="eastAsia" w:ascii="宋体" w:hAnsi="宋体"/>
          <w:u w:val="single"/>
          <w:lang w:val="en-US" w:eastAsia="zh-CN"/>
        </w:rPr>
        <w:t xml:space="preserve">  </w:t>
      </w:r>
      <w:r>
        <w:rPr>
          <w:rFonts w:hint="eastAsia" w:ascii="宋体" w:hAnsi="宋体"/>
          <w:u w:val="single"/>
        </w:rPr>
        <w:t>窗由经办人持身份证原件及投标登记资料现场办理投标登记和</w:t>
      </w:r>
      <w:r>
        <w:rPr>
          <w:rFonts w:hint="eastAsia" w:ascii="宋体" w:hAnsi="宋体"/>
          <w:u w:val="single"/>
          <w:lang w:val="en-US" w:eastAsia="zh-CN"/>
        </w:rPr>
        <w:t>获取</w:t>
      </w:r>
      <w:r>
        <w:rPr>
          <w:rFonts w:hint="eastAsia" w:ascii="宋体" w:hAnsi="宋体"/>
          <w:u w:val="single"/>
        </w:rPr>
        <w:t>招标文件。</w:t>
      </w:r>
    </w:p>
    <w:p w14:paraId="55434371">
      <w:pPr>
        <w:adjustRightInd w:val="0"/>
        <w:snapToGrid w:val="0"/>
        <w:ind w:firstLine="480" w:firstLineChars="200"/>
      </w:pPr>
      <w:r>
        <w:rPr>
          <w:rFonts w:hint="eastAsia"/>
        </w:rPr>
        <w:t>（2）</w:t>
      </w:r>
      <w:r>
        <w:rPr>
          <w:rFonts w:hint="eastAsia" w:ascii="宋体" w:hAnsi="宋体"/>
        </w:rPr>
        <w:t>投标登记资料：</w:t>
      </w:r>
      <w:r>
        <w:rPr>
          <w:rFonts w:hint="eastAsia" w:ascii="宋体" w:hAnsi="宋体"/>
          <w:b/>
          <w:bCs/>
          <w:u w:val="single"/>
        </w:rPr>
        <w:t>①</w:t>
      </w:r>
      <w:r>
        <w:rPr>
          <w:rFonts w:hint="eastAsia"/>
          <w:u w:val="single"/>
        </w:rPr>
        <w:t>企业法人营业执照副本复印件加盖公章、企业资质证书副本复印件加盖公章、企业安全生产许可证副本复印件加盖公章、经办人身份证的原件及复印件加盖公章和单位介绍信原件（或法定代表人证明书及授权委托书原件，</w:t>
      </w:r>
      <w:r>
        <w:rPr>
          <w:rFonts w:hint="eastAsia" w:ascii="宋体" w:hAnsi="宋体"/>
          <w:kern w:val="0"/>
          <w:szCs w:val="32"/>
          <w:u w:val="single"/>
        </w:rPr>
        <w:t>经办人为法定代表人的无需提供授权委托书</w:t>
      </w:r>
      <w:r>
        <w:rPr>
          <w:rFonts w:hint="eastAsia"/>
          <w:u w:val="single"/>
        </w:rPr>
        <w:t>）装订成册（一套）；</w:t>
      </w:r>
      <w:r>
        <w:rPr>
          <w:rFonts w:hint="eastAsia" w:ascii="宋体" w:hAnsi="宋体"/>
          <w:b/>
          <w:bCs/>
          <w:u w:val="single"/>
        </w:rPr>
        <w:t>②</w:t>
      </w:r>
      <w:r>
        <w:rPr>
          <w:rFonts w:hint="eastAsia"/>
          <w:u w:val="single"/>
        </w:rPr>
        <w:t>《投标登记申请表》（盖章签字）原件两份（广州交易集团有限公司（广州公共资源交易中心）网站内自行下载）。</w:t>
      </w:r>
    </w:p>
    <w:p w14:paraId="0B0256EE">
      <w:pPr>
        <w:adjustRightInd w:val="0"/>
        <w:snapToGrid w:val="0"/>
        <w:ind w:firstLine="480" w:firstLineChars="200"/>
        <w:rPr>
          <w:rFonts w:hint="default" w:cs="宋体"/>
          <w:kern w:val="0"/>
          <w:szCs w:val="21"/>
          <w:shd w:val="clear" w:color="auto" w:fill="FFFFFF"/>
          <w:lang w:val="en-US" w:eastAsia="zh-CN"/>
        </w:rPr>
      </w:pPr>
      <w:r>
        <w:rPr>
          <w:rFonts w:hint="eastAsia" w:ascii="宋体" w:hAnsi="宋体"/>
        </w:rPr>
        <w:t>4.2</w:t>
      </w:r>
      <w:r>
        <w:rPr>
          <w:rFonts w:hint="eastAsia" w:cs="宋体"/>
          <w:kern w:val="0"/>
          <w:szCs w:val="21"/>
          <w:shd w:val="clear" w:color="auto" w:fill="FFFFFF"/>
        </w:rPr>
        <w:t>招标文件等相关资料每套售价</w:t>
      </w:r>
      <w:r>
        <w:rPr>
          <w:rFonts w:hint="eastAsia" w:ascii="宋体" w:hAnsi="宋体" w:cs="宋体"/>
          <w:kern w:val="0"/>
          <w:szCs w:val="21"/>
          <w:u w:val="single"/>
          <w:shd w:val="clear" w:color="auto" w:fill="FFFFFF"/>
        </w:rPr>
        <w:t>500</w:t>
      </w:r>
      <w:r>
        <w:rPr>
          <w:rFonts w:hint="eastAsia" w:cs="宋体"/>
          <w:kern w:val="0"/>
          <w:szCs w:val="21"/>
          <w:shd w:val="clear" w:color="auto" w:fill="FFFFFF"/>
        </w:rPr>
        <w:t>元，售后不退，由招标代理机构开具收据</w:t>
      </w:r>
      <w:r>
        <w:rPr>
          <w:rFonts w:hint="eastAsia" w:cs="宋体"/>
          <w:kern w:val="0"/>
          <w:szCs w:val="21"/>
          <w:shd w:val="clear" w:color="auto" w:fill="FFFFFF"/>
          <w:lang w:eastAsia="zh-CN"/>
        </w:rPr>
        <w:t>，</w:t>
      </w:r>
      <w:r>
        <w:rPr>
          <w:rFonts w:hint="eastAsia" w:cs="宋体"/>
          <w:kern w:val="0"/>
          <w:szCs w:val="21"/>
          <w:shd w:val="clear" w:color="auto" w:fill="FFFFFF"/>
          <w:lang w:val="en-US" w:eastAsia="zh-CN"/>
        </w:rPr>
        <w:t>账户信息如下：</w:t>
      </w:r>
    </w:p>
    <w:p w14:paraId="72F3ECBF">
      <w:pPr>
        <w:adjustRightInd w:val="0"/>
        <w:snapToGrid w:val="0"/>
        <w:ind w:firstLine="480" w:firstLineChars="200"/>
        <w:rPr>
          <w:rFonts w:hint="eastAsia" w:cs="宋体"/>
          <w:kern w:val="0"/>
          <w:szCs w:val="21"/>
          <w:shd w:val="clear" w:color="auto" w:fill="FFFFFF"/>
        </w:rPr>
      </w:pPr>
      <w:r>
        <w:rPr>
          <w:rFonts w:hint="eastAsia" w:cs="宋体"/>
          <w:kern w:val="0"/>
          <w:szCs w:val="21"/>
          <w:shd w:val="clear" w:color="auto" w:fill="FFFFFF"/>
        </w:rPr>
        <w:t>账户名称∶广州诚建项目管理咨询有限公司</w:t>
      </w:r>
    </w:p>
    <w:p w14:paraId="26D6F5D2">
      <w:pPr>
        <w:adjustRightInd w:val="0"/>
        <w:snapToGrid w:val="0"/>
        <w:ind w:firstLine="480" w:firstLineChars="200"/>
        <w:rPr>
          <w:rFonts w:hint="eastAsia" w:cs="宋体"/>
          <w:kern w:val="0"/>
          <w:szCs w:val="21"/>
          <w:shd w:val="clear" w:color="auto" w:fill="FFFFFF"/>
        </w:rPr>
      </w:pPr>
      <w:r>
        <w:rPr>
          <w:rFonts w:hint="eastAsia" w:cs="宋体"/>
          <w:kern w:val="0"/>
          <w:szCs w:val="21"/>
          <w:shd w:val="clear" w:color="auto" w:fill="FFFFFF"/>
        </w:rPr>
        <w:t>账户号码∶4405 0140 0905 0000 1540</w:t>
      </w:r>
    </w:p>
    <w:p w14:paraId="7EF33308">
      <w:pPr>
        <w:adjustRightInd w:val="0"/>
        <w:snapToGrid w:val="0"/>
        <w:ind w:firstLine="480" w:firstLineChars="200"/>
        <w:rPr>
          <w:rFonts w:hint="eastAsia" w:cs="宋体"/>
          <w:kern w:val="0"/>
          <w:szCs w:val="21"/>
          <w:shd w:val="clear" w:color="auto" w:fill="FFFFFF"/>
        </w:rPr>
      </w:pPr>
      <w:r>
        <w:rPr>
          <w:rFonts w:hint="eastAsia" w:cs="宋体"/>
          <w:kern w:val="0"/>
          <w:szCs w:val="21"/>
          <w:shd w:val="clear" w:color="auto" w:fill="FFFFFF"/>
        </w:rPr>
        <w:t>开户银行∶中国建设银行股份有限公司广州五羊新城支行</w:t>
      </w:r>
    </w:p>
    <w:p w14:paraId="29D72B5C">
      <w:pPr>
        <w:adjustRightInd w:val="0"/>
        <w:snapToGrid w:val="0"/>
        <w:ind w:firstLine="480" w:firstLineChars="200"/>
        <w:rPr>
          <w:rFonts w:cs="宋体"/>
          <w:kern w:val="0"/>
          <w:szCs w:val="21"/>
          <w:shd w:val="clear" w:color="auto" w:fill="FFFFFF"/>
        </w:rPr>
      </w:pPr>
      <w:r>
        <w:rPr>
          <w:rFonts w:hint="eastAsia" w:cs="宋体"/>
          <w:kern w:val="0"/>
          <w:szCs w:val="21"/>
          <w:shd w:val="clear" w:color="auto" w:fill="FFFFFF"/>
        </w:rPr>
        <w:t>（汇款单据上注明所投项目的名称，以便代理机构核对）</w:t>
      </w:r>
    </w:p>
    <w:p w14:paraId="0AF313E8">
      <w:pPr>
        <w:adjustRightInd w:val="0"/>
        <w:snapToGrid w:val="0"/>
        <w:ind w:firstLine="480" w:firstLineChars="200"/>
        <w:rPr>
          <w:rFonts w:cs="宋体"/>
          <w:kern w:val="0"/>
          <w:szCs w:val="21"/>
          <w:shd w:val="clear" w:color="auto" w:fill="FFFFFF"/>
        </w:rPr>
      </w:pPr>
      <w:r>
        <w:rPr>
          <w:rFonts w:hint="eastAsia" w:ascii="宋体" w:hAnsi="宋体"/>
        </w:rPr>
        <w:t>4.3</w:t>
      </w:r>
      <w:r>
        <w:rPr>
          <w:rFonts w:hint="eastAsia" w:cs="宋体"/>
          <w:kern w:val="0"/>
          <w:szCs w:val="21"/>
          <w:shd w:val="clear" w:color="auto" w:fill="FFFFFF"/>
        </w:rPr>
        <w:t>投标人自购买招标文件之日起，应确保其向招标人提供的通讯手段(电话、传真、邮箱)一直有效，以保证往来函件能及时传达并及时反馈信息，否则由此引起的一切后果由投标人承担。</w:t>
      </w:r>
    </w:p>
    <w:p w14:paraId="4FFD2151">
      <w:pPr>
        <w:pStyle w:val="471"/>
        <w:adjustRightInd w:val="0"/>
        <w:snapToGrid w:val="0"/>
      </w:pPr>
      <w:bookmarkStart w:id="28" w:name="_Toc23348"/>
      <w:bookmarkStart w:id="29" w:name="_Toc22860"/>
      <w:bookmarkStart w:id="30" w:name="_Toc15771"/>
      <w:r>
        <w:rPr>
          <w:rFonts w:hAnsi="宋体"/>
        </w:rPr>
        <w:t>5.</w:t>
      </w:r>
      <w:r>
        <w:rPr>
          <w:rFonts w:hint="eastAsia"/>
        </w:rPr>
        <w:t>投标</w:t>
      </w:r>
      <w:bookmarkEnd w:id="28"/>
      <w:bookmarkEnd w:id="29"/>
      <w:bookmarkEnd w:id="30"/>
      <w:r>
        <w:rPr>
          <w:rFonts w:hint="eastAsia"/>
        </w:rPr>
        <w:t>担保</w:t>
      </w:r>
    </w:p>
    <w:p w14:paraId="119BD449">
      <w:pPr>
        <w:adjustRightInd w:val="0"/>
        <w:snapToGrid w:val="0"/>
        <w:ind w:firstLine="480" w:firstLineChars="200"/>
        <w:jc w:val="left"/>
        <w:rPr>
          <w:rFonts w:ascii="宋体" w:hAnsi="宋体"/>
        </w:rPr>
      </w:pPr>
      <w:r>
        <w:rPr>
          <w:rFonts w:ascii="宋体" w:hAnsi="宋体"/>
        </w:rPr>
        <w:t>5.1招标人</w:t>
      </w:r>
      <w:r>
        <w:rPr>
          <w:rFonts w:ascii="宋体" w:hAnsi="宋体"/>
          <w:u w:val="single"/>
        </w:rPr>
        <w:t>要求</w:t>
      </w:r>
      <w:r>
        <w:rPr>
          <w:rFonts w:ascii="宋体" w:hAnsi="宋体"/>
        </w:rPr>
        <w:t>投标人提交投标</w:t>
      </w:r>
      <w:r>
        <w:rPr>
          <w:rFonts w:hint="eastAsia" w:ascii="宋体" w:hAnsi="宋体"/>
          <w:lang w:val="en-US" w:eastAsia="zh-CN"/>
        </w:rPr>
        <w:t>保证金</w:t>
      </w:r>
      <w:r>
        <w:rPr>
          <w:rFonts w:ascii="宋体" w:hAnsi="宋体"/>
        </w:rPr>
        <w:t>。</w:t>
      </w:r>
    </w:p>
    <w:p w14:paraId="770BFE72">
      <w:pPr>
        <w:adjustRightInd w:val="0"/>
        <w:snapToGrid w:val="0"/>
        <w:ind w:left="480"/>
        <w:jc w:val="left"/>
        <w:rPr>
          <w:rFonts w:ascii="宋体" w:hAnsi="宋体"/>
        </w:rPr>
      </w:pPr>
      <w:r>
        <w:rPr>
          <w:rFonts w:ascii="宋体" w:hAnsi="宋体"/>
        </w:rPr>
        <w:t>5.2投标</w:t>
      </w:r>
      <w:r>
        <w:rPr>
          <w:rFonts w:hint="eastAsia" w:ascii="宋体" w:hAnsi="宋体"/>
          <w:lang w:val="en-US" w:eastAsia="zh-CN"/>
        </w:rPr>
        <w:t>保证金</w:t>
      </w:r>
      <w:r>
        <w:rPr>
          <w:rFonts w:ascii="宋体" w:hAnsi="宋体"/>
        </w:rPr>
        <w:t>金额：</w:t>
      </w:r>
      <w:bookmarkStart w:id="31" w:name="OLE_LINK10"/>
      <w:r>
        <w:rPr>
          <w:rFonts w:hint="eastAsia" w:ascii="宋体" w:hAnsi="宋体"/>
          <w:lang w:val="en-US" w:eastAsia="zh-CN"/>
        </w:rPr>
        <w:t>人民币</w:t>
      </w:r>
      <w:r>
        <w:rPr>
          <w:rFonts w:hint="eastAsia" w:ascii="宋体" w:hAnsi="宋体"/>
          <w:u w:val="single"/>
        </w:rPr>
        <w:t>10万元</w:t>
      </w:r>
      <w:r>
        <w:rPr>
          <w:rFonts w:hint="eastAsia" w:ascii="宋体" w:hAnsi="宋体"/>
        </w:rPr>
        <w:t>。</w:t>
      </w:r>
      <w:bookmarkEnd w:id="31"/>
    </w:p>
    <w:p w14:paraId="3C8BDC5E">
      <w:pPr>
        <w:pStyle w:val="471"/>
        <w:adjustRightInd w:val="0"/>
        <w:snapToGrid w:val="0"/>
        <w:spacing w:line="480" w:lineRule="exact"/>
        <w:ind w:firstLine="482" w:firstLineChars="200"/>
        <w:jc w:val="left"/>
        <w:rPr>
          <w:rFonts w:hint="eastAsia" w:ascii="宋体" w:hAnsi="Arial" w:eastAsia="宋体" w:cs="Times New Roman"/>
          <w:b/>
          <w:bCs/>
          <w:color w:val="auto"/>
          <w:sz w:val="24"/>
          <w:szCs w:val="32"/>
          <w:highlight w:val="none"/>
        </w:rPr>
      </w:pPr>
      <w:r>
        <w:rPr>
          <w:rFonts w:hint="eastAsia" w:ascii="宋体" w:hAnsi="Arial" w:eastAsia="宋体" w:cs="Times New Roman"/>
        </w:rPr>
        <w:t>6．</w:t>
      </w:r>
      <w:r>
        <w:rPr>
          <w:rFonts w:hint="eastAsia" w:ascii="宋体" w:hAnsi="Arial" w:eastAsia="宋体" w:cs="Times New Roman"/>
          <w:b/>
          <w:bCs/>
          <w:color w:val="auto"/>
          <w:sz w:val="24"/>
          <w:szCs w:val="32"/>
          <w:highlight w:val="none"/>
        </w:rPr>
        <w:t>公告发布日期、递交投标文件时间与开标时间</w:t>
      </w:r>
      <w:r>
        <w:rPr>
          <w:rFonts w:hint="eastAsia" w:ascii="宋体" w:eastAsia="宋体" w:cs="Times New Roman"/>
          <w:b/>
          <w:bCs/>
          <w:sz w:val="24"/>
          <w:szCs w:val="32"/>
          <w:lang w:eastAsia="zh-CN"/>
        </w:rPr>
        <w:t>、</w:t>
      </w:r>
      <w:r>
        <w:rPr>
          <w:rFonts w:hint="eastAsia" w:ascii="宋体" w:eastAsia="宋体" w:cs="Times New Roman"/>
          <w:b/>
          <w:bCs/>
          <w:sz w:val="24"/>
          <w:szCs w:val="32"/>
          <w:lang w:val="en-US" w:eastAsia="zh-CN"/>
        </w:rPr>
        <w:t>地点</w:t>
      </w:r>
      <w:r>
        <w:rPr>
          <w:rFonts w:hint="eastAsia" w:ascii="宋体" w:hAnsi="Arial" w:eastAsia="宋体" w:cs="Times New Roman"/>
          <w:b/>
          <w:bCs/>
          <w:color w:val="auto"/>
          <w:sz w:val="24"/>
          <w:szCs w:val="32"/>
          <w:highlight w:val="none"/>
        </w:rPr>
        <w:t>：</w:t>
      </w:r>
    </w:p>
    <w:p w14:paraId="05F0B949">
      <w:pPr>
        <w:tabs>
          <w:tab w:val="center" w:pos="4415"/>
        </w:tabs>
        <w:spacing w:line="480" w:lineRule="exact"/>
        <w:ind w:left="547" w:leftChars="228"/>
        <w:jc w:val="left"/>
        <w:rPr>
          <w:rFonts w:hint="eastAsia" w:ascii="宋体" w:hAnsi="宋体" w:cs="宋体"/>
          <w:color w:val="auto"/>
          <w:kern w:val="0"/>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公告发布日期（含本日）：</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11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14</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lang w:val="en-US" w:eastAsia="zh-CN"/>
        </w:rPr>
        <w:t>00</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lang w:val="en-US" w:eastAsia="zh-CN"/>
        </w:rPr>
        <w:t>00</w:t>
      </w:r>
      <w:r>
        <w:rPr>
          <w:rFonts w:hint="eastAsia" w:ascii="宋体" w:hAnsi="宋体" w:cs="宋体"/>
          <w:color w:val="auto"/>
          <w:sz w:val="24"/>
          <w:szCs w:val="24"/>
          <w:highlight w:val="none"/>
        </w:rPr>
        <w:t>分至</w:t>
      </w:r>
      <w:r>
        <w:rPr>
          <w:rFonts w:hint="eastAsia" w:ascii="宋体" w:hAnsi="宋体" w:cs="宋体"/>
          <w:color w:val="auto"/>
          <w:sz w:val="24"/>
          <w:szCs w:val="24"/>
          <w:highlight w:val="none"/>
          <w:u w:val="single"/>
        </w:rPr>
        <w:t>20</w:t>
      </w:r>
      <w:r>
        <w:rPr>
          <w:rFonts w:hint="eastAsia" w:ascii="宋体" w:hAnsi="宋体" w:cs="宋体"/>
          <w:color w:val="auto"/>
          <w:sz w:val="24"/>
          <w:szCs w:val="24"/>
          <w:highlight w:val="none"/>
          <w:u w:val="single"/>
          <w:lang w:val="en-US" w:eastAsia="zh-CN"/>
        </w:rPr>
        <w:t>25</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12</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05</w:t>
      </w:r>
      <w:r>
        <w:rPr>
          <w:rFonts w:hint="eastAsia" w:ascii="宋体" w:hAnsi="宋体" w:cs="宋体"/>
          <w:color w:val="auto"/>
          <w:sz w:val="24"/>
          <w:szCs w:val="24"/>
          <w:highlight w:val="none"/>
          <w:lang w:val="en-US" w:eastAsia="zh-CN"/>
        </w:rPr>
        <w:t>日</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lang w:val="en-US" w:eastAsia="zh-CN"/>
        </w:rPr>
        <w:t>时</w:t>
      </w:r>
      <w:r>
        <w:rPr>
          <w:rFonts w:hint="eastAsia" w:ascii="宋体" w:hAnsi="宋体" w:cs="宋体"/>
          <w:color w:val="auto"/>
          <w:sz w:val="24"/>
          <w:szCs w:val="24"/>
          <w:highlight w:val="none"/>
          <w:u w:val="single"/>
          <w:lang w:val="en-US" w:eastAsia="zh-CN"/>
        </w:rPr>
        <w:t>00</w:t>
      </w:r>
      <w:r>
        <w:rPr>
          <w:rFonts w:hint="eastAsia" w:ascii="宋体" w:hAnsi="宋体" w:cs="宋体"/>
          <w:color w:val="auto"/>
          <w:sz w:val="24"/>
          <w:szCs w:val="24"/>
          <w:highlight w:val="none"/>
          <w:u w:val="none"/>
          <w:lang w:val="en-US" w:eastAsia="zh-CN"/>
        </w:rPr>
        <w:t>分。</w:t>
      </w:r>
    </w:p>
    <w:p w14:paraId="5C86309B">
      <w:pPr>
        <w:tabs>
          <w:tab w:val="center" w:pos="4415"/>
        </w:tabs>
        <w:spacing w:line="480" w:lineRule="exact"/>
        <w:ind w:firstLine="480" w:firstLineChars="200"/>
        <w:jc w:val="left"/>
        <w:outlineLvl w:val="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en-US" w:eastAsia="zh-CN"/>
        </w:rPr>
        <w:t>.</w:t>
      </w:r>
      <w:r>
        <w:rPr>
          <w:rFonts w:hint="eastAsia" w:ascii="宋体" w:hAnsi="宋体" w:cs="宋体"/>
          <w:color w:val="auto"/>
          <w:kern w:val="0"/>
          <w:sz w:val="24"/>
          <w:szCs w:val="24"/>
          <w:highlight w:val="none"/>
          <w:lang w:bidi="ar"/>
        </w:rPr>
        <w:t>递交</w:t>
      </w:r>
      <w:r>
        <w:rPr>
          <w:rFonts w:hint="eastAsia" w:ascii="宋体" w:hAnsi="宋体" w:cs="宋体"/>
          <w:color w:val="auto"/>
          <w:kern w:val="0"/>
          <w:sz w:val="24"/>
          <w:szCs w:val="24"/>
          <w:highlight w:val="none"/>
        </w:rPr>
        <w:t>投标文件起始时间：</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12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05</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r>
        <w:rPr>
          <w:rFonts w:hint="eastAsia" w:ascii="宋体" w:hAnsi="宋体" w:cs="宋体"/>
          <w:color w:val="auto"/>
          <w:kern w:val="0"/>
          <w:sz w:val="24"/>
          <w:szCs w:val="24"/>
          <w:highlight w:val="none"/>
        </w:rPr>
        <w:t>；</w:t>
      </w:r>
    </w:p>
    <w:p w14:paraId="411BE5A5">
      <w:pPr>
        <w:widowControl/>
        <w:tabs>
          <w:tab w:val="center" w:pos="4415"/>
        </w:tabs>
        <w:spacing w:line="480" w:lineRule="exact"/>
        <w:ind w:firstLine="2160" w:firstLineChars="9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截止时间：</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12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05</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rPr>
        <w:t>分</w:t>
      </w:r>
      <w:r>
        <w:rPr>
          <w:rFonts w:hint="eastAsia" w:ascii="宋体" w:hAnsi="宋体" w:cs="宋体"/>
          <w:color w:val="auto"/>
          <w:kern w:val="0"/>
          <w:sz w:val="24"/>
          <w:szCs w:val="24"/>
          <w:highlight w:val="none"/>
        </w:rPr>
        <w:t>。</w:t>
      </w:r>
    </w:p>
    <w:p w14:paraId="1BC52549">
      <w:pPr>
        <w:tabs>
          <w:tab w:val="center" w:pos="4415"/>
        </w:tabs>
        <w:spacing w:line="480" w:lineRule="exact"/>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en-US" w:eastAsia="zh-CN"/>
        </w:rPr>
        <w:t>.</w:t>
      </w:r>
      <w:r>
        <w:rPr>
          <w:rFonts w:hint="eastAsia" w:ascii="宋体" w:hAnsi="宋体" w:cs="宋体"/>
          <w:color w:val="auto"/>
          <w:kern w:val="0"/>
          <w:sz w:val="24"/>
          <w:szCs w:val="24"/>
          <w:highlight w:val="none"/>
          <w:lang w:bidi="ar"/>
        </w:rPr>
        <w:t>开标</w:t>
      </w:r>
      <w:r>
        <w:rPr>
          <w:rFonts w:hint="eastAsia" w:ascii="宋体" w:hAnsi="宋体" w:cs="宋体"/>
          <w:color w:val="auto"/>
          <w:kern w:val="0"/>
          <w:sz w:val="24"/>
          <w:szCs w:val="24"/>
          <w:highlight w:val="none"/>
        </w:rPr>
        <w:t>开始时间：</w:t>
      </w:r>
      <w:r>
        <w:rPr>
          <w:rFonts w:hint="eastAsia" w:ascii="宋体" w:hAnsi="宋体" w:cs="宋体"/>
          <w:color w:val="auto"/>
          <w:sz w:val="24"/>
          <w:szCs w:val="24"/>
          <w:highlight w:val="none"/>
          <w:u w:val="single"/>
        </w:rPr>
        <w:t>202</w:t>
      </w:r>
      <w:r>
        <w:rPr>
          <w:rFonts w:hint="eastAsia" w:ascii="宋体" w:hAnsi="宋体" w:cs="宋体"/>
          <w:color w:val="auto"/>
          <w:sz w:val="24"/>
          <w:szCs w:val="24"/>
          <w:highlight w:val="none"/>
          <w:u w:val="singl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12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05</w:t>
      </w:r>
      <w:r>
        <w:rPr>
          <w:rFonts w:hint="eastAsia" w:ascii="宋体" w:hAnsi="宋体" w:cs="宋体"/>
          <w:color w:val="auto"/>
          <w:sz w:val="24"/>
          <w:szCs w:val="24"/>
          <w:highlight w:val="none"/>
        </w:rPr>
        <w:t>日</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rPr>
        <w:t>分</w:t>
      </w:r>
      <w:r>
        <w:rPr>
          <w:rFonts w:hint="eastAsia" w:ascii="宋体" w:hAnsi="宋体" w:cs="宋体"/>
          <w:color w:val="auto"/>
          <w:kern w:val="0"/>
          <w:sz w:val="24"/>
          <w:szCs w:val="24"/>
          <w:highlight w:val="none"/>
        </w:rPr>
        <w:t>。</w:t>
      </w:r>
      <w:r>
        <w:rPr>
          <w:rFonts w:hint="eastAsia" w:ascii="宋体" w:hAnsi="宋体"/>
        </w:rPr>
        <w:t>开标</w:t>
      </w:r>
      <w:r>
        <w:rPr>
          <w:rFonts w:ascii="宋体" w:hAnsi="宋体"/>
        </w:rPr>
        <w:t>地点：</w:t>
      </w:r>
      <w:r>
        <w:rPr>
          <w:rFonts w:hint="eastAsia"/>
          <w:szCs w:val="21"/>
          <w:shd w:val="clear" w:color="auto" w:fill="FFFFFF"/>
        </w:rPr>
        <w:t>广州公共资源交易中心（地址：广州市天河区天润路333</w:t>
      </w:r>
      <w:r>
        <w:rPr>
          <w:rFonts w:hint="eastAsia"/>
          <w:shd w:val="clear" w:color="auto" w:fill="FFFFFF"/>
        </w:rPr>
        <w:t>号</w:t>
      </w:r>
      <w:r>
        <w:rPr>
          <w:rFonts w:hint="eastAsia"/>
          <w:szCs w:val="21"/>
          <w:shd w:val="clear" w:color="auto" w:fill="FFFFFF"/>
        </w:rPr>
        <w:t>）</w:t>
      </w:r>
      <w:r>
        <w:rPr>
          <w:rFonts w:hint="eastAsia" w:ascii="宋体" w:hAnsi="宋体" w:cs="宋体"/>
          <w:kern w:val="0"/>
        </w:rPr>
        <w:t>。</w:t>
      </w:r>
    </w:p>
    <w:p w14:paraId="494BE917">
      <w:pPr>
        <w:tabs>
          <w:tab w:val="center" w:pos="4415"/>
        </w:tabs>
        <w:spacing w:line="480" w:lineRule="exact"/>
        <w:ind w:firstLine="480" w:firstLineChars="200"/>
        <w:jc w:val="left"/>
        <w:rPr>
          <w:rFonts w:hint="eastAsia" w:ascii="宋体" w:hAnsi="宋体" w:cs="宋体"/>
          <w:color w:val="auto"/>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en-US" w:eastAsia="zh-CN"/>
        </w:rPr>
        <w:t>.</w:t>
      </w:r>
      <w:r>
        <w:rPr>
          <w:rFonts w:hint="eastAsia" w:ascii="宋体" w:hAnsi="宋体" w:cs="宋体"/>
          <w:color w:val="auto"/>
          <w:kern w:val="0"/>
          <w:sz w:val="24"/>
          <w:szCs w:val="24"/>
          <w:highlight w:val="none"/>
          <w:lang w:bidi="ar"/>
        </w:rPr>
        <w:t>递交</w:t>
      </w:r>
      <w:r>
        <w:rPr>
          <w:rFonts w:hint="eastAsia" w:ascii="宋体" w:hAnsi="宋体" w:cs="宋体"/>
          <w:color w:val="auto"/>
          <w:kern w:val="0"/>
          <w:sz w:val="24"/>
          <w:szCs w:val="24"/>
          <w:highlight w:val="none"/>
        </w:rPr>
        <w:t>投标文件截止时间与开标时间是否</w:t>
      </w:r>
      <w:r>
        <w:rPr>
          <w:rFonts w:hint="eastAsia" w:ascii="宋体" w:hAnsi="宋体" w:cs="宋体"/>
          <w:color w:val="auto"/>
          <w:sz w:val="24"/>
          <w:szCs w:val="24"/>
          <w:highlight w:val="none"/>
        </w:rPr>
        <w:t>有变化，请密切留意招标答疑中的相关信息。递交投标文件截止时间后，开标时间因故推迟的，相关评标信息仍以原递交投标文件截止时间的信息为准。</w:t>
      </w:r>
    </w:p>
    <w:p w14:paraId="793C6B82">
      <w:pPr>
        <w:adjustRightInd w:val="0"/>
        <w:snapToGrid w:val="0"/>
        <w:ind w:firstLine="480" w:firstLineChars="200"/>
        <w:rPr>
          <w:rFonts w:ascii="宋体" w:hAnsi="宋体"/>
        </w:rPr>
      </w:pPr>
      <w:r>
        <w:rPr>
          <w:rFonts w:hint="eastAsia" w:ascii="宋体" w:hAnsi="宋体" w:cs="宋体"/>
          <w:color w:val="auto"/>
          <w:sz w:val="24"/>
          <w:szCs w:val="24"/>
          <w:highlight w:val="none"/>
          <w:u w:val="single"/>
        </w:rPr>
        <w:t>本项目各项投标活动具体可通过广州交易集团有限公司（广州公共资源交易中心）网站查询具体的时间和场地安排。投标人可登录广州交易集团有限公司（广州公共资源交易中心）网站首页，点击“交易业务-建设工程”专栏中的“项目查询（日程安排）”，输入项目编号或项目名称查询最新信息。本项目各项投标活动的时间和场地安排是否有变化，请密切留意补充公告和相关信息。</w:t>
      </w:r>
    </w:p>
    <w:p w14:paraId="68A4E435">
      <w:pPr>
        <w:pStyle w:val="5"/>
        <w:adjustRightInd w:val="0"/>
        <w:snapToGrid w:val="0"/>
        <w:rPr>
          <w:rFonts w:ascii="宋体" w:hAnsi="宋体"/>
        </w:rPr>
      </w:pPr>
      <w:bookmarkStart w:id="32" w:name="_Toc32188"/>
      <w:bookmarkStart w:id="33" w:name="_Toc4703"/>
      <w:bookmarkStart w:id="34" w:name="_Toc28320"/>
      <w:r>
        <w:rPr>
          <w:rFonts w:hint="eastAsia" w:ascii="宋体" w:hAnsi="宋体"/>
          <w:lang w:val="en-US" w:eastAsia="zh-CN"/>
        </w:rPr>
        <w:t>7</w:t>
      </w:r>
      <w:r>
        <w:rPr>
          <w:rFonts w:ascii="宋体" w:hAnsi="宋体"/>
        </w:rPr>
        <w:t>．其它</w:t>
      </w:r>
      <w:bookmarkEnd w:id="32"/>
      <w:bookmarkEnd w:id="33"/>
      <w:bookmarkEnd w:id="34"/>
    </w:p>
    <w:p w14:paraId="1CD07632">
      <w:pPr>
        <w:adjustRightInd w:val="0"/>
        <w:snapToGrid w:val="0"/>
        <w:ind w:left="480"/>
        <w:rPr>
          <w:rFonts w:ascii="宋体" w:hAnsi="宋体"/>
        </w:rPr>
      </w:pPr>
      <w:r>
        <w:rPr>
          <w:rFonts w:hint="eastAsia" w:ascii="宋体" w:hAnsi="宋体"/>
          <w:lang w:val="en-US" w:eastAsia="zh-CN"/>
        </w:rPr>
        <w:t>7</w:t>
      </w:r>
      <w:r>
        <w:rPr>
          <w:rFonts w:ascii="宋体" w:hAnsi="宋体"/>
        </w:rPr>
        <w:t>.1</w:t>
      </w:r>
      <w:r>
        <w:rPr>
          <w:rFonts w:hint="eastAsia" w:ascii="宋体" w:hAnsi="宋体"/>
        </w:rPr>
        <w:t>本次招标对投标人不作经济补偿。</w:t>
      </w:r>
    </w:p>
    <w:p w14:paraId="56F1181C">
      <w:pPr>
        <w:adjustRightInd w:val="0"/>
        <w:snapToGrid w:val="0"/>
        <w:ind w:left="480"/>
        <w:rPr>
          <w:rFonts w:ascii="宋体" w:hAnsi="宋体"/>
        </w:rPr>
      </w:pPr>
      <w:r>
        <w:rPr>
          <w:rFonts w:hint="eastAsia" w:ascii="宋体" w:hAnsi="宋体"/>
          <w:lang w:val="en-US" w:eastAsia="zh-CN"/>
        </w:rPr>
        <w:t>7</w:t>
      </w:r>
      <w:r>
        <w:rPr>
          <w:rFonts w:ascii="宋体" w:hAnsi="宋体"/>
        </w:rPr>
        <w:t>.2</w:t>
      </w:r>
      <w:r>
        <w:rPr>
          <w:rFonts w:hint="eastAsia" w:ascii="宋体" w:hAnsi="宋体"/>
        </w:rPr>
        <w:t>请投标人注意：在开标前自己的身份应对其他投标人保密。</w:t>
      </w:r>
    </w:p>
    <w:p w14:paraId="00F73BD2">
      <w:pPr>
        <w:pStyle w:val="5"/>
        <w:adjustRightInd w:val="0"/>
        <w:snapToGrid w:val="0"/>
        <w:rPr>
          <w:rFonts w:ascii="宋体" w:hAnsi="宋体"/>
        </w:rPr>
      </w:pPr>
      <w:bookmarkStart w:id="35" w:name="_Toc13"/>
      <w:bookmarkStart w:id="36" w:name="_Toc8276"/>
      <w:bookmarkStart w:id="37" w:name="_Toc9965"/>
      <w:r>
        <w:rPr>
          <w:rFonts w:hint="eastAsia" w:ascii="宋体" w:hAnsi="宋体"/>
          <w:lang w:val="en-US" w:eastAsia="zh-CN"/>
        </w:rPr>
        <w:t>8</w:t>
      </w:r>
      <w:r>
        <w:rPr>
          <w:rFonts w:ascii="宋体" w:hAnsi="宋体"/>
        </w:rPr>
        <w:t>．招标人</w:t>
      </w:r>
      <w:bookmarkEnd w:id="35"/>
      <w:bookmarkEnd w:id="36"/>
      <w:bookmarkEnd w:id="37"/>
    </w:p>
    <w:p w14:paraId="6E3918E2">
      <w:pPr>
        <w:pStyle w:val="368"/>
        <w:numPr>
          <w:ilvl w:val="0"/>
          <w:numId w:val="0"/>
        </w:numPr>
        <w:adjustRightInd w:val="0"/>
        <w:snapToGrid w:val="0"/>
        <w:ind w:firstLine="480" w:firstLineChars="200"/>
        <w:rPr>
          <w:rFonts w:ascii="宋体" w:hAnsi="宋体"/>
        </w:rPr>
      </w:pPr>
      <w:bookmarkStart w:id="38" w:name="OLE_LINK8"/>
      <w:r>
        <w:rPr>
          <w:rFonts w:hint="eastAsia" w:ascii="宋体" w:hAnsi="宋体"/>
        </w:rPr>
        <w:t>名称：广东中粤通油品经营有限公司；</w:t>
      </w:r>
    </w:p>
    <w:p w14:paraId="709A0187">
      <w:pPr>
        <w:pStyle w:val="368"/>
        <w:numPr>
          <w:ilvl w:val="0"/>
          <w:numId w:val="0"/>
        </w:numPr>
        <w:adjustRightInd w:val="0"/>
        <w:snapToGrid w:val="0"/>
        <w:ind w:firstLine="480" w:firstLineChars="200"/>
        <w:rPr>
          <w:rFonts w:ascii="宋体" w:hAnsi="宋体"/>
        </w:rPr>
      </w:pPr>
      <w:r>
        <w:rPr>
          <w:rFonts w:ascii="宋体" w:hAnsi="宋体"/>
        </w:rPr>
        <w:t>地址：</w:t>
      </w:r>
      <w:r>
        <w:rPr>
          <w:rFonts w:hint="eastAsia" w:ascii="宋体" w:hAnsi="宋体"/>
        </w:rPr>
        <w:t>广州市白云区机场路1735号201室；</w:t>
      </w:r>
    </w:p>
    <w:p w14:paraId="28681DC2">
      <w:pPr>
        <w:pStyle w:val="368"/>
        <w:numPr>
          <w:ilvl w:val="0"/>
          <w:numId w:val="0"/>
        </w:numPr>
        <w:adjustRightInd w:val="0"/>
        <w:snapToGrid w:val="0"/>
        <w:ind w:firstLine="480" w:firstLineChars="200"/>
        <w:rPr>
          <w:rFonts w:ascii="宋体" w:hAnsi="宋体"/>
        </w:rPr>
      </w:pPr>
      <w:r>
        <w:rPr>
          <w:rFonts w:ascii="宋体" w:hAnsi="宋体"/>
        </w:rPr>
        <w:t>联系人：</w:t>
      </w:r>
      <w:r>
        <w:rPr>
          <w:rFonts w:hint="eastAsia" w:ascii="宋体" w:hAnsi="宋体"/>
        </w:rPr>
        <w:t>李苏鑫</w:t>
      </w:r>
    </w:p>
    <w:p w14:paraId="441282E0">
      <w:pPr>
        <w:adjustRightInd w:val="0"/>
        <w:snapToGrid w:val="0"/>
        <w:ind w:firstLine="480" w:firstLineChars="200"/>
        <w:rPr>
          <w:rFonts w:ascii="宋体" w:hAnsi="宋体"/>
        </w:rPr>
      </w:pPr>
      <w:r>
        <w:rPr>
          <w:rFonts w:ascii="宋体" w:hAnsi="宋体"/>
        </w:rPr>
        <w:t>电话：</w:t>
      </w:r>
      <w:bookmarkEnd w:id="38"/>
      <w:r>
        <w:rPr>
          <w:rFonts w:hint="eastAsia" w:ascii="宋体" w:hAnsi="宋体"/>
        </w:rPr>
        <w:t>17328307189。</w:t>
      </w:r>
    </w:p>
    <w:p w14:paraId="48AE7D27">
      <w:pPr>
        <w:pStyle w:val="5"/>
        <w:adjustRightInd w:val="0"/>
        <w:snapToGrid w:val="0"/>
        <w:rPr>
          <w:rFonts w:ascii="宋体" w:hAnsi="宋体"/>
        </w:rPr>
      </w:pPr>
      <w:bookmarkStart w:id="39" w:name="_Toc30723"/>
      <w:bookmarkStart w:id="40" w:name="_Toc22189"/>
      <w:bookmarkStart w:id="41" w:name="_Toc13123"/>
      <w:r>
        <w:rPr>
          <w:rFonts w:hint="eastAsia" w:ascii="宋体" w:hAnsi="宋体"/>
          <w:lang w:val="en-US" w:eastAsia="zh-CN"/>
        </w:rPr>
        <w:t>9</w:t>
      </w:r>
      <w:r>
        <w:rPr>
          <w:rFonts w:ascii="宋体" w:hAnsi="宋体"/>
        </w:rPr>
        <w:t>．招标代理机构</w:t>
      </w:r>
      <w:bookmarkEnd w:id="39"/>
      <w:bookmarkEnd w:id="40"/>
      <w:bookmarkEnd w:id="41"/>
    </w:p>
    <w:p w14:paraId="5557BC34">
      <w:pPr>
        <w:pStyle w:val="368"/>
        <w:numPr>
          <w:ilvl w:val="0"/>
          <w:numId w:val="0"/>
        </w:numPr>
        <w:adjustRightInd w:val="0"/>
        <w:snapToGrid w:val="0"/>
        <w:ind w:firstLine="480" w:firstLineChars="200"/>
        <w:rPr>
          <w:rFonts w:ascii="宋体" w:hAnsi="宋体"/>
        </w:rPr>
      </w:pPr>
      <w:r>
        <w:rPr>
          <w:rFonts w:hint="eastAsia" w:ascii="宋体" w:hAnsi="宋体"/>
        </w:rPr>
        <w:t>名称：</w:t>
      </w:r>
      <w:bookmarkStart w:id="42" w:name="OLE_LINK9"/>
      <w:r>
        <w:rPr>
          <w:rFonts w:hint="eastAsia" w:ascii="宋体" w:hAnsi="宋体"/>
        </w:rPr>
        <w:t>广州诚建项目管理咨询有限公司</w:t>
      </w:r>
      <w:bookmarkEnd w:id="42"/>
      <w:r>
        <w:rPr>
          <w:rFonts w:hint="eastAsia" w:ascii="宋体" w:hAnsi="宋体"/>
        </w:rPr>
        <w:t>；</w:t>
      </w:r>
    </w:p>
    <w:p w14:paraId="041B4B2A">
      <w:pPr>
        <w:pStyle w:val="368"/>
        <w:numPr>
          <w:ilvl w:val="0"/>
          <w:numId w:val="0"/>
        </w:numPr>
        <w:adjustRightInd w:val="0"/>
        <w:snapToGrid w:val="0"/>
        <w:ind w:firstLine="480" w:firstLineChars="200"/>
        <w:rPr>
          <w:rFonts w:ascii="宋体" w:hAnsi="宋体"/>
        </w:rPr>
      </w:pPr>
      <w:r>
        <w:rPr>
          <w:rFonts w:ascii="宋体" w:hAnsi="宋体"/>
        </w:rPr>
        <w:t>地址：</w:t>
      </w:r>
      <w:bookmarkStart w:id="43" w:name="OLE_LINK13"/>
      <w:bookmarkStart w:id="44" w:name="OLE_LINK12"/>
      <w:r>
        <w:rPr>
          <w:rFonts w:hint="eastAsia" w:ascii="宋体" w:hAnsi="宋体"/>
        </w:rPr>
        <w:t>广州市海珠区五一新村大街南</w:t>
      </w:r>
      <w:bookmarkEnd w:id="43"/>
      <w:bookmarkEnd w:id="44"/>
      <w:r>
        <w:rPr>
          <w:rFonts w:hint="eastAsia" w:ascii="宋体" w:hAnsi="宋体"/>
        </w:rPr>
        <w:t>13号301房；</w:t>
      </w:r>
    </w:p>
    <w:p w14:paraId="0538B53C">
      <w:pPr>
        <w:pStyle w:val="368"/>
        <w:numPr>
          <w:ilvl w:val="0"/>
          <w:numId w:val="0"/>
        </w:numPr>
        <w:adjustRightInd w:val="0"/>
        <w:snapToGrid w:val="0"/>
        <w:ind w:firstLine="480" w:firstLineChars="200"/>
        <w:rPr>
          <w:rFonts w:ascii="宋体" w:hAnsi="宋体"/>
        </w:rPr>
      </w:pPr>
      <w:r>
        <w:rPr>
          <w:rFonts w:ascii="宋体" w:hAnsi="宋体"/>
        </w:rPr>
        <w:t>邮编：510250</w:t>
      </w:r>
      <w:r>
        <w:rPr>
          <w:rFonts w:hint="eastAsia" w:ascii="宋体" w:hAnsi="宋体"/>
        </w:rPr>
        <w:t>；</w:t>
      </w:r>
    </w:p>
    <w:p w14:paraId="1B25FCE7">
      <w:pPr>
        <w:pStyle w:val="368"/>
        <w:numPr>
          <w:ilvl w:val="0"/>
          <w:numId w:val="0"/>
        </w:numPr>
        <w:adjustRightInd w:val="0"/>
        <w:snapToGrid w:val="0"/>
        <w:ind w:firstLine="480" w:firstLineChars="200"/>
        <w:rPr>
          <w:rFonts w:ascii="宋体" w:hAnsi="宋体"/>
        </w:rPr>
      </w:pPr>
      <w:r>
        <w:rPr>
          <w:rFonts w:ascii="宋体" w:hAnsi="宋体"/>
        </w:rPr>
        <w:t>联系人：</w:t>
      </w:r>
      <w:r>
        <w:rPr>
          <w:rFonts w:hint="eastAsia" w:ascii="宋体" w:hAnsi="宋体"/>
          <w:lang w:val="en-US" w:eastAsia="zh-CN"/>
        </w:rPr>
        <w:t>李工</w:t>
      </w:r>
      <w:r>
        <w:rPr>
          <w:rFonts w:hint="eastAsia" w:ascii="宋体" w:hAnsi="宋体"/>
        </w:rPr>
        <w:t>；</w:t>
      </w:r>
    </w:p>
    <w:p w14:paraId="52CB50E6">
      <w:pPr>
        <w:pStyle w:val="368"/>
        <w:numPr>
          <w:ilvl w:val="0"/>
          <w:numId w:val="0"/>
        </w:numPr>
        <w:adjustRightInd w:val="0"/>
        <w:snapToGrid w:val="0"/>
        <w:ind w:firstLine="480" w:firstLineChars="200"/>
        <w:rPr>
          <w:rFonts w:ascii="宋体" w:hAnsi="宋体"/>
        </w:rPr>
      </w:pPr>
      <w:r>
        <w:rPr>
          <w:rFonts w:ascii="宋体" w:hAnsi="宋体"/>
        </w:rPr>
        <w:t>电话：</w:t>
      </w:r>
      <w:r>
        <w:rPr>
          <w:rFonts w:hint="eastAsia" w:ascii="宋体" w:hAnsi="宋体"/>
        </w:rPr>
        <w:t>18933438396；</w:t>
      </w:r>
    </w:p>
    <w:p w14:paraId="0D056AE7">
      <w:pPr>
        <w:adjustRightInd w:val="0"/>
        <w:snapToGrid w:val="0"/>
        <w:ind w:firstLine="480" w:firstLineChars="200"/>
        <w:rPr>
          <w:rFonts w:ascii="宋体" w:hAnsi="宋体"/>
        </w:rPr>
      </w:pPr>
      <w:r>
        <w:rPr>
          <w:rFonts w:ascii="宋体" w:hAnsi="宋体"/>
        </w:rPr>
        <w:t>传真：</w:t>
      </w:r>
      <w:r>
        <w:rPr>
          <w:rFonts w:hint="eastAsia" w:ascii="宋体" w:hAnsi="宋体"/>
        </w:rPr>
        <w:t>/；</w:t>
      </w:r>
    </w:p>
    <w:p w14:paraId="15975425">
      <w:pPr>
        <w:adjustRightInd w:val="0"/>
        <w:snapToGrid w:val="0"/>
        <w:ind w:firstLine="480" w:firstLineChars="200"/>
        <w:rPr>
          <w:rFonts w:ascii="宋体" w:hAnsi="宋体"/>
        </w:rPr>
      </w:pPr>
      <w:r>
        <w:rPr>
          <w:rFonts w:ascii="宋体" w:hAnsi="宋体"/>
        </w:rPr>
        <w:t>电子邮箱：</w:t>
      </w:r>
      <w:r>
        <w:rPr>
          <w:rFonts w:hint="eastAsia"/>
          <w:u w:val="single"/>
        </w:rPr>
        <w:t>gdcjxmglzx@163.com</w:t>
      </w:r>
      <w:r>
        <w:rPr>
          <w:rFonts w:hint="eastAsia" w:ascii="宋体" w:hAnsi="宋体"/>
        </w:rPr>
        <w:t>。</w:t>
      </w:r>
    </w:p>
    <w:p w14:paraId="52134B7A">
      <w:pPr>
        <w:pStyle w:val="5"/>
        <w:adjustRightInd w:val="0"/>
        <w:snapToGrid w:val="0"/>
        <w:rPr>
          <w:rFonts w:ascii="宋体" w:hAnsi="宋体"/>
        </w:rPr>
      </w:pPr>
      <w:bookmarkStart w:id="45" w:name="_Toc23171"/>
      <w:bookmarkStart w:id="46" w:name="_Toc15465"/>
      <w:bookmarkStart w:id="47" w:name="_Toc22739"/>
      <w:r>
        <w:rPr>
          <w:rFonts w:hint="eastAsia" w:ascii="宋体" w:hAnsi="宋体"/>
          <w:lang w:val="en-US" w:eastAsia="zh-CN"/>
        </w:rPr>
        <w:t>10</w:t>
      </w:r>
      <w:r>
        <w:rPr>
          <w:rFonts w:ascii="宋体" w:hAnsi="宋体"/>
        </w:rPr>
        <w:t>．发布公告的媒介</w:t>
      </w:r>
      <w:bookmarkEnd w:id="45"/>
      <w:bookmarkEnd w:id="46"/>
      <w:bookmarkEnd w:id="47"/>
    </w:p>
    <w:p w14:paraId="7E7C0FD4">
      <w:pPr>
        <w:pStyle w:val="323"/>
        <w:adjustRightInd w:val="0"/>
        <w:snapToGrid w:val="0"/>
        <w:spacing w:line="360" w:lineRule="auto"/>
        <w:ind w:firstLine="480" w:firstLineChars="200"/>
        <w:rPr>
          <w:rFonts w:hint="eastAsia" w:hAnsi="宋体"/>
          <w:sz w:val="24"/>
        </w:rPr>
      </w:pPr>
      <w:r>
        <w:rPr>
          <w:rFonts w:hint="eastAsia" w:hAnsi="宋体"/>
          <w:sz w:val="24"/>
        </w:rPr>
        <w:t>本公告同时在</w:t>
      </w:r>
      <w:r>
        <w:rPr>
          <w:rFonts w:hint="eastAsia" w:hAnsi="宋体"/>
          <w:sz w:val="24"/>
          <w:u w:val="single"/>
        </w:rPr>
        <w:t>广州交易集团有限公司（广州公共资源交易中心）官网（网址：http://www.gzggzy.cn）、广东省招标投标监管网（http://zbtb.gd.gov.cn/）</w:t>
      </w:r>
      <w:r>
        <w:rPr>
          <w:rFonts w:hint="eastAsia" w:hAnsi="宋体"/>
          <w:sz w:val="24"/>
          <w:highlight w:val="none"/>
          <w:u w:val="single"/>
        </w:rPr>
        <w:t>、粤采易阳光采购平台(www.gdycy.com)和中国招标投标公共服务平台（http://www.cebpubservice</w:t>
      </w:r>
      <w:r>
        <w:rPr>
          <w:rFonts w:hint="eastAsia" w:hAnsi="宋体"/>
          <w:sz w:val="24"/>
          <w:u w:val="single"/>
        </w:rPr>
        <w:t>.com）</w:t>
      </w:r>
      <w:r>
        <w:rPr>
          <w:rFonts w:hint="eastAsia" w:hAnsi="宋体"/>
          <w:sz w:val="24"/>
        </w:rPr>
        <w:t>上发布</w:t>
      </w:r>
      <w:r>
        <w:rPr>
          <w:rFonts w:hint="eastAsia" w:ascii="宋体" w:hAnsi="宋体" w:eastAsia="宋体" w:cs="宋体"/>
          <w:color w:val="auto"/>
          <w:sz w:val="24"/>
          <w:szCs w:val="24"/>
          <w:highlight w:val="none"/>
        </w:rPr>
        <w:t>，本公告的修改、补充，在广州交易集团有限公司（广州公共资源交易中心）官网发布</w:t>
      </w:r>
      <w:r>
        <w:rPr>
          <w:rFonts w:hint="eastAsia" w:ascii="宋体" w:hAnsi="宋体" w:cs="宋体"/>
          <w:color w:val="auto"/>
          <w:sz w:val="24"/>
          <w:szCs w:val="24"/>
          <w:highlight w:val="none"/>
        </w:rPr>
        <w:t>。</w:t>
      </w:r>
    </w:p>
    <w:p w14:paraId="3C78E173">
      <w:pPr>
        <w:pStyle w:val="323"/>
        <w:adjustRightInd w:val="0"/>
        <w:snapToGrid w:val="0"/>
        <w:spacing w:line="360" w:lineRule="auto"/>
        <w:ind w:firstLine="0" w:firstLineChars="0"/>
        <w:rPr>
          <w:rFonts w:hint="default" w:ascii="宋体" w:hAnsi="宋体" w:eastAsia="宋体" w:cs="Times New Roman"/>
          <w:b/>
          <w:bCs/>
          <w:kern w:val="0"/>
          <w:sz w:val="24"/>
          <w:szCs w:val="32"/>
          <w:lang w:val="en-US" w:eastAsia="zh-CN"/>
        </w:rPr>
      </w:pPr>
      <w:r>
        <w:rPr>
          <w:rFonts w:hint="default" w:ascii="宋体" w:hAnsi="宋体"/>
          <w:b/>
          <w:bCs/>
          <w:kern w:val="0"/>
          <w:sz w:val="24"/>
          <w:szCs w:val="32"/>
          <w:lang w:val="en-US" w:eastAsia="zh-CN"/>
        </w:rPr>
        <w:t>11.其他</w:t>
      </w:r>
    </w:p>
    <w:p w14:paraId="2F9B73C8">
      <w:pPr>
        <w:spacing w:line="432" w:lineRule="auto"/>
        <w:ind w:firstLine="537" w:firstLineChars="224"/>
        <w:rPr>
          <w:rFonts w:hint="eastAsia" w:ascii="宋体" w:hAnsi="宋体"/>
          <w:color w:val="auto"/>
          <w:sz w:val="24"/>
          <w:highlight w:val="none"/>
        </w:rPr>
      </w:pPr>
      <w:r>
        <w:rPr>
          <w:rFonts w:hint="eastAsia" w:ascii="宋体" w:hAnsi="宋体" w:eastAsia="宋体" w:cs="Times New Roman"/>
          <w:b w:val="0"/>
          <w:bCs w:val="0"/>
          <w:kern w:val="0"/>
          <w:sz w:val="24"/>
          <w:szCs w:val="32"/>
          <w:lang w:val="en-US" w:eastAsia="zh-CN"/>
        </w:rPr>
        <w:t>11.1</w:t>
      </w:r>
      <w:r>
        <w:rPr>
          <w:rFonts w:hint="eastAsia" w:ascii="宋体" w:hAnsi="宋体"/>
          <w:color w:val="auto"/>
          <w:sz w:val="24"/>
          <w:highlight w:val="none"/>
        </w:rPr>
        <w:t>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14:paraId="78DF857D">
      <w:pPr>
        <w:spacing w:line="432" w:lineRule="auto"/>
        <w:ind w:firstLine="537" w:firstLineChars="224"/>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11.2</w:t>
      </w:r>
      <w:r>
        <w:rPr>
          <w:rFonts w:hint="eastAsia" w:ascii="宋体" w:hAnsi="宋体" w:eastAsia="宋体" w:cs="Times New Roman"/>
          <w:color w:val="auto"/>
          <w:sz w:val="24"/>
          <w:highlight w:val="none"/>
        </w:rPr>
        <w:t>招标人不得随意增加内容大致相同格式有细微差别的投标文件格式，不得随意增加签字、加盖实物印章等内容，避免因招标文件前后不一致或细微的格式错误引起投标文件被废标，增加投标人负担，影响招标投标活动。</w:t>
      </w:r>
    </w:p>
    <w:p w14:paraId="1E3DBFEF">
      <w:pPr>
        <w:spacing w:line="432" w:lineRule="auto"/>
        <w:ind w:left="19" w:leftChars="8" w:firstLine="518" w:firstLineChars="216"/>
        <w:rPr>
          <w:rFonts w:ascii="宋体" w:hAnsi="宋体"/>
          <w:color w:val="auto"/>
          <w:sz w:val="24"/>
          <w:highlight w:val="none"/>
        </w:rPr>
      </w:pPr>
      <w:r>
        <w:rPr>
          <w:rFonts w:hint="eastAsia" w:ascii="宋体" w:hAnsi="宋体" w:eastAsia="宋体" w:cs="Times New Roman"/>
          <w:color w:val="auto"/>
          <w:sz w:val="24"/>
          <w:highlight w:val="none"/>
          <w:lang w:val="en-US" w:eastAsia="zh-CN"/>
        </w:rPr>
        <w:t>11.3</w:t>
      </w:r>
      <w:r>
        <w:rPr>
          <w:rFonts w:hint="eastAsia" w:ascii="宋体" w:hAnsi="宋体"/>
          <w:color w:val="auto"/>
          <w:sz w:val="24"/>
          <w:highlight w:val="none"/>
        </w:rPr>
        <w:t>潜在投标人或利害关系人对本招标公告及招标文件有异议的，应当在投标截止时间10日前向招标人书面提出。</w:t>
      </w:r>
    </w:p>
    <w:p w14:paraId="29403CD9">
      <w:pPr>
        <w:spacing w:line="432" w:lineRule="auto"/>
        <w:ind w:left="614" w:leftChars="256"/>
        <w:rPr>
          <w:rFonts w:hint="eastAsia" w:ascii="宋体" w:hAnsi="宋体" w:eastAsia="宋体"/>
          <w:color w:val="auto"/>
          <w:sz w:val="24"/>
          <w:highlight w:val="none"/>
          <w:u w:val="single"/>
          <w:lang w:eastAsia="zh-CN"/>
        </w:rPr>
      </w:pPr>
      <w:r>
        <w:rPr>
          <w:rFonts w:hint="eastAsia" w:ascii="宋体" w:hAnsi="宋体"/>
          <w:color w:val="auto"/>
          <w:sz w:val="24"/>
          <w:highlight w:val="none"/>
        </w:rPr>
        <w:t>异议受理部门：</w:t>
      </w:r>
      <w:r>
        <w:rPr>
          <w:rFonts w:hint="eastAsia" w:ascii="宋体" w:hAnsi="宋体"/>
          <w:color w:val="auto"/>
          <w:sz w:val="24"/>
          <w:highlight w:val="none"/>
          <w:u w:val="single"/>
          <w:lang w:eastAsia="zh-CN"/>
        </w:rPr>
        <w:t>广东中粤通油品经营有限公司综合部</w:t>
      </w:r>
    </w:p>
    <w:p w14:paraId="4F034A38">
      <w:pPr>
        <w:spacing w:line="432" w:lineRule="auto"/>
        <w:ind w:left="614" w:leftChars="256"/>
        <w:rPr>
          <w:rFonts w:ascii="宋体"/>
          <w:color w:val="auto"/>
          <w:sz w:val="24"/>
          <w:highlight w:val="none"/>
          <w:u w:val="single"/>
        </w:rPr>
      </w:pPr>
      <w:r>
        <w:rPr>
          <w:rFonts w:hint="eastAsia" w:ascii="宋体" w:hAnsi="宋体"/>
          <w:color w:val="auto"/>
          <w:sz w:val="24"/>
          <w:highlight w:val="none"/>
        </w:rPr>
        <w:t>异议受理电话：</w:t>
      </w:r>
      <w:r>
        <w:rPr>
          <w:rFonts w:hint="eastAsia" w:ascii="宋体" w:hAnsi="宋体"/>
          <w:color w:val="auto"/>
          <w:kern w:val="0"/>
          <w:sz w:val="24"/>
          <w:highlight w:val="none"/>
          <w:u w:val="single"/>
          <w:lang w:val="en-US" w:eastAsia="zh-CN"/>
        </w:rPr>
        <w:t>13825025533</w:t>
      </w:r>
      <w:r>
        <w:rPr>
          <w:rFonts w:hint="eastAsia" w:ascii="宋体" w:hAnsi="宋体"/>
          <w:color w:val="auto"/>
          <w:kern w:val="0"/>
          <w:sz w:val="24"/>
          <w:highlight w:val="none"/>
          <w:u w:val="single"/>
        </w:rPr>
        <w:t xml:space="preserve"> </w:t>
      </w:r>
    </w:p>
    <w:p w14:paraId="30B9482D">
      <w:pPr>
        <w:spacing w:line="432" w:lineRule="auto"/>
        <w:ind w:firstLine="537" w:firstLineChars="224"/>
        <w:rPr>
          <w:rFonts w:asci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lang w:val="en-US" w:eastAsia="zh-CN"/>
        </w:rPr>
        <w:t>广州市白云区机场路1735号201室</w:t>
      </w:r>
    </w:p>
    <w:p w14:paraId="4849F888">
      <w:pPr>
        <w:pStyle w:val="2"/>
        <w:ind w:firstLine="480" w:firstLineChars="200"/>
        <w:rPr>
          <w:rFonts w:hint="default" w:eastAsia="宋体"/>
          <w:lang w:val="en-US" w:eastAsia="zh-CN"/>
        </w:rPr>
      </w:pPr>
      <w:r>
        <w:rPr>
          <w:rFonts w:hint="eastAsia" w:ascii="宋体" w:hAnsi="宋体"/>
          <w:sz w:val="24"/>
          <w:highlight w:val="none"/>
        </w:rPr>
        <w:t>注：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14:paraId="55C606BC">
      <w:pPr>
        <w:pStyle w:val="323"/>
        <w:adjustRightInd w:val="0"/>
        <w:snapToGrid w:val="0"/>
        <w:spacing w:line="360" w:lineRule="auto"/>
        <w:ind w:firstLine="0" w:firstLineChars="0"/>
      </w:pPr>
    </w:p>
    <w:p w14:paraId="5CDD295F">
      <w:pPr>
        <w:tabs>
          <w:tab w:val="left" w:pos="3060"/>
        </w:tabs>
        <w:wordWrap w:val="0"/>
        <w:adjustRightInd w:val="0"/>
        <w:snapToGrid w:val="0"/>
        <w:rPr>
          <w:rFonts w:ascii="宋体" w:hAnsi="宋体"/>
        </w:rPr>
      </w:pPr>
    </w:p>
    <w:p w14:paraId="6F335BFF">
      <w:pPr>
        <w:tabs>
          <w:tab w:val="left" w:pos="3060"/>
        </w:tabs>
        <w:wordWrap w:val="0"/>
        <w:adjustRightInd w:val="0"/>
        <w:snapToGrid w:val="0"/>
        <w:jc w:val="right"/>
        <w:rPr>
          <w:rFonts w:ascii="宋体" w:hAnsi="宋体"/>
        </w:rPr>
      </w:pPr>
      <w:r>
        <w:rPr>
          <w:rFonts w:ascii="宋体" w:hAnsi="宋体"/>
        </w:rPr>
        <w:t>招标人</w:t>
      </w:r>
      <w:r>
        <w:rPr>
          <w:rFonts w:hint="eastAsia" w:ascii="宋体" w:hAnsi="宋体"/>
        </w:rPr>
        <w:t>：广东中粤通油品经营有限公司</w:t>
      </w:r>
    </w:p>
    <w:p w14:paraId="210DE9D2">
      <w:pPr>
        <w:pStyle w:val="27"/>
        <w:snapToGrid w:val="0"/>
        <w:spacing w:after="0"/>
        <w:jc w:val="right"/>
        <w:rPr>
          <w:rFonts w:hAnsi="宋体"/>
          <w:bCs/>
          <w:u w:val="single"/>
        </w:rPr>
      </w:pPr>
      <w:r>
        <w:rPr>
          <w:rFonts w:hint="eastAsia" w:ascii="宋体" w:hAnsi="宋体"/>
          <w:kern w:val="2"/>
          <w:sz w:val="24"/>
        </w:rPr>
        <w:t>招标代理机构：广州诚建项目管理咨询有限公司</w:t>
      </w:r>
    </w:p>
    <w:p w14:paraId="11B16D25">
      <w:pPr>
        <w:tabs>
          <w:tab w:val="left" w:pos="3060"/>
        </w:tabs>
        <w:wordWrap w:val="0"/>
        <w:adjustRightInd w:val="0"/>
        <w:snapToGrid w:val="0"/>
        <w:jc w:val="right"/>
        <w:rPr>
          <w:rFonts w:ascii="宋体" w:hAnsi="宋体" w:cs="宋体"/>
        </w:rPr>
      </w:pPr>
      <w:r>
        <w:rPr>
          <w:rFonts w:hint="eastAsia" w:ascii="宋体" w:hAnsi="宋体" w:cs="宋体"/>
          <w:bCs/>
          <w:u w:val="single"/>
        </w:rPr>
        <w:t>2025</w:t>
      </w:r>
      <w:r>
        <w:rPr>
          <w:rFonts w:hint="eastAsia" w:ascii="宋体" w:hAnsi="宋体" w:cs="宋体"/>
          <w:bCs/>
        </w:rPr>
        <w:t>年</w:t>
      </w:r>
      <w:r>
        <w:rPr>
          <w:rFonts w:hint="eastAsia" w:ascii="宋体" w:hAnsi="宋体" w:cs="宋体"/>
          <w:u w:val="single"/>
          <w:lang w:val="en-US" w:eastAsia="zh-CN"/>
        </w:rPr>
        <w:t>11</w:t>
      </w:r>
      <w:r>
        <w:rPr>
          <w:rFonts w:hint="eastAsia" w:ascii="宋体" w:hAnsi="宋体" w:cs="宋体"/>
        </w:rPr>
        <w:t>月</w:t>
      </w:r>
      <w:r>
        <w:rPr>
          <w:rFonts w:hint="eastAsia" w:ascii="宋体" w:hAnsi="宋体" w:cs="宋体"/>
          <w:u w:val="single"/>
          <w:lang w:val="en-US" w:eastAsia="zh-CN"/>
        </w:rPr>
        <w:t>13</w:t>
      </w:r>
      <w:bookmarkStart w:id="1093" w:name="_GoBack"/>
      <w:bookmarkEnd w:id="1093"/>
      <w:r>
        <w:rPr>
          <w:rFonts w:hint="eastAsia" w:ascii="宋体" w:hAnsi="宋体" w:cs="宋体"/>
        </w:rPr>
        <w:t>日</w:t>
      </w:r>
    </w:p>
    <w:p w14:paraId="03FCE08D">
      <w:pPr>
        <w:tabs>
          <w:tab w:val="left" w:pos="3060"/>
        </w:tabs>
        <w:wordWrap w:val="0"/>
        <w:adjustRightInd w:val="0"/>
        <w:snapToGrid w:val="0"/>
        <w:jc w:val="right"/>
        <w:rPr>
          <w:rFonts w:hAnsi="宋体"/>
          <w:bCs/>
        </w:rPr>
      </w:pPr>
    </w:p>
    <w:bookmarkEnd w:id="5"/>
    <w:p w14:paraId="3D13D0E0">
      <w:bookmarkStart w:id="48" w:name="_Toc25729"/>
      <w:bookmarkStart w:id="49" w:name="_Toc386206210"/>
      <w:bookmarkStart w:id="50" w:name="_Toc12989"/>
      <w:bookmarkStart w:id="51" w:name="_Toc9865"/>
      <w:bookmarkStart w:id="52" w:name="_Toc324338065"/>
      <w:bookmarkStart w:id="53" w:name="_Toc489214128"/>
      <w:bookmarkStart w:id="54" w:name="_Toc402858986"/>
      <w:bookmarkStart w:id="55" w:name="_Toc1900"/>
      <w:bookmarkStart w:id="56" w:name="_Toc19950"/>
      <w:r>
        <w:br w:type="page"/>
      </w:r>
    </w:p>
    <w:p w14:paraId="3C4115A7">
      <w:pPr>
        <w:pStyle w:val="4"/>
        <w:spacing w:before="0" w:after="0" w:line="276" w:lineRule="auto"/>
        <w:ind w:left="2760" w:leftChars="1150" w:right="2760" w:rightChars="1150"/>
        <w:rPr>
          <w:bCs w:val="0"/>
        </w:rPr>
      </w:pPr>
    </w:p>
    <w:p w14:paraId="5D8E644D">
      <w:pPr>
        <w:pStyle w:val="4"/>
        <w:spacing w:before="0" w:after="0" w:line="276" w:lineRule="auto"/>
        <w:ind w:left="2760" w:leftChars="1150" w:right="2760" w:rightChars="1150"/>
        <w:rPr>
          <w:bCs w:val="0"/>
        </w:rPr>
      </w:pPr>
    </w:p>
    <w:p w14:paraId="598830A1">
      <w:pPr>
        <w:pStyle w:val="4"/>
        <w:spacing w:before="0" w:after="0" w:line="276" w:lineRule="auto"/>
        <w:ind w:left="2760" w:leftChars="1150" w:right="2760" w:rightChars="1150"/>
        <w:rPr>
          <w:bCs w:val="0"/>
        </w:rPr>
      </w:pPr>
    </w:p>
    <w:p w14:paraId="0BB986F5">
      <w:pPr>
        <w:pStyle w:val="4"/>
        <w:spacing w:before="0" w:after="0" w:line="276" w:lineRule="auto"/>
        <w:ind w:left="2760" w:leftChars="1150" w:right="2760" w:rightChars="1150"/>
        <w:rPr>
          <w:bCs w:val="0"/>
        </w:rPr>
      </w:pPr>
    </w:p>
    <w:p w14:paraId="18BD6C49">
      <w:pPr>
        <w:pStyle w:val="4"/>
        <w:spacing w:before="0" w:after="0" w:line="276" w:lineRule="auto"/>
        <w:ind w:left="2760" w:leftChars="1150" w:right="2760" w:rightChars="1150"/>
        <w:rPr>
          <w:bCs w:val="0"/>
        </w:rPr>
      </w:pPr>
    </w:p>
    <w:p w14:paraId="0513DC64">
      <w:pPr>
        <w:pStyle w:val="4"/>
        <w:spacing w:before="0" w:after="0" w:line="276" w:lineRule="auto"/>
        <w:ind w:left="2760" w:leftChars="1150" w:right="2760" w:rightChars="1150"/>
        <w:rPr>
          <w:bCs w:val="0"/>
        </w:rPr>
      </w:pPr>
    </w:p>
    <w:p w14:paraId="53495689">
      <w:pPr>
        <w:pStyle w:val="4"/>
        <w:spacing w:before="0" w:after="0" w:line="276" w:lineRule="auto"/>
        <w:ind w:left="2760" w:leftChars="1150" w:right="2760" w:rightChars="1150"/>
        <w:rPr>
          <w:bCs w:val="0"/>
        </w:rPr>
      </w:pPr>
    </w:p>
    <w:p w14:paraId="4382C995">
      <w:pPr>
        <w:pStyle w:val="4"/>
        <w:spacing w:before="0" w:after="0" w:line="276" w:lineRule="auto"/>
        <w:ind w:left="2760" w:leftChars="1150" w:right="2760" w:rightChars="1150"/>
        <w:rPr>
          <w:bCs w:val="0"/>
        </w:rPr>
      </w:pPr>
    </w:p>
    <w:p w14:paraId="2FD18AE3">
      <w:pPr>
        <w:pStyle w:val="4"/>
        <w:spacing w:before="0" w:after="0" w:line="276" w:lineRule="auto"/>
        <w:ind w:left="2760" w:leftChars="1150" w:right="2760" w:rightChars="1150"/>
        <w:rPr>
          <w:bCs w:val="0"/>
        </w:rPr>
      </w:pPr>
    </w:p>
    <w:p w14:paraId="3AC9557E">
      <w:pPr>
        <w:snapToGrid w:val="0"/>
        <w:jc w:val="center"/>
        <w:outlineLvl w:val="0"/>
        <w:rPr>
          <w:b/>
          <w:bCs/>
          <w:sz w:val="44"/>
          <w:szCs w:val="44"/>
        </w:rPr>
      </w:pPr>
      <w:bookmarkStart w:id="57" w:name="_Toc32076"/>
      <w:r>
        <w:rPr>
          <w:rFonts w:hint="eastAsia"/>
          <w:b/>
          <w:bCs/>
          <w:sz w:val="44"/>
          <w:szCs w:val="44"/>
        </w:rPr>
        <w:t>第二章 投标人须知</w:t>
      </w:r>
      <w:bookmarkEnd w:id="48"/>
      <w:bookmarkEnd w:id="49"/>
      <w:bookmarkEnd w:id="50"/>
      <w:bookmarkEnd w:id="51"/>
      <w:bookmarkEnd w:id="52"/>
      <w:bookmarkEnd w:id="53"/>
      <w:bookmarkEnd w:id="54"/>
      <w:bookmarkEnd w:id="55"/>
      <w:bookmarkEnd w:id="56"/>
      <w:bookmarkEnd w:id="57"/>
    </w:p>
    <w:p w14:paraId="2C36AB50">
      <w:pPr>
        <w:snapToGrid w:val="0"/>
        <w:jc w:val="center"/>
        <w:rPr>
          <w:bCs/>
        </w:rPr>
      </w:pPr>
    </w:p>
    <w:p w14:paraId="6BDE2D59">
      <w:pPr>
        <w:snapToGrid w:val="0"/>
      </w:pPr>
    </w:p>
    <w:p w14:paraId="79F1EFD4">
      <w:pPr>
        <w:pStyle w:val="5"/>
        <w:jc w:val="center"/>
        <w:rPr>
          <w:sz w:val="30"/>
          <w:szCs w:val="30"/>
        </w:rPr>
      </w:pPr>
      <w:r>
        <w:br w:type="page"/>
      </w:r>
      <w:bookmarkStart w:id="58" w:name="_Toc21322"/>
      <w:bookmarkStart w:id="59" w:name="_Toc5974"/>
      <w:bookmarkStart w:id="60" w:name="_Toc24617"/>
      <w:bookmarkStart w:id="61" w:name="_Toc152042304"/>
      <w:bookmarkStart w:id="62" w:name="_Toc489214129"/>
      <w:bookmarkStart w:id="63" w:name="_Toc144974496"/>
      <w:bookmarkStart w:id="64" w:name="_Toc152045528"/>
      <w:r>
        <w:rPr>
          <w:rFonts w:hint="eastAsia"/>
          <w:sz w:val="30"/>
          <w:szCs w:val="30"/>
        </w:rPr>
        <w:t>投标人须知前附表</w:t>
      </w:r>
      <w:bookmarkEnd w:id="58"/>
      <w:bookmarkEnd w:id="59"/>
      <w:bookmarkEnd w:id="60"/>
      <w:bookmarkEnd w:id="61"/>
      <w:bookmarkEnd w:id="62"/>
      <w:bookmarkEnd w:id="63"/>
      <w:bookmarkEnd w:id="64"/>
      <w:bookmarkStart w:id="65" w:name="OLE_LINK59"/>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866"/>
        <w:gridCol w:w="6788"/>
      </w:tblGrid>
      <w:tr w14:paraId="12E7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2864B572">
            <w:pPr>
              <w:adjustRightInd w:val="0"/>
              <w:snapToGrid w:val="0"/>
              <w:spacing w:line="288" w:lineRule="auto"/>
              <w:jc w:val="center"/>
              <w:rPr>
                <w:rFonts w:ascii="宋体" w:hAnsi="宋体" w:cs="宋体"/>
                <w:sz w:val="21"/>
                <w:szCs w:val="21"/>
              </w:rPr>
            </w:pPr>
            <w:r>
              <w:rPr>
                <w:rFonts w:hint="eastAsia" w:ascii="宋体" w:hAnsi="宋体" w:cs="宋体"/>
                <w:sz w:val="21"/>
                <w:szCs w:val="21"/>
              </w:rPr>
              <w:t>条款号</w:t>
            </w:r>
          </w:p>
        </w:tc>
        <w:tc>
          <w:tcPr>
            <w:tcW w:w="1866" w:type="dxa"/>
            <w:tcMar>
              <w:top w:w="57" w:type="dxa"/>
              <w:bottom w:w="57" w:type="dxa"/>
            </w:tcMar>
            <w:vAlign w:val="center"/>
          </w:tcPr>
          <w:p w14:paraId="2CD98F29">
            <w:pPr>
              <w:adjustRightInd w:val="0"/>
              <w:snapToGrid w:val="0"/>
              <w:spacing w:line="288" w:lineRule="auto"/>
              <w:jc w:val="center"/>
              <w:rPr>
                <w:rFonts w:ascii="宋体" w:hAnsi="宋体" w:cs="宋体"/>
                <w:sz w:val="21"/>
                <w:szCs w:val="21"/>
              </w:rPr>
            </w:pPr>
            <w:r>
              <w:rPr>
                <w:rFonts w:hint="eastAsia" w:ascii="宋体" w:hAnsi="宋体" w:cs="宋体"/>
                <w:sz w:val="21"/>
                <w:szCs w:val="21"/>
              </w:rPr>
              <w:t>条款名称</w:t>
            </w:r>
          </w:p>
        </w:tc>
        <w:tc>
          <w:tcPr>
            <w:tcW w:w="6788" w:type="dxa"/>
            <w:tcMar>
              <w:top w:w="57" w:type="dxa"/>
              <w:bottom w:w="57" w:type="dxa"/>
            </w:tcMar>
            <w:vAlign w:val="center"/>
          </w:tcPr>
          <w:p w14:paraId="686BCF82">
            <w:pPr>
              <w:adjustRightInd w:val="0"/>
              <w:snapToGrid w:val="0"/>
              <w:spacing w:line="288" w:lineRule="auto"/>
              <w:jc w:val="center"/>
              <w:rPr>
                <w:rFonts w:ascii="宋体" w:hAnsi="宋体" w:cs="宋体"/>
                <w:sz w:val="21"/>
                <w:szCs w:val="21"/>
              </w:rPr>
            </w:pPr>
            <w:r>
              <w:rPr>
                <w:rFonts w:hint="eastAsia" w:ascii="宋体" w:hAnsi="宋体" w:cs="宋体"/>
                <w:sz w:val="21"/>
                <w:szCs w:val="21"/>
              </w:rPr>
              <w:t>编列内容</w:t>
            </w:r>
          </w:p>
        </w:tc>
      </w:tr>
      <w:tr w14:paraId="7953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7A45EA27">
            <w:pPr>
              <w:adjustRightInd w:val="0"/>
              <w:snapToGrid w:val="0"/>
              <w:spacing w:line="288" w:lineRule="auto"/>
              <w:jc w:val="center"/>
              <w:rPr>
                <w:rFonts w:ascii="宋体" w:hAnsi="宋体" w:cs="宋体"/>
                <w:sz w:val="21"/>
                <w:szCs w:val="21"/>
              </w:rPr>
            </w:pPr>
            <w:r>
              <w:rPr>
                <w:rFonts w:hint="eastAsia" w:ascii="宋体" w:hAnsi="宋体" w:cs="宋体"/>
                <w:sz w:val="21"/>
                <w:szCs w:val="21"/>
              </w:rPr>
              <w:t>1.1.1</w:t>
            </w:r>
          </w:p>
        </w:tc>
        <w:tc>
          <w:tcPr>
            <w:tcW w:w="1866" w:type="dxa"/>
            <w:tcMar>
              <w:top w:w="57" w:type="dxa"/>
              <w:bottom w:w="57" w:type="dxa"/>
            </w:tcMar>
            <w:vAlign w:val="center"/>
          </w:tcPr>
          <w:p w14:paraId="46FD0F90">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招标人</w:t>
            </w:r>
          </w:p>
        </w:tc>
        <w:tc>
          <w:tcPr>
            <w:tcW w:w="6788" w:type="dxa"/>
            <w:tcMar>
              <w:top w:w="57" w:type="dxa"/>
              <w:bottom w:w="57" w:type="dxa"/>
            </w:tcMar>
            <w:vAlign w:val="center"/>
          </w:tcPr>
          <w:p w14:paraId="0F980E86">
            <w:pPr>
              <w:adjustRightInd w:val="0"/>
              <w:snapToGrid w:val="0"/>
              <w:spacing w:line="288" w:lineRule="auto"/>
              <w:rPr>
                <w:rFonts w:ascii="宋体" w:hAnsi="宋体" w:cs="宋体"/>
                <w:sz w:val="21"/>
                <w:szCs w:val="21"/>
              </w:rPr>
            </w:pPr>
            <w:r>
              <w:rPr>
                <w:rFonts w:hint="eastAsia" w:ascii="宋体" w:hAnsi="宋体" w:cs="宋体"/>
                <w:sz w:val="21"/>
                <w:szCs w:val="21"/>
              </w:rPr>
              <w:t>广东中粤通油品经营有限公司</w:t>
            </w:r>
          </w:p>
        </w:tc>
      </w:tr>
      <w:tr w14:paraId="2B0E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77FEFB13">
            <w:pPr>
              <w:adjustRightInd w:val="0"/>
              <w:snapToGrid w:val="0"/>
              <w:spacing w:line="288" w:lineRule="auto"/>
              <w:jc w:val="center"/>
              <w:rPr>
                <w:rFonts w:ascii="宋体" w:hAnsi="宋体" w:cs="宋体"/>
                <w:sz w:val="21"/>
                <w:szCs w:val="21"/>
              </w:rPr>
            </w:pPr>
            <w:r>
              <w:rPr>
                <w:rFonts w:hint="eastAsia" w:ascii="宋体" w:hAnsi="宋体" w:cs="宋体"/>
                <w:sz w:val="21"/>
                <w:szCs w:val="21"/>
              </w:rPr>
              <w:t>1.1.2</w:t>
            </w:r>
          </w:p>
        </w:tc>
        <w:tc>
          <w:tcPr>
            <w:tcW w:w="1866" w:type="dxa"/>
            <w:tcMar>
              <w:top w:w="57" w:type="dxa"/>
              <w:bottom w:w="57" w:type="dxa"/>
            </w:tcMar>
            <w:vAlign w:val="center"/>
          </w:tcPr>
          <w:p w14:paraId="2977653C">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招标代理机构</w:t>
            </w:r>
          </w:p>
        </w:tc>
        <w:tc>
          <w:tcPr>
            <w:tcW w:w="6788" w:type="dxa"/>
            <w:tcMar>
              <w:top w:w="57" w:type="dxa"/>
              <w:bottom w:w="57" w:type="dxa"/>
            </w:tcMar>
            <w:vAlign w:val="center"/>
          </w:tcPr>
          <w:p w14:paraId="78874C06">
            <w:pPr>
              <w:adjustRightInd w:val="0"/>
              <w:snapToGrid w:val="0"/>
              <w:spacing w:line="288" w:lineRule="auto"/>
              <w:rPr>
                <w:rFonts w:ascii="宋体" w:hAnsi="宋体" w:cs="宋体"/>
                <w:sz w:val="21"/>
                <w:szCs w:val="21"/>
              </w:rPr>
            </w:pPr>
            <w:r>
              <w:rPr>
                <w:rFonts w:hint="eastAsia" w:ascii="宋体" w:hAnsi="宋体" w:cs="宋体"/>
                <w:sz w:val="21"/>
                <w:szCs w:val="21"/>
              </w:rPr>
              <w:t>广州诚建项目管理咨询有限公司</w:t>
            </w:r>
          </w:p>
        </w:tc>
      </w:tr>
      <w:tr w14:paraId="38CA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5B3CE65C">
            <w:pPr>
              <w:adjustRightInd w:val="0"/>
              <w:snapToGrid w:val="0"/>
              <w:spacing w:line="288" w:lineRule="auto"/>
              <w:jc w:val="center"/>
              <w:rPr>
                <w:rFonts w:ascii="宋体" w:hAnsi="宋体" w:cs="宋体"/>
                <w:sz w:val="21"/>
                <w:szCs w:val="21"/>
              </w:rPr>
            </w:pPr>
            <w:r>
              <w:rPr>
                <w:rFonts w:hint="eastAsia" w:ascii="宋体" w:hAnsi="宋体" w:cs="宋体"/>
                <w:sz w:val="21"/>
                <w:szCs w:val="21"/>
              </w:rPr>
              <w:t>1.1.3</w:t>
            </w:r>
          </w:p>
        </w:tc>
        <w:tc>
          <w:tcPr>
            <w:tcW w:w="1866" w:type="dxa"/>
            <w:tcMar>
              <w:top w:w="57" w:type="dxa"/>
              <w:bottom w:w="57" w:type="dxa"/>
            </w:tcMar>
            <w:vAlign w:val="center"/>
          </w:tcPr>
          <w:p w14:paraId="15D7E0C1">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招标项目名称</w:t>
            </w:r>
          </w:p>
        </w:tc>
        <w:tc>
          <w:tcPr>
            <w:tcW w:w="6788" w:type="dxa"/>
            <w:tcMar>
              <w:top w:w="57" w:type="dxa"/>
              <w:bottom w:w="57" w:type="dxa"/>
            </w:tcMar>
            <w:vAlign w:val="center"/>
          </w:tcPr>
          <w:p w14:paraId="12D9456D">
            <w:pPr>
              <w:adjustRightInd w:val="0"/>
              <w:snapToGrid w:val="0"/>
              <w:spacing w:line="288" w:lineRule="auto"/>
              <w:rPr>
                <w:rFonts w:ascii="宋体" w:hAnsi="宋体" w:cs="宋体"/>
                <w:sz w:val="21"/>
                <w:szCs w:val="21"/>
              </w:rPr>
            </w:pPr>
            <w:r>
              <w:rPr>
                <w:rFonts w:hint="eastAsia" w:ascii="宋体" w:hAnsi="宋体" w:cs="宋体"/>
                <w:sz w:val="21"/>
                <w:szCs w:val="21"/>
              </w:rPr>
              <w:t>广澳高速中山服务区西区加油站重建项目土建工程</w:t>
            </w:r>
          </w:p>
        </w:tc>
      </w:tr>
      <w:tr w14:paraId="161F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14BC277A">
            <w:pPr>
              <w:adjustRightInd w:val="0"/>
              <w:snapToGrid w:val="0"/>
              <w:spacing w:line="288" w:lineRule="auto"/>
              <w:jc w:val="center"/>
              <w:rPr>
                <w:rFonts w:ascii="宋体" w:hAnsi="宋体" w:cs="宋体"/>
                <w:sz w:val="21"/>
                <w:szCs w:val="21"/>
              </w:rPr>
            </w:pPr>
            <w:r>
              <w:rPr>
                <w:rFonts w:hint="eastAsia" w:ascii="宋体" w:hAnsi="宋体" w:cs="宋体"/>
                <w:sz w:val="21"/>
                <w:szCs w:val="21"/>
              </w:rPr>
              <w:t>1.1.4</w:t>
            </w:r>
          </w:p>
        </w:tc>
        <w:tc>
          <w:tcPr>
            <w:tcW w:w="1866" w:type="dxa"/>
            <w:tcMar>
              <w:top w:w="57" w:type="dxa"/>
              <w:bottom w:w="57" w:type="dxa"/>
            </w:tcMar>
            <w:vAlign w:val="center"/>
          </w:tcPr>
          <w:p w14:paraId="7BE24352">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建设地址</w:t>
            </w:r>
          </w:p>
        </w:tc>
        <w:tc>
          <w:tcPr>
            <w:tcW w:w="6788" w:type="dxa"/>
            <w:tcMar>
              <w:top w:w="57" w:type="dxa"/>
              <w:bottom w:w="57" w:type="dxa"/>
            </w:tcMar>
            <w:vAlign w:val="center"/>
          </w:tcPr>
          <w:p w14:paraId="0F60DD9F">
            <w:pPr>
              <w:adjustRightInd w:val="0"/>
              <w:snapToGrid w:val="0"/>
              <w:spacing w:line="288" w:lineRule="auto"/>
              <w:rPr>
                <w:rFonts w:ascii="宋体" w:hAnsi="宋体" w:cs="宋体"/>
                <w:sz w:val="21"/>
                <w:szCs w:val="21"/>
              </w:rPr>
            </w:pPr>
            <w:r>
              <w:rPr>
                <w:rFonts w:hint="eastAsia" w:ascii="宋体" w:hAnsi="宋体"/>
                <w:sz w:val="21"/>
                <w:szCs w:val="21"/>
              </w:rPr>
              <w:t>中山市火炬开发区民众街道京珠高速公路广珠浪网路段K63路牌南行300米处（中山火炬高技术产业开发区）</w:t>
            </w:r>
            <w:r>
              <w:rPr>
                <w:rFonts w:hint="eastAsia" w:ascii="宋体" w:hAnsi="宋体" w:cs="宋体"/>
                <w:sz w:val="21"/>
                <w:szCs w:val="21"/>
              </w:rPr>
              <w:t>。</w:t>
            </w:r>
          </w:p>
        </w:tc>
      </w:tr>
      <w:tr w14:paraId="287F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7D2BDAEE">
            <w:pPr>
              <w:adjustRightInd w:val="0"/>
              <w:snapToGrid w:val="0"/>
              <w:spacing w:line="288" w:lineRule="auto"/>
              <w:jc w:val="center"/>
              <w:rPr>
                <w:rFonts w:ascii="宋体" w:hAnsi="宋体" w:cs="宋体"/>
                <w:sz w:val="21"/>
                <w:szCs w:val="21"/>
              </w:rPr>
            </w:pPr>
            <w:r>
              <w:rPr>
                <w:rFonts w:hint="eastAsia" w:ascii="宋体" w:hAnsi="宋体" w:cs="宋体"/>
                <w:sz w:val="21"/>
                <w:szCs w:val="21"/>
              </w:rPr>
              <w:t>1.1.5、1.3</w:t>
            </w:r>
          </w:p>
        </w:tc>
        <w:tc>
          <w:tcPr>
            <w:tcW w:w="1866" w:type="dxa"/>
            <w:tcMar>
              <w:top w:w="57" w:type="dxa"/>
              <w:bottom w:w="57" w:type="dxa"/>
            </w:tcMar>
            <w:vAlign w:val="center"/>
          </w:tcPr>
          <w:p w14:paraId="476D5E47">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计划工期</w:t>
            </w:r>
          </w:p>
        </w:tc>
        <w:tc>
          <w:tcPr>
            <w:tcW w:w="6788" w:type="dxa"/>
            <w:tcMar>
              <w:top w:w="57" w:type="dxa"/>
              <w:bottom w:w="57" w:type="dxa"/>
            </w:tcMar>
            <w:vAlign w:val="center"/>
          </w:tcPr>
          <w:p w14:paraId="47D39318">
            <w:pPr>
              <w:adjustRightInd w:val="0"/>
              <w:snapToGrid w:val="0"/>
              <w:spacing w:line="288" w:lineRule="auto"/>
              <w:rPr>
                <w:rFonts w:ascii="宋体" w:hAnsi="宋体" w:cs="宋体"/>
                <w:sz w:val="21"/>
                <w:szCs w:val="21"/>
              </w:rPr>
            </w:pPr>
            <w:r>
              <w:rPr>
                <w:rFonts w:hint="eastAsia" w:ascii="宋体" w:hAnsi="宋体" w:cs="宋体"/>
                <w:sz w:val="21"/>
                <w:szCs w:val="21"/>
              </w:rPr>
              <w:t>60个日历天。</w:t>
            </w:r>
          </w:p>
          <w:p w14:paraId="08AE81E4">
            <w:pPr>
              <w:adjustRightInd w:val="0"/>
              <w:snapToGrid w:val="0"/>
              <w:spacing w:line="288" w:lineRule="auto"/>
              <w:rPr>
                <w:rFonts w:ascii="宋体" w:hAnsi="宋体" w:cs="宋体"/>
                <w:sz w:val="21"/>
                <w:szCs w:val="21"/>
              </w:rPr>
            </w:pPr>
            <w:r>
              <w:rPr>
                <w:rFonts w:hint="eastAsia" w:ascii="宋体" w:hAnsi="宋体" w:cs="宋体"/>
                <w:sz w:val="21"/>
                <w:szCs w:val="21"/>
              </w:rPr>
              <w:t>计划开工日期</w:t>
            </w:r>
            <w:r>
              <w:rPr>
                <w:rFonts w:hint="eastAsia" w:ascii="宋体" w:hAnsi="宋体" w:cs="宋体"/>
                <w:sz w:val="21"/>
                <w:szCs w:val="21"/>
                <w:lang w:val="en-US" w:eastAsia="zh-CN"/>
              </w:rPr>
              <w:t>2025</w:t>
            </w:r>
            <w:r>
              <w:rPr>
                <w:rFonts w:hint="eastAsia" w:ascii="宋体" w:hAnsi="宋体" w:cs="宋体"/>
                <w:sz w:val="21"/>
                <w:szCs w:val="21"/>
              </w:rPr>
              <w:t>年</w:t>
            </w:r>
            <w:r>
              <w:rPr>
                <w:rFonts w:hint="eastAsia" w:ascii="宋体" w:hAnsi="宋体" w:cs="宋体"/>
                <w:sz w:val="21"/>
                <w:szCs w:val="21"/>
                <w:lang w:val="en-US" w:eastAsia="zh-CN"/>
              </w:rPr>
              <w:t>12</w:t>
            </w:r>
            <w:r>
              <w:rPr>
                <w:rFonts w:hint="eastAsia" w:ascii="宋体" w:hAnsi="宋体" w:cs="宋体"/>
                <w:sz w:val="21"/>
                <w:szCs w:val="21"/>
              </w:rPr>
              <w:t>月</w:t>
            </w:r>
            <w:r>
              <w:rPr>
                <w:rFonts w:hint="eastAsia" w:ascii="宋体" w:hAnsi="宋体" w:cs="宋体"/>
                <w:sz w:val="21"/>
                <w:szCs w:val="21"/>
                <w:lang w:val="en-US" w:eastAsia="zh-CN"/>
              </w:rPr>
              <w:t>11</w:t>
            </w:r>
            <w:r>
              <w:rPr>
                <w:rFonts w:hint="eastAsia" w:ascii="宋体" w:hAnsi="宋体" w:cs="宋体"/>
                <w:sz w:val="21"/>
                <w:szCs w:val="21"/>
              </w:rPr>
              <w:t>日，</w:t>
            </w:r>
          </w:p>
          <w:p w14:paraId="27AA3C6D">
            <w:pPr>
              <w:adjustRightInd w:val="0"/>
              <w:snapToGrid w:val="0"/>
              <w:spacing w:line="288" w:lineRule="auto"/>
              <w:rPr>
                <w:rFonts w:ascii="宋体" w:hAnsi="宋体" w:cs="宋体"/>
                <w:sz w:val="21"/>
                <w:szCs w:val="21"/>
              </w:rPr>
            </w:pPr>
            <w:r>
              <w:rPr>
                <w:rFonts w:hint="eastAsia" w:ascii="宋体" w:hAnsi="宋体" w:cs="宋体"/>
                <w:sz w:val="21"/>
                <w:szCs w:val="21"/>
              </w:rPr>
              <w:t>计划竣工日期</w:t>
            </w:r>
            <w:r>
              <w:rPr>
                <w:rFonts w:hint="eastAsia" w:ascii="宋体" w:hAnsi="宋体" w:cs="宋体"/>
                <w:sz w:val="21"/>
                <w:szCs w:val="21"/>
                <w:lang w:val="en-US" w:eastAsia="zh-CN"/>
              </w:rPr>
              <w:t>2026</w:t>
            </w:r>
            <w:r>
              <w:rPr>
                <w:rFonts w:hint="eastAsia" w:ascii="宋体" w:hAnsi="宋体" w:cs="宋体"/>
                <w:sz w:val="21"/>
                <w:szCs w:val="21"/>
              </w:rPr>
              <w:t>年</w:t>
            </w:r>
            <w:r>
              <w:rPr>
                <w:rFonts w:hint="eastAsia" w:ascii="宋体" w:hAnsi="宋体" w:cs="宋体"/>
                <w:sz w:val="21"/>
                <w:szCs w:val="21"/>
                <w:lang w:val="en-US" w:eastAsia="zh-CN"/>
              </w:rPr>
              <w:t>2</w:t>
            </w:r>
            <w:r>
              <w:rPr>
                <w:rFonts w:hint="eastAsia" w:ascii="宋体" w:hAnsi="宋体" w:cs="宋体"/>
                <w:sz w:val="21"/>
                <w:szCs w:val="21"/>
              </w:rPr>
              <w:t>月</w:t>
            </w:r>
            <w:r>
              <w:rPr>
                <w:rFonts w:hint="eastAsia" w:ascii="宋体" w:hAnsi="宋体" w:cs="宋体"/>
                <w:sz w:val="21"/>
                <w:szCs w:val="21"/>
                <w:lang w:val="en-US" w:eastAsia="zh-CN"/>
              </w:rPr>
              <w:t>8</w:t>
            </w:r>
            <w:r>
              <w:rPr>
                <w:rFonts w:hint="eastAsia" w:ascii="宋体" w:hAnsi="宋体" w:cs="宋体"/>
                <w:sz w:val="21"/>
                <w:szCs w:val="21"/>
              </w:rPr>
              <w:t>日。</w:t>
            </w:r>
          </w:p>
          <w:p w14:paraId="21E382C0">
            <w:pPr>
              <w:adjustRightInd w:val="0"/>
              <w:snapToGrid w:val="0"/>
              <w:spacing w:line="288" w:lineRule="auto"/>
              <w:rPr>
                <w:sz w:val="21"/>
                <w:szCs w:val="21"/>
              </w:rPr>
            </w:pPr>
            <w:r>
              <w:rPr>
                <w:rFonts w:hint="eastAsia" w:ascii="宋体" w:hAnsi="宋体" w:cs="宋体"/>
                <w:sz w:val="21"/>
                <w:szCs w:val="21"/>
              </w:rPr>
              <w:t>注：工期日历天数与根据前述计划开竣工日期计算的工期天数不一致的，以工期日历天数为准。实际开工日期以监理人发出的开工通知中载明的开工日期为准。</w:t>
            </w:r>
          </w:p>
        </w:tc>
      </w:tr>
      <w:tr w14:paraId="025E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5E0CF969">
            <w:pPr>
              <w:adjustRightInd w:val="0"/>
              <w:snapToGrid w:val="0"/>
              <w:spacing w:line="288" w:lineRule="auto"/>
              <w:jc w:val="center"/>
              <w:rPr>
                <w:rFonts w:ascii="宋体" w:hAnsi="宋体" w:cs="宋体"/>
                <w:sz w:val="21"/>
                <w:szCs w:val="21"/>
              </w:rPr>
            </w:pPr>
            <w:r>
              <w:rPr>
                <w:rFonts w:ascii="宋体" w:hAnsi="宋体" w:cs="宋体"/>
                <w:sz w:val="21"/>
                <w:szCs w:val="21"/>
              </w:rPr>
              <w:t>1.1.</w:t>
            </w:r>
            <w:r>
              <w:rPr>
                <w:rFonts w:hint="eastAsia" w:ascii="宋体" w:hAnsi="宋体" w:cs="宋体"/>
                <w:sz w:val="21"/>
                <w:szCs w:val="21"/>
              </w:rPr>
              <w:t>6、1.3</w:t>
            </w:r>
          </w:p>
        </w:tc>
        <w:tc>
          <w:tcPr>
            <w:tcW w:w="1866" w:type="dxa"/>
            <w:tcMar>
              <w:top w:w="57" w:type="dxa"/>
              <w:bottom w:w="57" w:type="dxa"/>
            </w:tcMar>
            <w:vAlign w:val="center"/>
          </w:tcPr>
          <w:p w14:paraId="61C4E657">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质量要求</w:t>
            </w:r>
          </w:p>
        </w:tc>
        <w:tc>
          <w:tcPr>
            <w:tcW w:w="6788" w:type="dxa"/>
            <w:tcMar>
              <w:top w:w="57" w:type="dxa"/>
              <w:bottom w:w="57" w:type="dxa"/>
            </w:tcMar>
            <w:vAlign w:val="center"/>
          </w:tcPr>
          <w:p w14:paraId="70A7474A">
            <w:pPr>
              <w:adjustRightInd w:val="0"/>
              <w:snapToGrid w:val="0"/>
              <w:spacing w:line="288" w:lineRule="auto"/>
              <w:rPr>
                <w:rFonts w:ascii="宋体" w:hAnsi="宋体" w:cs="宋体"/>
                <w:sz w:val="21"/>
                <w:szCs w:val="21"/>
              </w:rPr>
            </w:pPr>
            <w:r>
              <w:rPr>
                <w:rFonts w:hint="eastAsia" w:ascii="宋体" w:hAnsi="宋体" w:cs="宋体"/>
                <w:sz w:val="21"/>
                <w:szCs w:val="21"/>
              </w:rPr>
              <w:t>合格。</w:t>
            </w:r>
          </w:p>
        </w:tc>
      </w:tr>
      <w:tr w14:paraId="0DB1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5F605396">
            <w:pPr>
              <w:adjustRightInd w:val="0"/>
              <w:snapToGrid w:val="0"/>
              <w:spacing w:line="288" w:lineRule="auto"/>
              <w:jc w:val="center"/>
              <w:rPr>
                <w:rFonts w:ascii="宋体" w:hAnsi="宋体" w:cs="宋体"/>
                <w:sz w:val="21"/>
                <w:szCs w:val="21"/>
              </w:rPr>
            </w:pPr>
            <w:r>
              <w:rPr>
                <w:rFonts w:hint="eastAsia" w:ascii="宋体" w:hAnsi="宋体" w:cs="宋体"/>
                <w:sz w:val="21"/>
                <w:szCs w:val="21"/>
              </w:rPr>
              <w:t>1.2.2</w:t>
            </w:r>
          </w:p>
        </w:tc>
        <w:tc>
          <w:tcPr>
            <w:tcW w:w="1866" w:type="dxa"/>
            <w:tcMar>
              <w:top w:w="57" w:type="dxa"/>
              <w:bottom w:w="57" w:type="dxa"/>
            </w:tcMar>
            <w:vAlign w:val="center"/>
          </w:tcPr>
          <w:p w14:paraId="6DBD29F4">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标段划分和标段招标范围</w:t>
            </w:r>
          </w:p>
        </w:tc>
        <w:tc>
          <w:tcPr>
            <w:tcW w:w="6788" w:type="dxa"/>
            <w:tcMar>
              <w:top w:w="57" w:type="dxa"/>
              <w:bottom w:w="57" w:type="dxa"/>
            </w:tcMar>
            <w:vAlign w:val="center"/>
          </w:tcPr>
          <w:p w14:paraId="7E34C0C9">
            <w:pPr>
              <w:adjustRightInd w:val="0"/>
              <w:snapToGrid w:val="0"/>
              <w:spacing w:line="288" w:lineRule="auto"/>
              <w:rPr>
                <w:rFonts w:ascii="宋体" w:hAnsi="宋体" w:cs="宋体"/>
                <w:sz w:val="21"/>
                <w:szCs w:val="21"/>
              </w:rPr>
            </w:pPr>
            <w:r>
              <w:rPr>
                <w:rFonts w:hint="eastAsia" w:ascii="宋体" w:hAnsi="宋体" w:cs="宋体"/>
                <w:sz w:val="21"/>
                <w:szCs w:val="21"/>
              </w:rPr>
              <w:t>详见招标公告。</w:t>
            </w:r>
          </w:p>
        </w:tc>
      </w:tr>
      <w:tr w14:paraId="7DA0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632E13F7">
            <w:pPr>
              <w:adjustRightInd w:val="0"/>
              <w:snapToGrid w:val="0"/>
              <w:spacing w:line="288" w:lineRule="auto"/>
              <w:jc w:val="center"/>
              <w:rPr>
                <w:rFonts w:ascii="宋体" w:hAnsi="宋体" w:cs="宋体"/>
                <w:sz w:val="21"/>
                <w:szCs w:val="21"/>
              </w:rPr>
            </w:pPr>
            <w:r>
              <w:rPr>
                <w:rFonts w:hint="eastAsia" w:ascii="宋体" w:hAnsi="宋体" w:cs="宋体"/>
                <w:sz w:val="21"/>
                <w:szCs w:val="21"/>
              </w:rPr>
              <w:t>1.9.1</w:t>
            </w:r>
          </w:p>
        </w:tc>
        <w:tc>
          <w:tcPr>
            <w:tcW w:w="1866" w:type="dxa"/>
            <w:tcMar>
              <w:top w:w="57" w:type="dxa"/>
              <w:bottom w:w="57" w:type="dxa"/>
            </w:tcMar>
            <w:vAlign w:val="center"/>
          </w:tcPr>
          <w:p w14:paraId="6D01F076">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踏勘现场</w:t>
            </w:r>
          </w:p>
        </w:tc>
        <w:tc>
          <w:tcPr>
            <w:tcW w:w="6788" w:type="dxa"/>
            <w:tcMar>
              <w:top w:w="57" w:type="dxa"/>
              <w:bottom w:w="57" w:type="dxa"/>
            </w:tcMar>
            <w:vAlign w:val="center"/>
          </w:tcPr>
          <w:p w14:paraId="78BE4A3D">
            <w:pPr>
              <w:adjustRightInd w:val="0"/>
              <w:snapToGrid w:val="0"/>
              <w:spacing w:line="288" w:lineRule="auto"/>
              <w:rPr>
                <w:rFonts w:ascii="宋体" w:hAnsi="宋体" w:cs="宋体"/>
                <w:sz w:val="21"/>
                <w:szCs w:val="21"/>
              </w:rPr>
            </w:pPr>
            <w:r>
              <w:rPr>
                <w:rFonts w:hint="eastAsia" w:ascii="宋体" w:hAnsi="宋体" w:cs="宋体"/>
                <w:sz w:val="21"/>
                <w:szCs w:val="21"/>
              </w:rPr>
              <w:t>时间：自发布公告之日起具备现场踏勘条件；</w:t>
            </w:r>
          </w:p>
          <w:p w14:paraId="75A6D09F">
            <w:pPr>
              <w:adjustRightInd w:val="0"/>
              <w:snapToGrid w:val="0"/>
              <w:spacing w:line="288" w:lineRule="auto"/>
              <w:rPr>
                <w:rFonts w:ascii="宋体" w:hAnsi="宋体" w:cs="宋体"/>
                <w:sz w:val="21"/>
                <w:szCs w:val="21"/>
              </w:rPr>
            </w:pPr>
            <w:r>
              <w:rPr>
                <w:rFonts w:hint="eastAsia" w:ascii="宋体" w:hAnsi="宋体" w:cs="宋体"/>
                <w:sz w:val="21"/>
                <w:szCs w:val="21"/>
              </w:rPr>
              <w:t>方式：招标人不集中组织，由投标人自行踏勘；</w:t>
            </w:r>
          </w:p>
          <w:p w14:paraId="0490EBE5">
            <w:pPr>
              <w:adjustRightInd w:val="0"/>
              <w:snapToGrid w:val="0"/>
              <w:spacing w:line="288" w:lineRule="auto"/>
              <w:rPr>
                <w:rFonts w:ascii="宋体" w:hAnsi="宋体" w:cs="宋体"/>
                <w:sz w:val="21"/>
                <w:szCs w:val="21"/>
              </w:rPr>
            </w:pPr>
            <w:r>
              <w:rPr>
                <w:rFonts w:hint="eastAsia" w:ascii="宋体" w:hAnsi="宋体" w:cs="宋体"/>
                <w:sz w:val="21"/>
                <w:szCs w:val="21"/>
              </w:rPr>
              <w:t>现场详细地点：</w:t>
            </w:r>
            <w:r>
              <w:rPr>
                <w:rFonts w:hint="eastAsia" w:ascii="宋体" w:hAnsi="宋体"/>
                <w:sz w:val="21"/>
                <w:szCs w:val="21"/>
              </w:rPr>
              <w:t>中山市火炬开发区民众街道京珠高速公路广珠浪网路段K63路牌南行300米处（中山火炬高技术产业开发区）</w:t>
            </w:r>
            <w:r>
              <w:rPr>
                <w:rFonts w:hint="eastAsia" w:ascii="宋体" w:hAnsi="宋体" w:cs="宋体"/>
                <w:sz w:val="21"/>
                <w:szCs w:val="21"/>
              </w:rPr>
              <w:t>。</w:t>
            </w:r>
          </w:p>
          <w:p w14:paraId="7146A6A6">
            <w:pPr>
              <w:adjustRightInd w:val="0"/>
              <w:snapToGrid w:val="0"/>
              <w:spacing w:line="288" w:lineRule="auto"/>
              <w:rPr>
                <w:rFonts w:ascii="宋体" w:hAnsi="宋体" w:cs="宋体"/>
                <w:sz w:val="21"/>
                <w:szCs w:val="21"/>
              </w:rPr>
            </w:pPr>
            <w:r>
              <w:rPr>
                <w:rFonts w:hint="eastAsia" w:ascii="宋体" w:hAnsi="宋体"/>
                <w:sz w:val="21"/>
                <w:szCs w:val="21"/>
              </w:rPr>
              <w:t>注：请投标人注意自己身份的保密。</w:t>
            </w:r>
          </w:p>
        </w:tc>
      </w:tr>
      <w:tr w14:paraId="6B0F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0AB18332">
            <w:pPr>
              <w:adjustRightInd w:val="0"/>
              <w:snapToGrid w:val="0"/>
              <w:spacing w:line="288" w:lineRule="auto"/>
              <w:jc w:val="center"/>
              <w:rPr>
                <w:rFonts w:ascii="宋体" w:hAnsi="宋体" w:cs="宋体"/>
                <w:sz w:val="21"/>
                <w:szCs w:val="21"/>
              </w:rPr>
            </w:pPr>
            <w:r>
              <w:rPr>
                <w:rFonts w:hint="eastAsia" w:ascii="宋体" w:hAnsi="宋体" w:cs="宋体"/>
                <w:sz w:val="21"/>
                <w:szCs w:val="21"/>
              </w:rPr>
              <w:t>1.10</w:t>
            </w:r>
          </w:p>
        </w:tc>
        <w:tc>
          <w:tcPr>
            <w:tcW w:w="1866" w:type="dxa"/>
            <w:tcMar>
              <w:top w:w="57" w:type="dxa"/>
              <w:bottom w:w="57" w:type="dxa"/>
            </w:tcMar>
            <w:vAlign w:val="center"/>
          </w:tcPr>
          <w:p w14:paraId="3485BBBB">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投标预备会</w:t>
            </w:r>
          </w:p>
        </w:tc>
        <w:tc>
          <w:tcPr>
            <w:tcW w:w="6788" w:type="dxa"/>
            <w:tcMar>
              <w:top w:w="57" w:type="dxa"/>
              <w:bottom w:w="57" w:type="dxa"/>
            </w:tcMar>
            <w:vAlign w:val="center"/>
          </w:tcPr>
          <w:p w14:paraId="0289A1BA">
            <w:pPr>
              <w:adjustRightInd w:val="0"/>
              <w:snapToGrid w:val="0"/>
              <w:spacing w:line="288" w:lineRule="auto"/>
              <w:rPr>
                <w:rFonts w:ascii="宋体" w:hAnsi="宋体" w:cs="宋体"/>
                <w:sz w:val="21"/>
                <w:szCs w:val="21"/>
              </w:rPr>
            </w:pPr>
            <w:r>
              <w:rPr>
                <w:rFonts w:hint="eastAsia" w:ascii="宋体" w:hAnsi="宋体" w:cs="宋体"/>
                <w:sz w:val="21"/>
                <w:szCs w:val="21"/>
              </w:rPr>
              <w:t>不召开。</w:t>
            </w:r>
          </w:p>
        </w:tc>
      </w:tr>
      <w:tr w14:paraId="16A3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219AD02B">
            <w:pPr>
              <w:adjustRightInd w:val="0"/>
              <w:snapToGrid w:val="0"/>
              <w:spacing w:line="288" w:lineRule="auto"/>
              <w:jc w:val="center"/>
              <w:rPr>
                <w:rFonts w:ascii="宋体" w:hAnsi="宋体" w:cs="宋体"/>
                <w:sz w:val="21"/>
                <w:szCs w:val="21"/>
              </w:rPr>
            </w:pPr>
            <w:r>
              <w:rPr>
                <w:rFonts w:hint="eastAsia" w:ascii="宋体" w:hAnsi="宋体" w:cs="宋体"/>
                <w:sz w:val="21"/>
                <w:szCs w:val="21"/>
              </w:rPr>
              <w:t>1.11</w:t>
            </w:r>
          </w:p>
        </w:tc>
        <w:tc>
          <w:tcPr>
            <w:tcW w:w="1866" w:type="dxa"/>
            <w:tcMar>
              <w:top w:w="57" w:type="dxa"/>
              <w:bottom w:w="57" w:type="dxa"/>
            </w:tcMar>
            <w:vAlign w:val="center"/>
          </w:tcPr>
          <w:p w14:paraId="5967BE7E">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分包</w:t>
            </w:r>
          </w:p>
        </w:tc>
        <w:tc>
          <w:tcPr>
            <w:tcW w:w="6788" w:type="dxa"/>
            <w:tcMar>
              <w:top w:w="57" w:type="dxa"/>
              <w:bottom w:w="57" w:type="dxa"/>
            </w:tcMar>
            <w:vAlign w:val="center"/>
          </w:tcPr>
          <w:p w14:paraId="3DC369C4">
            <w:pPr>
              <w:adjustRightInd w:val="0"/>
              <w:snapToGrid w:val="0"/>
              <w:spacing w:line="288" w:lineRule="auto"/>
              <w:rPr>
                <w:rFonts w:ascii="宋体" w:hAnsi="宋体" w:cs="宋体"/>
                <w:sz w:val="21"/>
                <w:szCs w:val="21"/>
              </w:rPr>
            </w:pPr>
            <w:r>
              <w:rPr>
                <w:rFonts w:hint="eastAsia" w:ascii="宋体" w:hAnsi="宋体" w:cs="宋体"/>
                <w:sz w:val="21"/>
                <w:szCs w:val="21"/>
              </w:rPr>
              <w:t>本项目工程不允许分包。</w:t>
            </w:r>
          </w:p>
        </w:tc>
      </w:tr>
      <w:tr w14:paraId="61EA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Merge w:val="restart"/>
            <w:tcMar>
              <w:top w:w="57" w:type="dxa"/>
              <w:bottom w:w="57" w:type="dxa"/>
            </w:tcMar>
            <w:vAlign w:val="center"/>
          </w:tcPr>
          <w:p w14:paraId="5EF785BB">
            <w:pPr>
              <w:adjustRightInd w:val="0"/>
              <w:snapToGrid w:val="0"/>
              <w:spacing w:line="288" w:lineRule="auto"/>
              <w:jc w:val="center"/>
              <w:rPr>
                <w:rFonts w:ascii="宋体" w:hAnsi="宋体" w:cs="宋体"/>
                <w:sz w:val="21"/>
                <w:szCs w:val="21"/>
              </w:rPr>
            </w:pPr>
            <w:r>
              <w:rPr>
                <w:rFonts w:hint="eastAsia" w:ascii="宋体" w:hAnsi="宋体" w:cs="宋体"/>
                <w:sz w:val="21"/>
                <w:szCs w:val="21"/>
              </w:rPr>
              <w:t>2.2.1</w:t>
            </w:r>
          </w:p>
        </w:tc>
        <w:tc>
          <w:tcPr>
            <w:tcW w:w="1866" w:type="dxa"/>
            <w:vMerge w:val="restart"/>
            <w:tcMar>
              <w:top w:w="57" w:type="dxa"/>
              <w:bottom w:w="57" w:type="dxa"/>
            </w:tcMar>
            <w:vAlign w:val="center"/>
          </w:tcPr>
          <w:p w14:paraId="6970EF56">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投标人提出问题的截止时间</w:t>
            </w:r>
          </w:p>
        </w:tc>
        <w:tc>
          <w:tcPr>
            <w:tcW w:w="6788" w:type="dxa"/>
            <w:tcMar>
              <w:top w:w="57" w:type="dxa"/>
              <w:bottom w:w="57" w:type="dxa"/>
            </w:tcMar>
            <w:vAlign w:val="center"/>
          </w:tcPr>
          <w:p w14:paraId="4E6237B8">
            <w:pPr>
              <w:adjustRightInd w:val="0"/>
              <w:snapToGrid w:val="0"/>
              <w:spacing w:line="288" w:lineRule="auto"/>
              <w:rPr>
                <w:rFonts w:ascii="宋体" w:hAnsi="宋体" w:cs="宋体"/>
                <w:sz w:val="21"/>
                <w:szCs w:val="21"/>
              </w:rPr>
            </w:pPr>
            <w:r>
              <w:rPr>
                <w:rFonts w:hint="eastAsia" w:ascii="楷体" w:hAnsi="楷体" w:cs="楷体"/>
                <w:sz w:val="21"/>
                <w:szCs w:val="21"/>
              </w:rPr>
              <w:t>提出问题的截止时间</w:t>
            </w:r>
            <w:r>
              <w:rPr>
                <w:rFonts w:hint="eastAsia" w:ascii="宋体" w:hAnsi="宋体" w:cs="宋体"/>
                <w:sz w:val="21"/>
                <w:szCs w:val="21"/>
              </w:rPr>
              <w:t>为</w:t>
            </w:r>
            <w:r>
              <w:rPr>
                <w:rFonts w:hint="eastAsia" w:ascii="宋体" w:hAnsi="宋体" w:cs="宋体"/>
                <w:sz w:val="21"/>
                <w:szCs w:val="21"/>
                <w:u w:val="single"/>
              </w:rPr>
              <w:t>2025</w:t>
            </w:r>
            <w:r>
              <w:rPr>
                <w:rFonts w:hint="eastAsia" w:ascii="宋体" w:hAnsi="宋体" w:cs="宋体"/>
                <w:sz w:val="21"/>
                <w:szCs w:val="21"/>
              </w:rPr>
              <w:t>年</w:t>
            </w:r>
            <w:r>
              <w:rPr>
                <w:rFonts w:hint="eastAsia" w:ascii="宋体" w:hAnsi="宋体" w:cs="宋体"/>
                <w:sz w:val="21"/>
                <w:szCs w:val="21"/>
                <w:u w:val="single"/>
                <w:lang w:val="en-US" w:eastAsia="zh-CN"/>
              </w:rPr>
              <w:t>11</w:t>
            </w:r>
            <w:r>
              <w:rPr>
                <w:rFonts w:hint="eastAsia" w:ascii="宋体" w:hAnsi="宋体" w:cs="宋体"/>
                <w:sz w:val="21"/>
                <w:szCs w:val="21"/>
              </w:rPr>
              <w:t>月</w:t>
            </w:r>
            <w:r>
              <w:rPr>
                <w:rFonts w:hint="eastAsia" w:ascii="宋体" w:hAnsi="宋体" w:cs="宋体"/>
                <w:sz w:val="21"/>
                <w:szCs w:val="21"/>
                <w:u w:val="single"/>
                <w:lang w:val="en-US" w:eastAsia="zh-CN"/>
              </w:rPr>
              <w:t>17</w:t>
            </w:r>
            <w:r>
              <w:rPr>
                <w:rFonts w:hint="eastAsia" w:ascii="宋体" w:hAnsi="宋体" w:cs="宋体"/>
                <w:sz w:val="21"/>
                <w:szCs w:val="21"/>
              </w:rPr>
              <w:t>日</w:t>
            </w:r>
            <w:r>
              <w:rPr>
                <w:rFonts w:hint="eastAsia" w:ascii="宋体" w:hAnsi="宋体" w:cs="宋体"/>
                <w:sz w:val="21"/>
                <w:szCs w:val="21"/>
                <w:u w:val="single"/>
                <w:lang w:val="en-US" w:eastAsia="zh-CN"/>
              </w:rPr>
              <w:t>10</w:t>
            </w:r>
            <w:r>
              <w:rPr>
                <w:rFonts w:hint="eastAsia" w:ascii="宋体" w:hAnsi="宋体" w:cs="宋体"/>
                <w:sz w:val="21"/>
                <w:szCs w:val="21"/>
              </w:rPr>
              <w:t>时</w:t>
            </w:r>
            <w:r>
              <w:rPr>
                <w:rFonts w:hint="eastAsia" w:ascii="宋体" w:hAnsi="宋体" w:cs="宋体"/>
                <w:sz w:val="21"/>
                <w:szCs w:val="21"/>
                <w:u w:val="single"/>
                <w:lang w:val="en-US" w:eastAsia="zh-CN"/>
              </w:rPr>
              <w:t>00</w:t>
            </w:r>
            <w:r>
              <w:rPr>
                <w:rFonts w:hint="eastAsia" w:ascii="宋体" w:hAnsi="宋体" w:cs="宋体"/>
                <w:sz w:val="21"/>
                <w:szCs w:val="21"/>
              </w:rPr>
              <w:t>分前。</w:t>
            </w:r>
          </w:p>
        </w:tc>
      </w:tr>
      <w:tr w14:paraId="3292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Merge w:val="continue"/>
            <w:tcMar>
              <w:top w:w="57" w:type="dxa"/>
              <w:bottom w:w="57" w:type="dxa"/>
            </w:tcMar>
            <w:vAlign w:val="center"/>
          </w:tcPr>
          <w:p w14:paraId="06452FA2">
            <w:pPr>
              <w:adjustRightInd w:val="0"/>
              <w:snapToGrid w:val="0"/>
              <w:spacing w:line="288" w:lineRule="auto"/>
              <w:jc w:val="center"/>
              <w:rPr>
                <w:rFonts w:ascii="宋体" w:hAnsi="宋体" w:cs="宋体"/>
                <w:sz w:val="21"/>
                <w:szCs w:val="21"/>
              </w:rPr>
            </w:pPr>
          </w:p>
        </w:tc>
        <w:tc>
          <w:tcPr>
            <w:tcW w:w="1866" w:type="dxa"/>
            <w:vMerge w:val="continue"/>
            <w:tcMar>
              <w:top w:w="57" w:type="dxa"/>
              <w:bottom w:w="57" w:type="dxa"/>
            </w:tcMar>
            <w:vAlign w:val="center"/>
          </w:tcPr>
          <w:p w14:paraId="1604FACE">
            <w:pPr>
              <w:adjustRightInd w:val="0"/>
              <w:snapToGrid w:val="0"/>
              <w:spacing w:line="288" w:lineRule="auto"/>
              <w:jc w:val="left"/>
              <w:rPr>
                <w:rFonts w:ascii="宋体" w:hAnsi="宋体" w:cs="宋体"/>
                <w:b/>
                <w:bCs/>
                <w:sz w:val="21"/>
                <w:szCs w:val="21"/>
              </w:rPr>
            </w:pPr>
          </w:p>
        </w:tc>
        <w:tc>
          <w:tcPr>
            <w:tcW w:w="6788" w:type="dxa"/>
            <w:tcMar>
              <w:top w:w="57" w:type="dxa"/>
              <w:bottom w:w="57" w:type="dxa"/>
            </w:tcMar>
            <w:vAlign w:val="center"/>
          </w:tcPr>
          <w:p w14:paraId="409BF1F6">
            <w:pPr>
              <w:adjustRightInd w:val="0"/>
              <w:snapToGrid w:val="0"/>
              <w:spacing w:line="288" w:lineRule="auto"/>
              <w:rPr>
                <w:rFonts w:ascii="宋体" w:hAnsi="宋体" w:cs="宋体"/>
                <w:sz w:val="21"/>
                <w:szCs w:val="21"/>
              </w:rPr>
            </w:pPr>
            <w:r>
              <w:rPr>
                <w:rFonts w:hint="eastAsia" w:ascii="宋体" w:hAnsi="宋体" w:cs="宋体"/>
                <w:sz w:val="21"/>
                <w:szCs w:val="21"/>
              </w:rPr>
              <w:t>1.形式：招标答疑采用网上答疑方式进行。如有疑问，可在投标人须知前附表规定的时间内通过广州公共资源交易中心网站进入提问区域将问题提交给招标人或招标代理人，提交问题时一律不得署名；</w:t>
            </w:r>
          </w:p>
          <w:p w14:paraId="72AEBF87">
            <w:pPr>
              <w:adjustRightInd w:val="0"/>
              <w:snapToGrid w:val="0"/>
              <w:spacing w:line="288" w:lineRule="auto"/>
              <w:rPr>
                <w:rFonts w:ascii="宋体" w:hAnsi="宋体" w:cs="宋体"/>
                <w:sz w:val="21"/>
                <w:szCs w:val="21"/>
              </w:rPr>
            </w:pPr>
            <w:r>
              <w:rPr>
                <w:rFonts w:hint="eastAsia" w:ascii="宋体" w:hAnsi="宋体" w:cs="宋体"/>
                <w:sz w:val="21"/>
                <w:szCs w:val="21"/>
              </w:rPr>
              <w:t>2.</w:t>
            </w:r>
            <w:r>
              <w:rPr>
                <w:rFonts w:hint="eastAsia" w:ascii="宋体" w:hAnsi="宋体" w:cs="宋体"/>
                <w:b/>
                <w:bCs/>
                <w:sz w:val="21"/>
                <w:szCs w:val="21"/>
              </w:rPr>
              <w:t>网上答疑的操作指南为：</w:t>
            </w:r>
            <w:r>
              <w:rPr>
                <w:rFonts w:hint="eastAsia" w:ascii="宋体" w:hAnsi="宋体" w:cs="宋体"/>
                <w:sz w:val="21"/>
                <w:szCs w:val="21"/>
              </w:rPr>
              <w:t>登陆广州交易集团有限公司（广州公共资源交易中心）网站交易系统→进入“我的投标”专区→进入“招标答疑”选项→通过项目编号或名称找到所需的项目→在答疑时间内点击“答疑提问-新增提问”→提出问题（提问一律不得署名）。</w:t>
            </w:r>
          </w:p>
        </w:tc>
      </w:tr>
      <w:tr w14:paraId="602A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1EA9B7CB">
            <w:pPr>
              <w:adjustRightInd w:val="0"/>
              <w:snapToGrid w:val="0"/>
              <w:spacing w:line="288" w:lineRule="auto"/>
              <w:jc w:val="center"/>
              <w:rPr>
                <w:rFonts w:ascii="宋体" w:hAnsi="宋体" w:cs="宋体"/>
                <w:sz w:val="21"/>
                <w:szCs w:val="21"/>
              </w:rPr>
            </w:pPr>
            <w:r>
              <w:rPr>
                <w:rFonts w:hint="eastAsia" w:ascii="宋体" w:hAnsi="宋体" w:cs="宋体"/>
                <w:sz w:val="21"/>
                <w:szCs w:val="21"/>
              </w:rPr>
              <w:t>2.2.2</w:t>
            </w:r>
          </w:p>
        </w:tc>
        <w:tc>
          <w:tcPr>
            <w:tcW w:w="1866" w:type="dxa"/>
            <w:tcMar>
              <w:top w:w="57" w:type="dxa"/>
              <w:bottom w:w="57" w:type="dxa"/>
            </w:tcMar>
            <w:vAlign w:val="center"/>
          </w:tcPr>
          <w:p w14:paraId="6556CF5A">
            <w:pPr>
              <w:pStyle w:val="438"/>
              <w:adjustRightInd w:val="0"/>
              <w:snapToGrid w:val="0"/>
              <w:spacing w:line="288" w:lineRule="auto"/>
              <w:jc w:val="left"/>
              <w:rPr>
                <w:b/>
                <w:bCs/>
                <w:sz w:val="21"/>
                <w:szCs w:val="21"/>
              </w:rPr>
            </w:pPr>
            <w:r>
              <w:rPr>
                <w:rFonts w:hint="eastAsia"/>
                <w:b/>
                <w:bCs/>
                <w:sz w:val="21"/>
                <w:szCs w:val="21"/>
                <w:lang w:val="en-US" w:bidi="ar-SA"/>
              </w:rPr>
              <w:t>招标文件澄清发出的形式</w:t>
            </w:r>
          </w:p>
        </w:tc>
        <w:tc>
          <w:tcPr>
            <w:tcW w:w="6788" w:type="dxa"/>
            <w:tcMar>
              <w:top w:w="57" w:type="dxa"/>
              <w:bottom w:w="57" w:type="dxa"/>
            </w:tcMar>
          </w:tcPr>
          <w:p w14:paraId="56B2D381">
            <w:pPr>
              <w:pStyle w:val="438"/>
              <w:adjustRightInd w:val="0"/>
              <w:snapToGrid w:val="0"/>
              <w:spacing w:line="288" w:lineRule="auto"/>
              <w:rPr>
                <w:sz w:val="21"/>
                <w:szCs w:val="21"/>
                <w:lang w:val="en-US" w:bidi="ar-SA"/>
              </w:rPr>
            </w:pPr>
            <w:r>
              <w:rPr>
                <w:rFonts w:hint="eastAsia"/>
                <w:sz w:val="21"/>
                <w:szCs w:val="21"/>
                <w:lang w:val="en-US" w:bidi="ar-SA"/>
              </w:rPr>
              <w:t>发出形式：招标人或招标代理机构通过广州公共资源交易中心网站“答疑纪要”专区向投标人发出招标文件的澄清文件，澄清文件在广州公共资源交易中心网站一经发出则视为送达所有投标人。因投标人未及时查阅上述澄清文件而导致的后果由投标人自行承担。</w:t>
            </w:r>
          </w:p>
          <w:p w14:paraId="70FC6CBD">
            <w:pPr>
              <w:pStyle w:val="438"/>
              <w:adjustRightInd w:val="0"/>
              <w:snapToGrid w:val="0"/>
              <w:spacing w:line="288" w:lineRule="auto"/>
              <w:rPr>
                <w:sz w:val="21"/>
                <w:szCs w:val="21"/>
                <w:lang w:val="en-US" w:bidi="ar-SA"/>
              </w:rPr>
            </w:pPr>
            <w:r>
              <w:rPr>
                <w:rFonts w:hint="eastAsia"/>
                <w:b/>
                <w:bCs/>
                <w:sz w:val="21"/>
                <w:szCs w:val="21"/>
                <w:lang w:val="en-US" w:bidi="ar-SA"/>
              </w:rPr>
              <w:t>查询路径：</w:t>
            </w:r>
            <w:r>
              <w:rPr>
                <w:rFonts w:hint="eastAsia"/>
                <w:sz w:val="21"/>
                <w:szCs w:val="21"/>
                <w:lang w:val="en-US" w:bidi="ar-SA"/>
              </w:rPr>
              <w:t>从广州公共资源交易中心门户网站“建设工程”网站→点击网页右侧“项目查询(日程安排、答疑纪要)”专区→输入“项目编号/项目名称”点击“查询”→选择项目点击所查项目的“项目名称”→进入项目后下拉至答疑纪要处即可查看详情）。</w:t>
            </w:r>
          </w:p>
        </w:tc>
      </w:tr>
      <w:tr w14:paraId="10A6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77F7EFC2">
            <w:pPr>
              <w:adjustRightInd w:val="0"/>
              <w:snapToGrid w:val="0"/>
              <w:spacing w:line="288" w:lineRule="auto"/>
              <w:jc w:val="center"/>
              <w:rPr>
                <w:rFonts w:ascii="宋体" w:hAnsi="宋体" w:cs="宋体"/>
                <w:sz w:val="21"/>
                <w:szCs w:val="21"/>
              </w:rPr>
            </w:pPr>
            <w:r>
              <w:rPr>
                <w:rFonts w:hint="eastAsia" w:ascii="宋体" w:hAnsi="宋体" w:cs="宋体"/>
                <w:sz w:val="21"/>
                <w:szCs w:val="21"/>
              </w:rPr>
              <w:t>3.2.2</w:t>
            </w:r>
          </w:p>
        </w:tc>
        <w:tc>
          <w:tcPr>
            <w:tcW w:w="1866" w:type="dxa"/>
            <w:tcMar>
              <w:top w:w="57" w:type="dxa"/>
              <w:bottom w:w="57" w:type="dxa"/>
            </w:tcMar>
            <w:vAlign w:val="center"/>
          </w:tcPr>
          <w:p w14:paraId="4CFBDD4A">
            <w:pPr>
              <w:adjustRightInd w:val="0"/>
              <w:snapToGrid w:val="0"/>
              <w:spacing w:line="288" w:lineRule="auto"/>
              <w:rPr>
                <w:rFonts w:ascii="宋体" w:hAnsi="宋体" w:cs="宋体"/>
                <w:b/>
                <w:bCs/>
                <w:sz w:val="21"/>
                <w:szCs w:val="21"/>
              </w:rPr>
            </w:pPr>
            <w:r>
              <w:rPr>
                <w:rFonts w:hint="eastAsia" w:ascii="宋体" w:hAnsi="宋体"/>
                <w:b/>
                <w:bCs/>
                <w:sz w:val="21"/>
                <w:szCs w:val="21"/>
              </w:rPr>
              <w:t>合同价款形式</w:t>
            </w:r>
          </w:p>
        </w:tc>
        <w:tc>
          <w:tcPr>
            <w:tcW w:w="6788" w:type="dxa"/>
            <w:tcMar>
              <w:top w:w="57" w:type="dxa"/>
              <w:bottom w:w="57" w:type="dxa"/>
            </w:tcMar>
            <w:vAlign w:val="center"/>
          </w:tcPr>
          <w:p w14:paraId="0E2393E7">
            <w:pPr>
              <w:adjustRightInd w:val="0"/>
              <w:snapToGrid w:val="0"/>
              <w:spacing w:line="288" w:lineRule="auto"/>
              <w:rPr>
                <w:rFonts w:ascii="宋体" w:hAnsi="宋体" w:cs="宋体"/>
                <w:sz w:val="21"/>
                <w:szCs w:val="21"/>
              </w:rPr>
            </w:pPr>
            <w:r>
              <w:rPr>
                <w:rFonts w:hint="eastAsia" w:ascii="宋体" w:hAnsi="宋体" w:cs="宋体"/>
                <w:sz w:val="21"/>
                <w:szCs w:val="21"/>
              </w:rPr>
              <w:t>单价合同。</w:t>
            </w:r>
          </w:p>
        </w:tc>
      </w:tr>
      <w:tr w14:paraId="48DE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75A49CF0">
            <w:pPr>
              <w:adjustRightInd w:val="0"/>
              <w:snapToGrid w:val="0"/>
              <w:spacing w:line="288" w:lineRule="auto"/>
              <w:jc w:val="center"/>
              <w:rPr>
                <w:rFonts w:ascii="宋体" w:hAnsi="宋体" w:cs="宋体"/>
                <w:sz w:val="21"/>
                <w:szCs w:val="21"/>
              </w:rPr>
            </w:pPr>
            <w:r>
              <w:rPr>
                <w:rFonts w:hint="eastAsia" w:ascii="宋体" w:hAnsi="宋体" w:cs="宋体"/>
                <w:sz w:val="21"/>
                <w:szCs w:val="21"/>
              </w:rPr>
              <w:t>3.2.3</w:t>
            </w:r>
          </w:p>
        </w:tc>
        <w:tc>
          <w:tcPr>
            <w:tcW w:w="1866" w:type="dxa"/>
            <w:tcMar>
              <w:top w:w="57" w:type="dxa"/>
              <w:bottom w:w="57" w:type="dxa"/>
            </w:tcMar>
            <w:vAlign w:val="center"/>
          </w:tcPr>
          <w:p w14:paraId="121BFEA6">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报价方式</w:t>
            </w:r>
          </w:p>
        </w:tc>
        <w:tc>
          <w:tcPr>
            <w:tcW w:w="6788" w:type="dxa"/>
            <w:tcMar>
              <w:top w:w="57" w:type="dxa"/>
              <w:bottom w:w="57" w:type="dxa"/>
            </w:tcMar>
            <w:vAlign w:val="center"/>
          </w:tcPr>
          <w:p w14:paraId="77F251E6">
            <w:pPr>
              <w:adjustRightInd w:val="0"/>
              <w:snapToGrid w:val="0"/>
              <w:spacing w:line="288" w:lineRule="auto"/>
              <w:rPr>
                <w:rFonts w:ascii="宋体" w:hAnsi="宋体" w:cs="宋体"/>
                <w:sz w:val="21"/>
                <w:szCs w:val="21"/>
              </w:rPr>
            </w:pPr>
            <w:r>
              <w:rPr>
                <w:rFonts w:hint="eastAsia" w:ascii="宋体" w:hAnsi="宋体" w:cs="宋体"/>
                <w:sz w:val="21"/>
                <w:szCs w:val="21"/>
              </w:rPr>
              <w:t>以工程量清单计价方式报价。</w:t>
            </w:r>
          </w:p>
        </w:tc>
      </w:tr>
      <w:tr w14:paraId="105A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4" w:type="dxa"/>
            <w:tcMar>
              <w:top w:w="57" w:type="dxa"/>
              <w:bottom w:w="57" w:type="dxa"/>
            </w:tcMar>
            <w:vAlign w:val="center"/>
          </w:tcPr>
          <w:p w14:paraId="63555ADE">
            <w:pPr>
              <w:adjustRightInd w:val="0"/>
              <w:snapToGrid w:val="0"/>
              <w:spacing w:line="288" w:lineRule="auto"/>
              <w:jc w:val="center"/>
              <w:rPr>
                <w:rFonts w:ascii="宋体" w:hAnsi="宋体" w:cs="宋体"/>
                <w:sz w:val="21"/>
                <w:szCs w:val="21"/>
              </w:rPr>
            </w:pPr>
            <w:r>
              <w:rPr>
                <w:rFonts w:hint="eastAsia" w:ascii="宋体" w:hAnsi="宋体" w:cs="宋体"/>
                <w:sz w:val="21"/>
                <w:szCs w:val="21"/>
              </w:rPr>
              <w:t>3.2.4</w:t>
            </w:r>
          </w:p>
        </w:tc>
        <w:tc>
          <w:tcPr>
            <w:tcW w:w="1866" w:type="dxa"/>
            <w:tcMar>
              <w:top w:w="57" w:type="dxa"/>
              <w:bottom w:w="57" w:type="dxa"/>
            </w:tcMar>
            <w:vAlign w:val="center"/>
          </w:tcPr>
          <w:p w14:paraId="78729A0D">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最高投标限价</w:t>
            </w:r>
          </w:p>
        </w:tc>
        <w:tc>
          <w:tcPr>
            <w:tcW w:w="6788" w:type="dxa"/>
            <w:tcMar>
              <w:top w:w="57" w:type="dxa"/>
              <w:bottom w:w="57" w:type="dxa"/>
            </w:tcMar>
            <w:vAlign w:val="center"/>
          </w:tcPr>
          <w:p w14:paraId="58392BB3">
            <w:pPr>
              <w:pStyle w:val="27"/>
              <w:adjustRightInd w:val="0"/>
              <w:snapToGrid w:val="0"/>
              <w:spacing w:after="0" w:line="288" w:lineRule="auto"/>
              <w:rPr>
                <w:rFonts w:ascii="宋体" w:hAnsi="宋体" w:cs="宋体"/>
                <w:sz w:val="21"/>
                <w:szCs w:val="21"/>
                <w:highlight w:val="none"/>
              </w:rPr>
            </w:pPr>
            <w:bookmarkStart w:id="66" w:name="OLE_LINK1"/>
            <w:bookmarkStart w:id="67" w:name="OLE_LINK4"/>
            <w:bookmarkStart w:id="68" w:name="OLE_LINK2"/>
            <w:r>
              <w:rPr>
                <w:rFonts w:hint="eastAsia" w:ascii="宋体" w:hAnsi="宋体" w:cs="宋体"/>
                <w:sz w:val="21"/>
                <w:szCs w:val="21"/>
                <w:highlight w:val="none"/>
              </w:rPr>
              <w:t>最高投标限价：</w:t>
            </w:r>
            <w:r>
              <w:rPr>
                <w:rFonts w:hint="eastAsia" w:ascii="宋体" w:hAnsi="宋体" w:cs="宋体"/>
                <w:sz w:val="21"/>
                <w:szCs w:val="21"/>
                <w:highlight w:val="none"/>
                <w:u w:val="single"/>
              </w:rPr>
              <w:t>5752331.15</w:t>
            </w:r>
            <w:r>
              <w:rPr>
                <w:rFonts w:hint="eastAsia" w:ascii="宋体" w:hAnsi="宋体" w:cs="宋体"/>
                <w:sz w:val="21"/>
                <w:szCs w:val="21"/>
                <w:highlight w:val="none"/>
              </w:rPr>
              <w:t>元（含税）,投标总报价超过最高投标限价的投标文件将被否决。</w:t>
            </w:r>
          </w:p>
          <w:p w14:paraId="50EFEC0B">
            <w:pPr>
              <w:pStyle w:val="27"/>
              <w:adjustRightInd w:val="0"/>
              <w:snapToGrid w:val="0"/>
              <w:spacing w:after="0" w:line="288" w:lineRule="auto"/>
              <w:rPr>
                <w:rFonts w:ascii="宋体" w:hAnsi="宋体" w:cs="宋体"/>
                <w:sz w:val="21"/>
                <w:szCs w:val="21"/>
                <w:highlight w:val="none"/>
              </w:rPr>
            </w:pPr>
            <w:r>
              <w:rPr>
                <w:rFonts w:hint="eastAsia" w:ascii="宋体" w:hAnsi="宋体" w:cs="宋体"/>
                <w:sz w:val="21"/>
                <w:szCs w:val="21"/>
                <w:highlight w:val="none"/>
              </w:rPr>
              <w:t>其中：</w:t>
            </w:r>
          </w:p>
          <w:p w14:paraId="74050B67">
            <w:pPr>
              <w:pStyle w:val="27"/>
              <w:adjustRightInd w:val="0"/>
              <w:snapToGrid w:val="0"/>
              <w:spacing w:after="0" w:line="288" w:lineRule="auto"/>
              <w:rPr>
                <w:rFonts w:ascii="宋体" w:hAnsi="宋体" w:cs="宋体"/>
                <w:sz w:val="21"/>
                <w:szCs w:val="21"/>
                <w:highlight w:val="none"/>
              </w:rPr>
            </w:pPr>
            <w:r>
              <w:rPr>
                <w:rFonts w:hint="eastAsia" w:ascii="宋体" w:hAnsi="宋体" w:cs="宋体"/>
                <w:sz w:val="21"/>
                <w:szCs w:val="21"/>
                <w:highlight w:val="none"/>
              </w:rPr>
              <w:t>绿色施工安全防护措施费(合计）：111570.25元（不含税）；</w:t>
            </w:r>
          </w:p>
          <w:p w14:paraId="0BE6AC02">
            <w:pPr>
              <w:pStyle w:val="27"/>
              <w:adjustRightInd w:val="0"/>
              <w:snapToGrid w:val="0"/>
              <w:spacing w:after="0" w:line="288" w:lineRule="auto"/>
              <w:rPr>
                <w:rFonts w:ascii="宋体" w:hAnsi="宋体" w:cs="宋体"/>
                <w:sz w:val="21"/>
                <w:szCs w:val="21"/>
                <w:highlight w:val="none"/>
              </w:rPr>
            </w:pPr>
            <w:r>
              <w:rPr>
                <w:rFonts w:hint="eastAsia" w:ascii="宋体" w:hAnsi="宋体" w:cs="宋体"/>
                <w:sz w:val="21"/>
                <w:szCs w:val="21"/>
                <w:highlight w:val="none"/>
              </w:rPr>
              <w:t>暂列金额（合计）：454957.65元（不含税）。</w:t>
            </w:r>
          </w:p>
          <w:bookmarkEnd w:id="66"/>
          <w:bookmarkEnd w:id="67"/>
          <w:bookmarkEnd w:id="68"/>
          <w:p w14:paraId="76ABFB8C">
            <w:pPr>
              <w:pStyle w:val="27"/>
              <w:adjustRightInd w:val="0"/>
              <w:snapToGrid w:val="0"/>
              <w:spacing w:after="0" w:line="288" w:lineRule="auto"/>
              <w:rPr>
                <w:rFonts w:ascii="宋体" w:hAnsi="宋体" w:cs="宋体"/>
                <w:sz w:val="21"/>
                <w:szCs w:val="21"/>
              </w:rPr>
            </w:pPr>
            <w:r>
              <w:rPr>
                <w:rFonts w:hint="eastAsia" w:ascii="宋体" w:hAnsi="宋体" w:cs="宋体"/>
                <w:b/>
                <w:bCs/>
                <w:sz w:val="21"/>
                <w:szCs w:val="21"/>
              </w:rPr>
              <w:t>注：绿色施工安全防护措施费、暂列金额按招标文件规定的金额执行，不得更改，若投标人未按招标文件规定的金额报价的，按无效标处理。</w:t>
            </w:r>
          </w:p>
        </w:tc>
      </w:tr>
      <w:tr w14:paraId="3CDA1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44" w:type="dxa"/>
            <w:tcMar>
              <w:top w:w="57" w:type="dxa"/>
              <w:bottom w:w="57" w:type="dxa"/>
            </w:tcMar>
            <w:vAlign w:val="center"/>
          </w:tcPr>
          <w:p w14:paraId="4B1E0AE0">
            <w:pPr>
              <w:adjustRightInd w:val="0"/>
              <w:snapToGrid w:val="0"/>
              <w:spacing w:line="288" w:lineRule="auto"/>
              <w:jc w:val="center"/>
              <w:rPr>
                <w:rFonts w:ascii="宋体" w:hAnsi="宋体" w:cs="宋体"/>
                <w:sz w:val="21"/>
                <w:szCs w:val="21"/>
              </w:rPr>
            </w:pPr>
            <w:r>
              <w:rPr>
                <w:rFonts w:hint="eastAsia" w:ascii="宋体" w:hAnsi="宋体" w:cs="宋体"/>
                <w:sz w:val="21"/>
                <w:szCs w:val="21"/>
              </w:rPr>
              <w:t>3.3.1</w:t>
            </w:r>
          </w:p>
        </w:tc>
        <w:tc>
          <w:tcPr>
            <w:tcW w:w="1866" w:type="dxa"/>
            <w:tcMar>
              <w:top w:w="57" w:type="dxa"/>
              <w:bottom w:w="57" w:type="dxa"/>
            </w:tcMar>
            <w:vAlign w:val="center"/>
          </w:tcPr>
          <w:p w14:paraId="5120CC0B">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投标有效期</w:t>
            </w:r>
          </w:p>
        </w:tc>
        <w:tc>
          <w:tcPr>
            <w:tcW w:w="6788" w:type="dxa"/>
            <w:tcMar>
              <w:top w:w="57" w:type="dxa"/>
              <w:bottom w:w="57" w:type="dxa"/>
            </w:tcMar>
            <w:vAlign w:val="center"/>
          </w:tcPr>
          <w:p w14:paraId="1C2B83AA">
            <w:pPr>
              <w:adjustRightInd w:val="0"/>
              <w:snapToGrid w:val="0"/>
              <w:spacing w:line="288" w:lineRule="auto"/>
              <w:rPr>
                <w:rFonts w:ascii="宋体" w:hAnsi="宋体" w:cs="宋体"/>
                <w:sz w:val="21"/>
                <w:szCs w:val="21"/>
              </w:rPr>
            </w:pPr>
            <w:r>
              <w:rPr>
                <w:rFonts w:hint="eastAsia" w:ascii="宋体" w:hAnsi="宋体" w:cs="宋体"/>
                <w:sz w:val="21"/>
                <w:szCs w:val="21"/>
              </w:rPr>
              <w:t>为（从投标截止之日算起）：</w:t>
            </w:r>
            <w:r>
              <w:rPr>
                <w:rFonts w:hint="eastAsia" w:ascii="宋体" w:hAnsi="宋体" w:cs="宋体"/>
                <w:sz w:val="21"/>
                <w:szCs w:val="21"/>
                <w:u w:val="single"/>
              </w:rPr>
              <w:t xml:space="preserve"> 90 </w:t>
            </w:r>
            <w:r>
              <w:rPr>
                <w:rFonts w:hint="eastAsia" w:ascii="宋体" w:hAnsi="宋体" w:cs="宋体"/>
                <w:sz w:val="21"/>
                <w:szCs w:val="21"/>
              </w:rPr>
              <w:t>天</w:t>
            </w:r>
          </w:p>
        </w:tc>
      </w:tr>
      <w:tr w14:paraId="2839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7248B48C">
            <w:pPr>
              <w:adjustRightInd w:val="0"/>
              <w:snapToGrid w:val="0"/>
              <w:spacing w:line="288" w:lineRule="auto"/>
              <w:jc w:val="center"/>
              <w:rPr>
                <w:rFonts w:ascii="宋体" w:hAnsi="宋体" w:cs="宋体"/>
                <w:sz w:val="21"/>
                <w:szCs w:val="21"/>
              </w:rPr>
            </w:pPr>
            <w:r>
              <w:rPr>
                <w:rFonts w:hint="eastAsia" w:ascii="宋体" w:hAnsi="宋体" w:cs="宋体"/>
                <w:sz w:val="21"/>
                <w:szCs w:val="21"/>
              </w:rPr>
              <w:t>3.4.1</w:t>
            </w:r>
          </w:p>
        </w:tc>
        <w:tc>
          <w:tcPr>
            <w:tcW w:w="1866" w:type="dxa"/>
            <w:tcMar>
              <w:top w:w="57" w:type="dxa"/>
              <w:bottom w:w="57" w:type="dxa"/>
            </w:tcMar>
            <w:vAlign w:val="center"/>
          </w:tcPr>
          <w:p w14:paraId="28213FC6">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投标保证金</w:t>
            </w:r>
          </w:p>
        </w:tc>
        <w:tc>
          <w:tcPr>
            <w:tcW w:w="6788" w:type="dxa"/>
            <w:tcMar>
              <w:top w:w="57" w:type="dxa"/>
              <w:bottom w:w="57" w:type="dxa"/>
            </w:tcMar>
            <w:vAlign w:val="center"/>
          </w:tcPr>
          <w:p w14:paraId="7E96C8E9">
            <w:pPr>
              <w:adjustRightInd w:val="0"/>
              <w:snapToGrid w:val="0"/>
              <w:spacing w:line="288" w:lineRule="auto"/>
              <w:rPr>
                <w:rFonts w:ascii="宋体" w:hAnsi="宋体" w:cs="宋体"/>
                <w:sz w:val="21"/>
                <w:szCs w:val="21"/>
              </w:rPr>
            </w:pPr>
            <w:r>
              <w:rPr>
                <w:rFonts w:hint="eastAsia" w:ascii="宋体" w:hAnsi="宋体" w:cs="宋体"/>
                <w:sz w:val="21"/>
                <w:szCs w:val="21"/>
              </w:rPr>
              <w:t>1、投标保证金的形式：银行电汇、银行保函、保险等形式。</w:t>
            </w:r>
          </w:p>
          <w:p w14:paraId="4D0C5AD9">
            <w:pPr>
              <w:adjustRightInd w:val="0"/>
              <w:snapToGrid w:val="0"/>
              <w:spacing w:line="288" w:lineRule="auto"/>
              <w:rPr>
                <w:rFonts w:ascii="宋体" w:hAnsi="宋体" w:cs="宋体"/>
                <w:sz w:val="21"/>
                <w:szCs w:val="21"/>
              </w:rPr>
            </w:pPr>
            <w:r>
              <w:rPr>
                <w:rFonts w:hint="eastAsia" w:ascii="宋体" w:hAnsi="宋体" w:cs="宋体"/>
                <w:sz w:val="21"/>
                <w:szCs w:val="21"/>
              </w:rPr>
              <w:t>2、投标保证金的金额：10万元。</w:t>
            </w:r>
          </w:p>
          <w:p w14:paraId="4ABA1996">
            <w:pPr>
              <w:adjustRightInd w:val="0"/>
              <w:snapToGrid w:val="0"/>
              <w:spacing w:line="288" w:lineRule="auto"/>
              <w:rPr>
                <w:rFonts w:ascii="宋体" w:hAnsi="宋体" w:cs="宋体"/>
                <w:sz w:val="21"/>
                <w:szCs w:val="21"/>
              </w:rPr>
            </w:pPr>
            <w:r>
              <w:rPr>
                <w:rFonts w:hint="eastAsia" w:ascii="宋体" w:hAnsi="宋体" w:cs="宋体"/>
                <w:sz w:val="21"/>
                <w:szCs w:val="21"/>
              </w:rPr>
              <w:t>3、投标保证金有效期：与投标有效期一致。</w:t>
            </w:r>
          </w:p>
          <w:p w14:paraId="5A1B4148">
            <w:pPr>
              <w:adjustRightInd w:val="0"/>
              <w:snapToGrid w:val="0"/>
              <w:spacing w:line="288" w:lineRule="auto"/>
              <w:rPr>
                <w:rFonts w:ascii="宋体" w:hAnsi="宋体" w:cs="宋体"/>
                <w:sz w:val="21"/>
                <w:szCs w:val="21"/>
              </w:rPr>
            </w:pPr>
            <w:r>
              <w:rPr>
                <w:rFonts w:hint="eastAsia" w:ascii="宋体" w:hAnsi="宋体" w:cs="宋体"/>
                <w:sz w:val="21"/>
                <w:szCs w:val="21"/>
              </w:rPr>
              <w:t>4、收取方式：</w:t>
            </w:r>
          </w:p>
          <w:p w14:paraId="514FAEC3">
            <w:pPr>
              <w:adjustRightInd w:val="0"/>
              <w:snapToGrid w:val="0"/>
              <w:spacing w:line="288" w:lineRule="auto"/>
              <w:rPr>
                <w:rFonts w:ascii="宋体" w:hAnsi="宋体" w:cs="宋体"/>
                <w:sz w:val="21"/>
                <w:szCs w:val="21"/>
              </w:rPr>
            </w:pPr>
            <w:r>
              <w:rPr>
                <w:rFonts w:hint="eastAsia" w:ascii="宋体" w:hAnsi="宋体" w:cs="宋体"/>
                <w:sz w:val="21"/>
                <w:szCs w:val="21"/>
              </w:rPr>
              <w:t>（1）如采用银行电汇、支票或者汇票形式提交的，由广州公共资源交易中心代收，投标人须在投标截止之日前，从投标人基本账户递交；</w:t>
            </w:r>
          </w:p>
          <w:p w14:paraId="5BBBCB9C">
            <w:pPr>
              <w:adjustRightInd w:val="0"/>
              <w:snapToGrid w:val="0"/>
              <w:spacing w:line="288" w:lineRule="auto"/>
              <w:rPr>
                <w:rFonts w:ascii="宋体" w:hAnsi="宋体" w:cs="宋体"/>
                <w:sz w:val="21"/>
                <w:szCs w:val="21"/>
              </w:rPr>
            </w:pPr>
            <w:r>
              <w:rPr>
                <w:rFonts w:hint="eastAsia" w:ascii="宋体" w:hAnsi="宋体" w:cs="宋体"/>
                <w:sz w:val="21"/>
                <w:szCs w:val="21"/>
              </w:rPr>
              <w:t>收款单位：广州交易集团有限公司</w:t>
            </w:r>
          </w:p>
          <w:p w14:paraId="704B63AB">
            <w:pPr>
              <w:adjustRightInd w:val="0"/>
              <w:snapToGrid w:val="0"/>
              <w:spacing w:line="288" w:lineRule="auto"/>
              <w:rPr>
                <w:rFonts w:ascii="宋体" w:hAnsi="宋体" w:cs="宋体"/>
                <w:sz w:val="21"/>
                <w:szCs w:val="21"/>
              </w:rPr>
            </w:pPr>
            <w:r>
              <w:rPr>
                <w:rFonts w:hint="eastAsia" w:ascii="宋体" w:hAnsi="宋体" w:cs="宋体"/>
                <w:sz w:val="21"/>
                <w:szCs w:val="21"/>
              </w:rPr>
              <w:t>银行账号：44001583404059333333</w:t>
            </w:r>
          </w:p>
          <w:p w14:paraId="2C719FD6">
            <w:pPr>
              <w:adjustRightInd w:val="0"/>
              <w:snapToGrid w:val="0"/>
              <w:spacing w:line="288" w:lineRule="auto"/>
              <w:rPr>
                <w:rFonts w:ascii="宋体" w:hAnsi="宋体" w:cs="宋体"/>
                <w:sz w:val="21"/>
                <w:szCs w:val="21"/>
              </w:rPr>
            </w:pPr>
            <w:r>
              <w:rPr>
                <w:rFonts w:hint="eastAsia" w:ascii="宋体" w:hAnsi="宋体" w:cs="宋体"/>
                <w:sz w:val="21"/>
                <w:szCs w:val="21"/>
              </w:rPr>
              <w:t>开户银行：中国建设银行天润路支行</w:t>
            </w:r>
          </w:p>
          <w:p w14:paraId="6494424B">
            <w:pPr>
              <w:adjustRightInd w:val="0"/>
              <w:snapToGrid w:val="0"/>
              <w:spacing w:line="288" w:lineRule="auto"/>
              <w:rPr>
                <w:rFonts w:ascii="宋体" w:hAnsi="宋体" w:cs="宋体"/>
                <w:b/>
                <w:bCs/>
                <w:sz w:val="21"/>
                <w:szCs w:val="21"/>
              </w:rPr>
            </w:pPr>
            <w:r>
              <w:rPr>
                <w:rFonts w:hint="eastAsia" w:ascii="宋体" w:hAnsi="宋体" w:cs="宋体"/>
                <w:b/>
                <w:bCs/>
                <w:sz w:val="21"/>
                <w:szCs w:val="21"/>
              </w:rPr>
              <w:t>凡使用基本户投标保证金的招标项目，投标保证金的缴纳分两个步骤进行：</w:t>
            </w:r>
          </w:p>
          <w:p w14:paraId="5FB527FB">
            <w:pPr>
              <w:adjustRightInd w:val="0"/>
              <w:snapToGrid w:val="0"/>
              <w:spacing w:line="288" w:lineRule="auto"/>
              <w:rPr>
                <w:rFonts w:ascii="宋体" w:hAnsi="宋体" w:cs="宋体"/>
                <w:b/>
                <w:bCs/>
                <w:sz w:val="21"/>
                <w:szCs w:val="21"/>
              </w:rPr>
            </w:pPr>
            <w:r>
              <w:rPr>
                <w:rFonts w:hint="eastAsia" w:ascii="宋体" w:hAnsi="宋体" w:cs="宋体"/>
                <w:b/>
                <w:bCs/>
                <w:sz w:val="21"/>
                <w:szCs w:val="21"/>
              </w:rPr>
              <w:t>1、投标人应从其基本账户将保证金按次汇入该账户。投标人可登陆广州公共资源交易系统查询汇款到帐情况。</w:t>
            </w:r>
          </w:p>
          <w:p w14:paraId="7C356DBB">
            <w:pPr>
              <w:adjustRightInd w:val="0"/>
              <w:snapToGrid w:val="0"/>
              <w:spacing w:line="288" w:lineRule="auto"/>
              <w:rPr>
                <w:rFonts w:ascii="宋体" w:hAnsi="宋体" w:cs="宋体"/>
                <w:b/>
                <w:bCs/>
                <w:sz w:val="21"/>
                <w:szCs w:val="21"/>
              </w:rPr>
            </w:pPr>
            <w:r>
              <w:rPr>
                <w:rFonts w:hint="eastAsia" w:ascii="宋体" w:hAnsi="宋体" w:cs="宋体"/>
                <w:b/>
                <w:bCs/>
                <w:sz w:val="21"/>
                <w:szCs w:val="21"/>
              </w:rPr>
              <w:t>2、款项到帐后，投标人在完成投标登记后至开标前，可登陆广州公共资源交易系统的新建设工程交易平台，在费用管理-交纳投标保证金栏目内将上述到帐资金绑定到对应的投标项目，完成保证金缴纳并下载《项目保证金确认回执》。</w:t>
            </w:r>
          </w:p>
          <w:p w14:paraId="4550C0A1">
            <w:pPr>
              <w:adjustRightInd w:val="0"/>
              <w:snapToGrid w:val="0"/>
              <w:spacing w:line="288" w:lineRule="auto"/>
              <w:rPr>
                <w:rFonts w:ascii="宋体" w:hAnsi="宋体" w:cs="宋体"/>
                <w:b/>
                <w:bCs/>
                <w:sz w:val="21"/>
                <w:szCs w:val="21"/>
              </w:rPr>
            </w:pPr>
            <w:r>
              <w:rPr>
                <w:rFonts w:hint="eastAsia" w:ascii="宋体" w:hAnsi="宋体" w:cs="宋体"/>
                <w:b/>
                <w:bCs/>
                <w:sz w:val="21"/>
                <w:szCs w:val="21"/>
              </w:rPr>
              <w:t>具体操作详见“广州公共资源交易中心网站”—“通知公告”栏—“广州公共资源交易中心关于新建设工程交易平台投标保证金有关事宜的通知及附件”中投标人适用相关操作手册。</w:t>
            </w:r>
          </w:p>
          <w:p w14:paraId="66668EE4">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投标人须按照指引及附件的要求及时到广州公共资源交易中心办理企业“基本账户”、“开户银行”、“开户银行行号”的登记工作。</w:t>
            </w:r>
          </w:p>
          <w:p w14:paraId="5A442ECB">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如有疑问，请拨打建设银行投标保证金支持电话14745280850，14736557885，系统客服电话（020）28866176，（020）28866000-3-3。</w:t>
            </w:r>
          </w:p>
          <w:p w14:paraId="45E1F2FC">
            <w:pPr>
              <w:adjustRightInd w:val="0"/>
              <w:snapToGrid w:val="0"/>
              <w:spacing w:line="288" w:lineRule="auto"/>
              <w:rPr>
                <w:rFonts w:ascii="宋体" w:hAnsi="宋体" w:cs="宋体"/>
                <w:b/>
                <w:bCs/>
                <w:sz w:val="21"/>
                <w:szCs w:val="21"/>
              </w:rPr>
            </w:pPr>
            <w:r>
              <w:rPr>
                <w:rFonts w:hint="eastAsia" w:ascii="宋体" w:hAnsi="宋体" w:cs="宋体"/>
                <w:b/>
                <w:bCs/>
                <w:sz w:val="21"/>
                <w:szCs w:val="21"/>
              </w:rPr>
              <w:t>投标文件正本中必须附有广州公共资源交易中心系统下载的《项目保证金确认回执》及基本账户开户银行许可证（或银行开具的基本账户证明材料）复印件，未按规定提交投标担保的投标文件，招标人将予以拒绝。</w:t>
            </w:r>
          </w:p>
          <w:p w14:paraId="25FB2AA4">
            <w:pPr>
              <w:adjustRightInd w:val="0"/>
              <w:snapToGrid w:val="0"/>
              <w:spacing w:line="288" w:lineRule="auto"/>
              <w:rPr>
                <w:rFonts w:ascii="宋体" w:hAnsi="宋体" w:cs="宋体"/>
                <w:sz w:val="21"/>
                <w:szCs w:val="21"/>
              </w:rPr>
            </w:pPr>
            <w:r>
              <w:rPr>
                <w:rFonts w:hint="eastAsia" w:ascii="宋体" w:hAnsi="宋体" w:cs="宋体"/>
                <w:sz w:val="21"/>
                <w:szCs w:val="21"/>
              </w:rPr>
              <w:t>（2）如采用银行保函或保险等形式提交的，须在投标截止时间前将银行保函或保险原件单独密封递交至开标室（时间及地点同递交投标文件时间及地点），其复印件装订在投标文件中。</w:t>
            </w:r>
          </w:p>
        </w:tc>
      </w:tr>
      <w:tr w14:paraId="1FDC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47768C93">
            <w:pPr>
              <w:adjustRightInd w:val="0"/>
              <w:snapToGrid w:val="0"/>
              <w:spacing w:line="288" w:lineRule="auto"/>
              <w:jc w:val="center"/>
              <w:rPr>
                <w:rFonts w:ascii="宋体" w:hAnsi="宋体" w:cs="宋体"/>
                <w:sz w:val="21"/>
                <w:szCs w:val="21"/>
              </w:rPr>
            </w:pPr>
            <w:r>
              <w:rPr>
                <w:rFonts w:hint="eastAsia" w:ascii="宋体" w:hAnsi="宋体" w:cs="宋体"/>
                <w:sz w:val="21"/>
                <w:szCs w:val="21"/>
              </w:rPr>
              <w:t>3.6</w:t>
            </w:r>
          </w:p>
        </w:tc>
        <w:tc>
          <w:tcPr>
            <w:tcW w:w="1866" w:type="dxa"/>
            <w:tcMar>
              <w:top w:w="57" w:type="dxa"/>
              <w:bottom w:w="57" w:type="dxa"/>
            </w:tcMar>
            <w:vAlign w:val="center"/>
          </w:tcPr>
          <w:p w14:paraId="51F0712A">
            <w:pPr>
              <w:adjustRightInd w:val="0"/>
              <w:snapToGrid w:val="0"/>
              <w:spacing w:line="288" w:lineRule="auto"/>
              <w:jc w:val="left"/>
              <w:rPr>
                <w:rFonts w:ascii="宋体" w:hAnsi="宋体" w:cs="宋体"/>
                <w:b/>
                <w:bCs/>
                <w:sz w:val="21"/>
                <w:szCs w:val="21"/>
              </w:rPr>
            </w:pPr>
            <w:r>
              <w:rPr>
                <w:rFonts w:hint="eastAsia" w:ascii="宋体" w:hAnsi="宋体" w:cs="宋体"/>
                <w:b/>
                <w:bCs/>
                <w:sz w:val="21"/>
                <w:szCs w:val="21"/>
              </w:rPr>
              <w:t>投标文件的编制</w:t>
            </w:r>
          </w:p>
        </w:tc>
        <w:tc>
          <w:tcPr>
            <w:tcW w:w="6788" w:type="dxa"/>
            <w:tcMar>
              <w:top w:w="57" w:type="dxa"/>
              <w:bottom w:w="57" w:type="dxa"/>
            </w:tcMar>
            <w:vAlign w:val="center"/>
          </w:tcPr>
          <w:p w14:paraId="3F7437D4">
            <w:pPr>
              <w:adjustRightInd w:val="0"/>
              <w:snapToGrid w:val="0"/>
              <w:spacing w:line="288" w:lineRule="auto"/>
              <w:rPr>
                <w:rFonts w:ascii="宋体" w:hAnsi="宋体" w:cs="宋体"/>
                <w:sz w:val="21"/>
                <w:szCs w:val="21"/>
              </w:rPr>
            </w:pPr>
            <w:r>
              <w:rPr>
                <w:rFonts w:hint="eastAsia" w:ascii="宋体" w:hAnsi="宋体" w:cs="宋体"/>
                <w:b/>
                <w:bCs/>
                <w:sz w:val="21"/>
                <w:szCs w:val="21"/>
              </w:rPr>
              <w:t>投标文件份数：</w:t>
            </w:r>
            <w:r>
              <w:rPr>
                <w:rFonts w:hint="eastAsia" w:ascii="宋体" w:hAnsi="宋体" w:cs="宋体"/>
                <w:sz w:val="21"/>
                <w:szCs w:val="21"/>
              </w:rPr>
              <w:t xml:space="preserve">一式七份（正本一份，副本六份）。 </w:t>
            </w:r>
          </w:p>
          <w:p w14:paraId="7EE058EF">
            <w:pPr>
              <w:adjustRightInd w:val="0"/>
              <w:snapToGrid w:val="0"/>
              <w:spacing w:line="288" w:lineRule="auto"/>
              <w:rPr>
                <w:rFonts w:ascii="宋体" w:hAnsi="宋体" w:cs="宋体"/>
                <w:sz w:val="21"/>
                <w:szCs w:val="21"/>
              </w:rPr>
            </w:pPr>
            <w:r>
              <w:rPr>
                <w:rFonts w:hint="eastAsia" w:ascii="宋体" w:hAnsi="宋体" w:cs="宋体"/>
                <w:b/>
                <w:bCs/>
                <w:sz w:val="21"/>
                <w:szCs w:val="21"/>
              </w:rPr>
              <w:t>是否要求提交电子版文件（非否决性条款）：</w:t>
            </w:r>
            <w:r>
              <w:rPr>
                <w:rFonts w:hint="eastAsia" w:ascii="宋体" w:hAnsi="宋体" w:cs="宋体"/>
                <w:sz w:val="21"/>
                <w:szCs w:val="21"/>
              </w:rPr>
              <w:t>需要提交1份电子版文件（须提供存有与投标文件内容一致的EXCEL和Word格式的没有压缩加密的电子文件（介质使用U盘）。</w:t>
            </w:r>
          </w:p>
          <w:p w14:paraId="7FFE2A45">
            <w:pPr>
              <w:adjustRightInd w:val="0"/>
              <w:snapToGrid w:val="0"/>
              <w:spacing w:line="288" w:lineRule="auto"/>
              <w:rPr>
                <w:rFonts w:ascii="宋体" w:hAnsi="宋体" w:cs="宋体"/>
                <w:sz w:val="21"/>
                <w:szCs w:val="21"/>
              </w:rPr>
            </w:pPr>
            <w:r>
              <w:rPr>
                <w:rFonts w:hint="eastAsia" w:ascii="宋体" w:hAnsi="宋体" w:cs="宋体"/>
                <w:b/>
                <w:bCs/>
                <w:sz w:val="21"/>
                <w:szCs w:val="21"/>
              </w:rPr>
              <w:t>其他要求：①</w:t>
            </w:r>
            <w:r>
              <w:rPr>
                <w:rFonts w:hint="eastAsia" w:ascii="宋体" w:hAnsi="宋体" w:cs="宋体"/>
                <w:sz w:val="21"/>
                <w:szCs w:val="21"/>
              </w:rPr>
              <w:t>副本可以为正本经签名盖章后的复印件，如正本和副本有差异，以正本为准。电子版文件以word或excel格式拷贝至投标人自备的U盘或光盘并密封至投标文件中。</w:t>
            </w:r>
          </w:p>
          <w:p w14:paraId="3278AEDC">
            <w:pPr>
              <w:pStyle w:val="438"/>
              <w:adjustRightInd w:val="0"/>
              <w:snapToGrid w:val="0"/>
              <w:spacing w:line="288" w:lineRule="auto"/>
              <w:rPr>
                <w:sz w:val="21"/>
                <w:szCs w:val="21"/>
              </w:rPr>
            </w:pPr>
            <w:r>
              <w:rPr>
                <w:rFonts w:hint="eastAsia"/>
                <w:sz w:val="21"/>
                <w:szCs w:val="21"/>
                <w:lang w:val="en-US"/>
              </w:rPr>
              <w:t>②</w:t>
            </w:r>
            <w:r>
              <w:rPr>
                <w:rFonts w:hint="eastAsia"/>
                <w:sz w:val="21"/>
                <w:szCs w:val="21"/>
              </w:rPr>
              <w:t>正副本分别装订（ A4纸幅，如需装订成A3纸的，可打印后再折叠成A4图幅），目录、页码齐全，封面注明“正/副本”字样。投标文件不得活页装订，否则，招标人对由于投标文件装订松散而造成的丢失或其他后果不承担任何责任。</w:t>
            </w:r>
          </w:p>
          <w:p w14:paraId="2623A46F">
            <w:pPr>
              <w:adjustRightInd w:val="0"/>
              <w:snapToGrid w:val="0"/>
              <w:spacing w:line="288" w:lineRule="auto"/>
              <w:rPr>
                <w:rFonts w:ascii="宋体" w:hAnsi="宋体" w:cs="宋体"/>
                <w:sz w:val="21"/>
                <w:szCs w:val="21"/>
              </w:rPr>
            </w:pPr>
            <w:r>
              <w:rPr>
                <w:rFonts w:hint="eastAsia" w:ascii="宋体" w:hAnsi="宋体" w:cs="宋体"/>
                <w:b/>
                <w:bCs/>
                <w:sz w:val="21"/>
                <w:szCs w:val="21"/>
              </w:rPr>
              <w:t>注：《综合单价分析表》投标时只需提供一份电子文件，纸质文件由中标人在签订合同前按招标人要求的份数向招标人递交。</w:t>
            </w:r>
          </w:p>
        </w:tc>
      </w:tr>
      <w:tr w14:paraId="2F9A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42E92E27">
            <w:pPr>
              <w:pStyle w:val="438"/>
              <w:adjustRightInd w:val="0"/>
              <w:snapToGrid w:val="0"/>
              <w:spacing w:line="288" w:lineRule="auto"/>
              <w:jc w:val="center"/>
              <w:rPr>
                <w:sz w:val="21"/>
                <w:szCs w:val="21"/>
                <w:lang w:val="en-US" w:bidi="ar-SA"/>
              </w:rPr>
            </w:pPr>
            <w:r>
              <w:rPr>
                <w:rFonts w:hint="eastAsia"/>
                <w:sz w:val="21"/>
                <w:szCs w:val="21"/>
                <w:lang w:val="en-US" w:bidi="ar-SA"/>
              </w:rPr>
              <w:t>4.1</w:t>
            </w:r>
          </w:p>
        </w:tc>
        <w:tc>
          <w:tcPr>
            <w:tcW w:w="1866" w:type="dxa"/>
            <w:tcMar>
              <w:top w:w="57" w:type="dxa"/>
              <w:bottom w:w="57" w:type="dxa"/>
            </w:tcMar>
            <w:vAlign w:val="center"/>
          </w:tcPr>
          <w:p w14:paraId="4EC34F96">
            <w:pPr>
              <w:pStyle w:val="438"/>
              <w:adjustRightInd w:val="0"/>
              <w:snapToGrid w:val="0"/>
              <w:spacing w:line="288" w:lineRule="auto"/>
              <w:jc w:val="left"/>
              <w:rPr>
                <w:sz w:val="21"/>
                <w:szCs w:val="21"/>
                <w:lang w:val="en-US" w:bidi="ar-SA"/>
              </w:rPr>
            </w:pPr>
            <w:r>
              <w:rPr>
                <w:rFonts w:hint="eastAsia"/>
                <w:sz w:val="21"/>
                <w:szCs w:val="21"/>
                <w:lang w:val="en-US" w:bidi="ar-SA"/>
              </w:rPr>
              <w:t>投标文件封套上应载明的信息</w:t>
            </w:r>
          </w:p>
        </w:tc>
        <w:tc>
          <w:tcPr>
            <w:tcW w:w="6788" w:type="dxa"/>
            <w:tcMar>
              <w:top w:w="57" w:type="dxa"/>
              <w:bottom w:w="57" w:type="dxa"/>
            </w:tcMar>
            <w:vAlign w:val="center"/>
          </w:tcPr>
          <w:p w14:paraId="294BDBDF">
            <w:pPr>
              <w:pStyle w:val="438"/>
              <w:tabs>
                <w:tab w:val="left" w:pos="3931"/>
              </w:tabs>
              <w:adjustRightInd w:val="0"/>
              <w:snapToGrid w:val="0"/>
              <w:spacing w:line="288" w:lineRule="auto"/>
              <w:rPr>
                <w:spacing w:val="-1"/>
                <w:sz w:val="21"/>
                <w:szCs w:val="21"/>
                <w:highlight w:val="none"/>
              </w:rPr>
            </w:pPr>
            <w:r>
              <w:rPr>
                <w:sz w:val="21"/>
                <w:szCs w:val="21"/>
                <w:highlight w:val="none"/>
              </w:rPr>
              <w:t>投标文件的正副本及电子</w:t>
            </w:r>
            <w:r>
              <w:rPr>
                <w:rFonts w:hint="eastAsia"/>
                <w:sz w:val="21"/>
                <w:szCs w:val="21"/>
                <w:highlight w:val="none"/>
              </w:rPr>
              <w:t>文件应</w:t>
            </w:r>
            <w:r>
              <w:rPr>
                <w:sz w:val="21"/>
                <w:szCs w:val="21"/>
                <w:highlight w:val="none"/>
              </w:rPr>
              <w:t>统一密封在一个密封袋中，</w:t>
            </w:r>
            <w:r>
              <w:rPr>
                <w:rFonts w:hint="eastAsia"/>
                <w:sz w:val="21"/>
                <w:szCs w:val="21"/>
                <w:highlight w:val="none"/>
              </w:rPr>
              <w:t>按招标文件要求</w:t>
            </w:r>
            <w:r>
              <w:rPr>
                <w:sz w:val="21"/>
                <w:szCs w:val="21"/>
                <w:highlight w:val="none"/>
              </w:rPr>
              <w:t>密封和标记</w:t>
            </w:r>
            <w:r>
              <w:rPr>
                <w:rFonts w:hint="eastAsia"/>
                <w:sz w:val="21"/>
                <w:szCs w:val="21"/>
                <w:highlight w:val="none"/>
              </w:rPr>
              <w:t>。</w:t>
            </w:r>
          </w:p>
          <w:p w14:paraId="1AF01DB0">
            <w:pPr>
              <w:pStyle w:val="438"/>
              <w:tabs>
                <w:tab w:val="left" w:pos="3931"/>
              </w:tabs>
              <w:adjustRightInd w:val="0"/>
              <w:snapToGrid w:val="0"/>
              <w:spacing w:line="288" w:lineRule="auto"/>
              <w:rPr>
                <w:b/>
                <w:bCs/>
                <w:sz w:val="21"/>
                <w:szCs w:val="21"/>
                <w:highlight w:val="none"/>
              </w:rPr>
            </w:pPr>
            <w:r>
              <w:rPr>
                <w:rFonts w:hint="eastAsia"/>
                <w:b/>
                <w:bCs/>
                <w:spacing w:val="-1"/>
                <w:sz w:val="21"/>
                <w:szCs w:val="21"/>
                <w:highlight w:val="none"/>
              </w:rPr>
              <w:t>投标文件封套：</w:t>
            </w:r>
            <w:r>
              <w:rPr>
                <w:rFonts w:hint="eastAsia"/>
                <w:b/>
                <w:bCs/>
                <w:sz w:val="21"/>
                <w:szCs w:val="21"/>
                <w:highlight w:val="none"/>
              </w:rPr>
              <w:t xml:space="preserve"> </w:t>
            </w:r>
          </w:p>
          <w:p w14:paraId="5DD53A12">
            <w:pPr>
              <w:pStyle w:val="438"/>
              <w:tabs>
                <w:tab w:val="left" w:pos="637"/>
              </w:tabs>
              <w:adjustRightInd w:val="0"/>
              <w:snapToGrid w:val="0"/>
              <w:spacing w:line="288" w:lineRule="auto"/>
              <w:rPr>
                <w:sz w:val="21"/>
                <w:szCs w:val="21"/>
                <w:highlight w:val="none"/>
              </w:rPr>
            </w:pPr>
            <w:r>
              <w:rPr>
                <w:rFonts w:hint="eastAsia"/>
                <w:sz w:val="21"/>
                <w:szCs w:val="21"/>
                <w:highlight w:val="none"/>
              </w:rPr>
              <w:t>招标人</w:t>
            </w:r>
            <w:r>
              <w:rPr>
                <w:sz w:val="21"/>
                <w:szCs w:val="21"/>
                <w:highlight w:val="none"/>
              </w:rPr>
              <w:t xml:space="preserve">名称： </w:t>
            </w:r>
            <w:r>
              <w:rPr>
                <w:rFonts w:hint="eastAsia"/>
                <w:sz w:val="21"/>
                <w:szCs w:val="21"/>
                <w:highlight w:val="none"/>
                <w:u w:val="single"/>
              </w:rPr>
              <w:t>广东中粤通油品经营有限公司</w:t>
            </w:r>
          </w:p>
          <w:p w14:paraId="7CDC37FC">
            <w:pPr>
              <w:pStyle w:val="438"/>
              <w:tabs>
                <w:tab w:val="left" w:pos="1161"/>
              </w:tabs>
              <w:adjustRightInd w:val="0"/>
              <w:snapToGrid w:val="0"/>
              <w:spacing w:line="288" w:lineRule="auto"/>
              <w:rPr>
                <w:spacing w:val="-1"/>
                <w:sz w:val="21"/>
                <w:szCs w:val="21"/>
                <w:highlight w:val="none"/>
              </w:rPr>
            </w:pPr>
            <w:r>
              <w:rPr>
                <w:rFonts w:hint="eastAsia"/>
                <w:sz w:val="21"/>
                <w:szCs w:val="21"/>
                <w:highlight w:val="none"/>
                <w:lang w:val="en-US"/>
              </w:rPr>
              <w:t>项目名称：</w:t>
            </w:r>
            <w:r>
              <w:rPr>
                <w:rFonts w:hint="eastAsia"/>
                <w:spacing w:val="-1"/>
                <w:sz w:val="21"/>
                <w:szCs w:val="21"/>
                <w:highlight w:val="none"/>
                <w:u w:val="single"/>
              </w:rPr>
              <w:t>广澳高速中山服务区西区加油站重建项目土建工程</w:t>
            </w:r>
            <w:r>
              <w:rPr>
                <w:spacing w:val="-1"/>
                <w:sz w:val="21"/>
                <w:szCs w:val="21"/>
                <w:highlight w:val="none"/>
              </w:rPr>
              <w:t>投标文件</w:t>
            </w:r>
          </w:p>
          <w:p w14:paraId="59D6C9B0">
            <w:pPr>
              <w:pStyle w:val="438"/>
              <w:tabs>
                <w:tab w:val="left" w:pos="1161"/>
              </w:tabs>
              <w:adjustRightInd w:val="0"/>
              <w:snapToGrid w:val="0"/>
              <w:spacing w:line="288" w:lineRule="auto"/>
              <w:rPr>
                <w:spacing w:val="-1"/>
                <w:sz w:val="21"/>
                <w:szCs w:val="21"/>
                <w:highlight w:val="none"/>
                <w:u w:val="single"/>
                <w:lang w:val="en-US"/>
              </w:rPr>
            </w:pPr>
            <w:r>
              <w:rPr>
                <w:rFonts w:hint="eastAsia"/>
                <w:spacing w:val="-1"/>
                <w:sz w:val="21"/>
                <w:szCs w:val="21"/>
                <w:highlight w:val="none"/>
              </w:rPr>
              <w:t>投标人地址：</w:t>
            </w:r>
            <w:r>
              <w:rPr>
                <w:rFonts w:hint="eastAsia"/>
                <w:spacing w:val="-1"/>
                <w:sz w:val="21"/>
                <w:szCs w:val="21"/>
                <w:highlight w:val="none"/>
                <w:u w:val="single"/>
                <w:lang w:val="en-US"/>
              </w:rPr>
              <w:t xml:space="preserve">                  </w:t>
            </w:r>
          </w:p>
          <w:p w14:paraId="32A749D7">
            <w:pPr>
              <w:pStyle w:val="438"/>
              <w:tabs>
                <w:tab w:val="left" w:pos="1161"/>
              </w:tabs>
              <w:adjustRightInd w:val="0"/>
              <w:snapToGrid w:val="0"/>
              <w:spacing w:line="288" w:lineRule="auto"/>
              <w:rPr>
                <w:spacing w:val="-1"/>
                <w:sz w:val="21"/>
                <w:szCs w:val="21"/>
                <w:highlight w:val="none"/>
              </w:rPr>
            </w:pPr>
            <w:r>
              <w:rPr>
                <w:rFonts w:hint="eastAsia"/>
                <w:spacing w:val="-1"/>
                <w:sz w:val="21"/>
                <w:szCs w:val="21"/>
                <w:highlight w:val="none"/>
              </w:rPr>
              <w:t>投标人名称：</w:t>
            </w:r>
            <w:r>
              <w:rPr>
                <w:rFonts w:hint="eastAsia"/>
                <w:spacing w:val="-1"/>
                <w:sz w:val="21"/>
                <w:szCs w:val="21"/>
                <w:highlight w:val="none"/>
                <w:u w:val="single"/>
                <w:lang w:val="en-US"/>
              </w:rPr>
              <w:t xml:space="preserve">                  </w:t>
            </w:r>
          </w:p>
          <w:p w14:paraId="1F7F3153">
            <w:pPr>
              <w:pStyle w:val="438"/>
              <w:tabs>
                <w:tab w:val="left" w:pos="739"/>
                <w:tab w:val="left" w:pos="1370"/>
                <w:tab w:val="left" w:pos="1999"/>
                <w:tab w:val="left" w:pos="2627"/>
              </w:tabs>
              <w:adjustRightInd w:val="0"/>
              <w:snapToGrid w:val="0"/>
              <w:spacing w:line="288" w:lineRule="auto"/>
              <w:rPr>
                <w:sz w:val="21"/>
                <w:szCs w:val="21"/>
                <w:highlight w:val="none"/>
              </w:rPr>
            </w:pPr>
            <w:r>
              <w:rPr>
                <w:sz w:val="21"/>
                <w:szCs w:val="21"/>
                <w:highlight w:val="none"/>
              </w:rPr>
              <w:t>在</w:t>
            </w:r>
            <w:r>
              <w:rPr>
                <w:rFonts w:hint="eastAsia"/>
                <w:sz w:val="21"/>
                <w:szCs w:val="21"/>
                <w:highlight w:val="none"/>
                <w:u w:val="single"/>
                <w:lang w:val="en-US"/>
              </w:rPr>
              <w:t xml:space="preserve">     </w:t>
            </w:r>
            <w:r>
              <w:rPr>
                <w:sz w:val="21"/>
                <w:szCs w:val="21"/>
                <w:highlight w:val="none"/>
              </w:rPr>
              <w:t>年</w:t>
            </w:r>
            <w:r>
              <w:rPr>
                <w:rFonts w:hint="eastAsia"/>
                <w:sz w:val="21"/>
                <w:szCs w:val="21"/>
                <w:highlight w:val="none"/>
                <w:u w:val="single"/>
                <w:lang w:val="en-US"/>
              </w:rPr>
              <w:t xml:space="preserve">   </w:t>
            </w:r>
            <w:r>
              <w:rPr>
                <w:spacing w:val="-3"/>
                <w:sz w:val="21"/>
                <w:szCs w:val="21"/>
                <w:highlight w:val="none"/>
              </w:rPr>
              <w:t>月</w:t>
            </w:r>
            <w:r>
              <w:rPr>
                <w:rFonts w:hint="eastAsia"/>
                <w:spacing w:val="-3"/>
                <w:sz w:val="21"/>
                <w:szCs w:val="21"/>
                <w:highlight w:val="none"/>
                <w:u w:val="single"/>
                <w:lang w:val="en-US"/>
              </w:rPr>
              <w:t xml:space="preserve">   </w:t>
            </w:r>
            <w:r>
              <w:rPr>
                <w:sz w:val="21"/>
                <w:szCs w:val="21"/>
                <w:highlight w:val="none"/>
              </w:rPr>
              <w:t>日</w:t>
            </w:r>
            <w:r>
              <w:rPr>
                <w:rFonts w:hint="eastAsia"/>
                <w:sz w:val="21"/>
                <w:szCs w:val="21"/>
                <w:highlight w:val="none"/>
                <w:u w:val="single"/>
                <w:lang w:val="en-US"/>
              </w:rPr>
              <w:t xml:space="preserve">   </w:t>
            </w:r>
            <w:r>
              <w:rPr>
                <w:sz w:val="21"/>
                <w:szCs w:val="21"/>
                <w:highlight w:val="none"/>
              </w:rPr>
              <w:t>时</w:t>
            </w:r>
            <w:r>
              <w:rPr>
                <w:rFonts w:hint="eastAsia"/>
                <w:sz w:val="21"/>
                <w:szCs w:val="21"/>
                <w:highlight w:val="none"/>
                <w:u w:val="single"/>
                <w:lang w:val="en-US"/>
              </w:rPr>
              <w:t xml:space="preserve">   </w:t>
            </w:r>
            <w:r>
              <w:rPr>
                <w:rFonts w:hint="eastAsia"/>
                <w:sz w:val="21"/>
                <w:szCs w:val="21"/>
                <w:highlight w:val="none"/>
              </w:rPr>
              <w:t>分（投标截止时间）</w:t>
            </w:r>
            <w:r>
              <w:rPr>
                <w:spacing w:val="-3"/>
                <w:sz w:val="21"/>
                <w:szCs w:val="21"/>
                <w:highlight w:val="none"/>
              </w:rPr>
              <w:t>前</w:t>
            </w:r>
            <w:r>
              <w:rPr>
                <w:sz w:val="21"/>
                <w:szCs w:val="21"/>
                <w:highlight w:val="none"/>
              </w:rPr>
              <w:t>不</w:t>
            </w:r>
            <w:r>
              <w:rPr>
                <w:spacing w:val="-3"/>
                <w:sz w:val="21"/>
                <w:szCs w:val="21"/>
                <w:highlight w:val="none"/>
              </w:rPr>
              <w:t>得</w:t>
            </w:r>
            <w:r>
              <w:rPr>
                <w:sz w:val="21"/>
                <w:szCs w:val="21"/>
                <w:highlight w:val="none"/>
              </w:rPr>
              <w:t>开启</w:t>
            </w:r>
          </w:p>
          <w:p w14:paraId="5A2B42AF">
            <w:pPr>
              <w:pStyle w:val="438"/>
              <w:tabs>
                <w:tab w:val="left" w:pos="3931"/>
              </w:tabs>
              <w:adjustRightInd w:val="0"/>
              <w:snapToGrid w:val="0"/>
              <w:spacing w:line="288" w:lineRule="auto"/>
              <w:rPr>
                <w:kern w:val="21"/>
                <w:sz w:val="21"/>
                <w:szCs w:val="21"/>
                <w:highlight w:val="none"/>
              </w:rPr>
            </w:pPr>
            <w:r>
              <w:rPr>
                <w:rFonts w:hint="eastAsia"/>
                <w:b/>
                <w:bCs/>
                <w:kern w:val="21"/>
                <w:sz w:val="21"/>
                <w:szCs w:val="21"/>
                <w:highlight w:val="none"/>
              </w:rPr>
              <w:t>银行保函/保险封套：（如有）</w:t>
            </w:r>
          </w:p>
          <w:p w14:paraId="46BF13E9">
            <w:pPr>
              <w:pStyle w:val="438"/>
              <w:tabs>
                <w:tab w:val="left" w:pos="3931"/>
              </w:tabs>
              <w:adjustRightInd w:val="0"/>
              <w:snapToGrid w:val="0"/>
              <w:spacing w:line="288" w:lineRule="auto"/>
              <w:rPr>
                <w:sz w:val="21"/>
                <w:szCs w:val="21"/>
                <w:highlight w:val="none"/>
                <w:u w:val="single"/>
              </w:rPr>
            </w:pPr>
            <w:r>
              <w:rPr>
                <w:rFonts w:hint="eastAsia"/>
                <w:sz w:val="21"/>
                <w:szCs w:val="21"/>
                <w:highlight w:val="none"/>
              </w:rPr>
              <w:t>招标人名称：</w:t>
            </w:r>
            <w:r>
              <w:rPr>
                <w:rFonts w:hint="eastAsia"/>
                <w:sz w:val="21"/>
                <w:szCs w:val="21"/>
                <w:highlight w:val="none"/>
                <w:u w:val="single"/>
              </w:rPr>
              <w:t>广东中粤通油品经营有限公司</w:t>
            </w:r>
          </w:p>
          <w:p w14:paraId="539D0214">
            <w:pPr>
              <w:pStyle w:val="438"/>
              <w:tabs>
                <w:tab w:val="left" w:pos="3931"/>
              </w:tabs>
              <w:adjustRightInd w:val="0"/>
              <w:snapToGrid w:val="0"/>
              <w:spacing w:line="288" w:lineRule="auto"/>
              <w:rPr>
                <w:kern w:val="21"/>
                <w:sz w:val="21"/>
                <w:szCs w:val="21"/>
                <w:highlight w:val="none"/>
                <w:u w:val="single"/>
              </w:rPr>
            </w:pPr>
            <w:r>
              <w:rPr>
                <w:rFonts w:hint="eastAsia"/>
                <w:sz w:val="21"/>
                <w:szCs w:val="21"/>
                <w:highlight w:val="none"/>
                <w:lang w:val="en-US"/>
              </w:rPr>
              <w:t>项目名称：</w:t>
            </w:r>
            <w:r>
              <w:rPr>
                <w:rFonts w:hint="eastAsia"/>
                <w:sz w:val="21"/>
                <w:szCs w:val="21"/>
                <w:highlight w:val="none"/>
                <w:u w:val="single"/>
              </w:rPr>
              <w:t>广澳高速中山服务区西区加油站重建项目土建工程</w:t>
            </w:r>
            <w:r>
              <w:rPr>
                <w:rFonts w:hint="eastAsia"/>
                <w:kern w:val="21"/>
                <w:sz w:val="21"/>
                <w:szCs w:val="21"/>
                <w:highlight w:val="none"/>
              </w:rPr>
              <w:t>（银行保函</w:t>
            </w:r>
            <w:r>
              <w:rPr>
                <w:rFonts w:hint="eastAsia"/>
                <w:kern w:val="21"/>
                <w:sz w:val="21"/>
                <w:szCs w:val="21"/>
                <w:highlight w:val="none"/>
                <w:lang w:val="en-US"/>
              </w:rPr>
              <w:t>/</w:t>
            </w:r>
            <w:r>
              <w:rPr>
                <w:rFonts w:hint="eastAsia"/>
                <w:kern w:val="21"/>
                <w:sz w:val="21"/>
                <w:szCs w:val="21"/>
                <w:highlight w:val="none"/>
              </w:rPr>
              <w:t>保险原件）</w:t>
            </w:r>
          </w:p>
          <w:p w14:paraId="4AA728A6">
            <w:pPr>
              <w:adjustRightInd w:val="0"/>
              <w:snapToGrid w:val="0"/>
              <w:spacing w:line="288" w:lineRule="auto"/>
              <w:rPr>
                <w:rFonts w:ascii="宋体" w:hAnsi="宋体" w:cs="宋体"/>
                <w:sz w:val="21"/>
                <w:szCs w:val="21"/>
                <w:highlight w:val="none"/>
              </w:rPr>
            </w:pPr>
            <w:r>
              <w:rPr>
                <w:rFonts w:hint="eastAsia"/>
                <w:kern w:val="21"/>
                <w:sz w:val="21"/>
                <w:szCs w:val="21"/>
                <w:highlight w:val="none"/>
              </w:rPr>
              <w:t>投标人名称：</w:t>
            </w:r>
            <w:r>
              <w:rPr>
                <w:rFonts w:hint="eastAsia"/>
                <w:kern w:val="21"/>
                <w:sz w:val="21"/>
                <w:szCs w:val="21"/>
                <w:highlight w:val="none"/>
                <w:u w:val="single"/>
              </w:rPr>
              <w:t xml:space="preserve">                        </w:t>
            </w:r>
          </w:p>
        </w:tc>
      </w:tr>
      <w:tr w14:paraId="4369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1664290A">
            <w:pPr>
              <w:adjustRightInd w:val="0"/>
              <w:snapToGrid w:val="0"/>
              <w:spacing w:line="288" w:lineRule="auto"/>
              <w:jc w:val="center"/>
              <w:rPr>
                <w:rFonts w:ascii="宋体" w:hAnsi="宋体" w:cs="宋体"/>
                <w:sz w:val="21"/>
                <w:szCs w:val="21"/>
              </w:rPr>
            </w:pPr>
            <w:r>
              <w:rPr>
                <w:rFonts w:hint="eastAsia" w:ascii="宋体" w:hAnsi="宋体" w:cs="宋体"/>
                <w:sz w:val="21"/>
                <w:szCs w:val="21"/>
              </w:rPr>
              <w:t>4.2.1</w:t>
            </w:r>
          </w:p>
        </w:tc>
        <w:tc>
          <w:tcPr>
            <w:tcW w:w="1866" w:type="dxa"/>
            <w:tcMar>
              <w:top w:w="57" w:type="dxa"/>
              <w:bottom w:w="57" w:type="dxa"/>
            </w:tcMar>
            <w:vAlign w:val="center"/>
          </w:tcPr>
          <w:p w14:paraId="3FDB57D0">
            <w:pPr>
              <w:adjustRightInd w:val="0"/>
              <w:snapToGrid w:val="0"/>
              <w:spacing w:line="288" w:lineRule="auto"/>
              <w:jc w:val="left"/>
              <w:rPr>
                <w:rFonts w:ascii="宋体" w:hAnsi="宋体" w:cs="宋体"/>
                <w:sz w:val="21"/>
                <w:szCs w:val="21"/>
              </w:rPr>
            </w:pPr>
            <w:r>
              <w:rPr>
                <w:rFonts w:hint="eastAsia" w:ascii="宋体" w:hAnsi="宋体" w:cs="宋体"/>
                <w:sz w:val="21"/>
                <w:szCs w:val="21"/>
              </w:rPr>
              <w:t>投标文件递交截止时间</w:t>
            </w:r>
          </w:p>
        </w:tc>
        <w:tc>
          <w:tcPr>
            <w:tcW w:w="6788" w:type="dxa"/>
            <w:tcMar>
              <w:top w:w="57" w:type="dxa"/>
              <w:bottom w:w="57" w:type="dxa"/>
            </w:tcMar>
            <w:vAlign w:val="center"/>
          </w:tcPr>
          <w:p w14:paraId="46DCF827">
            <w:pPr>
              <w:adjustRightInd w:val="0"/>
              <w:snapToGrid w:val="0"/>
              <w:spacing w:line="288" w:lineRule="auto"/>
              <w:rPr>
                <w:rFonts w:ascii="宋体" w:hAnsi="宋体" w:cs="宋体"/>
                <w:sz w:val="21"/>
                <w:szCs w:val="21"/>
              </w:rPr>
            </w:pPr>
            <w:r>
              <w:rPr>
                <w:rFonts w:hint="eastAsia" w:ascii="宋体" w:hAnsi="宋体" w:cs="宋体"/>
                <w:sz w:val="21"/>
                <w:szCs w:val="21"/>
              </w:rPr>
              <w:t>详见招标公告</w:t>
            </w:r>
          </w:p>
        </w:tc>
      </w:tr>
      <w:tr w14:paraId="2A7C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3CDB7F70">
            <w:pPr>
              <w:adjustRightInd w:val="0"/>
              <w:snapToGrid w:val="0"/>
              <w:spacing w:line="288" w:lineRule="auto"/>
              <w:jc w:val="center"/>
              <w:rPr>
                <w:rFonts w:ascii="宋体" w:hAnsi="宋体" w:cs="宋体"/>
                <w:sz w:val="21"/>
                <w:szCs w:val="21"/>
              </w:rPr>
            </w:pPr>
            <w:r>
              <w:rPr>
                <w:rFonts w:hint="eastAsia" w:ascii="宋体" w:hAnsi="宋体" w:cs="宋体"/>
                <w:sz w:val="21"/>
                <w:szCs w:val="21"/>
              </w:rPr>
              <w:t>5.1</w:t>
            </w:r>
          </w:p>
        </w:tc>
        <w:tc>
          <w:tcPr>
            <w:tcW w:w="1866" w:type="dxa"/>
            <w:tcMar>
              <w:top w:w="57" w:type="dxa"/>
              <w:bottom w:w="57" w:type="dxa"/>
            </w:tcMar>
            <w:vAlign w:val="center"/>
          </w:tcPr>
          <w:p w14:paraId="586960A7">
            <w:pPr>
              <w:adjustRightInd w:val="0"/>
              <w:snapToGrid w:val="0"/>
              <w:spacing w:line="288" w:lineRule="auto"/>
              <w:jc w:val="left"/>
              <w:rPr>
                <w:rFonts w:ascii="宋体" w:hAnsi="宋体" w:cs="宋体"/>
                <w:sz w:val="21"/>
                <w:szCs w:val="21"/>
              </w:rPr>
            </w:pPr>
            <w:r>
              <w:rPr>
                <w:rFonts w:hint="eastAsia" w:ascii="宋体" w:hAnsi="宋体" w:cs="宋体"/>
                <w:sz w:val="21"/>
                <w:szCs w:val="21"/>
              </w:rPr>
              <w:t>开标时间和地点</w:t>
            </w:r>
          </w:p>
        </w:tc>
        <w:tc>
          <w:tcPr>
            <w:tcW w:w="6788" w:type="dxa"/>
            <w:tcMar>
              <w:top w:w="57" w:type="dxa"/>
              <w:bottom w:w="57" w:type="dxa"/>
            </w:tcMar>
            <w:vAlign w:val="center"/>
          </w:tcPr>
          <w:p w14:paraId="793B87B5">
            <w:pPr>
              <w:adjustRightInd w:val="0"/>
              <w:snapToGrid w:val="0"/>
              <w:spacing w:line="288" w:lineRule="auto"/>
              <w:rPr>
                <w:rFonts w:ascii="宋体" w:hAnsi="宋体" w:cs="宋体"/>
                <w:sz w:val="21"/>
                <w:szCs w:val="21"/>
              </w:rPr>
            </w:pPr>
            <w:r>
              <w:rPr>
                <w:rFonts w:hint="eastAsia" w:ascii="宋体" w:hAnsi="宋体" w:cs="宋体"/>
                <w:sz w:val="21"/>
                <w:szCs w:val="21"/>
              </w:rPr>
              <w:t>时间：同递交投标文件的截止时间</w:t>
            </w:r>
          </w:p>
          <w:p w14:paraId="0BA90091">
            <w:pPr>
              <w:adjustRightInd w:val="0"/>
              <w:snapToGrid w:val="0"/>
              <w:spacing w:line="288" w:lineRule="auto"/>
              <w:rPr>
                <w:rFonts w:ascii="宋体" w:hAnsi="宋体" w:cs="宋体"/>
                <w:sz w:val="21"/>
                <w:szCs w:val="21"/>
                <w:u w:val="single"/>
              </w:rPr>
            </w:pPr>
            <w:r>
              <w:rPr>
                <w:rFonts w:hint="eastAsia" w:ascii="宋体" w:hAnsi="宋体" w:cs="宋体"/>
                <w:sz w:val="21"/>
                <w:szCs w:val="21"/>
              </w:rPr>
              <w:t>地点：详见招标公告</w:t>
            </w:r>
          </w:p>
        </w:tc>
      </w:tr>
      <w:tr w14:paraId="25B9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6CD5383D">
            <w:pPr>
              <w:adjustRightInd w:val="0"/>
              <w:snapToGrid w:val="0"/>
              <w:spacing w:line="288" w:lineRule="auto"/>
              <w:jc w:val="center"/>
              <w:rPr>
                <w:rFonts w:ascii="宋体" w:hAnsi="宋体" w:cs="宋体"/>
                <w:b/>
                <w:sz w:val="21"/>
                <w:szCs w:val="21"/>
              </w:rPr>
            </w:pPr>
            <w:r>
              <w:rPr>
                <w:rFonts w:hint="eastAsia" w:ascii="宋体" w:hAnsi="宋体" w:cs="宋体"/>
                <w:sz w:val="21"/>
                <w:szCs w:val="21"/>
              </w:rPr>
              <w:t>6.1</w:t>
            </w:r>
          </w:p>
        </w:tc>
        <w:tc>
          <w:tcPr>
            <w:tcW w:w="1866" w:type="dxa"/>
            <w:tcMar>
              <w:top w:w="57" w:type="dxa"/>
              <w:bottom w:w="57" w:type="dxa"/>
            </w:tcMar>
            <w:vAlign w:val="center"/>
          </w:tcPr>
          <w:p w14:paraId="4C2B7A21">
            <w:pPr>
              <w:adjustRightInd w:val="0"/>
              <w:snapToGrid w:val="0"/>
              <w:spacing w:line="288" w:lineRule="auto"/>
              <w:jc w:val="left"/>
              <w:rPr>
                <w:rFonts w:ascii="宋体" w:hAnsi="宋体" w:cs="宋体"/>
                <w:sz w:val="21"/>
                <w:szCs w:val="21"/>
              </w:rPr>
            </w:pPr>
            <w:r>
              <w:rPr>
                <w:rFonts w:hint="eastAsia" w:ascii="宋体" w:hAnsi="宋体" w:cs="宋体"/>
                <w:sz w:val="21"/>
                <w:szCs w:val="21"/>
              </w:rPr>
              <w:t>评标委员会及人数</w:t>
            </w:r>
          </w:p>
        </w:tc>
        <w:tc>
          <w:tcPr>
            <w:tcW w:w="6788" w:type="dxa"/>
            <w:tcMar>
              <w:top w:w="57" w:type="dxa"/>
              <w:bottom w:w="57" w:type="dxa"/>
            </w:tcMar>
            <w:vAlign w:val="center"/>
          </w:tcPr>
          <w:p w14:paraId="78014956">
            <w:pPr>
              <w:adjustRightInd w:val="0"/>
              <w:snapToGrid w:val="0"/>
              <w:spacing w:line="288" w:lineRule="auto"/>
              <w:rPr>
                <w:rFonts w:ascii="宋体" w:hAnsi="宋体" w:cs="宋体"/>
                <w:sz w:val="21"/>
                <w:szCs w:val="21"/>
              </w:rPr>
            </w:pPr>
            <w:r>
              <w:rPr>
                <w:rFonts w:hint="eastAsia" w:ascii="宋体" w:hAnsi="宋体" w:cs="宋体"/>
                <w:sz w:val="21"/>
                <w:szCs w:val="21"/>
              </w:rPr>
              <w:t>评标委员会构成：5人及以上单数。</w:t>
            </w:r>
          </w:p>
          <w:p w14:paraId="63240B53">
            <w:pPr>
              <w:adjustRightInd w:val="0"/>
              <w:snapToGrid w:val="0"/>
              <w:spacing w:line="288" w:lineRule="auto"/>
              <w:rPr>
                <w:rFonts w:ascii="宋体" w:hAnsi="宋体" w:cs="宋体"/>
                <w:sz w:val="21"/>
                <w:szCs w:val="21"/>
              </w:rPr>
            </w:pPr>
            <w:r>
              <w:rPr>
                <w:rFonts w:hint="eastAsia" w:ascii="宋体" w:hAnsi="宋体" w:cs="宋体"/>
                <w:sz w:val="21"/>
                <w:szCs w:val="21"/>
              </w:rPr>
              <w:t>如果5（7）人，则其中从广东省综合评标专家库中随机抽取4（5）名专家，由招标人选派1（2）名专家作为招标人代表参加评标。</w:t>
            </w:r>
          </w:p>
          <w:p w14:paraId="0FE3C400">
            <w:pPr>
              <w:adjustRightInd w:val="0"/>
              <w:snapToGrid w:val="0"/>
              <w:spacing w:line="288" w:lineRule="auto"/>
              <w:rPr>
                <w:rFonts w:ascii="宋体" w:hAnsi="宋体" w:cs="宋体"/>
                <w:sz w:val="21"/>
                <w:szCs w:val="21"/>
              </w:rPr>
            </w:pPr>
            <w:r>
              <w:rPr>
                <w:rFonts w:hint="eastAsia" w:ascii="宋体" w:hAnsi="宋体" w:cs="宋体"/>
                <w:sz w:val="21"/>
                <w:szCs w:val="21"/>
              </w:rPr>
              <w:t>评标专家确定方式：依法组建。</w:t>
            </w:r>
          </w:p>
          <w:p w14:paraId="03782EC8">
            <w:pPr>
              <w:adjustRightInd w:val="0"/>
              <w:snapToGrid w:val="0"/>
              <w:spacing w:line="288" w:lineRule="auto"/>
              <w:rPr>
                <w:rFonts w:ascii="宋体" w:hAnsi="宋体" w:cs="宋体"/>
                <w:sz w:val="21"/>
                <w:szCs w:val="21"/>
              </w:rPr>
            </w:pPr>
            <w:r>
              <w:rPr>
                <w:rFonts w:hint="eastAsia" w:ascii="宋体" w:hAnsi="宋体" w:cs="宋体"/>
                <w:sz w:val="21"/>
                <w:szCs w:val="21"/>
              </w:rPr>
              <w:t>评标专家确定方式：在评标前从广东省综合评标专家库随机抽取。</w:t>
            </w:r>
          </w:p>
        </w:tc>
      </w:tr>
      <w:tr w14:paraId="10F7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Borders>
              <w:bottom w:val="single" w:color="auto" w:sz="4" w:space="0"/>
            </w:tcBorders>
            <w:tcMar>
              <w:top w:w="57" w:type="dxa"/>
              <w:bottom w:w="57" w:type="dxa"/>
            </w:tcMar>
            <w:vAlign w:val="center"/>
          </w:tcPr>
          <w:p w14:paraId="354AE532">
            <w:pPr>
              <w:adjustRightInd w:val="0"/>
              <w:snapToGrid w:val="0"/>
              <w:spacing w:line="288" w:lineRule="auto"/>
              <w:jc w:val="center"/>
              <w:rPr>
                <w:rFonts w:ascii="宋体" w:hAnsi="宋体" w:cs="宋体"/>
                <w:sz w:val="21"/>
                <w:szCs w:val="21"/>
              </w:rPr>
            </w:pPr>
            <w:r>
              <w:rPr>
                <w:rFonts w:hint="eastAsia" w:ascii="宋体" w:hAnsi="宋体" w:cs="宋体"/>
                <w:sz w:val="21"/>
                <w:szCs w:val="21"/>
              </w:rPr>
              <w:t>7.1</w:t>
            </w:r>
          </w:p>
        </w:tc>
        <w:tc>
          <w:tcPr>
            <w:tcW w:w="1866" w:type="dxa"/>
            <w:tcBorders>
              <w:bottom w:val="single" w:color="auto" w:sz="4" w:space="0"/>
            </w:tcBorders>
            <w:tcMar>
              <w:top w:w="57" w:type="dxa"/>
              <w:bottom w:w="57" w:type="dxa"/>
            </w:tcMar>
            <w:vAlign w:val="center"/>
          </w:tcPr>
          <w:p w14:paraId="1630B238">
            <w:pPr>
              <w:adjustRightInd w:val="0"/>
              <w:snapToGrid w:val="0"/>
              <w:spacing w:line="288" w:lineRule="auto"/>
              <w:jc w:val="left"/>
              <w:rPr>
                <w:rFonts w:ascii="宋体" w:hAnsi="宋体" w:cs="宋体"/>
                <w:sz w:val="21"/>
                <w:szCs w:val="21"/>
              </w:rPr>
            </w:pPr>
            <w:r>
              <w:rPr>
                <w:rFonts w:hint="eastAsia" w:ascii="宋体" w:hAnsi="宋体" w:cs="宋体"/>
                <w:sz w:val="21"/>
                <w:szCs w:val="21"/>
              </w:rPr>
              <w:t>中标候选人公示的媒介</w:t>
            </w:r>
          </w:p>
        </w:tc>
        <w:tc>
          <w:tcPr>
            <w:tcW w:w="6788" w:type="dxa"/>
            <w:tcBorders>
              <w:bottom w:val="single" w:color="auto" w:sz="4" w:space="0"/>
            </w:tcBorders>
            <w:tcMar>
              <w:top w:w="57" w:type="dxa"/>
              <w:bottom w:w="57" w:type="dxa"/>
            </w:tcMar>
            <w:vAlign w:val="center"/>
          </w:tcPr>
          <w:p w14:paraId="16D364E1">
            <w:pPr>
              <w:adjustRightInd w:val="0"/>
              <w:snapToGrid w:val="0"/>
              <w:spacing w:line="288" w:lineRule="auto"/>
              <w:rPr>
                <w:rFonts w:ascii="宋体" w:hAnsi="宋体" w:cs="宋体"/>
                <w:sz w:val="21"/>
                <w:szCs w:val="21"/>
                <w:highlight w:val="none"/>
              </w:rPr>
            </w:pPr>
            <w:r>
              <w:rPr>
                <w:rFonts w:hint="eastAsia" w:ascii="宋体" w:hAnsi="宋体" w:cs="宋体"/>
                <w:bCs/>
                <w:sz w:val="21"/>
                <w:szCs w:val="21"/>
                <w:highlight w:val="none"/>
              </w:rPr>
              <w:t>广州交易集团有限公司（广州公共资源交易中心）官网（网址：http://www.gzggzy.cn）、广东省招标投标监管网（http://zbtb.gd.gov.cn/）、粤采易阳光采购平台(www.gdycy.com）和中国招标投标公共服务平台（http://www.cebpubservice.com）</w:t>
            </w:r>
          </w:p>
        </w:tc>
      </w:tr>
      <w:tr w14:paraId="32E1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Borders>
              <w:bottom w:val="single" w:color="auto" w:sz="4" w:space="0"/>
            </w:tcBorders>
            <w:tcMar>
              <w:top w:w="57" w:type="dxa"/>
              <w:bottom w:w="57" w:type="dxa"/>
            </w:tcMar>
            <w:vAlign w:val="center"/>
          </w:tcPr>
          <w:p w14:paraId="1A326774">
            <w:pPr>
              <w:adjustRightInd w:val="0"/>
              <w:snapToGrid w:val="0"/>
              <w:spacing w:line="288" w:lineRule="auto"/>
              <w:jc w:val="center"/>
              <w:rPr>
                <w:rFonts w:ascii="宋体" w:hAnsi="宋体" w:cs="宋体"/>
                <w:sz w:val="21"/>
                <w:szCs w:val="21"/>
              </w:rPr>
            </w:pPr>
            <w:r>
              <w:rPr>
                <w:rFonts w:hint="eastAsia" w:ascii="宋体" w:hAnsi="宋体" w:cs="宋体"/>
                <w:sz w:val="21"/>
                <w:szCs w:val="21"/>
              </w:rPr>
              <w:t>7.4.1</w:t>
            </w:r>
          </w:p>
        </w:tc>
        <w:tc>
          <w:tcPr>
            <w:tcW w:w="1866" w:type="dxa"/>
            <w:tcBorders>
              <w:bottom w:val="single" w:color="auto" w:sz="4" w:space="0"/>
            </w:tcBorders>
            <w:tcMar>
              <w:top w:w="57" w:type="dxa"/>
              <w:bottom w:w="57" w:type="dxa"/>
            </w:tcMar>
            <w:vAlign w:val="center"/>
          </w:tcPr>
          <w:p w14:paraId="72411509">
            <w:pPr>
              <w:adjustRightInd w:val="0"/>
              <w:snapToGrid w:val="0"/>
              <w:spacing w:line="288" w:lineRule="auto"/>
              <w:jc w:val="left"/>
              <w:rPr>
                <w:rFonts w:ascii="宋体" w:hAnsi="宋体" w:cs="宋体"/>
                <w:sz w:val="21"/>
                <w:szCs w:val="21"/>
                <w:highlight w:val="yellow"/>
              </w:rPr>
            </w:pPr>
            <w:r>
              <w:rPr>
                <w:rFonts w:hint="eastAsia" w:ascii="宋体" w:hAnsi="宋体" w:cs="宋体"/>
                <w:sz w:val="21"/>
                <w:szCs w:val="21"/>
                <w:highlight w:val="none"/>
              </w:rPr>
              <w:t>履约担保</w:t>
            </w:r>
          </w:p>
        </w:tc>
        <w:tc>
          <w:tcPr>
            <w:tcW w:w="6788" w:type="dxa"/>
            <w:tcBorders>
              <w:bottom w:val="single" w:color="auto" w:sz="4" w:space="0"/>
            </w:tcBorders>
            <w:tcMar>
              <w:top w:w="57" w:type="dxa"/>
              <w:bottom w:w="57" w:type="dxa"/>
            </w:tcMar>
            <w:vAlign w:val="center"/>
          </w:tcPr>
          <w:p w14:paraId="1CAF7D12">
            <w:pPr>
              <w:spacing w:line="240" w:lineRule="auto"/>
              <w:rPr>
                <w:rFonts w:ascii="宋体" w:hAnsi="宋体" w:cs="宋体"/>
                <w:bCs/>
                <w:sz w:val="21"/>
                <w:szCs w:val="21"/>
                <w:highlight w:val="none"/>
              </w:rPr>
            </w:pPr>
            <w:r>
              <w:rPr>
                <w:rFonts w:hint="eastAsia" w:ascii="宋体" w:hAnsi="宋体" w:cs="宋体"/>
                <w:bCs/>
                <w:sz w:val="21"/>
                <w:szCs w:val="21"/>
                <w:highlight w:val="none"/>
              </w:rPr>
              <w:t>履约保证金的形式：银行保函或现金、支票形式</w:t>
            </w:r>
          </w:p>
          <w:p w14:paraId="58AE300A">
            <w:pPr>
              <w:pStyle w:val="78"/>
              <w:ind w:left="0" w:firstLine="0" w:firstLineChars="0"/>
              <w:rPr>
                <w:rFonts w:ascii="宋体" w:hAnsi="宋体" w:cs="宋体"/>
                <w:bCs/>
                <w:sz w:val="21"/>
                <w:szCs w:val="21"/>
                <w:highlight w:val="none"/>
              </w:rPr>
            </w:pPr>
            <w:r>
              <w:rPr>
                <w:rFonts w:hint="eastAsia" w:ascii="宋体" w:hAnsi="宋体" w:cs="宋体"/>
                <w:bCs/>
                <w:sz w:val="21"/>
                <w:szCs w:val="21"/>
                <w:highlight w:val="none"/>
              </w:rPr>
              <w:t>履约保证金的金额：中标合同额的10%</w:t>
            </w:r>
          </w:p>
          <w:p w14:paraId="18D4C48C">
            <w:pPr>
              <w:pStyle w:val="78"/>
              <w:ind w:left="0" w:firstLine="0" w:firstLineChars="0"/>
              <w:rPr>
                <w:rFonts w:ascii="宋体" w:hAnsi="宋体" w:cs="宋体"/>
                <w:bCs/>
                <w:sz w:val="21"/>
                <w:szCs w:val="21"/>
                <w:highlight w:val="none"/>
              </w:rPr>
            </w:pPr>
            <w:r>
              <w:rPr>
                <w:rFonts w:hint="eastAsia" w:ascii="宋体" w:hAnsi="宋体" w:cs="宋体"/>
                <w:bCs/>
                <w:sz w:val="21"/>
                <w:szCs w:val="21"/>
                <w:highlight w:val="none"/>
              </w:rPr>
              <w:t>采用银行保函时，出具保函的银行级别：投标人公司注册所在地的全国性国有商业银行或股份制商业银行的分支机构</w:t>
            </w:r>
          </w:p>
        </w:tc>
      </w:tr>
      <w:tr w14:paraId="63AE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Borders>
              <w:top w:val="single" w:color="auto" w:sz="4" w:space="0"/>
              <w:left w:val="single" w:color="auto" w:sz="4" w:space="0"/>
              <w:bottom w:val="single" w:color="auto" w:sz="4" w:space="0"/>
              <w:right w:val="single" w:color="auto" w:sz="4" w:space="0"/>
            </w:tcBorders>
            <w:shd w:val="clear" w:color="000000" w:fill="auto"/>
            <w:tcMar>
              <w:top w:w="57" w:type="dxa"/>
              <w:bottom w:w="57" w:type="dxa"/>
            </w:tcMar>
            <w:vAlign w:val="center"/>
          </w:tcPr>
          <w:p w14:paraId="0C3A00F6">
            <w:pPr>
              <w:adjustRightInd w:val="0"/>
              <w:snapToGrid w:val="0"/>
              <w:spacing w:line="288" w:lineRule="auto"/>
              <w:jc w:val="center"/>
              <w:rPr>
                <w:rFonts w:ascii="宋体" w:hAnsi="宋体" w:cs="宋体"/>
                <w:sz w:val="21"/>
                <w:szCs w:val="21"/>
              </w:rPr>
            </w:pPr>
            <w:r>
              <w:rPr>
                <w:rFonts w:hint="eastAsia" w:ascii="宋体" w:hAnsi="宋体" w:cs="宋体"/>
                <w:sz w:val="21"/>
                <w:szCs w:val="21"/>
              </w:rPr>
              <w:t>9.2、9.3</w:t>
            </w:r>
          </w:p>
        </w:tc>
        <w:tc>
          <w:tcPr>
            <w:tcW w:w="1866" w:type="dxa"/>
            <w:tcBorders>
              <w:top w:val="single" w:color="auto" w:sz="4" w:space="0"/>
              <w:left w:val="single" w:color="auto" w:sz="4" w:space="0"/>
              <w:bottom w:val="single" w:color="auto" w:sz="4" w:space="0"/>
              <w:right w:val="single" w:color="auto" w:sz="4" w:space="0"/>
            </w:tcBorders>
            <w:shd w:val="clear" w:color="000000" w:fill="auto"/>
            <w:tcMar>
              <w:top w:w="57" w:type="dxa"/>
              <w:bottom w:w="57" w:type="dxa"/>
            </w:tcMar>
            <w:vAlign w:val="center"/>
          </w:tcPr>
          <w:p w14:paraId="39C89116">
            <w:pPr>
              <w:adjustRightInd w:val="0"/>
              <w:snapToGrid w:val="0"/>
              <w:spacing w:line="288" w:lineRule="auto"/>
              <w:jc w:val="left"/>
              <w:rPr>
                <w:rFonts w:ascii="宋体" w:hAnsi="宋体" w:cs="宋体"/>
                <w:sz w:val="21"/>
                <w:szCs w:val="21"/>
              </w:rPr>
            </w:pPr>
            <w:r>
              <w:rPr>
                <w:rFonts w:hint="eastAsia" w:ascii="宋体" w:hAnsi="宋体" w:cs="宋体"/>
                <w:sz w:val="21"/>
                <w:szCs w:val="21"/>
              </w:rPr>
              <w:t>监督与管理部门及联系方式</w:t>
            </w:r>
          </w:p>
        </w:tc>
        <w:tc>
          <w:tcPr>
            <w:tcW w:w="6788" w:type="dxa"/>
            <w:tcBorders>
              <w:top w:val="single" w:color="auto" w:sz="4" w:space="0"/>
              <w:left w:val="single" w:color="auto" w:sz="4" w:space="0"/>
              <w:bottom w:val="single" w:color="auto" w:sz="4" w:space="0"/>
              <w:right w:val="single" w:color="auto" w:sz="4" w:space="0"/>
            </w:tcBorders>
            <w:shd w:val="clear" w:color="000000" w:fill="auto"/>
            <w:tcMar>
              <w:top w:w="57" w:type="dxa"/>
              <w:bottom w:w="57" w:type="dxa"/>
            </w:tcMar>
            <w:vAlign w:val="center"/>
          </w:tcPr>
          <w:p w14:paraId="51601833">
            <w:pPr>
              <w:adjustRightInd w:val="0"/>
              <w:snapToGrid w:val="0"/>
              <w:spacing w:line="288" w:lineRule="auto"/>
              <w:rPr>
                <w:rFonts w:ascii="宋体" w:hAnsi="宋体" w:cs="宋体"/>
                <w:sz w:val="21"/>
                <w:szCs w:val="21"/>
              </w:rPr>
            </w:pPr>
            <w:r>
              <w:rPr>
                <w:rFonts w:hint="eastAsia" w:ascii="宋体" w:hAnsi="宋体" w:cs="宋体"/>
                <w:sz w:val="21"/>
                <w:szCs w:val="21"/>
              </w:rPr>
              <w:t>名称：</w:t>
            </w:r>
            <w:r>
              <w:rPr>
                <w:rFonts w:ascii="宋体" w:hAnsi="宋体" w:cs="宋体"/>
                <w:sz w:val="21"/>
                <w:szCs w:val="21"/>
              </w:rPr>
              <w:t>广东中粤通油品经营有限公司综合部</w:t>
            </w:r>
          </w:p>
          <w:p w14:paraId="69A2A513">
            <w:pPr>
              <w:adjustRightInd w:val="0"/>
              <w:snapToGrid w:val="0"/>
              <w:spacing w:line="288" w:lineRule="auto"/>
              <w:rPr>
                <w:rFonts w:ascii="宋体" w:hAnsi="宋体" w:cs="宋体"/>
                <w:sz w:val="21"/>
                <w:szCs w:val="21"/>
              </w:rPr>
            </w:pPr>
            <w:r>
              <w:rPr>
                <w:rFonts w:hint="eastAsia" w:ascii="宋体" w:hAnsi="宋体" w:cs="宋体"/>
                <w:sz w:val="21"/>
                <w:szCs w:val="21"/>
              </w:rPr>
              <w:t>电话：</w:t>
            </w:r>
            <w:r>
              <w:rPr>
                <w:rFonts w:hint="default" w:ascii="宋体" w:hAnsi="宋体" w:cs="宋体"/>
                <w:sz w:val="21"/>
                <w:szCs w:val="21"/>
              </w:rPr>
              <w:t>13825025533</w:t>
            </w:r>
          </w:p>
          <w:p w14:paraId="396DEE86">
            <w:pPr>
              <w:adjustRightInd w:val="0"/>
              <w:snapToGrid w:val="0"/>
              <w:spacing w:line="288" w:lineRule="auto"/>
              <w:rPr>
                <w:sz w:val="21"/>
                <w:szCs w:val="21"/>
              </w:rPr>
            </w:pPr>
            <w:r>
              <w:rPr>
                <w:rFonts w:hint="eastAsia" w:ascii="宋体" w:hAnsi="宋体" w:cs="宋体"/>
                <w:sz w:val="21"/>
                <w:szCs w:val="21"/>
              </w:rPr>
              <w:t>地址：广州市白云区机场路1735号201室</w:t>
            </w:r>
          </w:p>
        </w:tc>
      </w:tr>
      <w:tr w14:paraId="23FD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504BC3F4">
            <w:pPr>
              <w:adjustRightInd w:val="0"/>
              <w:snapToGrid w:val="0"/>
              <w:spacing w:line="288" w:lineRule="auto"/>
              <w:jc w:val="center"/>
              <w:rPr>
                <w:rFonts w:ascii="宋体" w:hAnsi="宋体" w:cs="宋体"/>
                <w:b/>
                <w:sz w:val="21"/>
                <w:szCs w:val="21"/>
              </w:rPr>
            </w:pPr>
            <w:r>
              <w:rPr>
                <w:rFonts w:hint="eastAsia" w:ascii="宋体" w:hAnsi="宋体" w:cs="宋体"/>
                <w:sz w:val="21"/>
                <w:szCs w:val="21"/>
              </w:rPr>
              <w:t>10.1</w:t>
            </w:r>
          </w:p>
        </w:tc>
        <w:tc>
          <w:tcPr>
            <w:tcW w:w="1866" w:type="dxa"/>
            <w:tcMar>
              <w:top w:w="57" w:type="dxa"/>
              <w:bottom w:w="57" w:type="dxa"/>
            </w:tcMar>
            <w:vAlign w:val="center"/>
          </w:tcPr>
          <w:p w14:paraId="230679FB">
            <w:pPr>
              <w:adjustRightInd w:val="0"/>
              <w:snapToGrid w:val="0"/>
              <w:spacing w:line="288" w:lineRule="auto"/>
              <w:jc w:val="left"/>
              <w:rPr>
                <w:rFonts w:ascii="宋体" w:hAnsi="宋体" w:cs="宋体"/>
                <w:sz w:val="21"/>
                <w:szCs w:val="21"/>
              </w:rPr>
            </w:pPr>
            <w:r>
              <w:rPr>
                <w:rFonts w:hint="eastAsia" w:ascii="宋体" w:hAnsi="宋体"/>
                <w:sz w:val="21"/>
                <w:szCs w:val="21"/>
              </w:rPr>
              <w:t>证明资料</w:t>
            </w:r>
            <w:r>
              <w:rPr>
                <w:rFonts w:ascii="宋体" w:hAnsi="宋体"/>
                <w:sz w:val="21"/>
                <w:szCs w:val="21"/>
              </w:rPr>
              <w:t>核对</w:t>
            </w:r>
          </w:p>
        </w:tc>
        <w:tc>
          <w:tcPr>
            <w:tcW w:w="6788" w:type="dxa"/>
            <w:tcMar>
              <w:top w:w="57" w:type="dxa"/>
              <w:bottom w:w="57" w:type="dxa"/>
            </w:tcMar>
            <w:vAlign w:val="center"/>
          </w:tcPr>
          <w:p w14:paraId="2EC8600B">
            <w:pPr>
              <w:adjustRightInd w:val="0"/>
              <w:snapToGrid w:val="0"/>
              <w:spacing w:line="288" w:lineRule="auto"/>
              <w:rPr>
                <w:rFonts w:ascii="宋体" w:hAnsi="宋体" w:cs="宋体"/>
                <w:sz w:val="21"/>
                <w:szCs w:val="21"/>
              </w:rPr>
            </w:pPr>
            <w:r>
              <w:rPr>
                <w:rFonts w:hint="eastAsia" w:ascii="宋体" w:hAnsi="宋体" w:cs="宋体"/>
                <w:sz w:val="21"/>
                <w:szCs w:val="21"/>
              </w:rPr>
              <w:t>1.评标期间，评标委员会有权要求核查原件,如需要可以要求投标人提交其投标文件中复印件的对应原件，以便核验，投标人需在评标委员会发出核查通知要求的时间内提交原件核对。</w:t>
            </w:r>
          </w:p>
          <w:p w14:paraId="1053ECAA">
            <w:pPr>
              <w:adjustRightInd w:val="0"/>
              <w:snapToGrid w:val="0"/>
              <w:spacing w:line="288" w:lineRule="auto"/>
              <w:rPr>
                <w:rFonts w:ascii="宋体" w:hAnsi="宋体" w:cs="宋体"/>
                <w:sz w:val="21"/>
                <w:szCs w:val="21"/>
              </w:rPr>
            </w:pPr>
            <w:r>
              <w:rPr>
                <w:rFonts w:hint="eastAsia" w:ascii="宋体" w:hAnsi="宋体" w:cs="宋体"/>
                <w:sz w:val="21"/>
                <w:szCs w:val="21"/>
              </w:rPr>
              <w:t>2.在定标阶段，招标人有权要求中标候选人提交其投标文件中的复印件的对应原件，以便核实其复印件的真实性。若中标候选人无故不能提交复印件的对应原件，视为中标候选人的投标文件造假，中标候选人的中标资格将被取消。</w:t>
            </w:r>
          </w:p>
          <w:p w14:paraId="3AC8937F">
            <w:pPr>
              <w:adjustRightInd w:val="0"/>
              <w:snapToGrid w:val="0"/>
              <w:spacing w:line="288" w:lineRule="auto"/>
              <w:rPr>
                <w:rFonts w:ascii="宋体" w:hAnsi="宋体" w:cs="宋体"/>
                <w:b/>
                <w:bCs/>
                <w:sz w:val="21"/>
                <w:szCs w:val="21"/>
              </w:rPr>
            </w:pPr>
            <w:r>
              <w:rPr>
                <w:rFonts w:hint="eastAsia" w:ascii="宋体" w:hAnsi="宋体" w:cs="宋体"/>
                <w:b/>
                <w:bCs/>
                <w:sz w:val="21"/>
                <w:szCs w:val="21"/>
              </w:rPr>
              <w:t>3.特别说明：招标人主要核查资料包括但不限于投标文件提供的相应证书、投标人业绩和人员业绩证明等资料。</w:t>
            </w:r>
          </w:p>
          <w:p w14:paraId="4704DC72">
            <w:pPr>
              <w:adjustRightInd w:val="0"/>
              <w:snapToGrid w:val="0"/>
              <w:spacing w:line="288" w:lineRule="auto"/>
              <w:rPr>
                <w:rFonts w:ascii="宋体" w:hAnsi="宋体" w:cs="宋体"/>
                <w:b/>
                <w:bCs/>
                <w:sz w:val="21"/>
                <w:szCs w:val="21"/>
              </w:rPr>
            </w:pPr>
            <w:r>
              <w:rPr>
                <w:rFonts w:hint="eastAsia" w:ascii="宋体" w:hAnsi="宋体" w:cs="宋体"/>
                <w:b/>
                <w:bCs/>
                <w:sz w:val="21"/>
                <w:szCs w:val="21"/>
              </w:rPr>
              <w:t>（1）为保证投标文件中所提供投标人业绩的真实性，核查时中标候选人须提供依据项目业绩合同支付条款约定的预付款或某1次进度款或交工或竣工结算款付款证书{体现业绩合同名称“xx工程”}以及对应的增值税发票（销售方记账联）。招标人通过“国家税务总局全国增值税查验平台”核实增值税发票的真实性{若在增值税发票的备注栏中已明确显示与合同名称一致的“xx工程”内容，则不再要求提供对应的付款证书}。</w:t>
            </w:r>
          </w:p>
          <w:p w14:paraId="7E75C3F8">
            <w:pPr>
              <w:adjustRightInd w:val="0"/>
              <w:snapToGrid w:val="0"/>
              <w:spacing w:line="288" w:lineRule="auto"/>
              <w:rPr>
                <w:rFonts w:ascii="宋体" w:hAnsi="宋体" w:cs="宋体"/>
                <w:sz w:val="21"/>
                <w:szCs w:val="21"/>
              </w:rPr>
            </w:pPr>
            <w:r>
              <w:rPr>
                <w:rFonts w:hint="eastAsia" w:ascii="宋体" w:hAnsi="宋体" w:cs="宋体"/>
                <w:b/>
                <w:bCs/>
                <w:sz w:val="21"/>
                <w:szCs w:val="21"/>
              </w:rPr>
              <w:t>（2）若按照项目业绩合同支付条款的约定尚不到付款期限，或合同支付条款的约定已到付款期限但尚未支付价款，无法提供付款证书和对应的增值税专用发票的，中标候选人须提供由发包人（或分包合同的发包人）或其下相关主管部门出具的补充证明材料（证明:按照《xxxx合同》支付条款的约定：尚不到付款期限/尚未支付相应价款），且加盖发包人（或分包合同的发包人）单位章或其下相关主管部门印章】。</w:t>
            </w:r>
          </w:p>
        </w:tc>
      </w:tr>
      <w:tr w14:paraId="31F9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5EB60120">
            <w:pPr>
              <w:adjustRightInd w:val="0"/>
              <w:snapToGrid w:val="0"/>
              <w:spacing w:line="288" w:lineRule="auto"/>
              <w:jc w:val="center"/>
              <w:rPr>
                <w:rFonts w:ascii="宋体" w:hAnsi="宋体"/>
                <w:sz w:val="21"/>
                <w:szCs w:val="21"/>
              </w:rPr>
            </w:pPr>
            <w:r>
              <w:rPr>
                <w:rFonts w:hint="eastAsia" w:ascii="宋体" w:hAnsi="宋体"/>
                <w:sz w:val="21"/>
                <w:szCs w:val="21"/>
              </w:rPr>
              <w:t>11</w:t>
            </w:r>
          </w:p>
        </w:tc>
        <w:tc>
          <w:tcPr>
            <w:tcW w:w="1866" w:type="dxa"/>
            <w:tcMar>
              <w:top w:w="57" w:type="dxa"/>
              <w:bottom w:w="57" w:type="dxa"/>
            </w:tcMar>
            <w:vAlign w:val="center"/>
          </w:tcPr>
          <w:p w14:paraId="2726DDBF">
            <w:pPr>
              <w:pStyle w:val="438"/>
              <w:tabs>
                <w:tab w:val="left" w:pos="702"/>
              </w:tabs>
              <w:adjustRightInd w:val="0"/>
              <w:snapToGrid w:val="0"/>
              <w:spacing w:line="288" w:lineRule="auto"/>
              <w:rPr>
                <w:sz w:val="21"/>
                <w:szCs w:val="21"/>
                <w:lang w:val="en-US"/>
              </w:rPr>
            </w:pPr>
            <w:r>
              <w:rPr>
                <w:rFonts w:hint="eastAsia"/>
                <w:sz w:val="21"/>
                <w:szCs w:val="21"/>
              </w:rPr>
              <w:t>其他关键事项</w:t>
            </w:r>
          </w:p>
        </w:tc>
        <w:tc>
          <w:tcPr>
            <w:tcW w:w="6788" w:type="dxa"/>
            <w:tcMar>
              <w:top w:w="57" w:type="dxa"/>
              <w:bottom w:w="57" w:type="dxa"/>
            </w:tcMar>
            <w:vAlign w:val="center"/>
          </w:tcPr>
          <w:p w14:paraId="6A14BA27">
            <w:pPr>
              <w:adjustRightInd w:val="0"/>
              <w:snapToGrid w:val="0"/>
              <w:spacing w:line="288" w:lineRule="auto"/>
              <w:rPr>
                <w:sz w:val="21"/>
                <w:szCs w:val="21"/>
              </w:rPr>
            </w:pPr>
          </w:p>
        </w:tc>
      </w:tr>
      <w:tr w14:paraId="7259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29FF2A1E">
            <w:pPr>
              <w:adjustRightInd w:val="0"/>
              <w:snapToGrid w:val="0"/>
              <w:spacing w:line="288" w:lineRule="auto"/>
              <w:jc w:val="center"/>
              <w:rPr>
                <w:rFonts w:ascii="宋体" w:hAnsi="宋体" w:cs="宋体"/>
                <w:sz w:val="21"/>
                <w:szCs w:val="21"/>
              </w:rPr>
            </w:pPr>
            <w:r>
              <w:rPr>
                <w:rFonts w:hint="eastAsia" w:ascii="宋体" w:hAnsi="宋体" w:cs="宋体"/>
                <w:sz w:val="21"/>
                <w:szCs w:val="21"/>
              </w:rPr>
              <w:t>11.1</w:t>
            </w:r>
          </w:p>
        </w:tc>
        <w:tc>
          <w:tcPr>
            <w:tcW w:w="1866" w:type="dxa"/>
            <w:tcMar>
              <w:top w:w="57" w:type="dxa"/>
              <w:bottom w:w="57" w:type="dxa"/>
            </w:tcMar>
            <w:vAlign w:val="center"/>
          </w:tcPr>
          <w:p w14:paraId="35248643">
            <w:pPr>
              <w:pStyle w:val="438"/>
              <w:tabs>
                <w:tab w:val="left" w:pos="702"/>
              </w:tabs>
              <w:adjustRightInd w:val="0"/>
              <w:snapToGrid w:val="0"/>
              <w:spacing w:line="288" w:lineRule="auto"/>
              <w:rPr>
                <w:sz w:val="21"/>
                <w:szCs w:val="21"/>
              </w:rPr>
            </w:pPr>
            <w:r>
              <w:rPr>
                <w:rFonts w:hint="eastAsia"/>
                <w:sz w:val="21"/>
                <w:szCs w:val="21"/>
                <w:lang w:val="en-US"/>
              </w:rPr>
              <w:t>公共资源交易服务费</w:t>
            </w:r>
            <w:r>
              <w:rPr>
                <w:rFonts w:hint="eastAsia"/>
                <w:sz w:val="21"/>
                <w:szCs w:val="21"/>
              </w:rPr>
              <w:t>缴费标准</w:t>
            </w:r>
          </w:p>
        </w:tc>
        <w:tc>
          <w:tcPr>
            <w:tcW w:w="6788" w:type="dxa"/>
            <w:tcMar>
              <w:top w:w="57" w:type="dxa"/>
              <w:bottom w:w="57" w:type="dxa"/>
            </w:tcMar>
            <w:vAlign w:val="center"/>
          </w:tcPr>
          <w:p w14:paraId="6F4F10E0">
            <w:pPr>
              <w:adjustRightInd w:val="0"/>
              <w:snapToGrid w:val="0"/>
              <w:spacing w:line="288" w:lineRule="auto"/>
              <w:rPr>
                <w:rFonts w:ascii="宋体" w:hAnsi="宋体" w:cs="宋体"/>
                <w:sz w:val="21"/>
                <w:szCs w:val="21"/>
              </w:rPr>
            </w:pPr>
            <w:r>
              <w:rPr>
                <w:rFonts w:hint="eastAsia"/>
                <w:sz w:val="21"/>
                <w:szCs w:val="21"/>
              </w:rPr>
              <w:t>中标人应按招标人或招标代理通知的日期向广州公共资源交易中心缴纳公共资源交易服务费，该交易服务费为中标金额的0.9‰，具体收费标准投标人可以在广州公共资源交易中心网站查阅，如有变更以广州公共资源交易中心最新发布的标准为准。</w:t>
            </w:r>
          </w:p>
        </w:tc>
      </w:tr>
      <w:tr w14:paraId="5840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4885310A">
            <w:pPr>
              <w:adjustRightInd w:val="0"/>
              <w:snapToGrid w:val="0"/>
              <w:spacing w:line="288" w:lineRule="auto"/>
              <w:jc w:val="center"/>
              <w:rPr>
                <w:rFonts w:ascii="宋体" w:hAnsi="宋体" w:cs="宋体"/>
                <w:sz w:val="21"/>
                <w:szCs w:val="21"/>
              </w:rPr>
            </w:pPr>
            <w:r>
              <w:rPr>
                <w:rFonts w:hint="eastAsia" w:ascii="宋体" w:hAnsi="宋体" w:cs="宋体"/>
                <w:sz w:val="21"/>
                <w:szCs w:val="21"/>
              </w:rPr>
              <w:t>11.2</w:t>
            </w:r>
          </w:p>
        </w:tc>
        <w:tc>
          <w:tcPr>
            <w:tcW w:w="1866" w:type="dxa"/>
            <w:tcMar>
              <w:top w:w="57" w:type="dxa"/>
              <w:bottom w:w="57" w:type="dxa"/>
            </w:tcMar>
            <w:vAlign w:val="center"/>
          </w:tcPr>
          <w:p w14:paraId="4EBE22B1">
            <w:pPr>
              <w:adjustRightInd w:val="0"/>
              <w:snapToGrid w:val="0"/>
              <w:spacing w:line="288" w:lineRule="auto"/>
              <w:jc w:val="left"/>
              <w:rPr>
                <w:rFonts w:ascii="宋体" w:hAnsi="宋体" w:cs="宋体"/>
                <w:sz w:val="21"/>
                <w:szCs w:val="21"/>
              </w:rPr>
            </w:pPr>
            <w:r>
              <w:rPr>
                <w:rFonts w:hint="eastAsia" w:ascii="宋体" w:hAnsi="宋体" w:cs="宋体"/>
                <w:sz w:val="21"/>
                <w:szCs w:val="21"/>
              </w:rPr>
              <w:t>招标代理服务费</w:t>
            </w:r>
          </w:p>
        </w:tc>
        <w:tc>
          <w:tcPr>
            <w:tcW w:w="6788" w:type="dxa"/>
            <w:tcMar>
              <w:top w:w="57" w:type="dxa"/>
              <w:bottom w:w="57" w:type="dxa"/>
            </w:tcMar>
            <w:vAlign w:val="center"/>
          </w:tcPr>
          <w:p w14:paraId="784E59DC">
            <w:pPr>
              <w:widowControl/>
              <w:adjustRightInd w:val="0"/>
              <w:snapToGrid w:val="0"/>
              <w:spacing w:line="288" w:lineRule="auto"/>
              <w:jc w:val="left"/>
              <w:rPr>
                <w:sz w:val="21"/>
                <w:szCs w:val="21"/>
              </w:rPr>
            </w:pPr>
            <w:r>
              <w:rPr>
                <w:rFonts w:hint="eastAsia"/>
                <w:sz w:val="21"/>
                <w:szCs w:val="21"/>
              </w:rPr>
              <w:t>本项目招标代理服务费由</w:t>
            </w:r>
            <w:r>
              <w:rPr>
                <w:rFonts w:hint="eastAsia"/>
                <w:b/>
                <w:bCs/>
                <w:sz w:val="21"/>
                <w:szCs w:val="21"/>
                <w:u w:val="single"/>
              </w:rPr>
              <w:t>招标人</w:t>
            </w:r>
            <w:r>
              <w:rPr>
                <w:rFonts w:hint="eastAsia"/>
                <w:sz w:val="21"/>
                <w:szCs w:val="21"/>
              </w:rPr>
              <w:t>支付</w:t>
            </w:r>
            <w:r>
              <w:rPr>
                <w:rFonts w:hint="eastAsia" w:ascii="宋体" w:hAnsi="宋体" w:cs="宋体"/>
                <w:sz w:val="21"/>
                <w:szCs w:val="21"/>
              </w:rPr>
              <w:t>。</w:t>
            </w:r>
          </w:p>
        </w:tc>
      </w:tr>
      <w:tr w14:paraId="1765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tcMar>
              <w:top w:w="57" w:type="dxa"/>
              <w:bottom w:w="57" w:type="dxa"/>
            </w:tcMar>
            <w:vAlign w:val="center"/>
          </w:tcPr>
          <w:p w14:paraId="7248A640">
            <w:pPr>
              <w:adjustRightInd w:val="0"/>
              <w:snapToGrid w:val="0"/>
              <w:spacing w:line="288" w:lineRule="auto"/>
              <w:jc w:val="center"/>
              <w:rPr>
                <w:rFonts w:ascii="宋体" w:hAnsi="宋体" w:cs="宋体"/>
                <w:sz w:val="21"/>
                <w:szCs w:val="21"/>
              </w:rPr>
            </w:pPr>
            <w:r>
              <w:rPr>
                <w:rFonts w:hint="eastAsia" w:ascii="宋体" w:hAnsi="宋体" w:cs="宋体"/>
                <w:bCs/>
                <w:sz w:val="21"/>
                <w:szCs w:val="21"/>
              </w:rPr>
              <w:t>备注：</w:t>
            </w:r>
          </w:p>
        </w:tc>
        <w:tc>
          <w:tcPr>
            <w:tcW w:w="8654" w:type="dxa"/>
            <w:gridSpan w:val="2"/>
            <w:tcMar>
              <w:top w:w="57" w:type="dxa"/>
              <w:bottom w:w="57" w:type="dxa"/>
            </w:tcMar>
            <w:vAlign w:val="center"/>
          </w:tcPr>
          <w:p w14:paraId="5D120682">
            <w:pPr>
              <w:adjustRightInd w:val="0"/>
              <w:snapToGrid w:val="0"/>
              <w:spacing w:line="288" w:lineRule="auto"/>
              <w:rPr>
                <w:sz w:val="21"/>
                <w:szCs w:val="21"/>
              </w:rPr>
            </w:pPr>
            <w:r>
              <w:rPr>
                <w:rFonts w:hint="eastAsia"/>
                <w:sz w:val="21"/>
                <w:szCs w:val="21"/>
              </w:rPr>
              <w:t>本招标文件所有内容最终以招标人解释为准。</w:t>
            </w:r>
          </w:p>
        </w:tc>
      </w:tr>
      <w:bookmarkEnd w:id="65"/>
    </w:tbl>
    <w:p w14:paraId="7A287A3D">
      <w:pPr>
        <w:pStyle w:val="5"/>
        <w:pageBreakBefore/>
      </w:pPr>
      <w:bookmarkStart w:id="69" w:name="_Toc489214130"/>
      <w:bookmarkStart w:id="70" w:name="_Toc16499"/>
      <w:bookmarkStart w:id="71" w:name="_Toc30717"/>
      <w:bookmarkStart w:id="72" w:name="_Toc23891"/>
      <w:r>
        <w:t>1</w:t>
      </w:r>
      <w:r>
        <w:rPr>
          <w:rFonts w:hint="eastAsia"/>
        </w:rPr>
        <w:t>．总则</w:t>
      </w:r>
      <w:bookmarkEnd w:id="69"/>
      <w:bookmarkEnd w:id="70"/>
      <w:bookmarkEnd w:id="71"/>
      <w:bookmarkEnd w:id="72"/>
    </w:p>
    <w:p w14:paraId="4C4C7C07">
      <w:pPr>
        <w:snapToGrid w:val="0"/>
        <w:ind w:firstLine="482" w:firstLineChars="200"/>
        <w:rPr>
          <w:rFonts w:ascii="宋体" w:hAnsi="宋体"/>
          <w:b/>
          <w:bCs/>
        </w:rPr>
      </w:pPr>
      <w:r>
        <w:rPr>
          <w:rFonts w:ascii="宋体" w:hAnsi="宋体"/>
          <w:b/>
          <w:bCs/>
        </w:rPr>
        <w:t>1.1</w:t>
      </w:r>
      <w:r>
        <w:rPr>
          <w:rFonts w:hint="eastAsia" w:ascii="宋体" w:hAnsi="宋体"/>
          <w:b/>
          <w:bCs/>
        </w:rPr>
        <w:t>项目概况</w:t>
      </w:r>
    </w:p>
    <w:p w14:paraId="4B6C2995">
      <w:pPr>
        <w:snapToGrid w:val="0"/>
        <w:ind w:firstLine="480" w:firstLineChars="200"/>
        <w:rPr>
          <w:rFonts w:ascii="宋体" w:hAnsi="宋体"/>
        </w:rPr>
      </w:pPr>
      <w:r>
        <w:rPr>
          <w:rFonts w:hint="eastAsia" w:ascii="宋体" w:hAnsi="宋体"/>
        </w:rPr>
        <w:t>1.1.1招标人：见投标人须知前附表。</w:t>
      </w:r>
    </w:p>
    <w:p w14:paraId="6AFF5A8B">
      <w:pPr>
        <w:snapToGrid w:val="0"/>
        <w:ind w:firstLine="480" w:firstLineChars="200"/>
        <w:rPr>
          <w:rFonts w:ascii="宋体" w:hAnsi="宋体"/>
        </w:rPr>
      </w:pPr>
      <w:r>
        <w:rPr>
          <w:rFonts w:hint="eastAsia" w:ascii="宋体" w:hAnsi="宋体"/>
        </w:rPr>
        <w:t>1.1.2招标代理机构：见投标人须知前附表。</w:t>
      </w:r>
    </w:p>
    <w:p w14:paraId="04DC6F0D">
      <w:pPr>
        <w:snapToGrid w:val="0"/>
        <w:ind w:firstLine="480" w:firstLineChars="200"/>
        <w:rPr>
          <w:rFonts w:ascii="宋体" w:hAnsi="宋体"/>
        </w:rPr>
      </w:pPr>
      <w:r>
        <w:rPr>
          <w:rFonts w:hint="eastAsia" w:ascii="宋体" w:hAnsi="宋体"/>
        </w:rPr>
        <w:t>1.1.3招标项目名称：见投标人须知前附表。</w:t>
      </w:r>
    </w:p>
    <w:p w14:paraId="3D88B8D5">
      <w:pPr>
        <w:snapToGrid w:val="0"/>
        <w:ind w:firstLine="480" w:firstLineChars="200"/>
        <w:rPr>
          <w:rFonts w:ascii="宋体" w:hAnsi="宋体"/>
        </w:rPr>
      </w:pPr>
      <w:r>
        <w:rPr>
          <w:rFonts w:hint="eastAsia" w:ascii="宋体" w:hAnsi="宋体"/>
        </w:rPr>
        <w:t>1.1.4建设地址：见投标人须知前附表。</w:t>
      </w:r>
    </w:p>
    <w:p w14:paraId="3404C874">
      <w:pPr>
        <w:snapToGrid w:val="0"/>
        <w:ind w:firstLine="480" w:firstLineChars="200"/>
        <w:rPr>
          <w:rFonts w:ascii="宋体" w:hAnsi="宋体"/>
        </w:rPr>
      </w:pPr>
      <w:r>
        <w:rPr>
          <w:rFonts w:hint="eastAsia" w:ascii="宋体" w:hAnsi="宋体"/>
        </w:rPr>
        <w:t>1.1.5计划工期：见投标人须知前附表。</w:t>
      </w:r>
    </w:p>
    <w:p w14:paraId="61892973">
      <w:pPr>
        <w:snapToGrid w:val="0"/>
        <w:ind w:firstLine="480" w:firstLineChars="200"/>
        <w:rPr>
          <w:rFonts w:ascii="宋体" w:hAnsi="宋体"/>
        </w:rPr>
      </w:pPr>
      <w:r>
        <w:rPr>
          <w:rFonts w:hint="eastAsia" w:ascii="宋体" w:hAnsi="宋体"/>
        </w:rPr>
        <w:t>1.1.6质量要求：见投标人须知前附表。</w:t>
      </w:r>
    </w:p>
    <w:p w14:paraId="45D942F0">
      <w:pPr>
        <w:snapToGrid w:val="0"/>
        <w:ind w:firstLine="480" w:firstLineChars="200"/>
        <w:rPr>
          <w:rFonts w:ascii="宋体" w:hAnsi="宋体"/>
        </w:rPr>
      </w:pPr>
      <w:r>
        <w:rPr>
          <w:rFonts w:ascii="宋体" w:hAnsi="宋体"/>
        </w:rPr>
        <w:t>1.</w:t>
      </w:r>
      <w:r>
        <w:rPr>
          <w:rFonts w:hint="eastAsia" w:ascii="宋体" w:hAnsi="宋体"/>
        </w:rPr>
        <w:t>2标段划分和招标范围</w:t>
      </w:r>
    </w:p>
    <w:p w14:paraId="32512077">
      <w:pPr>
        <w:snapToGrid w:val="0"/>
        <w:ind w:firstLine="480" w:firstLineChars="200"/>
        <w:rPr>
          <w:rFonts w:ascii="宋体" w:hAnsi="宋体"/>
        </w:rPr>
      </w:pPr>
      <w:r>
        <w:rPr>
          <w:rFonts w:hint="eastAsia" w:ascii="宋体" w:hAnsi="宋体"/>
        </w:rPr>
        <w:t>标段划分和标段招标范围：详见第六章“技术规格及要求”等。</w:t>
      </w:r>
    </w:p>
    <w:p w14:paraId="2E01F5C5">
      <w:pPr>
        <w:ind w:firstLine="480" w:firstLineChars="200"/>
        <w:rPr>
          <w:rFonts w:ascii="宋体" w:hAnsi="宋体"/>
          <w:b/>
        </w:rPr>
      </w:pPr>
      <w:r>
        <w:rPr>
          <w:rFonts w:hint="eastAsia" w:ascii="宋体" w:hAnsi="宋体"/>
        </w:rPr>
        <w:t>1.3</w:t>
      </w:r>
      <w:r>
        <w:rPr>
          <w:rFonts w:hint="eastAsia" w:ascii="宋体" w:hAnsi="宋体"/>
          <w:b/>
        </w:rPr>
        <w:t>工程工期及</w:t>
      </w:r>
      <w:r>
        <w:rPr>
          <w:rFonts w:ascii="宋体" w:hAnsi="宋体"/>
          <w:b/>
        </w:rPr>
        <w:t>质量</w:t>
      </w:r>
    </w:p>
    <w:p w14:paraId="4CE9EB39">
      <w:pPr>
        <w:snapToGrid w:val="0"/>
        <w:ind w:firstLine="480" w:firstLineChars="200"/>
        <w:rPr>
          <w:rFonts w:ascii="宋体" w:hAnsi="宋体"/>
        </w:rPr>
      </w:pPr>
      <w:r>
        <w:rPr>
          <w:rFonts w:hint="eastAsia" w:ascii="宋体" w:hAnsi="宋体"/>
        </w:rPr>
        <w:t>工程工期</w:t>
      </w:r>
      <w:r>
        <w:rPr>
          <w:rFonts w:ascii="宋体" w:hAnsi="宋体"/>
        </w:rPr>
        <w:t>、工程质量标准</w:t>
      </w:r>
      <w:r>
        <w:rPr>
          <w:rFonts w:hint="eastAsia" w:ascii="宋体" w:hAnsi="宋体"/>
        </w:rPr>
        <w:t>等要求：见投标人须知前附表。</w:t>
      </w:r>
    </w:p>
    <w:p w14:paraId="75933B22">
      <w:pPr>
        <w:ind w:firstLine="482" w:firstLineChars="200"/>
        <w:rPr>
          <w:rFonts w:ascii="宋体" w:hAnsi="宋体"/>
          <w:b/>
        </w:rPr>
      </w:pPr>
      <w:r>
        <w:rPr>
          <w:rFonts w:hint="eastAsia" w:ascii="宋体" w:hAnsi="宋体"/>
          <w:b/>
        </w:rPr>
        <w:t>1.4投标人资格要求</w:t>
      </w:r>
    </w:p>
    <w:p w14:paraId="37376CEE">
      <w:pPr>
        <w:snapToGrid w:val="0"/>
        <w:ind w:firstLine="480" w:firstLineChars="200"/>
        <w:rPr>
          <w:rFonts w:ascii="宋体" w:hAnsi="宋体"/>
        </w:rPr>
      </w:pPr>
      <w:r>
        <w:rPr>
          <w:rFonts w:ascii="宋体" w:hAnsi="宋体"/>
        </w:rPr>
        <w:t>1.4.1</w:t>
      </w:r>
      <w:r>
        <w:rPr>
          <w:rFonts w:hint="eastAsia" w:ascii="宋体" w:hAnsi="宋体"/>
        </w:rPr>
        <w:t>投标人基本资格条件：见第一章等相关条款内容。</w:t>
      </w:r>
    </w:p>
    <w:p w14:paraId="71269A55">
      <w:pPr>
        <w:snapToGrid w:val="0"/>
        <w:ind w:firstLine="480" w:firstLineChars="200"/>
        <w:rPr>
          <w:rFonts w:ascii="宋体" w:hAnsi="宋体"/>
        </w:rPr>
      </w:pPr>
      <w:r>
        <w:rPr>
          <w:rFonts w:ascii="宋体" w:hAnsi="宋体"/>
        </w:rPr>
        <w:t>1.4.2</w:t>
      </w:r>
      <w:r>
        <w:rPr>
          <w:rFonts w:hint="eastAsia" w:ascii="宋体" w:hAnsi="宋体"/>
        </w:rPr>
        <w:t>投标人不得存在的情形：见第四章“评标办法”附件</w:t>
      </w:r>
      <w:r>
        <w:rPr>
          <w:rFonts w:ascii="宋体" w:hAnsi="宋体"/>
        </w:rPr>
        <w:t>1</w:t>
      </w:r>
      <w:r>
        <w:rPr>
          <w:rFonts w:hint="eastAsia" w:ascii="宋体" w:hAnsi="宋体"/>
        </w:rPr>
        <w:t>“否决投标的情形”相关</w:t>
      </w:r>
      <w:r>
        <w:rPr>
          <w:rFonts w:ascii="宋体" w:hAnsi="宋体"/>
        </w:rPr>
        <w:t>条款</w:t>
      </w:r>
      <w:r>
        <w:rPr>
          <w:rFonts w:hint="eastAsia" w:ascii="宋体" w:hAnsi="宋体"/>
        </w:rPr>
        <w:t>的规定。</w:t>
      </w:r>
    </w:p>
    <w:p w14:paraId="7F7608FA">
      <w:pPr>
        <w:snapToGrid w:val="0"/>
        <w:ind w:firstLine="480" w:firstLineChars="200"/>
        <w:rPr>
          <w:rFonts w:ascii="宋体" w:hAnsi="宋体"/>
        </w:rPr>
      </w:pPr>
      <w:r>
        <w:rPr>
          <w:rFonts w:ascii="宋体" w:hAnsi="宋体"/>
        </w:rPr>
        <w:t>1.4.</w:t>
      </w:r>
      <w:r>
        <w:rPr>
          <w:rFonts w:hint="eastAsia" w:ascii="宋体" w:hAnsi="宋体"/>
        </w:rPr>
        <w:t>3 联合体投标：见第一章“招标公告”相关内容。</w:t>
      </w:r>
    </w:p>
    <w:p w14:paraId="63476917">
      <w:pPr>
        <w:ind w:firstLine="480" w:firstLineChars="200"/>
        <w:rPr>
          <w:rFonts w:ascii="宋体" w:hAnsi="宋体"/>
          <w:b/>
        </w:rPr>
      </w:pPr>
      <w:r>
        <w:rPr>
          <w:rFonts w:ascii="宋体" w:hAnsi="宋体"/>
        </w:rPr>
        <w:t>1.5</w:t>
      </w:r>
      <w:r>
        <w:rPr>
          <w:rFonts w:hint="eastAsia" w:ascii="宋体" w:hAnsi="宋体"/>
          <w:b/>
        </w:rPr>
        <w:t>语言文字</w:t>
      </w:r>
    </w:p>
    <w:p w14:paraId="4423EB8B">
      <w:pPr>
        <w:snapToGrid w:val="0"/>
        <w:ind w:firstLine="480" w:firstLineChars="200"/>
        <w:rPr>
          <w:rFonts w:ascii="宋体" w:hAnsi="宋体"/>
        </w:rPr>
      </w:pPr>
      <w:r>
        <w:rPr>
          <w:rFonts w:hint="eastAsia" w:ascii="宋体" w:hAnsi="宋体"/>
        </w:rPr>
        <w:t>投标文件使用的语言文字为中文。专用术语使用外文的，应附有中文注释</w:t>
      </w:r>
      <w:r>
        <w:rPr>
          <w:rFonts w:ascii="宋体" w:hAnsi="宋体"/>
        </w:rPr>
        <w:t>。</w:t>
      </w:r>
    </w:p>
    <w:p w14:paraId="72585A84">
      <w:pPr>
        <w:ind w:firstLine="480" w:firstLineChars="200"/>
        <w:rPr>
          <w:rFonts w:ascii="宋体" w:hAnsi="宋体"/>
          <w:b/>
        </w:rPr>
      </w:pPr>
      <w:r>
        <w:rPr>
          <w:rFonts w:ascii="宋体" w:hAnsi="宋体"/>
        </w:rPr>
        <w:t>1.6</w:t>
      </w:r>
      <w:r>
        <w:rPr>
          <w:rFonts w:hint="eastAsia" w:ascii="宋体" w:hAnsi="宋体"/>
          <w:b/>
        </w:rPr>
        <w:t>费用承担</w:t>
      </w:r>
    </w:p>
    <w:p w14:paraId="15C67849">
      <w:pPr>
        <w:snapToGrid w:val="0"/>
        <w:ind w:firstLine="480" w:firstLineChars="200"/>
        <w:rPr>
          <w:rFonts w:ascii="宋体" w:hAnsi="宋体"/>
        </w:rPr>
      </w:pPr>
      <w:r>
        <w:rPr>
          <w:rFonts w:ascii="宋体" w:hAnsi="宋体"/>
        </w:rPr>
        <w:t>投标人</w:t>
      </w:r>
      <w:r>
        <w:rPr>
          <w:rFonts w:hint="eastAsia" w:ascii="宋体" w:hAnsi="宋体"/>
        </w:rPr>
        <w:t>自行</w:t>
      </w:r>
      <w:r>
        <w:rPr>
          <w:rFonts w:ascii="宋体" w:hAnsi="宋体"/>
        </w:rPr>
        <w:t>承担准备和参加投标活动发生的费用。</w:t>
      </w:r>
    </w:p>
    <w:p w14:paraId="05BECBBC">
      <w:pPr>
        <w:ind w:firstLine="480" w:firstLineChars="200"/>
        <w:rPr>
          <w:rFonts w:ascii="宋体" w:hAnsi="宋体"/>
          <w:b/>
        </w:rPr>
      </w:pPr>
      <w:r>
        <w:rPr>
          <w:rFonts w:ascii="宋体" w:hAnsi="宋体"/>
        </w:rPr>
        <w:t>1.7</w:t>
      </w:r>
      <w:r>
        <w:rPr>
          <w:rFonts w:hint="eastAsia" w:ascii="宋体" w:hAnsi="宋体"/>
          <w:b/>
        </w:rPr>
        <w:t>保密</w:t>
      </w:r>
    </w:p>
    <w:p w14:paraId="29891B90">
      <w:pPr>
        <w:snapToGrid w:val="0"/>
        <w:ind w:firstLine="480" w:firstLineChars="200"/>
        <w:rPr>
          <w:rFonts w:ascii="宋体" w:hAnsi="宋体"/>
        </w:rPr>
      </w:pPr>
      <w:r>
        <w:rPr>
          <w:rFonts w:ascii="宋体" w:hAnsi="宋体"/>
        </w:rPr>
        <w:t>参与招标投标活动的各方应对招标文件和投标文件中的商业和技术等秘密保密，</w:t>
      </w:r>
      <w:r>
        <w:rPr>
          <w:rFonts w:hint="eastAsia" w:ascii="宋体" w:hAnsi="宋体"/>
        </w:rPr>
        <w:t>违反者应对由此造成的后果承担法律责任</w:t>
      </w:r>
      <w:r>
        <w:rPr>
          <w:rFonts w:ascii="宋体" w:hAnsi="宋体"/>
        </w:rPr>
        <w:t>。</w:t>
      </w:r>
    </w:p>
    <w:p w14:paraId="596C23AC">
      <w:pPr>
        <w:snapToGrid w:val="0"/>
        <w:ind w:firstLine="482" w:firstLineChars="200"/>
        <w:rPr>
          <w:rFonts w:ascii="宋体" w:hAnsi="宋体"/>
          <w:b/>
          <w:bCs/>
        </w:rPr>
      </w:pPr>
      <w:r>
        <w:rPr>
          <w:rFonts w:ascii="宋体" w:hAnsi="宋体"/>
          <w:b/>
          <w:bCs/>
        </w:rPr>
        <w:t>1.8</w:t>
      </w:r>
      <w:r>
        <w:rPr>
          <w:rFonts w:hint="eastAsia" w:ascii="宋体" w:hAnsi="宋体"/>
          <w:b/>
          <w:bCs/>
        </w:rPr>
        <w:t>计量单位</w:t>
      </w:r>
    </w:p>
    <w:p w14:paraId="7C2201B9">
      <w:pPr>
        <w:snapToGrid w:val="0"/>
        <w:ind w:firstLine="480" w:firstLineChars="200"/>
        <w:rPr>
          <w:rFonts w:ascii="宋体" w:hAnsi="宋体"/>
        </w:rPr>
      </w:pPr>
      <w:r>
        <w:rPr>
          <w:rFonts w:ascii="宋体" w:hAnsi="宋体"/>
        </w:rPr>
        <w:t>所有计量均采用中华人民共和国法定计量单位。</w:t>
      </w:r>
    </w:p>
    <w:p w14:paraId="6287FAEE">
      <w:pPr>
        <w:snapToGrid w:val="0"/>
        <w:ind w:firstLine="482" w:firstLineChars="200"/>
        <w:rPr>
          <w:rFonts w:ascii="宋体" w:hAnsi="宋体"/>
          <w:b/>
          <w:bCs/>
        </w:rPr>
      </w:pPr>
      <w:r>
        <w:rPr>
          <w:rFonts w:ascii="宋体" w:hAnsi="宋体"/>
          <w:b/>
          <w:bCs/>
        </w:rPr>
        <w:t>1.9</w:t>
      </w:r>
      <w:r>
        <w:rPr>
          <w:rFonts w:hint="eastAsia" w:ascii="宋体" w:hAnsi="宋体"/>
          <w:b/>
          <w:bCs/>
        </w:rPr>
        <w:t>踏勘现场</w:t>
      </w:r>
    </w:p>
    <w:p w14:paraId="2F6C7F9F">
      <w:pPr>
        <w:snapToGrid w:val="0"/>
        <w:ind w:firstLine="480" w:firstLineChars="200"/>
        <w:rPr>
          <w:rFonts w:ascii="宋体" w:hAnsi="宋体"/>
        </w:rPr>
      </w:pPr>
      <w:r>
        <w:rPr>
          <w:rFonts w:ascii="宋体" w:hAnsi="宋体"/>
        </w:rPr>
        <w:t>1.9.1</w:t>
      </w:r>
      <w:r>
        <w:rPr>
          <w:rFonts w:hint="eastAsia" w:ascii="宋体" w:hAnsi="宋体"/>
        </w:rPr>
        <w:t>踏勘现场安排：见投标人须知前附表。投标人自主决定是否参加踏勘现场。</w:t>
      </w:r>
    </w:p>
    <w:p w14:paraId="45DC7E46">
      <w:pPr>
        <w:snapToGrid w:val="0"/>
        <w:ind w:firstLine="480" w:firstLineChars="200"/>
        <w:rPr>
          <w:rFonts w:ascii="宋体" w:hAnsi="宋体"/>
        </w:rPr>
      </w:pPr>
      <w:r>
        <w:rPr>
          <w:rFonts w:hint="eastAsia" w:ascii="宋体" w:hAnsi="宋体"/>
        </w:rPr>
        <w:t>1.9.2 除招标人的原因外，投标人自行负责在踏勘现场中所发生的人员伤亡和财产损失。</w:t>
      </w:r>
    </w:p>
    <w:p w14:paraId="3F4B202B">
      <w:pPr>
        <w:snapToGrid w:val="0"/>
        <w:ind w:firstLine="480" w:firstLineChars="200"/>
        <w:rPr>
          <w:rFonts w:ascii="宋体" w:hAnsi="宋体"/>
        </w:rPr>
      </w:pPr>
      <w:r>
        <w:rPr>
          <w:rFonts w:hint="eastAsia" w:ascii="宋体" w:hAnsi="宋体"/>
        </w:rPr>
        <w:t>1.9.3 招标人在踏勘现场中介绍的工程场地和相关的周边环境情况，供投标人在编制投标文件时参考，招标人不对投标人据此作出的判断和决策负责。</w:t>
      </w:r>
    </w:p>
    <w:p w14:paraId="10AB33BA">
      <w:pPr>
        <w:snapToGrid w:val="0"/>
        <w:ind w:firstLine="480" w:firstLineChars="200"/>
        <w:rPr>
          <w:rFonts w:ascii="宋体" w:hAnsi="宋体"/>
        </w:rPr>
      </w:pPr>
      <w:r>
        <w:rPr>
          <w:rFonts w:hint="eastAsia" w:ascii="宋体" w:hAnsi="宋体"/>
        </w:rPr>
        <w:t>1.9.4无论投标人是否进行了现场踏勘，招标人均认为投标人已充分了解本工程现场条件和周围环境，并在投标时就此给予充分的考虑。</w:t>
      </w:r>
    </w:p>
    <w:p w14:paraId="0CDEFD1C">
      <w:pPr>
        <w:snapToGrid w:val="0"/>
        <w:ind w:firstLine="482" w:firstLineChars="200"/>
        <w:rPr>
          <w:rFonts w:ascii="宋体" w:hAnsi="宋体"/>
          <w:b/>
          <w:bCs/>
        </w:rPr>
      </w:pPr>
      <w:r>
        <w:rPr>
          <w:rFonts w:ascii="宋体" w:hAnsi="宋体"/>
          <w:b/>
          <w:bCs/>
        </w:rPr>
        <w:t>1.1</w:t>
      </w:r>
      <w:r>
        <w:rPr>
          <w:rFonts w:hint="eastAsia" w:ascii="宋体" w:hAnsi="宋体"/>
          <w:b/>
          <w:bCs/>
        </w:rPr>
        <w:t>0投标预备会</w:t>
      </w:r>
    </w:p>
    <w:p w14:paraId="5C3BFC43">
      <w:pPr>
        <w:snapToGrid w:val="0"/>
        <w:ind w:firstLine="480" w:firstLineChars="200"/>
        <w:rPr>
          <w:rFonts w:ascii="宋体" w:hAnsi="宋体"/>
        </w:rPr>
      </w:pPr>
      <w:r>
        <w:rPr>
          <w:rFonts w:hint="eastAsia" w:ascii="宋体" w:hAnsi="宋体"/>
        </w:rPr>
        <w:t>若招标文件规定召开投标预备会的，招标人按规定的时间和地点召开投标预备会。投标人在规定的时间前，将提出的问题</w:t>
      </w:r>
      <w:r>
        <w:rPr>
          <w:rFonts w:hint="eastAsia" w:ascii="宋体" w:hAnsi="宋体"/>
          <w:bCs/>
        </w:rPr>
        <w:t>上传招标人</w:t>
      </w:r>
      <w:r>
        <w:rPr>
          <w:rFonts w:hint="eastAsia" w:ascii="宋体" w:hAnsi="宋体"/>
        </w:rPr>
        <w:t>，以便招标人在会议期间澄清。投标预备会后，招标人在规定的时间内，将对投标人所提问题的澄清</w:t>
      </w:r>
      <w:r>
        <w:rPr>
          <w:rFonts w:hint="eastAsia" w:ascii="宋体" w:hAnsi="宋体"/>
          <w:bCs/>
        </w:rPr>
        <w:t>上传给</w:t>
      </w:r>
      <w:r>
        <w:rPr>
          <w:rFonts w:hint="eastAsia" w:ascii="宋体" w:hAnsi="宋体"/>
        </w:rPr>
        <w:t>所有下载招标文件的投标人。该澄清内容为招标文件的组成部分。</w:t>
      </w:r>
    </w:p>
    <w:p w14:paraId="46069705">
      <w:pPr>
        <w:snapToGrid w:val="0"/>
        <w:ind w:firstLine="482" w:firstLineChars="200"/>
        <w:rPr>
          <w:rFonts w:ascii="宋体" w:hAnsi="宋体"/>
          <w:b/>
          <w:bCs/>
        </w:rPr>
      </w:pPr>
      <w:r>
        <w:rPr>
          <w:rFonts w:ascii="宋体" w:hAnsi="宋体"/>
          <w:b/>
          <w:bCs/>
        </w:rPr>
        <w:t>1.1</w:t>
      </w:r>
      <w:r>
        <w:rPr>
          <w:rFonts w:hint="eastAsia" w:ascii="宋体" w:hAnsi="宋体"/>
          <w:b/>
          <w:bCs/>
        </w:rPr>
        <w:t>1分包</w:t>
      </w:r>
    </w:p>
    <w:p w14:paraId="34DF64EF">
      <w:pPr>
        <w:snapToGrid w:val="0"/>
        <w:ind w:firstLine="480" w:firstLineChars="200"/>
        <w:rPr>
          <w:rFonts w:ascii="宋体" w:hAnsi="宋体"/>
        </w:rPr>
      </w:pPr>
      <w:r>
        <w:rPr>
          <w:rFonts w:hint="eastAsia" w:ascii="宋体" w:hAnsi="宋体"/>
        </w:rPr>
        <w:t>按照国家、相关行业分包规定开展分包工作。分包要求见第五章“合同条款及格式”相关条款内容</w:t>
      </w:r>
      <w:r>
        <w:rPr>
          <w:rFonts w:ascii="宋体" w:hAnsi="宋体"/>
        </w:rPr>
        <w:t>。</w:t>
      </w:r>
    </w:p>
    <w:p w14:paraId="420E367C">
      <w:pPr>
        <w:pStyle w:val="5"/>
      </w:pPr>
      <w:bookmarkStart w:id="73" w:name="_Toc16249"/>
      <w:bookmarkStart w:id="74" w:name="_Toc489214131"/>
      <w:bookmarkStart w:id="75" w:name="_Toc29093"/>
      <w:bookmarkStart w:id="76" w:name="_Toc26575"/>
      <w:r>
        <w:rPr>
          <w:rFonts w:hint="eastAsia"/>
        </w:rPr>
        <w:t>2．招标文件</w:t>
      </w:r>
      <w:bookmarkEnd w:id="73"/>
      <w:bookmarkEnd w:id="74"/>
      <w:bookmarkEnd w:id="75"/>
      <w:bookmarkEnd w:id="76"/>
    </w:p>
    <w:p w14:paraId="498303F0">
      <w:pPr>
        <w:snapToGrid w:val="0"/>
        <w:ind w:firstLine="482" w:firstLineChars="200"/>
        <w:rPr>
          <w:rFonts w:ascii="宋体" w:hAnsi="宋体"/>
          <w:b/>
          <w:bCs/>
        </w:rPr>
      </w:pPr>
      <w:r>
        <w:rPr>
          <w:rFonts w:hint="eastAsia" w:ascii="宋体" w:hAnsi="宋体"/>
          <w:b/>
          <w:bCs/>
        </w:rPr>
        <w:t>2.1招标文件的组成</w:t>
      </w:r>
    </w:p>
    <w:p w14:paraId="13F79E71">
      <w:pPr>
        <w:snapToGrid w:val="0"/>
        <w:ind w:firstLine="480" w:firstLineChars="200"/>
        <w:rPr>
          <w:rFonts w:ascii="宋体" w:hAnsi="宋体"/>
        </w:rPr>
      </w:pPr>
      <w:r>
        <w:rPr>
          <w:rFonts w:hint="eastAsia" w:ascii="宋体" w:hAnsi="宋体"/>
        </w:rPr>
        <w:t>本招标文件包括：</w:t>
      </w:r>
    </w:p>
    <w:p w14:paraId="6B1A86F3">
      <w:pPr>
        <w:snapToGrid w:val="0"/>
        <w:ind w:firstLine="480" w:firstLineChars="200"/>
        <w:rPr>
          <w:rFonts w:ascii="宋体" w:hAnsi="宋体"/>
        </w:rPr>
      </w:pPr>
      <w:r>
        <w:rPr>
          <w:rFonts w:hint="eastAsia" w:ascii="宋体" w:hAnsi="宋体"/>
        </w:rPr>
        <w:t>（1）招标公告；</w:t>
      </w:r>
    </w:p>
    <w:p w14:paraId="61EFC947">
      <w:pPr>
        <w:snapToGrid w:val="0"/>
        <w:ind w:firstLine="480" w:firstLineChars="200"/>
        <w:rPr>
          <w:rFonts w:ascii="宋体" w:hAnsi="宋体"/>
        </w:rPr>
      </w:pPr>
      <w:r>
        <w:rPr>
          <w:rFonts w:hint="eastAsia" w:ascii="宋体" w:hAnsi="宋体"/>
        </w:rPr>
        <w:t>（2）</w:t>
      </w:r>
      <w:r>
        <w:rPr>
          <w:rFonts w:ascii="宋体" w:hAnsi="宋体"/>
        </w:rPr>
        <w:t>投标人须知；</w:t>
      </w:r>
    </w:p>
    <w:p w14:paraId="487C4570">
      <w:pPr>
        <w:snapToGrid w:val="0"/>
        <w:ind w:firstLine="480" w:firstLineChars="200"/>
        <w:rPr>
          <w:rFonts w:ascii="宋体" w:hAnsi="宋体"/>
        </w:rPr>
      </w:pPr>
      <w:r>
        <w:rPr>
          <w:rFonts w:hint="eastAsia" w:ascii="宋体" w:hAnsi="宋体"/>
        </w:rPr>
        <w:t>（3）投标报价；</w:t>
      </w:r>
    </w:p>
    <w:p w14:paraId="649948EA">
      <w:pPr>
        <w:snapToGrid w:val="0"/>
        <w:ind w:firstLine="480" w:firstLineChars="200"/>
        <w:rPr>
          <w:rFonts w:ascii="宋体" w:hAnsi="宋体"/>
        </w:rPr>
      </w:pPr>
      <w:r>
        <w:rPr>
          <w:rFonts w:hint="eastAsia" w:ascii="宋体" w:hAnsi="宋体"/>
        </w:rPr>
        <w:t>（4）</w:t>
      </w:r>
      <w:r>
        <w:rPr>
          <w:rFonts w:ascii="宋体" w:hAnsi="宋体"/>
        </w:rPr>
        <w:t>评标办法；</w:t>
      </w:r>
    </w:p>
    <w:p w14:paraId="16370A90">
      <w:pPr>
        <w:snapToGrid w:val="0"/>
        <w:ind w:firstLine="480" w:firstLineChars="200"/>
        <w:rPr>
          <w:rFonts w:ascii="宋体" w:hAnsi="宋体"/>
        </w:rPr>
      </w:pPr>
      <w:r>
        <w:rPr>
          <w:rFonts w:hint="eastAsia" w:ascii="宋体" w:hAnsi="宋体"/>
        </w:rPr>
        <w:t>（5）</w:t>
      </w:r>
      <w:r>
        <w:rPr>
          <w:rFonts w:ascii="宋体" w:hAnsi="宋体"/>
        </w:rPr>
        <w:t>合同条款</w:t>
      </w:r>
      <w:r>
        <w:rPr>
          <w:rFonts w:hint="eastAsia" w:ascii="宋体" w:hAnsi="宋体"/>
        </w:rPr>
        <w:t>及格式</w:t>
      </w:r>
      <w:r>
        <w:rPr>
          <w:rFonts w:ascii="宋体" w:hAnsi="宋体"/>
        </w:rPr>
        <w:t>；</w:t>
      </w:r>
    </w:p>
    <w:p w14:paraId="105B383F">
      <w:pPr>
        <w:snapToGrid w:val="0"/>
        <w:ind w:firstLine="480" w:firstLineChars="200"/>
        <w:rPr>
          <w:rFonts w:ascii="宋体" w:hAnsi="宋体"/>
        </w:rPr>
      </w:pPr>
      <w:r>
        <w:rPr>
          <w:rFonts w:hint="eastAsia" w:ascii="宋体" w:hAnsi="宋体"/>
        </w:rPr>
        <w:t>（6）</w:t>
      </w:r>
      <w:r>
        <w:rPr>
          <w:rFonts w:hint="eastAsia"/>
        </w:rPr>
        <w:t>技术规格</w:t>
      </w:r>
      <w:r>
        <w:t>及</w:t>
      </w:r>
      <w:r>
        <w:rPr>
          <w:rFonts w:hint="eastAsia"/>
        </w:rPr>
        <w:t>要求</w:t>
      </w:r>
      <w:r>
        <w:rPr>
          <w:rFonts w:ascii="宋体" w:hAnsi="宋体"/>
        </w:rPr>
        <w:t>；</w:t>
      </w:r>
    </w:p>
    <w:p w14:paraId="7C9BC889">
      <w:pPr>
        <w:snapToGrid w:val="0"/>
        <w:ind w:firstLine="480" w:firstLineChars="200"/>
        <w:rPr>
          <w:rFonts w:ascii="宋体" w:hAnsi="宋体"/>
        </w:rPr>
      </w:pPr>
      <w:r>
        <w:rPr>
          <w:rFonts w:hint="eastAsia" w:ascii="宋体" w:hAnsi="宋体"/>
        </w:rPr>
        <w:t>（7）发包人提供的资料</w:t>
      </w:r>
    </w:p>
    <w:p w14:paraId="4E4FA0BB">
      <w:pPr>
        <w:snapToGrid w:val="0"/>
        <w:ind w:firstLine="480" w:firstLineChars="200"/>
        <w:rPr>
          <w:rFonts w:ascii="宋体" w:hAnsi="宋体"/>
        </w:rPr>
      </w:pPr>
      <w:r>
        <w:rPr>
          <w:rFonts w:hint="eastAsia" w:ascii="宋体" w:hAnsi="宋体"/>
        </w:rPr>
        <w:t>（8）投标文件</w:t>
      </w:r>
      <w:r>
        <w:rPr>
          <w:rFonts w:ascii="宋体" w:hAnsi="宋体"/>
        </w:rPr>
        <w:t>格式</w:t>
      </w:r>
      <w:r>
        <w:rPr>
          <w:rFonts w:hint="eastAsia" w:ascii="宋体" w:hAnsi="宋体"/>
        </w:rPr>
        <w:t>。</w:t>
      </w:r>
    </w:p>
    <w:p w14:paraId="48B54A6A">
      <w:pPr>
        <w:snapToGrid w:val="0"/>
        <w:ind w:firstLine="480" w:firstLineChars="200"/>
        <w:rPr>
          <w:rFonts w:ascii="宋体" w:hAnsi="宋体"/>
        </w:rPr>
      </w:pPr>
      <w:r>
        <w:rPr>
          <w:rFonts w:ascii="宋体" w:hAnsi="宋体"/>
        </w:rPr>
        <w:t>根据本章第1.10款、第2.2款和第2.3款对招标文件所作的澄清、修改，构成招标文件的组成部分。当招标文件</w:t>
      </w:r>
      <w:r>
        <w:rPr>
          <w:rFonts w:hint="eastAsia" w:ascii="宋体" w:hAnsi="宋体"/>
        </w:rPr>
        <w:t>和</w:t>
      </w:r>
      <w:r>
        <w:rPr>
          <w:rFonts w:ascii="宋体" w:hAnsi="宋体"/>
        </w:rPr>
        <w:t>招标文件的澄清、修改等在同一内容的表述上不一致时，以最后发出的文件为准。</w:t>
      </w:r>
    </w:p>
    <w:p w14:paraId="0F199543">
      <w:pPr>
        <w:snapToGrid w:val="0"/>
        <w:ind w:firstLine="482" w:firstLineChars="200"/>
        <w:rPr>
          <w:rFonts w:ascii="宋体" w:hAnsi="宋体"/>
          <w:b/>
          <w:bCs/>
        </w:rPr>
      </w:pPr>
      <w:r>
        <w:rPr>
          <w:rFonts w:hint="eastAsia" w:ascii="宋体" w:hAnsi="宋体"/>
          <w:b/>
          <w:bCs/>
        </w:rPr>
        <w:t>2.2招标文件的澄清</w:t>
      </w:r>
    </w:p>
    <w:p w14:paraId="15A4DC6E">
      <w:pPr>
        <w:snapToGrid w:val="0"/>
        <w:ind w:firstLine="480" w:firstLineChars="200"/>
        <w:rPr>
          <w:rFonts w:ascii="宋体" w:hAnsi="宋体"/>
          <w:u w:val="single"/>
        </w:rPr>
      </w:pPr>
      <w:r>
        <w:rPr>
          <w:rFonts w:ascii="宋体" w:hAnsi="宋体"/>
          <w:u w:val="single"/>
        </w:rPr>
        <w:t>2.2.1</w:t>
      </w:r>
      <w:r>
        <w:rPr>
          <w:rFonts w:hint="eastAsia" w:ascii="宋体" w:hAnsi="宋体"/>
          <w:u w:val="single"/>
        </w:rPr>
        <w:t>投标人应仔细阅读和检查招标文件的全部内容。招标答疑采用网上答疑方式进行。如有疑问，可在投标人须知前附表规定的时间内通过广州公共资源交易中心网站进入提问区域将问题提交给招标人或招标代理人，提交问题时一律不得署名。</w:t>
      </w:r>
    </w:p>
    <w:p w14:paraId="5E0E5B57">
      <w:pPr>
        <w:snapToGrid w:val="0"/>
        <w:ind w:firstLine="482" w:firstLineChars="200"/>
        <w:rPr>
          <w:rFonts w:ascii="宋体" w:hAnsi="宋体"/>
          <w:b/>
          <w:bCs/>
          <w:u w:val="single"/>
        </w:rPr>
      </w:pPr>
      <w:r>
        <w:rPr>
          <w:rFonts w:hint="eastAsia" w:ascii="宋体" w:hAnsi="宋体"/>
          <w:b/>
          <w:bCs/>
          <w:u w:val="single"/>
        </w:rPr>
        <w:t>网上答疑的操作指南为：登陆广州交易集团有限公司（广州公共资源交易中心）网站交易系统→进入“我的投标”专区→进入“招标答疑”选项→通过项目编号或名称找到所需的项目→在答疑时间内点击“答疑提问-新增提问”→提出问题（提问一律不得署名）。</w:t>
      </w:r>
    </w:p>
    <w:p w14:paraId="72BBC549">
      <w:pPr>
        <w:snapToGrid w:val="0"/>
        <w:ind w:firstLine="480" w:firstLineChars="200"/>
        <w:rPr>
          <w:rFonts w:ascii="宋体" w:hAnsi="宋体"/>
          <w:u w:val="single"/>
        </w:rPr>
      </w:pPr>
      <w:r>
        <w:rPr>
          <w:rFonts w:hint="eastAsia" w:ascii="宋体" w:hAnsi="宋体"/>
          <w:u w:val="single"/>
        </w:rPr>
        <w:t>2.2.2</w:t>
      </w:r>
      <w:bookmarkStart w:id="77" w:name="OLE_LINK11"/>
      <w:r>
        <w:rPr>
          <w:rFonts w:hint="eastAsia" w:ascii="宋体" w:hAnsi="宋体"/>
          <w:u w:val="single"/>
        </w:rPr>
        <w:t>招标人或招标代理机构通过广州公共资源交易中心网站“答疑纪要”专区</w:t>
      </w:r>
      <w:r>
        <w:rPr>
          <w:rFonts w:ascii="宋体" w:hAnsi="宋体"/>
          <w:u w:val="single"/>
        </w:rPr>
        <w:t>向投标人发</w:t>
      </w:r>
      <w:r>
        <w:rPr>
          <w:rFonts w:hint="eastAsia" w:ascii="宋体" w:hAnsi="宋体"/>
          <w:u w:val="single"/>
        </w:rPr>
        <w:t>出招标文件的澄清文件，澄清文件在广州公共资源交易中心网站一经发出则视为送达所有投标人。因投标人未及时查阅上述澄清文件而导致的后果由投标人自行承担。</w:t>
      </w:r>
    </w:p>
    <w:p w14:paraId="70B01F14">
      <w:pPr>
        <w:snapToGrid w:val="0"/>
        <w:ind w:firstLine="482" w:firstLineChars="200"/>
        <w:rPr>
          <w:rFonts w:ascii="宋体" w:hAnsi="宋体"/>
          <w:b/>
          <w:bCs/>
          <w:u w:val="single"/>
        </w:rPr>
      </w:pPr>
      <w:r>
        <w:rPr>
          <w:rFonts w:hint="eastAsia" w:ascii="宋体" w:hAnsi="宋体"/>
          <w:b/>
          <w:bCs/>
          <w:u w:val="single"/>
        </w:rPr>
        <w:t>查询路径：从广州公共资源交易中心门户网站“建设工程”网站→点击网页右侧“项目查询(日程安排、答疑纪要)”专区→输入“项目编号/项目名称”点击“查询”→选择项目点击所查项目的“项目名称”→进入项目后下拉至答疑纪要处即可查看详情）。</w:t>
      </w:r>
    </w:p>
    <w:bookmarkEnd w:id="77"/>
    <w:p w14:paraId="42C45A4E">
      <w:pPr>
        <w:snapToGrid w:val="0"/>
        <w:ind w:firstLine="480" w:firstLineChars="200"/>
        <w:rPr>
          <w:rFonts w:ascii="宋体" w:hAnsi="宋体"/>
        </w:rPr>
      </w:pPr>
      <w:r>
        <w:rPr>
          <w:rFonts w:hint="eastAsia" w:ascii="宋体" w:hAnsi="宋体"/>
        </w:rPr>
        <w:t>2.2.3澄清文件发出的时间距投标截止时间不足15日的，并且澄清内容可能影响投标文件编制的，招标人将相应顺延投标截止时间。</w:t>
      </w:r>
    </w:p>
    <w:p w14:paraId="16C83AE0">
      <w:pPr>
        <w:snapToGrid w:val="0"/>
        <w:ind w:firstLine="480" w:firstLineChars="200"/>
        <w:rPr>
          <w:rFonts w:ascii="宋体" w:hAnsi="宋体"/>
        </w:rPr>
      </w:pPr>
      <w:r>
        <w:rPr>
          <w:rFonts w:hint="eastAsia" w:ascii="宋体" w:hAnsi="宋体"/>
        </w:rPr>
        <w:t>2.2.4 除非招标人认为确有必要答复，否则，招标人有权拒绝答复投标人本章第2.2.1项规定的时间后提出的任何澄清要求。</w:t>
      </w:r>
    </w:p>
    <w:p w14:paraId="598A2994">
      <w:pPr>
        <w:snapToGrid w:val="0"/>
        <w:ind w:firstLine="482" w:firstLineChars="200"/>
        <w:rPr>
          <w:rFonts w:ascii="宋体" w:hAnsi="宋体"/>
          <w:b/>
          <w:bCs/>
        </w:rPr>
      </w:pPr>
      <w:r>
        <w:rPr>
          <w:rFonts w:hint="eastAsia" w:ascii="宋体" w:hAnsi="宋体"/>
          <w:b/>
          <w:bCs/>
        </w:rPr>
        <w:t>2.3招标文件的修改</w:t>
      </w:r>
    </w:p>
    <w:p w14:paraId="6912C83F">
      <w:pPr>
        <w:snapToGrid w:val="0"/>
        <w:ind w:firstLine="480" w:firstLineChars="200"/>
        <w:rPr>
          <w:rFonts w:ascii="宋体" w:hAnsi="宋体"/>
          <w:u w:val="single"/>
        </w:rPr>
      </w:pPr>
      <w:r>
        <w:rPr>
          <w:rFonts w:hint="eastAsia" w:ascii="宋体" w:hAnsi="宋体"/>
          <w:u w:val="single"/>
        </w:rPr>
        <w:t>2.3.1招标人对招标文件进行修改的，通过广州公共资源交易中心网站“答疑纪要”专区向投标人发出修改文件。修改文件在广州公共资源交易中心网站一经发出则视为送达所有投标人。因投标人未及时查阅上述修改文件而导致的后果由投标人自行承担。</w:t>
      </w:r>
    </w:p>
    <w:p w14:paraId="3FCC6B8E">
      <w:pPr>
        <w:snapToGrid w:val="0"/>
        <w:ind w:firstLine="482" w:firstLineChars="200"/>
        <w:rPr>
          <w:rFonts w:ascii="宋体" w:hAnsi="宋体"/>
          <w:b/>
          <w:bCs/>
          <w:u w:val="single"/>
        </w:rPr>
      </w:pPr>
      <w:r>
        <w:rPr>
          <w:rFonts w:hint="eastAsia" w:ascii="宋体" w:hAnsi="宋体"/>
          <w:b/>
          <w:bCs/>
          <w:u w:val="single"/>
        </w:rPr>
        <w:t>查询路径：从广州公共资源交易中心门户网站“建设工程”网站→点击网页右侧“项目查询(日程安排、答疑纪要)”专区→输入“项目编号/项目名称”点击“查询”→选择项目点击所查项目的“项目名称”→进入项目后下拉至答疑纪要处即可查看详情）。</w:t>
      </w:r>
    </w:p>
    <w:p w14:paraId="55D5C932">
      <w:pPr>
        <w:snapToGrid w:val="0"/>
        <w:ind w:firstLine="480" w:firstLineChars="200"/>
        <w:rPr>
          <w:rFonts w:ascii="宋体" w:hAnsi="宋体"/>
        </w:rPr>
      </w:pPr>
      <w:r>
        <w:rPr>
          <w:rFonts w:hint="eastAsia" w:ascii="宋体" w:hAnsi="宋体"/>
        </w:rPr>
        <w:t>2.3.2修改文件发出的时间距投标截止时间不足15日的，并且修改内容可能影响投标文件编制的，招标人将相应顺延投标截止时间。</w:t>
      </w:r>
    </w:p>
    <w:p w14:paraId="29EB8717">
      <w:pPr>
        <w:snapToGrid w:val="0"/>
        <w:ind w:firstLine="482" w:firstLineChars="200"/>
        <w:rPr>
          <w:rFonts w:ascii="宋体" w:hAnsi="宋体"/>
          <w:b/>
        </w:rPr>
      </w:pPr>
      <w:r>
        <w:rPr>
          <w:rFonts w:hint="eastAsia" w:ascii="宋体" w:hAnsi="宋体"/>
          <w:b/>
        </w:rPr>
        <w:t>2.4招标文件的异议</w:t>
      </w:r>
    </w:p>
    <w:p w14:paraId="2ACF90AD">
      <w:pPr>
        <w:snapToGrid w:val="0"/>
        <w:ind w:firstLine="480" w:firstLineChars="200"/>
      </w:pPr>
      <w:r>
        <w:rPr>
          <w:rFonts w:hint="eastAsia" w:ascii="宋体" w:hAnsi="宋体"/>
        </w:rPr>
        <w:t>投标人或其他利害关系人对招标文件（包括</w:t>
      </w:r>
      <w:r>
        <w:rPr>
          <w:rFonts w:ascii="宋体" w:hAnsi="宋体"/>
        </w:rPr>
        <w:t>第一章</w:t>
      </w:r>
      <w:r>
        <w:rPr>
          <w:rFonts w:hint="eastAsia" w:ascii="宋体" w:hAnsi="宋体"/>
        </w:rPr>
        <w:t>）有异议的，应当在投标截止时间10日前通过交易平台或</w:t>
      </w:r>
      <w:r>
        <w:rPr>
          <w:rFonts w:ascii="宋体" w:hAnsi="宋体"/>
        </w:rPr>
        <w:t>其他途径</w:t>
      </w:r>
      <w:r>
        <w:rPr>
          <w:rFonts w:hint="eastAsia" w:ascii="宋体" w:hAnsi="宋体"/>
        </w:rPr>
        <w:t>向招标人提出。招标人将在收到异议之日起3日内通过交易平台作出答复；作出答复前，将暂停招标投标活动。</w:t>
      </w:r>
    </w:p>
    <w:p w14:paraId="3E00695A">
      <w:pPr>
        <w:pStyle w:val="5"/>
      </w:pPr>
      <w:bookmarkStart w:id="78" w:name="_Toc5655"/>
      <w:bookmarkStart w:id="79" w:name="_Toc8759"/>
      <w:bookmarkStart w:id="80" w:name="_Toc27501"/>
      <w:bookmarkStart w:id="81" w:name="_Toc489214132"/>
      <w:r>
        <w:rPr>
          <w:rFonts w:hint="eastAsia"/>
        </w:rPr>
        <w:t>3．投标文件</w:t>
      </w:r>
      <w:bookmarkEnd w:id="78"/>
      <w:bookmarkEnd w:id="79"/>
      <w:bookmarkEnd w:id="80"/>
      <w:bookmarkEnd w:id="81"/>
    </w:p>
    <w:p w14:paraId="415182F7">
      <w:pPr>
        <w:snapToGrid w:val="0"/>
        <w:ind w:firstLine="482" w:firstLineChars="200"/>
        <w:rPr>
          <w:rFonts w:ascii="宋体" w:hAnsi="宋体"/>
        </w:rPr>
      </w:pPr>
      <w:r>
        <w:rPr>
          <w:rFonts w:hint="eastAsia" w:ascii="宋体" w:hAnsi="宋体"/>
          <w:b/>
        </w:rPr>
        <w:t>3.1投标文件的组成及内容</w:t>
      </w:r>
    </w:p>
    <w:p w14:paraId="1CA22487">
      <w:pPr>
        <w:snapToGrid w:val="0"/>
        <w:ind w:firstLine="480" w:firstLineChars="200"/>
        <w:rPr>
          <w:rFonts w:ascii="宋体" w:hAnsi="宋体"/>
        </w:rPr>
      </w:pPr>
      <w:r>
        <w:rPr>
          <w:rFonts w:hint="eastAsia" w:ascii="宋体" w:hAnsi="宋体"/>
        </w:rPr>
        <w:t>3.1.1投标文件组成详见第七章“投标文件格式”中</w:t>
      </w:r>
      <w:r>
        <w:rPr>
          <w:rFonts w:ascii="宋体" w:hAnsi="宋体"/>
        </w:rPr>
        <w:t>明确的投标文件</w:t>
      </w:r>
      <w:r>
        <w:rPr>
          <w:rFonts w:hint="eastAsia" w:ascii="宋体" w:hAnsi="宋体"/>
        </w:rPr>
        <w:t>目录。</w:t>
      </w:r>
    </w:p>
    <w:p w14:paraId="2D816BF7">
      <w:pPr>
        <w:snapToGrid w:val="0"/>
        <w:ind w:firstLine="480" w:firstLineChars="200"/>
        <w:rPr>
          <w:rFonts w:ascii="宋体" w:hAnsi="宋体"/>
        </w:rPr>
      </w:pPr>
      <w:r>
        <w:rPr>
          <w:rFonts w:hint="eastAsia" w:ascii="宋体" w:hAnsi="宋体"/>
        </w:rPr>
        <w:t>3.1.2投标文件内容：</w:t>
      </w:r>
    </w:p>
    <w:p w14:paraId="36E6E0D0">
      <w:pPr>
        <w:snapToGrid w:val="0"/>
        <w:ind w:firstLine="480" w:firstLineChars="200"/>
        <w:rPr>
          <w:rFonts w:ascii="宋体" w:hAnsi="宋体"/>
        </w:rPr>
      </w:pPr>
      <w:r>
        <w:rPr>
          <w:rFonts w:ascii="宋体" w:hAnsi="宋体"/>
        </w:rPr>
        <w:t>（1）</w:t>
      </w:r>
      <w:r>
        <w:rPr>
          <w:rFonts w:hint="eastAsia" w:ascii="宋体" w:hAnsi="宋体"/>
        </w:rPr>
        <w:t>投标文件基本内容见第七章“投标文件格式”中明确的投标文件目录框架、附件格式及内容和编制要求等。投标人必须编制并提交招标文件所要求提供的各项信息</w:t>
      </w:r>
      <w:r>
        <w:rPr>
          <w:rFonts w:ascii="宋体" w:hAnsi="宋体"/>
        </w:rPr>
        <w:t>。</w:t>
      </w:r>
    </w:p>
    <w:p w14:paraId="2FBF2D93">
      <w:pPr>
        <w:snapToGrid w:val="0"/>
        <w:ind w:firstLine="480" w:firstLineChars="200"/>
        <w:rPr>
          <w:rFonts w:ascii="宋体" w:hAnsi="宋体"/>
        </w:rPr>
      </w:pPr>
      <w:r>
        <w:rPr>
          <w:rFonts w:ascii="宋体" w:hAnsi="宋体"/>
        </w:rPr>
        <w:t>（2）构成投标文件的其他材料：</w:t>
      </w:r>
      <w:r>
        <w:rPr>
          <w:rFonts w:hint="eastAsia" w:ascii="宋体" w:hAnsi="宋体"/>
        </w:rPr>
        <w:t>见第七章“投标文件格式”</w:t>
      </w:r>
      <w:r>
        <w:rPr>
          <w:rFonts w:ascii="宋体" w:hAnsi="宋体"/>
        </w:rPr>
        <w:t>。</w:t>
      </w:r>
    </w:p>
    <w:p w14:paraId="3EF0D520">
      <w:pPr>
        <w:snapToGrid w:val="0"/>
        <w:ind w:firstLine="480" w:firstLineChars="200"/>
        <w:rPr>
          <w:rFonts w:ascii="宋体" w:hAnsi="宋体"/>
        </w:rPr>
      </w:pPr>
      <w:r>
        <w:rPr>
          <w:rFonts w:hint="eastAsia" w:ascii="宋体" w:hAnsi="宋体"/>
        </w:rPr>
        <w:t>（3）投标人在评标过程中作出的符合法律法规和招标文件规定的澄清、说明和确认，构成投标文件的组成部分。</w:t>
      </w:r>
    </w:p>
    <w:p w14:paraId="15E3811B">
      <w:pPr>
        <w:snapToGrid w:val="0"/>
        <w:ind w:firstLine="482" w:firstLineChars="200"/>
        <w:rPr>
          <w:rFonts w:ascii="宋体" w:hAnsi="宋体"/>
          <w:b/>
          <w:bCs/>
        </w:rPr>
      </w:pPr>
      <w:r>
        <w:rPr>
          <w:rFonts w:hint="eastAsia" w:ascii="宋体" w:hAnsi="宋体"/>
          <w:b/>
          <w:bCs/>
        </w:rPr>
        <w:t>3.2投标报价</w:t>
      </w:r>
    </w:p>
    <w:p w14:paraId="61BD22DF">
      <w:pPr>
        <w:snapToGrid w:val="0"/>
        <w:ind w:firstLine="480" w:firstLineChars="200"/>
        <w:rPr>
          <w:rFonts w:ascii="宋体" w:hAnsi="宋体"/>
        </w:rPr>
      </w:pPr>
      <w:r>
        <w:rPr>
          <w:rFonts w:hint="eastAsia" w:ascii="宋体" w:hAnsi="宋体"/>
        </w:rPr>
        <w:t>3.2.1报价采用的币种：除招标文件另有规定外，采用人民币报价。</w:t>
      </w:r>
    </w:p>
    <w:p w14:paraId="2863F924">
      <w:pPr>
        <w:snapToGrid w:val="0"/>
        <w:ind w:firstLine="480" w:firstLineChars="200"/>
        <w:rPr>
          <w:rFonts w:ascii="宋体" w:hAnsi="宋体"/>
        </w:rPr>
      </w:pPr>
      <w:r>
        <w:rPr>
          <w:rFonts w:hint="eastAsia" w:ascii="宋体" w:hAnsi="宋体"/>
        </w:rPr>
        <w:t>3.2.2合同价款形式：见</w:t>
      </w:r>
      <w:r>
        <w:rPr>
          <w:rFonts w:hint="eastAsia" w:ascii="宋体" w:hAnsi="宋体"/>
          <w:b/>
        </w:rPr>
        <w:t>投标人须知前附表</w:t>
      </w:r>
      <w:r>
        <w:rPr>
          <w:rFonts w:hint="eastAsia" w:ascii="宋体" w:hAnsi="宋体"/>
        </w:rPr>
        <w:t>。</w:t>
      </w:r>
    </w:p>
    <w:p w14:paraId="20453D52">
      <w:pPr>
        <w:snapToGrid w:val="0"/>
        <w:ind w:firstLine="480" w:firstLineChars="200"/>
        <w:rPr>
          <w:rFonts w:ascii="宋体" w:hAnsi="宋体"/>
        </w:rPr>
      </w:pPr>
      <w:r>
        <w:rPr>
          <w:rFonts w:ascii="宋体" w:hAnsi="宋体"/>
        </w:rPr>
        <w:t>3.2.</w:t>
      </w:r>
      <w:r>
        <w:rPr>
          <w:rFonts w:hint="eastAsia" w:ascii="宋体" w:hAnsi="宋体"/>
        </w:rPr>
        <w:t>3报价方式：见</w:t>
      </w:r>
      <w:r>
        <w:rPr>
          <w:rFonts w:hint="eastAsia" w:ascii="宋体" w:hAnsi="宋体"/>
          <w:b/>
        </w:rPr>
        <w:t>投标人须知前附表</w:t>
      </w:r>
      <w:r>
        <w:rPr>
          <w:rFonts w:hint="eastAsia" w:ascii="宋体" w:hAnsi="宋体"/>
        </w:rPr>
        <w:t>。</w:t>
      </w:r>
    </w:p>
    <w:p w14:paraId="57244081">
      <w:pPr>
        <w:snapToGrid w:val="0"/>
        <w:ind w:firstLine="480" w:firstLineChars="200"/>
        <w:rPr>
          <w:rFonts w:ascii="宋体" w:hAnsi="宋体"/>
        </w:rPr>
      </w:pPr>
      <w:r>
        <w:rPr>
          <w:rFonts w:ascii="宋体" w:hAnsi="宋体"/>
        </w:rPr>
        <w:t>3.2.</w:t>
      </w:r>
      <w:r>
        <w:rPr>
          <w:rFonts w:hint="eastAsia" w:ascii="宋体" w:hAnsi="宋体"/>
        </w:rPr>
        <w:t>4最高投标限价：</w:t>
      </w:r>
      <w:r>
        <w:rPr>
          <w:rFonts w:ascii="宋体" w:hAnsi="宋体"/>
        </w:rPr>
        <w:t>见投标人须知前附表</w:t>
      </w:r>
      <w:r>
        <w:rPr>
          <w:rFonts w:hint="eastAsia" w:ascii="宋体" w:hAnsi="宋体"/>
        </w:rPr>
        <w:t>。投标人的投标报价不得超过最高投标限价。</w:t>
      </w:r>
    </w:p>
    <w:p w14:paraId="7D983710">
      <w:pPr>
        <w:snapToGrid w:val="0"/>
        <w:ind w:firstLine="480" w:firstLineChars="200"/>
        <w:rPr>
          <w:rFonts w:ascii="宋体" w:hAnsi="宋体"/>
        </w:rPr>
      </w:pPr>
      <w:r>
        <w:rPr>
          <w:rFonts w:hint="eastAsia" w:ascii="宋体" w:hAnsi="宋体"/>
        </w:rPr>
        <w:t>3.2.5投标报价说明</w:t>
      </w:r>
      <w:r>
        <w:rPr>
          <w:rFonts w:ascii="宋体" w:hAnsi="宋体"/>
        </w:rPr>
        <w:t>及要求等</w:t>
      </w:r>
      <w:r>
        <w:rPr>
          <w:rFonts w:hint="eastAsia" w:ascii="宋体" w:hAnsi="宋体"/>
        </w:rPr>
        <w:t>：见第</w:t>
      </w:r>
      <w:r>
        <w:rPr>
          <w:rFonts w:ascii="宋体" w:hAnsi="宋体"/>
        </w:rPr>
        <w:t>三章“</w:t>
      </w:r>
      <w:r>
        <w:rPr>
          <w:rFonts w:hint="eastAsia" w:ascii="宋体" w:hAnsi="宋体"/>
        </w:rPr>
        <w:t>投标</w:t>
      </w:r>
      <w:r>
        <w:rPr>
          <w:rFonts w:ascii="宋体" w:hAnsi="宋体"/>
        </w:rPr>
        <w:t>报价”</w:t>
      </w:r>
      <w:r>
        <w:rPr>
          <w:rFonts w:hint="eastAsia" w:ascii="宋体" w:hAnsi="宋体"/>
        </w:rPr>
        <w:t>相关</w:t>
      </w:r>
      <w:r>
        <w:rPr>
          <w:rFonts w:ascii="宋体" w:hAnsi="宋体"/>
        </w:rPr>
        <w:t>条款的内容</w:t>
      </w:r>
      <w:r>
        <w:rPr>
          <w:rFonts w:hint="eastAsia" w:ascii="宋体" w:hAnsi="宋体"/>
        </w:rPr>
        <w:t>。</w:t>
      </w:r>
    </w:p>
    <w:p w14:paraId="19834BF4">
      <w:pPr>
        <w:snapToGrid w:val="0"/>
        <w:ind w:firstLine="480" w:firstLineChars="200"/>
        <w:rPr>
          <w:rFonts w:ascii="宋体" w:hAnsi="宋体"/>
        </w:rPr>
      </w:pPr>
      <w:r>
        <w:rPr>
          <w:rFonts w:hint="eastAsia" w:ascii="宋体" w:hAnsi="宋体"/>
        </w:rPr>
        <w:t>3.2.6投标人应充分了解该项目的总体情况以及影响投标报价的其他要素。</w:t>
      </w:r>
    </w:p>
    <w:p w14:paraId="23FB0B9F">
      <w:pPr>
        <w:snapToGrid w:val="0"/>
        <w:ind w:firstLine="482" w:firstLineChars="200"/>
        <w:rPr>
          <w:rFonts w:ascii="宋体" w:hAnsi="宋体"/>
          <w:b/>
          <w:bCs/>
        </w:rPr>
      </w:pPr>
      <w:r>
        <w:rPr>
          <w:rFonts w:hint="eastAsia" w:ascii="宋体" w:hAnsi="宋体"/>
          <w:b/>
          <w:bCs/>
        </w:rPr>
        <w:t>3.3投标有效期</w:t>
      </w:r>
    </w:p>
    <w:p w14:paraId="3EB9F252">
      <w:pPr>
        <w:snapToGrid w:val="0"/>
        <w:ind w:firstLine="480" w:firstLineChars="200"/>
        <w:rPr>
          <w:rFonts w:ascii="宋体" w:hAnsi="宋体"/>
        </w:rPr>
      </w:pPr>
      <w:r>
        <w:rPr>
          <w:rFonts w:hint="eastAsia" w:ascii="宋体" w:hAnsi="宋体"/>
        </w:rPr>
        <w:t>3.3.1投标有效期从提交投标文件的截止之日起算。在</w:t>
      </w:r>
      <w:r>
        <w:rPr>
          <w:rFonts w:hint="eastAsia" w:ascii="宋体" w:hAnsi="宋体"/>
          <w:b/>
        </w:rPr>
        <w:t>投标人须知前附表</w:t>
      </w:r>
      <w:r>
        <w:rPr>
          <w:rFonts w:hint="eastAsia" w:ascii="宋体" w:hAnsi="宋体"/>
        </w:rPr>
        <w:t>规定的投标有效期内，投标人撤销投标文件的应承担招标文件规定的责任。</w:t>
      </w:r>
    </w:p>
    <w:p w14:paraId="33BFFA70">
      <w:pPr>
        <w:snapToGrid w:val="0"/>
        <w:ind w:firstLine="480" w:firstLineChars="200"/>
        <w:rPr>
          <w:rFonts w:ascii="宋体" w:hAnsi="宋体"/>
        </w:rPr>
      </w:pPr>
      <w:r>
        <w:rPr>
          <w:rFonts w:hint="eastAsia" w:ascii="宋体" w:hAnsi="宋体"/>
        </w:rPr>
        <w:t>3.3.2招标人需要延长投标有效期的，应书面通知所有投标人延长投标有效期。投标人应书面回复。同意延长的，应相应延长其投标担保的有效期，但不得要求或被允许修改其投标文件；未</w:t>
      </w:r>
      <w:r>
        <w:rPr>
          <w:rFonts w:ascii="宋体" w:hAnsi="宋体"/>
        </w:rPr>
        <w:t>进行</w:t>
      </w:r>
      <w:r>
        <w:rPr>
          <w:rFonts w:hint="eastAsia" w:ascii="宋体" w:hAnsi="宋体"/>
        </w:rPr>
        <w:t>回复</w:t>
      </w:r>
      <w:r>
        <w:rPr>
          <w:rFonts w:ascii="宋体" w:hAnsi="宋体"/>
        </w:rPr>
        <w:t>或者回复拒绝</w:t>
      </w:r>
      <w:r>
        <w:rPr>
          <w:rFonts w:hint="eastAsia" w:ascii="宋体" w:hAnsi="宋体"/>
        </w:rPr>
        <w:t>延长的，其投标文件在原投标有效期届满后失效。招标人向未进行回复或者回复拒绝延长的投标人退还已提交的投标担保。</w:t>
      </w:r>
    </w:p>
    <w:p w14:paraId="4ECF4696">
      <w:pPr>
        <w:snapToGrid w:val="0"/>
        <w:ind w:firstLine="482" w:firstLineChars="200"/>
        <w:rPr>
          <w:rFonts w:ascii="宋体" w:hAnsi="宋体"/>
          <w:b/>
          <w:bCs/>
        </w:rPr>
      </w:pPr>
      <w:r>
        <w:rPr>
          <w:rFonts w:hint="eastAsia" w:ascii="宋体" w:hAnsi="宋体"/>
          <w:b/>
          <w:bCs/>
        </w:rPr>
        <w:t>3.4投标保证金</w:t>
      </w:r>
    </w:p>
    <w:p w14:paraId="062093BA">
      <w:pPr>
        <w:snapToGrid w:val="0"/>
        <w:ind w:firstLine="480" w:firstLineChars="200"/>
        <w:rPr>
          <w:rFonts w:ascii="宋体" w:hAnsi="宋体"/>
        </w:rPr>
      </w:pPr>
      <w:r>
        <w:rPr>
          <w:rFonts w:hint="eastAsia" w:ascii="宋体" w:hAnsi="宋体"/>
        </w:rPr>
        <w:t>3.4.1招标人在</w:t>
      </w:r>
      <w:r>
        <w:rPr>
          <w:rFonts w:hint="eastAsia" w:ascii="宋体" w:hAnsi="宋体"/>
          <w:b/>
        </w:rPr>
        <w:t>投标人须知前附表</w:t>
      </w:r>
      <w:r>
        <w:rPr>
          <w:rFonts w:hint="eastAsia" w:ascii="宋体" w:hAnsi="宋体"/>
        </w:rPr>
        <w:t>中要求投标人提交投标担保的，投标人在提交投标文件的同时，应按投标人须知前附表规定的金额、形式和第七章“投标文件格式”规定的投标担保格式提交投标担保，并作为其投标文件的组成部分。</w:t>
      </w:r>
    </w:p>
    <w:p w14:paraId="145C0A37">
      <w:pPr>
        <w:snapToGrid w:val="0"/>
        <w:ind w:firstLine="480" w:firstLineChars="200"/>
        <w:rPr>
          <w:rFonts w:ascii="宋体" w:hAnsi="宋体"/>
        </w:rPr>
      </w:pPr>
      <w:r>
        <w:rPr>
          <w:rFonts w:hint="eastAsia" w:ascii="宋体" w:hAnsi="宋体"/>
        </w:rPr>
        <w:t>3.4.2投标人不按照本章第</w:t>
      </w:r>
      <w:r>
        <w:rPr>
          <w:rFonts w:ascii="宋体" w:hAnsi="宋体"/>
        </w:rPr>
        <w:t>3.4.1</w:t>
      </w:r>
      <w:r>
        <w:rPr>
          <w:rFonts w:hint="eastAsia" w:ascii="宋体" w:hAnsi="宋体"/>
        </w:rPr>
        <w:t>项要求提交投标担保的，其投标将被否决。</w:t>
      </w:r>
    </w:p>
    <w:p w14:paraId="05BAFE27">
      <w:pPr>
        <w:snapToGrid w:val="0"/>
        <w:ind w:firstLine="480" w:firstLineChars="200"/>
        <w:rPr>
          <w:rFonts w:ascii="宋体" w:hAnsi="宋体"/>
        </w:rPr>
      </w:pPr>
      <w:r>
        <w:rPr>
          <w:rFonts w:hint="eastAsia" w:ascii="宋体" w:hAnsi="宋体"/>
        </w:rPr>
        <w:t>3.4.3未中标人的投标保证金将在中标通知书发出后按广州公共资源交易中心的规定退还，中标人的投标保证金在签定合同后，予以退还。</w:t>
      </w:r>
    </w:p>
    <w:p w14:paraId="5EB46CCB">
      <w:pPr>
        <w:snapToGrid w:val="0"/>
        <w:ind w:firstLine="480" w:firstLineChars="200"/>
        <w:rPr>
          <w:rFonts w:ascii="宋体" w:hAnsi="宋体"/>
        </w:rPr>
      </w:pPr>
      <w:r>
        <w:rPr>
          <w:rFonts w:hint="eastAsia" w:ascii="宋体" w:hAnsi="宋体"/>
        </w:rPr>
        <w:t>3.4.4有下列情形之一的，以现金形式提交的投标担保将不予退还；以银行保函或保险公司保证保险形式提交投标担保的，招标人提供证明材料向银行或</w:t>
      </w:r>
      <w:r>
        <w:rPr>
          <w:rFonts w:ascii="宋体" w:hAnsi="宋体"/>
        </w:rPr>
        <w:t>保险公司</w:t>
      </w:r>
      <w:r>
        <w:rPr>
          <w:rFonts w:hint="eastAsia" w:ascii="宋体" w:hAnsi="宋体"/>
        </w:rPr>
        <w:t>索赔：</w:t>
      </w:r>
    </w:p>
    <w:p w14:paraId="64BB6481">
      <w:pPr>
        <w:snapToGrid w:val="0"/>
        <w:ind w:firstLine="480" w:firstLineChars="200"/>
        <w:rPr>
          <w:rFonts w:ascii="宋体" w:hAnsi="宋体"/>
        </w:rPr>
      </w:pPr>
      <w:r>
        <w:rPr>
          <w:rFonts w:ascii="宋体" w:hAnsi="宋体"/>
        </w:rPr>
        <w:t>（1）</w:t>
      </w:r>
      <w:r>
        <w:rPr>
          <w:rFonts w:hint="eastAsia" w:ascii="宋体" w:hAnsi="宋体"/>
        </w:rPr>
        <w:t>投标人在投标有效期内撤销投标文件</w:t>
      </w:r>
      <w:r>
        <w:rPr>
          <w:rFonts w:ascii="宋体" w:hAnsi="宋体"/>
        </w:rPr>
        <w:t>；</w:t>
      </w:r>
    </w:p>
    <w:p w14:paraId="32DAF7B6">
      <w:pPr>
        <w:snapToGrid w:val="0"/>
        <w:ind w:firstLine="480" w:firstLineChars="200"/>
        <w:rPr>
          <w:rFonts w:ascii="宋体" w:hAnsi="宋体"/>
        </w:rPr>
      </w:pPr>
      <w:r>
        <w:rPr>
          <w:rFonts w:ascii="宋体" w:hAnsi="宋体"/>
        </w:rPr>
        <w:t>（2）</w:t>
      </w:r>
      <w:r>
        <w:rPr>
          <w:rFonts w:hint="eastAsia" w:ascii="宋体" w:hAnsi="宋体"/>
        </w:rPr>
        <w:t>中标</w:t>
      </w:r>
      <w:r>
        <w:rPr>
          <w:rFonts w:ascii="宋体" w:hAnsi="宋体"/>
        </w:rPr>
        <w:t>通知</w:t>
      </w:r>
      <w:r>
        <w:rPr>
          <w:rFonts w:hint="eastAsia" w:ascii="宋体" w:hAnsi="宋体"/>
        </w:rPr>
        <w:t>书</w:t>
      </w:r>
      <w:r>
        <w:rPr>
          <w:rFonts w:ascii="宋体" w:hAnsi="宋体"/>
        </w:rPr>
        <w:t>发出后</w:t>
      </w:r>
      <w:r>
        <w:rPr>
          <w:rFonts w:hint="eastAsia" w:ascii="宋体" w:hAnsi="宋体"/>
        </w:rPr>
        <w:t>投标人无正当理由放弃中标，或者无正当理由不与招标人</w:t>
      </w:r>
      <w:r>
        <w:rPr>
          <w:rFonts w:ascii="宋体" w:hAnsi="宋体"/>
        </w:rPr>
        <w:t>订立</w:t>
      </w:r>
      <w:r>
        <w:rPr>
          <w:rFonts w:hint="eastAsia" w:ascii="宋体" w:hAnsi="宋体"/>
        </w:rPr>
        <w:t>合同，或者在签订合同时向招标人提出附加条件，或</w:t>
      </w:r>
      <w:r>
        <w:rPr>
          <w:rFonts w:ascii="宋体" w:hAnsi="宋体"/>
        </w:rPr>
        <w:t>者</w:t>
      </w:r>
      <w:r>
        <w:rPr>
          <w:rFonts w:hint="eastAsia" w:ascii="宋体" w:hAnsi="宋体"/>
        </w:rPr>
        <w:t>提出变更投标文件实质性内容；</w:t>
      </w:r>
    </w:p>
    <w:p w14:paraId="39234B07">
      <w:pPr>
        <w:snapToGrid w:val="0"/>
        <w:ind w:firstLine="480" w:firstLineChars="200"/>
        <w:rPr>
          <w:rFonts w:ascii="宋体" w:hAnsi="宋体"/>
        </w:rPr>
      </w:pPr>
      <w:r>
        <w:rPr>
          <w:rFonts w:hint="eastAsia" w:ascii="宋体" w:hAnsi="宋体"/>
        </w:rPr>
        <w:t>（</w:t>
      </w:r>
      <w:r>
        <w:rPr>
          <w:rFonts w:ascii="宋体" w:hAnsi="宋体"/>
        </w:rPr>
        <w:t>3）签订合同时提出</w:t>
      </w:r>
      <w:r>
        <w:rPr>
          <w:rFonts w:hint="eastAsia" w:ascii="宋体" w:hAnsi="宋体"/>
        </w:rPr>
        <w:t>变更</w:t>
      </w:r>
      <w:r>
        <w:rPr>
          <w:rFonts w:ascii="宋体" w:hAnsi="宋体"/>
        </w:rPr>
        <w:t>投标文件实质性内容；</w:t>
      </w:r>
    </w:p>
    <w:p w14:paraId="37B39FDB">
      <w:pPr>
        <w:snapToGrid w:val="0"/>
        <w:ind w:firstLine="480" w:firstLineChars="200"/>
        <w:rPr>
          <w:rFonts w:ascii="宋体" w:hAnsi="宋体"/>
        </w:rPr>
      </w:pPr>
      <w:r>
        <w:rPr>
          <w:rFonts w:hint="eastAsia" w:ascii="宋体" w:hAnsi="宋体"/>
        </w:rPr>
        <w:t>（</w:t>
      </w:r>
      <w:r>
        <w:rPr>
          <w:rFonts w:ascii="宋体" w:hAnsi="宋体"/>
        </w:rPr>
        <w:t>4）与他人串通投标</w:t>
      </w:r>
      <w:r>
        <w:rPr>
          <w:rFonts w:hint="eastAsia" w:ascii="宋体" w:hAnsi="宋体"/>
        </w:rPr>
        <w:t>或</w:t>
      </w:r>
      <w:r>
        <w:rPr>
          <w:rFonts w:ascii="宋体" w:hAnsi="宋体"/>
        </w:rPr>
        <w:t>投标人提交了虚假资料；</w:t>
      </w:r>
    </w:p>
    <w:p w14:paraId="5CA65660">
      <w:pPr>
        <w:snapToGrid w:val="0"/>
        <w:ind w:firstLine="480" w:firstLineChars="200"/>
      </w:pPr>
      <w:r>
        <w:rPr>
          <w:rFonts w:hint="eastAsia" w:ascii="宋体" w:hAnsi="宋体"/>
        </w:rPr>
        <w:t>（</w:t>
      </w:r>
      <w:r>
        <w:rPr>
          <w:rFonts w:ascii="宋体" w:hAnsi="宋体"/>
        </w:rPr>
        <w:t>5）</w:t>
      </w:r>
      <w:r>
        <w:rPr>
          <w:rFonts w:hint="eastAsia"/>
        </w:rPr>
        <w:t>未能在规定期限内按要求提交履约担保；</w:t>
      </w:r>
    </w:p>
    <w:p w14:paraId="0BF95BB5">
      <w:pPr>
        <w:snapToGrid w:val="0"/>
        <w:ind w:firstLine="480" w:firstLineChars="200"/>
        <w:rPr>
          <w:rFonts w:ascii="宋体" w:hAnsi="宋体"/>
        </w:rPr>
      </w:pPr>
      <w:r>
        <w:rPr>
          <w:rFonts w:hint="eastAsia" w:ascii="宋体" w:hAnsi="宋体"/>
        </w:rPr>
        <w:t>（6</w:t>
      </w:r>
      <w:r>
        <w:rPr>
          <w:rFonts w:ascii="宋体" w:hAnsi="宋体"/>
        </w:rPr>
        <w:t>）</w:t>
      </w:r>
      <w:r>
        <w:rPr>
          <w:rFonts w:hint="eastAsia" w:ascii="宋体" w:hAnsi="宋体"/>
        </w:rPr>
        <w:t>未按招标文件要求向交易中心缴纳交易服务费、向招标代理机构缴纳招标代理服务费；</w:t>
      </w:r>
    </w:p>
    <w:p w14:paraId="47218002">
      <w:pPr>
        <w:snapToGrid w:val="0"/>
        <w:ind w:firstLine="480" w:firstLineChars="200"/>
        <w:rPr>
          <w:rFonts w:ascii="宋体" w:hAnsi="宋体"/>
        </w:rPr>
      </w:pPr>
      <w:r>
        <w:rPr>
          <w:rFonts w:hint="eastAsia" w:ascii="宋体" w:hAnsi="宋体"/>
        </w:rPr>
        <w:t>（7</w:t>
      </w:r>
      <w:r>
        <w:rPr>
          <w:rFonts w:ascii="宋体" w:hAnsi="宋体"/>
        </w:rPr>
        <w:t>）在招标投标过程中有其他违规行为。</w:t>
      </w:r>
    </w:p>
    <w:p w14:paraId="6D5679C0">
      <w:pPr>
        <w:snapToGrid w:val="0"/>
        <w:ind w:firstLine="482" w:firstLineChars="200"/>
        <w:rPr>
          <w:rFonts w:ascii="宋体" w:hAnsi="宋体"/>
          <w:b/>
          <w:bCs/>
        </w:rPr>
      </w:pPr>
      <w:r>
        <w:rPr>
          <w:rFonts w:hint="eastAsia" w:ascii="宋体" w:hAnsi="宋体"/>
          <w:b/>
          <w:bCs/>
        </w:rPr>
        <w:t>3.5资格审查资料</w:t>
      </w:r>
    </w:p>
    <w:p w14:paraId="03F93E79">
      <w:pPr>
        <w:snapToGrid w:val="0"/>
        <w:ind w:firstLine="480" w:firstLineChars="200"/>
        <w:rPr>
          <w:rFonts w:ascii="宋体" w:hAnsi="宋体"/>
        </w:rPr>
      </w:pPr>
      <w:r>
        <w:rPr>
          <w:rFonts w:hint="eastAsia" w:ascii="宋体" w:hAnsi="宋体"/>
        </w:rPr>
        <w:t>3.5.1本招标项目采用资格后审方式对投标人的资格进行审查。投标人在编制投标文件时，应提供相应资料以证实其各项资格条件满足招标文件的要求，具备承担本招标项目的资质条件、能力和信誉。详见第一章第3条、第四章“评标办法”附件1“否决投标的情形”、附件2-1“初步评审标准及记录表”、附件2-2“初步评审标准及记录表（其他情形）”等。</w:t>
      </w:r>
    </w:p>
    <w:p w14:paraId="7F58B4A3">
      <w:pPr>
        <w:snapToGrid w:val="0"/>
        <w:ind w:firstLine="482" w:firstLineChars="200"/>
        <w:rPr>
          <w:rFonts w:ascii="宋体" w:hAnsi="宋体"/>
          <w:b/>
          <w:bCs/>
        </w:rPr>
      </w:pPr>
      <w:r>
        <w:rPr>
          <w:rFonts w:hint="eastAsia" w:ascii="宋体" w:hAnsi="宋体"/>
          <w:b/>
          <w:bCs/>
        </w:rPr>
        <w:t>3.6投标文件的编制</w:t>
      </w:r>
    </w:p>
    <w:p w14:paraId="2BD8FF31">
      <w:pPr>
        <w:snapToGrid w:val="0"/>
        <w:ind w:firstLine="480" w:firstLineChars="200"/>
        <w:rPr>
          <w:rFonts w:ascii="宋体" w:hAnsi="宋体"/>
        </w:rPr>
      </w:pPr>
      <w:r>
        <w:rPr>
          <w:rFonts w:ascii="宋体" w:hAnsi="宋体"/>
        </w:rPr>
        <w:t>3.6.1</w:t>
      </w:r>
      <w:r>
        <w:rPr>
          <w:rFonts w:hint="eastAsia"/>
          <w:szCs w:val="21"/>
          <w:u w:val="single"/>
        </w:rPr>
        <w:t>投标人应按投标须知前附表规定的份数递交投标文件</w:t>
      </w:r>
      <w:r>
        <w:rPr>
          <w:rFonts w:hint="eastAsia"/>
          <w:sz w:val="21"/>
          <w:szCs w:val="21"/>
          <w:u w:val="single"/>
        </w:rPr>
        <w:t>，</w:t>
      </w:r>
      <w:r>
        <w:rPr>
          <w:rFonts w:hint="eastAsia"/>
          <w:szCs w:val="21"/>
          <w:u w:val="single"/>
        </w:rPr>
        <w:t>投标文件的正本与副本应分别装订成册，内容较多时可以分册装订，应注明册序号，正本和副本的封面上应清楚地标记“正本”或“副本”的字样</w:t>
      </w:r>
      <w:r>
        <w:rPr>
          <w:rFonts w:hint="eastAsia" w:ascii="宋体" w:hAnsi="宋体"/>
          <w:u w:val="single"/>
        </w:rPr>
        <w:t>。</w:t>
      </w:r>
      <w:r>
        <w:rPr>
          <w:rFonts w:hint="eastAsia"/>
          <w:szCs w:val="21"/>
          <w:u w:val="single"/>
        </w:rPr>
        <w:t>投标文件应用不褪色的材料书写或打印，副本可以是正本的复印件，当副本和正本不一致时，以正本为准。</w:t>
      </w:r>
    </w:p>
    <w:p w14:paraId="42EFCD19">
      <w:pPr>
        <w:snapToGrid w:val="0"/>
        <w:ind w:firstLine="480" w:firstLineChars="200"/>
        <w:rPr>
          <w:rFonts w:ascii="宋体" w:hAnsi="宋体"/>
        </w:rPr>
      </w:pPr>
      <w:r>
        <w:rPr>
          <w:rFonts w:ascii="宋体" w:hAnsi="宋体"/>
        </w:rPr>
        <w:t>3.6.</w:t>
      </w:r>
      <w:r>
        <w:rPr>
          <w:rFonts w:hint="eastAsia" w:ascii="宋体" w:hAnsi="宋体"/>
        </w:rPr>
        <w:t>2投标文件应按第七章“投标文件格式”及内容进行编制，如有必要，可以增加附页，作为投标文件的组成部分，</w:t>
      </w:r>
      <w:r>
        <w:rPr>
          <w:rFonts w:hint="eastAsia"/>
          <w:szCs w:val="21"/>
        </w:rPr>
        <w:t>并按照方便翻阅的原则自行编制页码</w:t>
      </w:r>
      <w:r>
        <w:rPr>
          <w:rFonts w:hint="eastAsia" w:ascii="宋体" w:hAnsi="宋体"/>
        </w:rPr>
        <w:t>。</w:t>
      </w:r>
    </w:p>
    <w:p w14:paraId="0FA5025A">
      <w:pPr>
        <w:snapToGrid w:val="0"/>
        <w:ind w:firstLine="480" w:firstLineChars="200"/>
        <w:rPr>
          <w:rFonts w:ascii="宋体" w:hAnsi="宋体"/>
        </w:rPr>
      </w:pPr>
      <w:r>
        <w:rPr>
          <w:rFonts w:hint="eastAsia" w:ascii="宋体" w:hAnsi="宋体"/>
        </w:rPr>
        <w:t>3.6.3投标文件须按照投标人须知前附表中的规定进行</w:t>
      </w:r>
      <w:r>
        <w:rPr>
          <w:rFonts w:hint="eastAsia"/>
          <w:szCs w:val="21"/>
        </w:rPr>
        <w:t>盖章或签署，委托代理人签字的，投标文件应附</w:t>
      </w:r>
      <w:r>
        <w:rPr>
          <w:rFonts w:hint="eastAsia"/>
          <w:szCs w:val="21"/>
          <w:u w:val="single"/>
        </w:rPr>
        <w:t>法定代表人身份证明书和</w:t>
      </w:r>
      <w:r>
        <w:rPr>
          <w:rFonts w:hint="eastAsia"/>
          <w:szCs w:val="21"/>
        </w:rPr>
        <w:t>法定代表人签署的授权委托书。除投标人对错误处须修改外，全套投标文件应无涂改或增删，如有修改，修改处应由投标人加盖投标人的印章或由投标文件签字人签字或盖章。</w:t>
      </w:r>
    </w:p>
    <w:p w14:paraId="25B760ED">
      <w:pPr>
        <w:pStyle w:val="5"/>
      </w:pPr>
      <w:bookmarkStart w:id="82" w:name="_Toc489214133"/>
      <w:bookmarkStart w:id="83" w:name="_Toc2893"/>
      <w:bookmarkStart w:id="84" w:name="_Toc24990"/>
      <w:bookmarkStart w:id="85" w:name="_Toc22484"/>
      <w:r>
        <w:rPr>
          <w:rFonts w:hint="eastAsia"/>
        </w:rPr>
        <w:t>4．投标</w:t>
      </w:r>
      <w:bookmarkEnd w:id="82"/>
      <w:bookmarkEnd w:id="83"/>
      <w:bookmarkEnd w:id="84"/>
      <w:bookmarkEnd w:id="85"/>
    </w:p>
    <w:p w14:paraId="09077435">
      <w:pPr>
        <w:snapToGrid w:val="0"/>
        <w:ind w:firstLine="482" w:firstLineChars="200"/>
        <w:rPr>
          <w:rFonts w:ascii="宋体" w:hAnsi="宋体"/>
          <w:b/>
          <w:bCs/>
        </w:rPr>
      </w:pPr>
      <w:r>
        <w:rPr>
          <w:rFonts w:hint="eastAsia" w:ascii="宋体" w:hAnsi="宋体"/>
          <w:b/>
          <w:bCs/>
        </w:rPr>
        <w:t>4.1投标文件的密封和标记</w:t>
      </w:r>
    </w:p>
    <w:p w14:paraId="35F7E43C">
      <w:pPr>
        <w:snapToGrid w:val="0"/>
        <w:ind w:firstLine="480" w:firstLineChars="200"/>
        <w:rPr>
          <w:rFonts w:ascii="宋体" w:hAnsi="宋体"/>
        </w:rPr>
      </w:pPr>
      <w:r>
        <w:rPr>
          <w:rFonts w:hint="eastAsia" w:ascii="宋体" w:hAnsi="宋体"/>
        </w:rPr>
        <w:t>投标文件的正本、副本与投标文件电子文件应统一密封在一个封套里，外封套封口处应加盖投标人单位公章。投标文件外封套上应写明的内容见投标人须知前附表。</w:t>
      </w:r>
    </w:p>
    <w:p w14:paraId="628E6ACC">
      <w:pPr>
        <w:snapToGrid w:val="0"/>
        <w:ind w:firstLine="482" w:firstLineChars="200"/>
        <w:rPr>
          <w:rFonts w:ascii="宋体" w:hAnsi="宋体"/>
          <w:b/>
          <w:bCs/>
        </w:rPr>
      </w:pPr>
      <w:r>
        <w:rPr>
          <w:rFonts w:hint="eastAsia" w:ascii="宋体" w:hAnsi="宋体"/>
          <w:b/>
          <w:bCs/>
        </w:rPr>
        <w:t>4.2投标文件的递交</w:t>
      </w:r>
    </w:p>
    <w:p w14:paraId="4541D60C">
      <w:pPr>
        <w:snapToGrid w:val="0"/>
        <w:ind w:firstLine="480" w:firstLineChars="200"/>
        <w:rPr>
          <w:rFonts w:ascii="宋体" w:hAnsi="宋体" w:cs="Arial"/>
          <w:iCs/>
          <w:szCs w:val="28"/>
        </w:rPr>
      </w:pPr>
      <w:r>
        <w:rPr>
          <w:rFonts w:ascii="宋体" w:hAnsi="宋体"/>
        </w:rPr>
        <w:t>4.2.1</w:t>
      </w:r>
      <w:r>
        <w:rPr>
          <w:rFonts w:hint="eastAsia" w:ascii="宋体" w:hAnsi="宋体"/>
        </w:rPr>
        <w:t>投标人应在投标人须知前附表中规定的投标截止时间前</w:t>
      </w:r>
      <w:r>
        <w:rPr>
          <w:rFonts w:hint="eastAsia" w:ascii="宋体" w:hAnsi="宋体" w:cs="Arial"/>
          <w:iCs/>
          <w:szCs w:val="28"/>
        </w:rPr>
        <w:t>递交投标文件。</w:t>
      </w:r>
    </w:p>
    <w:p w14:paraId="444ABF45">
      <w:pPr>
        <w:snapToGrid w:val="0"/>
        <w:ind w:firstLine="480" w:firstLineChars="200"/>
        <w:rPr>
          <w:rFonts w:ascii="宋体" w:hAnsi="宋体"/>
        </w:rPr>
      </w:pPr>
      <w:r>
        <w:rPr>
          <w:rFonts w:ascii="宋体" w:hAnsi="宋体"/>
        </w:rPr>
        <w:t>4.2.2</w:t>
      </w:r>
      <w:r>
        <w:rPr>
          <w:rFonts w:hint="eastAsia" w:ascii="宋体" w:hAnsi="宋体"/>
        </w:rPr>
        <w:t>投标人所递交的投标文件不予退还。</w:t>
      </w:r>
    </w:p>
    <w:p w14:paraId="63D7D48D">
      <w:pPr>
        <w:snapToGrid w:val="0"/>
        <w:ind w:left="426"/>
        <w:rPr>
          <w:rFonts w:ascii="宋体" w:hAnsi="宋体"/>
          <w:szCs w:val="21"/>
        </w:rPr>
      </w:pPr>
      <w:r>
        <w:rPr>
          <w:rFonts w:ascii="宋体" w:hAnsi="宋体"/>
        </w:rPr>
        <w:t>4.2.</w:t>
      </w:r>
      <w:r>
        <w:rPr>
          <w:rFonts w:hint="eastAsia" w:ascii="宋体" w:hAnsi="宋体"/>
        </w:rPr>
        <w:t>3</w:t>
      </w:r>
      <w:r>
        <w:rPr>
          <w:rFonts w:hint="eastAsia" w:ascii="宋体" w:hAnsi="宋体"/>
          <w:szCs w:val="21"/>
        </w:rPr>
        <w:t>投标文件有下列情况之一的，招标人或招标代理机构将当场予以拒绝，不再</w:t>
      </w:r>
    </w:p>
    <w:p w14:paraId="19FD8FBE">
      <w:pPr>
        <w:snapToGrid w:val="0"/>
        <w:rPr>
          <w:rFonts w:ascii="宋体" w:hAnsi="宋体"/>
          <w:szCs w:val="21"/>
        </w:rPr>
      </w:pPr>
      <w:r>
        <w:rPr>
          <w:rFonts w:hint="eastAsia" w:ascii="宋体" w:hAnsi="宋体"/>
          <w:szCs w:val="21"/>
        </w:rPr>
        <w:t>对其进行开标和后续评标：</w:t>
      </w:r>
    </w:p>
    <w:p w14:paraId="452D5512">
      <w:pPr>
        <w:numPr>
          <w:ilvl w:val="0"/>
          <w:numId w:val="4"/>
        </w:numPr>
        <w:snapToGrid w:val="0"/>
        <w:rPr>
          <w:rFonts w:ascii="宋体" w:hAnsi="宋体"/>
          <w:szCs w:val="21"/>
        </w:rPr>
      </w:pPr>
      <w:r>
        <w:rPr>
          <w:rFonts w:hint="eastAsia" w:ascii="宋体" w:hAnsi="宋体"/>
          <w:szCs w:val="21"/>
        </w:rPr>
        <w:t>投标人未在规定的时间递交投标保证金的投标文件；</w:t>
      </w:r>
    </w:p>
    <w:p w14:paraId="17CA98B2">
      <w:pPr>
        <w:numPr>
          <w:ilvl w:val="0"/>
          <w:numId w:val="4"/>
        </w:numPr>
        <w:snapToGrid w:val="0"/>
        <w:rPr>
          <w:rFonts w:ascii="宋体" w:hAnsi="宋体"/>
          <w:szCs w:val="21"/>
        </w:rPr>
      </w:pPr>
      <w:r>
        <w:rPr>
          <w:rFonts w:hint="eastAsia" w:ascii="宋体" w:hAnsi="宋体"/>
          <w:szCs w:val="21"/>
        </w:rPr>
        <w:t>逾期送达的或者未送达指定地点的投标文件，招标人不予受理；</w:t>
      </w:r>
    </w:p>
    <w:p w14:paraId="75930137">
      <w:pPr>
        <w:numPr>
          <w:ilvl w:val="0"/>
          <w:numId w:val="4"/>
        </w:numPr>
        <w:snapToGrid w:val="0"/>
        <w:ind w:left="0" w:firstLine="284"/>
        <w:rPr>
          <w:rFonts w:ascii="宋体" w:hAnsi="宋体"/>
          <w:szCs w:val="21"/>
        </w:rPr>
      </w:pPr>
      <w:r>
        <w:rPr>
          <w:rFonts w:hint="eastAsia" w:ascii="宋体" w:hAnsi="宋体"/>
          <w:szCs w:val="21"/>
        </w:rPr>
        <w:t>没有按照招标文件规定的递交方式递交。</w:t>
      </w:r>
    </w:p>
    <w:p w14:paraId="2F57836D">
      <w:pPr>
        <w:snapToGrid w:val="0"/>
        <w:ind w:firstLine="482" w:firstLineChars="200"/>
        <w:rPr>
          <w:rFonts w:ascii="宋体" w:hAnsi="宋体"/>
          <w:b/>
          <w:bCs/>
        </w:rPr>
      </w:pPr>
      <w:r>
        <w:rPr>
          <w:rFonts w:hint="eastAsia" w:ascii="宋体" w:hAnsi="宋体"/>
          <w:b/>
          <w:bCs/>
        </w:rPr>
        <w:t>4.3投标文件的修改与撤回</w:t>
      </w:r>
    </w:p>
    <w:p w14:paraId="70E42F7E">
      <w:pPr>
        <w:snapToGrid w:val="0"/>
        <w:ind w:firstLine="480" w:firstLineChars="200"/>
        <w:rPr>
          <w:rFonts w:ascii="宋体" w:hAnsi="宋体"/>
        </w:rPr>
      </w:pPr>
      <w:r>
        <w:rPr>
          <w:rFonts w:ascii="宋体" w:hAnsi="宋体"/>
        </w:rPr>
        <w:t>4.3.1</w:t>
      </w:r>
      <w:r>
        <w:rPr>
          <w:rFonts w:hint="eastAsia" w:ascii="宋体" w:hAnsi="宋体"/>
        </w:rPr>
        <w:t>在规定的投标截止时间前，投标人可以修改或撤回已递交的投标文件。</w:t>
      </w:r>
    </w:p>
    <w:p w14:paraId="1F68F20E">
      <w:pPr>
        <w:snapToGrid w:val="0"/>
        <w:ind w:firstLine="480" w:firstLineChars="200"/>
        <w:rPr>
          <w:rFonts w:ascii="宋体" w:hAnsi="宋体"/>
        </w:rPr>
      </w:pPr>
      <w:r>
        <w:rPr>
          <w:rFonts w:ascii="宋体" w:hAnsi="宋体"/>
        </w:rPr>
        <w:t>4.3.</w:t>
      </w:r>
      <w:r>
        <w:rPr>
          <w:rFonts w:hint="eastAsia" w:ascii="宋体" w:hAnsi="宋体"/>
        </w:rPr>
        <w:t>2在规定的投标截止时间前，投标人撤回投标文件或明确表示不再参与投标的，应书面通知招标人。招标人自收到投标人</w:t>
      </w:r>
      <w:r>
        <w:rPr>
          <w:rFonts w:hint="eastAsia" w:ascii="宋体" w:hAnsi="宋体"/>
          <w:szCs w:val="21"/>
        </w:rPr>
        <w:t>书面</w:t>
      </w:r>
      <w:r>
        <w:rPr>
          <w:rFonts w:hint="eastAsia" w:ascii="宋体" w:hAnsi="宋体"/>
        </w:rPr>
        <w:t>通知之日起</w:t>
      </w:r>
      <w:r>
        <w:rPr>
          <w:rFonts w:ascii="宋体" w:hAnsi="宋体"/>
        </w:rPr>
        <w:t>5日内退还已收取的投标保证金。</w:t>
      </w:r>
    </w:p>
    <w:p w14:paraId="5B36B69F">
      <w:pPr>
        <w:snapToGrid w:val="0"/>
        <w:ind w:firstLine="480" w:firstLineChars="200"/>
        <w:rPr>
          <w:rFonts w:ascii="宋体" w:hAnsi="宋体"/>
        </w:rPr>
      </w:pPr>
      <w:r>
        <w:rPr>
          <w:rFonts w:ascii="宋体" w:hAnsi="宋体"/>
        </w:rPr>
        <w:t>4.3.</w:t>
      </w:r>
      <w:r>
        <w:rPr>
          <w:rFonts w:hint="eastAsia" w:ascii="宋体" w:hAnsi="宋体"/>
        </w:rPr>
        <w:t>3</w:t>
      </w:r>
      <w:r>
        <w:rPr>
          <w:rFonts w:ascii="宋体" w:hAnsi="宋体"/>
        </w:rPr>
        <w:t>在投标截止时间前，</w:t>
      </w:r>
      <w:r>
        <w:rPr>
          <w:rFonts w:hint="eastAsia" w:ascii="宋体" w:hAnsi="宋体"/>
        </w:rPr>
        <w:t>投标人可以补充、修改或者撤回投标文件。</w:t>
      </w:r>
    </w:p>
    <w:p w14:paraId="7222A545">
      <w:pPr>
        <w:pStyle w:val="5"/>
      </w:pPr>
      <w:bookmarkStart w:id="86" w:name="_Toc29078"/>
      <w:bookmarkStart w:id="87" w:name="_Toc12215"/>
      <w:bookmarkStart w:id="88" w:name="_Toc16683"/>
      <w:bookmarkStart w:id="89" w:name="_Toc489214134"/>
      <w:r>
        <w:rPr>
          <w:rFonts w:hint="eastAsia"/>
        </w:rPr>
        <w:t>5．开标</w:t>
      </w:r>
      <w:bookmarkEnd w:id="86"/>
      <w:bookmarkEnd w:id="87"/>
      <w:bookmarkEnd w:id="88"/>
      <w:bookmarkEnd w:id="89"/>
    </w:p>
    <w:p w14:paraId="4CE570EB">
      <w:pPr>
        <w:snapToGrid w:val="0"/>
        <w:ind w:firstLine="482" w:firstLineChars="200"/>
        <w:rPr>
          <w:rFonts w:ascii="宋体" w:hAnsi="宋体"/>
          <w:b/>
          <w:bCs/>
        </w:rPr>
      </w:pPr>
      <w:r>
        <w:rPr>
          <w:rFonts w:ascii="宋体" w:hAnsi="宋体"/>
          <w:b/>
          <w:bCs/>
        </w:rPr>
        <w:t>5.1开标时间和地点</w:t>
      </w:r>
    </w:p>
    <w:p w14:paraId="591EDB07">
      <w:pPr>
        <w:snapToGrid w:val="0"/>
        <w:ind w:firstLine="480" w:firstLineChars="200"/>
        <w:rPr>
          <w:rFonts w:ascii="宋体" w:hAnsi="宋体"/>
        </w:rPr>
      </w:pPr>
      <w:r>
        <w:rPr>
          <w:rFonts w:hint="eastAsia" w:ascii="宋体" w:hAnsi="宋体"/>
        </w:rPr>
        <w:t>详见投标人须知前附表，并邀请所有投标人的法定代表人或其授权代理人携带本人身份证原件准时参加并签到。</w:t>
      </w:r>
      <w:r>
        <w:rPr>
          <w:rFonts w:hint="eastAsia" w:ascii="宋体" w:hAnsi="宋体"/>
          <w:b/>
          <w:bCs/>
        </w:rPr>
        <w:t>投标人若未派法定代表人或委托代理人出席开标活动，视为该投标人默认开标结果，不作为废标条款。</w:t>
      </w:r>
      <w:r>
        <w:rPr>
          <w:rFonts w:hint="eastAsia" w:ascii="宋体" w:hAnsi="宋体"/>
        </w:rPr>
        <w:t>开标在投标文件递交截止时间的同一时间进行。</w:t>
      </w:r>
    </w:p>
    <w:p w14:paraId="0D23E480">
      <w:pPr>
        <w:snapToGrid w:val="0"/>
        <w:ind w:firstLine="482" w:firstLineChars="200"/>
        <w:rPr>
          <w:rFonts w:ascii="宋体" w:hAnsi="宋体"/>
          <w:b/>
          <w:bCs/>
        </w:rPr>
      </w:pPr>
      <w:r>
        <w:rPr>
          <w:rFonts w:ascii="宋体" w:hAnsi="宋体"/>
          <w:b/>
          <w:bCs/>
        </w:rPr>
        <w:t>5.2</w:t>
      </w:r>
      <w:r>
        <w:rPr>
          <w:rFonts w:hint="eastAsia" w:ascii="宋体" w:hAnsi="宋体"/>
          <w:b/>
          <w:bCs/>
        </w:rPr>
        <w:t>开标主要工作程序</w:t>
      </w:r>
    </w:p>
    <w:p w14:paraId="267B5BA9">
      <w:pPr>
        <w:snapToGrid w:val="0"/>
        <w:ind w:firstLine="480" w:firstLineChars="200"/>
        <w:rPr>
          <w:rFonts w:ascii="宋体" w:hAnsi="宋体"/>
        </w:rPr>
      </w:pPr>
      <w:r>
        <w:rPr>
          <w:rFonts w:hint="eastAsia" w:ascii="宋体" w:hAnsi="宋体"/>
        </w:rPr>
        <w:t>（1）宣布开标纪律；</w:t>
      </w:r>
    </w:p>
    <w:p w14:paraId="0E23A4C9">
      <w:pPr>
        <w:snapToGrid w:val="0"/>
        <w:ind w:firstLine="480" w:firstLineChars="200"/>
        <w:rPr>
          <w:rFonts w:ascii="宋体" w:hAnsi="宋体"/>
        </w:rPr>
      </w:pPr>
      <w:r>
        <w:rPr>
          <w:rFonts w:hint="eastAsia" w:ascii="宋体" w:hAnsi="宋体"/>
        </w:rPr>
        <w:t>（2）公布在投标截止时间前递交投标文件的投标人名称；</w:t>
      </w:r>
    </w:p>
    <w:p w14:paraId="3604CF42">
      <w:pPr>
        <w:snapToGrid w:val="0"/>
        <w:ind w:firstLine="480" w:firstLineChars="200"/>
        <w:rPr>
          <w:rFonts w:ascii="宋体" w:hAnsi="宋体"/>
        </w:rPr>
      </w:pPr>
      <w:r>
        <w:rPr>
          <w:rFonts w:hint="eastAsia" w:ascii="宋体" w:hAnsi="宋体"/>
        </w:rPr>
        <w:t>（3）宣布开标人、唱标人、记录人等有关人员姓名；</w:t>
      </w:r>
    </w:p>
    <w:p w14:paraId="6DA9F90C">
      <w:pPr>
        <w:snapToGrid w:val="0"/>
        <w:ind w:firstLine="480" w:firstLineChars="200"/>
        <w:rPr>
          <w:rFonts w:ascii="宋体" w:hAnsi="宋体"/>
        </w:rPr>
      </w:pPr>
      <w:r>
        <w:rPr>
          <w:rFonts w:hint="eastAsia" w:ascii="宋体" w:hAnsi="宋体"/>
        </w:rPr>
        <w:t>（4）投标人派代表检查投标文件的密封情况；</w:t>
      </w:r>
    </w:p>
    <w:p w14:paraId="264E2B1F">
      <w:pPr>
        <w:snapToGrid w:val="0"/>
        <w:ind w:firstLine="480" w:firstLineChars="200"/>
        <w:rPr>
          <w:rFonts w:ascii="宋体" w:hAnsi="宋体"/>
        </w:rPr>
      </w:pPr>
      <w:r>
        <w:rPr>
          <w:rFonts w:hint="eastAsia" w:ascii="宋体" w:hAnsi="宋体"/>
        </w:rPr>
        <w:t>（5）根据递交投标文件时间先后顺序开标，公布投标人名称、投标保证金的递交情况、投标报价、质量目标、工期及其他内容，并记录在案；</w:t>
      </w:r>
    </w:p>
    <w:p w14:paraId="760AA32F">
      <w:pPr>
        <w:snapToGrid w:val="0"/>
        <w:ind w:firstLine="480" w:firstLineChars="200"/>
        <w:rPr>
          <w:rFonts w:ascii="宋体" w:hAnsi="宋体"/>
        </w:rPr>
      </w:pPr>
      <w:r>
        <w:rPr>
          <w:rFonts w:hint="eastAsia" w:ascii="宋体" w:hAnsi="宋体"/>
        </w:rPr>
        <w:t>（6）投标人代表、招标人代表、记录人等有关人员在开标记录上签字确认；</w:t>
      </w:r>
    </w:p>
    <w:p w14:paraId="5A05322E">
      <w:pPr>
        <w:snapToGrid w:val="0"/>
        <w:ind w:firstLine="480" w:firstLineChars="200"/>
        <w:rPr>
          <w:rFonts w:ascii="宋体" w:hAnsi="宋体"/>
        </w:rPr>
      </w:pPr>
      <w:r>
        <w:rPr>
          <w:rFonts w:hint="eastAsia" w:ascii="宋体" w:hAnsi="宋体"/>
        </w:rPr>
        <w:t>（7）开标结束。</w:t>
      </w:r>
    </w:p>
    <w:p w14:paraId="38741E81">
      <w:pPr>
        <w:snapToGrid w:val="0"/>
        <w:ind w:firstLine="482" w:firstLineChars="200"/>
        <w:rPr>
          <w:rFonts w:ascii="宋体" w:hAnsi="宋体"/>
          <w:b/>
          <w:bCs/>
        </w:rPr>
      </w:pPr>
      <w:r>
        <w:rPr>
          <w:rFonts w:hint="eastAsia" w:ascii="宋体" w:hAnsi="宋体"/>
          <w:b/>
          <w:bCs/>
        </w:rPr>
        <w:t>5.3开标异议</w:t>
      </w:r>
    </w:p>
    <w:p w14:paraId="11EEC89D">
      <w:pPr>
        <w:snapToGrid w:val="0"/>
        <w:ind w:firstLine="480" w:firstLineChars="200"/>
        <w:rPr>
          <w:rFonts w:ascii="宋体" w:hAnsi="宋体"/>
        </w:rPr>
      </w:pPr>
      <w:r>
        <w:rPr>
          <w:rFonts w:hint="eastAsia" w:ascii="宋体" w:hAnsi="宋体"/>
        </w:rPr>
        <w:t>在开标过程中，投标人有异议的，应当在开标现场提出异议。异议成立的，招标人应当及时采取纠正措施，或者提交评标委员会评审确认；投标人异议不成立的，招标人应当场给予解释说明。异议和答复应记入开标会记录或者制作专门记录以备查。若投标人现场未提出异议，则认为投标人已确认招标人宣读的内容。</w:t>
      </w:r>
    </w:p>
    <w:p w14:paraId="25071A35">
      <w:pPr>
        <w:pStyle w:val="5"/>
      </w:pPr>
      <w:bookmarkStart w:id="90" w:name="_Toc31889"/>
      <w:bookmarkStart w:id="91" w:name="_Toc489214135"/>
      <w:bookmarkStart w:id="92" w:name="_Toc29513"/>
      <w:bookmarkStart w:id="93" w:name="_Toc2033"/>
      <w:r>
        <w:rPr>
          <w:rFonts w:hint="eastAsia"/>
        </w:rPr>
        <w:t>6．评标</w:t>
      </w:r>
      <w:bookmarkEnd w:id="90"/>
      <w:bookmarkEnd w:id="91"/>
      <w:bookmarkEnd w:id="92"/>
      <w:bookmarkEnd w:id="93"/>
    </w:p>
    <w:p w14:paraId="46230E3A">
      <w:pPr>
        <w:snapToGrid w:val="0"/>
        <w:ind w:firstLine="482" w:firstLineChars="200"/>
        <w:rPr>
          <w:rFonts w:ascii="宋体" w:hAnsi="宋体"/>
          <w:b/>
        </w:rPr>
      </w:pPr>
      <w:r>
        <w:rPr>
          <w:rFonts w:hint="eastAsia" w:ascii="宋体" w:hAnsi="宋体"/>
          <w:b/>
        </w:rPr>
        <w:t>6.1评标委员会及人数</w:t>
      </w:r>
    </w:p>
    <w:p w14:paraId="0F7CEE2A">
      <w:pPr>
        <w:snapToGrid w:val="0"/>
        <w:ind w:firstLine="480" w:firstLineChars="200"/>
        <w:rPr>
          <w:rFonts w:ascii="宋体" w:hAnsi="宋体"/>
        </w:rPr>
      </w:pPr>
      <w:r>
        <w:rPr>
          <w:rFonts w:hint="eastAsia" w:ascii="宋体" w:hAnsi="宋体"/>
        </w:rPr>
        <w:t>招标人按照第四章“评标办法”第4条</w:t>
      </w:r>
      <w:r>
        <w:rPr>
          <w:rFonts w:ascii="宋体" w:hAnsi="宋体"/>
        </w:rPr>
        <w:t>“</w:t>
      </w:r>
      <w:r>
        <w:rPr>
          <w:rFonts w:hint="eastAsia" w:ascii="宋体" w:hAnsi="宋体"/>
        </w:rPr>
        <w:t>评标</w:t>
      </w:r>
      <w:r>
        <w:rPr>
          <w:rFonts w:ascii="宋体" w:hAnsi="宋体"/>
        </w:rPr>
        <w:t>委员会”</w:t>
      </w:r>
      <w:r>
        <w:rPr>
          <w:rFonts w:hint="eastAsia" w:ascii="宋体" w:hAnsi="宋体"/>
        </w:rPr>
        <w:t>的</w:t>
      </w:r>
      <w:r>
        <w:rPr>
          <w:rFonts w:ascii="宋体" w:hAnsi="宋体"/>
        </w:rPr>
        <w:t>相关规定组建</w:t>
      </w:r>
      <w:r>
        <w:rPr>
          <w:rFonts w:hint="eastAsia" w:ascii="宋体" w:hAnsi="宋体"/>
        </w:rPr>
        <w:t>评标</w:t>
      </w:r>
      <w:r>
        <w:rPr>
          <w:rFonts w:ascii="宋体" w:hAnsi="宋体"/>
        </w:rPr>
        <w:t>委员会</w:t>
      </w:r>
      <w:r>
        <w:rPr>
          <w:rFonts w:hint="eastAsia" w:ascii="宋体" w:hAnsi="宋体"/>
        </w:rPr>
        <w:t>。评标委员会人数：见</w:t>
      </w:r>
      <w:r>
        <w:rPr>
          <w:rFonts w:hint="eastAsia" w:ascii="宋体" w:hAnsi="宋体"/>
          <w:b/>
        </w:rPr>
        <w:t>投标人须知前附表</w:t>
      </w:r>
      <w:r>
        <w:rPr>
          <w:rFonts w:hint="eastAsia" w:ascii="宋体" w:hAnsi="宋体"/>
        </w:rPr>
        <w:t>。</w:t>
      </w:r>
    </w:p>
    <w:p w14:paraId="0FEFB72B">
      <w:pPr>
        <w:snapToGrid w:val="0"/>
        <w:ind w:firstLine="482" w:firstLineChars="200"/>
        <w:rPr>
          <w:rFonts w:ascii="宋体" w:hAnsi="宋体"/>
          <w:b/>
        </w:rPr>
      </w:pPr>
      <w:r>
        <w:rPr>
          <w:rFonts w:hint="eastAsia" w:ascii="宋体" w:hAnsi="宋体"/>
          <w:b/>
        </w:rPr>
        <w:t>6.2评标办法</w:t>
      </w:r>
    </w:p>
    <w:p w14:paraId="0FAA9392">
      <w:pPr>
        <w:snapToGrid w:val="0"/>
        <w:ind w:firstLine="480" w:firstLineChars="200"/>
        <w:rPr>
          <w:rFonts w:ascii="宋体" w:hAnsi="宋体"/>
        </w:rPr>
      </w:pPr>
      <w:r>
        <w:rPr>
          <w:rFonts w:hint="eastAsia" w:ascii="宋体" w:hAnsi="宋体"/>
        </w:rPr>
        <w:t>6.2.1采用综合评估法评标。详见第四章“评标办法”。</w:t>
      </w:r>
    </w:p>
    <w:p w14:paraId="3112CED9">
      <w:pPr>
        <w:snapToGrid w:val="0"/>
        <w:ind w:firstLine="480" w:firstLineChars="200"/>
        <w:rPr>
          <w:rFonts w:ascii="宋体" w:hAnsi="宋体"/>
        </w:rPr>
      </w:pPr>
      <w:r>
        <w:rPr>
          <w:rFonts w:hint="eastAsia" w:ascii="宋体" w:hAnsi="宋体"/>
        </w:rPr>
        <w:t>6.2.2评标委员会按照第四章“评标办法”明确的评审方式、评审因素、计分标准和程序对投标文件进行评审。第四章“评标办法”中没有规定的评审方式、评审因素和计分标准，不得作为评标依据。</w:t>
      </w:r>
    </w:p>
    <w:p w14:paraId="4ABA28CB">
      <w:pPr>
        <w:snapToGrid w:val="0"/>
        <w:ind w:firstLine="482" w:firstLineChars="200"/>
        <w:rPr>
          <w:rFonts w:ascii="宋体" w:hAnsi="宋体"/>
          <w:b/>
        </w:rPr>
      </w:pPr>
      <w:r>
        <w:rPr>
          <w:rFonts w:hint="eastAsia" w:ascii="宋体" w:hAnsi="宋体"/>
          <w:b/>
        </w:rPr>
        <w:t xml:space="preserve">6.3 </w:t>
      </w:r>
      <w:r>
        <w:rPr>
          <w:rFonts w:hint="eastAsia" w:ascii="宋体" w:hAnsi="宋体"/>
          <w:b/>
          <w:kern w:val="0"/>
        </w:rPr>
        <w:t>评标</w:t>
      </w:r>
      <w:r>
        <w:rPr>
          <w:rFonts w:ascii="宋体" w:hAnsi="宋体"/>
          <w:b/>
          <w:kern w:val="0"/>
        </w:rPr>
        <w:t>预备会</w:t>
      </w:r>
    </w:p>
    <w:p w14:paraId="41BE3838">
      <w:pPr>
        <w:snapToGrid w:val="0"/>
        <w:ind w:firstLine="465"/>
        <w:rPr>
          <w:rFonts w:ascii="宋体" w:hAnsi="宋体"/>
        </w:rPr>
      </w:pPr>
      <w:r>
        <w:rPr>
          <w:rFonts w:hint="eastAsia" w:ascii="宋体" w:hAnsi="宋体"/>
        </w:rPr>
        <w:t>6</w:t>
      </w:r>
      <w:r>
        <w:rPr>
          <w:rFonts w:ascii="宋体" w:hAnsi="宋体"/>
        </w:rPr>
        <w:t>.3.1</w:t>
      </w:r>
      <w:r>
        <w:rPr>
          <w:rFonts w:hint="eastAsia" w:ascii="宋体" w:hAnsi="宋体"/>
        </w:rPr>
        <w:t>评标预备会由招标人或招标代理机构主持，评标委员会全体成员、招标人、招标代理机构、监督部门等相关人员参加。</w:t>
      </w:r>
    </w:p>
    <w:p w14:paraId="5E511873">
      <w:pPr>
        <w:snapToGrid w:val="0"/>
        <w:ind w:firstLine="482" w:firstLineChars="200"/>
        <w:rPr>
          <w:rFonts w:ascii="宋体" w:hAnsi="宋体"/>
        </w:rPr>
      </w:pPr>
      <w:r>
        <w:rPr>
          <w:rFonts w:hint="eastAsia" w:ascii="宋体" w:hAnsi="宋体"/>
          <w:b/>
          <w:bCs/>
        </w:rPr>
        <w:t>6.4评</w:t>
      </w:r>
      <w:r>
        <w:rPr>
          <w:rFonts w:hint="eastAsia" w:ascii="宋体" w:hAnsi="宋体"/>
          <w:b/>
        </w:rPr>
        <w:t>标及</w:t>
      </w:r>
      <w:r>
        <w:rPr>
          <w:rFonts w:ascii="宋体" w:hAnsi="宋体"/>
          <w:b/>
        </w:rPr>
        <w:t>中标候选人推荐</w:t>
      </w:r>
    </w:p>
    <w:p w14:paraId="1DB711A8">
      <w:pPr>
        <w:snapToGrid w:val="0"/>
        <w:ind w:firstLine="480" w:firstLineChars="200"/>
        <w:rPr>
          <w:rFonts w:ascii="宋体" w:hAnsi="宋体"/>
        </w:rPr>
      </w:pPr>
      <w:r>
        <w:rPr>
          <w:rFonts w:hint="eastAsia" w:ascii="宋体" w:hAnsi="宋体"/>
        </w:rPr>
        <w:t>6.</w:t>
      </w:r>
      <w:r>
        <w:rPr>
          <w:rFonts w:ascii="宋体" w:hAnsi="宋体"/>
        </w:rPr>
        <w:t>4</w:t>
      </w:r>
      <w:r>
        <w:rPr>
          <w:rFonts w:hint="eastAsia" w:ascii="宋体" w:hAnsi="宋体"/>
        </w:rPr>
        <w:t>.1评标由招标人依法组建的评标委员会负责</w:t>
      </w:r>
      <w:r>
        <w:rPr>
          <w:rFonts w:ascii="宋体" w:hAnsi="宋体"/>
        </w:rPr>
        <w:t>。</w:t>
      </w:r>
    </w:p>
    <w:p w14:paraId="5C5801F4">
      <w:pPr>
        <w:snapToGrid w:val="0"/>
        <w:ind w:firstLine="480" w:firstLineChars="200"/>
        <w:rPr>
          <w:rFonts w:ascii="宋体" w:hAnsi="宋体"/>
        </w:rPr>
      </w:pPr>
      <w:r>
        <w:rPr>
          <w:rFonts w:ascii="宋体" w:hAnsi="宋体"/>
        </w:rPr>
        <w:t>6.4.2</w:t>
      </w:r>
      <w:r>
        <w:rPr>
          <w:rFonts w:hint="eastAsia" w:ascii="宋体" w:hAnsi="宋体"/>
        </w:rPr>
        <w:t>评标</w:t>
      </w:r>
      <w:r>
        <w:rPr>
          <w:rFonts w:ascii="宋体" w:hAnsi="宋体"/>
        </w:rPr>
        <w:t>活动</w:t>
      </w:r>
      <w:r>
        <w:rPr>
          <w:rFonts w:hint="eastAsia" w:ascii="宋体" w:hAnsi="宋体"/>
        </w:rPr>
        <w:t>遵循公平、公正、科学和择优的原则。</w:t>
      </w:r>
    </w:p>
    <w:p w14:paraId="0B8BBC37">
      <w:pPr>
        <w:snapToGrid w:val="0"/>
        <w:ind w:firstLine="480" w:firstLineChars="200"/>
        <w:rPr>
          <w:rFonts w:ascii="宋体" w:hAnsi="宋体"/>
        </w:rPr>
      </w:pPr>
      <w:r>
        <w:rPr>
          <w:rFonts w:ascii="宋体" w:hAnsi="宋体"/>
        </w:rPr>
        <w:t>6.4.3招标人或招标代理机构</w:t>
      </w:r>
      <w:r>
        <w:rPr>
          <w:rFonts w:hint="eastAsia" w:ascii="宋体" w:hAnsi="宋体"/>
        </w:rPr>
        <w:t>应在规定的场地评标室组织评标工作，评标委员会应当在有效监控、监督和严格保密的环境下完成评标工作。</w:t>
      </w:r>
    </w:p>
    <w:p w14:paraId="322A1D9A">
      <w:pPr>
        <w:snapToGrid w:val="0"/>
        <w:ind w:firstLine="480" w:firstLineChars="200"/>
        <w:rPr>
          <w:rFonts w:ascii="宋体" w:hAnsi="宋体"/>
        </w:rPr>
      </w:pPr>
      <w:r>
        <w:rPr>
          <w:rFonts w:ascii="宋体" w:hAnsi="宋体"/>
        </w:rPr>
        <w:t>6.4.4评标</w:t>
      </w:r>
      <w:r>
        <w:rPr>
          <w:rFonts w:hint="eastAsia" w:ascii="宋体" w:hAnsi="宋体"/>
        </w:rPr>
        <w:t>过程</w:t>
      </w:r>
      <w:r>
        <w:rPr>
          <w:rFonts w:ascii="宋体" w:hAnsi="宋体"/>
        </w:rPr>
        <w:t>中，</w:t>
      </w:r>
      <w:r>
        <w:rPr>
          <w:rFonts w:hint="eastAsia" w:ascii="宋体" w:hAnsi="宋体"/>
        </w:rPr>
        <w:t>按照第四章“评标办法”第</w:t>
      </w:r>
      <w:r>
        <w:rPr>
          <w:rFonts w:ascii="宋体" w:hAnsi="宋体"/>
        </w:rPr>
        <w:t>12</w:t>
      </w:r>
      <w:r>
        <w:rPr>
          <w:rFonts w:hint="eastAsia" w:ascii="宋体" w:hAnsi="宋体"/>
        </w:rPr>
        <w:t>条</w:t>
      </w:r>
      <w:r>
        <w:rPr>
          <w:rFonts w:ascii="宋体" w:hAnsi="宋体"/>
        </w:rPr>
        <w:t>“</w:t>
      </w:r>
      <w:r>
        <w:rPr>
          <w:rFonts w:hint="eastAsia" w:ascii="宋体" w:hAnsi="宋体"/>
        </w:rPr>
        <w:t>澄清和</w:t>
      </w:r>
      <w:r>
        <w:rPr>
          <w:rFonts w:ascii="宋体" w:hAnsi="宋体"/>
        </w:rPr>
        <w:t>补正”</w:t>
      </w:r>
      <w:r>
        <w:rPr>
          <w:rFonts w:hint="eastAsia" w:ascii="宋体" w:hAnsi="宋体"/>
        </w:rPr>
        <w:t>的规定</w:t>
      </w:r>
      <w:r>
        <w:rPr>
          <w:rFonts w:ascii="宋体" w:hAnsi="宋体"/>
        </w:rPr>
        <w:t>需要</w:t>
      </w:r>
      <w:r>
        <w:rPr>
          <w:rFonts w:hint="eastAsia" w:ascii="宋体" w:hAnsi="宋体"/>
        </w:rPr>
        <w:t>投标人对投标文件进行澄清或说明的，招标人或招标代理机构</w:t>
      </w:r>
      <w:r>
        <w:rPr>
          <w:rFonts w:ascii="宋体" w:hAnsi="宋体"/>
        </w:rPr>
        <w:t>向投标人发出</w:t>
      </w:r>
      <w:r>
        <w:rPr>
          <w:rFonts w:hint="eastAsia" w:ascii="宋体" w:hAnsi="宋体"/>
        </w:rPr>
        <w:t>“</w:t>
      </w:r>
      <w:r>
        <w:rPr>
          <w:rFonts w:ascii="宋体" w:hAnsi="宋体"/>
        </w:rPr>
        <w:t>问题澄清通知</w:t>
      </w:r>
      <w:r>
        <w:rPr>
          <w:rFonts w:hint="eastAsia" w:ascii="宋体" w:hAnsi="宋体"/>
        </w:rPr>
        <w:t>”函件，投标人</w:t>
      </w:r>
      <w:r>
        <w:rPr>
          <w:rFonts w:ascii="宋体" w:hAnsi="宋体"/>
        </w:rPr>
        <w:t>接收函件后应认真研究</w:t>
      </w:r>
      <w:r>
        <w:rPr>
          <w:rFonts w:hint="eastAsia" w:ascii="宋体" w:hAnsi="宋体"/>
        </w:rPr>
        <w:t>提交</w:t>
      </w:r>
      <w:r>
        <w:rPr>
          <w:rFonts w:ascii="宋体" w:hAnsi="宋体"/>
        </w:rPr>
        <w:t>“</w:t>
      </w:r>
      <w:r>
        <w:rPr>
          <w:rFonts w:hint="eastAsia" w:ascii="宋体" w:hAnsi="宋体"/>
        </w:rPr>
        <w:t>问题的澄清</w:t>
      </w:r>
      <w:r>
        <w:rPr>
          <w:rFonts w:ascii="宋体" w:hAnsi="宋体"/>
        </w:rPr>
        <w:t>”</w:t>
      </w:r>
      <w:r>
        <w:rPr>
          <w:rFonts w:hint="eastAsia" w:ascii="宋体" w:hAnsi="宋体"/>
        </w:rPr>
        <w:t>回复</w:t>
      </w:r>
      <w:r>
        <w:rPr>
          <w:rFonts w:ascii="宋体" w:hAnsi="宋体"/>
        </w:rPr>
        <w:t>函</w:t>
      </w:r>
      <w:r>
        <w:rPr>
          <w:rFonts w:hint="eastAsia" w:ascii="宋体" w:hAnsi="宋体"/>
        </w:rPr>
        <w:t>。</w:t>
      </w:r>
    </w:p>
    <w:p w14:paraId="1B962B64">
      <w:pPr>
        <w:snapToGrid w:val="0"/>
        <w:ind w:firstLine="480" w:firstLineChars="200"/>
        <w:rPr>
          <w:rFonts w:ascii="宋体" w:hAnsi="宋体"/>
        </w:rPr>
      </w:pPr>
      <w:r>
        <w:rPr>
          <w:rFonts w:hint="eastAsia" w:ascii="宋体" w:hAnsi="宋体"/>
        </w:rPr>
        <w:t>6.</w:t>
      </w:r>
      <w:r>
        <w:rPr>
          <w:rFonts w:ascii="宋体" w:hAnsi="宋体"/>
        </w:rPr>
        <w:t>4</w:t>
      </w:r>
      <w:r>
        <w:rPr>
          <w:rFonts w:hint="eastAsia" w:ascii="宋体" w:hAnsi="宋体"/>
        </w:rPr>
        <w:t>.</w:t>
      </w:r>
      <w:r>
        <w:rPr>
          <w:rFonts w:ascii="宋体" w:hAnsi="宋体"/>
        </w:rPr>
        <w:t>5</w:t>
      </w:r>
      <w:r>
        <w:rPr>
          <w:rFonts w:hint="eastAsia" w:ascii="宋体" w:hAnsi="宋体"/>
        </w:rPr>
        <w:t>评标完成后，评标委员会应当向招标人提交评标报告和推荐3名的中标候选人名单。</w:t>
      </w:r>
    </w:p>
    <w:p w14:paraId="09268994">
      <w:pPr>
        <w:snapToGrid w:val="0"/>
        <w:rPr>
          <w:rFonts w:ascii="宋体" w:hAnsi="宋体"/>
          <w:b/>
        </w:rPr>
      </w:pPr>
      <w:bookmarkStart w:id="94" w:name="_Toc489214136"/>
      <w:bookmarkStart w:id="95" w:name="_Toc22597"/>
      <w:bookmarkStart w:id="96" w:name="_Toc25168"/>
      <w:bookmarkStart w:id="97" w:name="_Toc8016"/>
      <w:r>
        <w:rPr>
          <w:rFonts w:hint="eastAsia" w:ascii="宋体" w:hAnsi="宋体"/>
          <w:b/>
        </w:rPr>
        <w:t>7．定标和合同授予</w:t>
      </w:r>
      <w:bookmarkEnd w:id="94"/>
      <w:bookmarkEnd w:id="95"/>
      <w:bookmarkEnd w:id="96"/>
      <w:bookmarkEnd w:id="97"/>
    </w:p>
    <w:p w14:paraId="3168C9D3">
      <w:pPr>
        <w:snapToGrid w:val="0"/>
        <w:ind w:firstLine="465"/>
        <w:rPr>
          <w:rFonts w:ascii="宋体" w:hAnsi="宋体"/>
        </w:rPr>
      </w:pPr>
      <w:r>
        <w:rPr>
          <w:rFonts w:ascii="宋体" w:hAnsi="宋体"/>
          <w:b/>
        </w:rPr>
        <w:t>7.</w:t>
      </w:r>
      <w:r>
        <w:rPr>
          <w:rFonts w:hint="eastAsia" w:ascii="宋体" w:hAnsi="宋体"/>
          <w:b/>
        </w:rPr>
        <w:t>1中标候选人公示</w:t>
      </w:r>
    </w:p>
    <w:p w14:paraId="65D6E634">
      <w:pPr>
        <w:snapToGrid w:val="0"/>
        <w:ind w:firstLine="465"/>
      </w:pPr>
      <w:r>
        <w:rPr>
          <w:rFonts w:hint="eastAsia" w:ascii="宋体" w:hAnsi="宋体"/>
        </w:rPr>
        <w:t>中</w:t>
      </w:r>
      <w:r>
        <w:rPr>
          <w:rFonts w:hint="eastAsia"/>
        </w:rPr>
        <w:t>标候选人应在投标人须知前附表列明的媒体上进行公示，</w:t>
      </w:r>
      <w:r>
        <w:rPr>
          <w:rFonts w:hint="eastAsia"/>
          <w:spacing w:val="-6"/>
          <w:highlight w:val="none"/>
        </w:rPr>
        <w:t>公示期不少于3天</w:t>
      </w:r>
      <w:r>
        <w:rPr>
          <w:rFonts w:hint="eastAsia"/>
          <w:b/>
          <w:bCs/>
          <w:spacing w:val="-6"/>
          <w:u w:val="single"/>
        </w:rPr>
        <w:t>（具体以项目发布的中标候选人公示为准）</w:t>
      </w:r>
      <w:r>
        <w:rPr>
          <w:rFonts w:hint="eastAsia"/>
        </w:rPr>
        <w:t>。</w:t>
      </w:r>
    </w:p>
    <w:p w14:paraId="0D5A68FA">
      <w:pPr>
        <w:snapToGrid w:val="0"/>
        <w:ind w:firstLine="482" w:firstLineChars="200"/>
        <w:rPr>
          <w:rFonts w:ascii="宋体" w:hAnsi="宋体"/>
          <w:b/>
        </w:rPr>
      </w:pPr>
      <w:r>
        <w:rPr>
          <w:rFonts w:hint="eastAsia" w:ascii="宋体" w:hAnsi="宋体"/>
          <w:b/>
        </w:rPr>
        <w:t>7.2评标结果异议</w:t>
      </w:r>
    </w:p>
    <w:p w14:paraId="13836D38">
      <w:pPr>
        <w:snapToGrid w:val="0"/>
        <w:ind w:firstLine="480" w:firstLineChars="200"/>
        <w:rPr>
          <w:rFonts w:ascii="宋体" w:hAnsi="宋体"/>
        </w:rPr>
      </w:pPr>
      <w:r>
        <w:rPr>
          <w:rFonts w:hint="eastAsia" w:ascii="宋体" w:hAnsi="宋体"/>
        </w:rPr>
        <w:t>投标人或其他利害关系人对评标结果有异议的，应在中标候选人公示期间向招标人提出。招标人在收到异议之日起3日内作出答复；作出答复前，将暂停招标投标活动。</w:t>
      </w:r>
    </w:p>
    <w:p w14:paraId="661270C0">
      <w:pPr>
        <w:snapToGrid w:val="0"/>
        <w:ind w:firstLine="482" w:firstLineChars="200"/>
        <w:rPr>
          <w:rFonts w:ascii="宋体" w:hAnsi="宋体"/>
          <w:b/>
          <w:bCs/>
        </w:rPr>
      </w:pPr>
      <w:r>
        <w:rPr>
          <w:rFonts w:hint="eastAsia" w:ascii="宋体" w:hAnsi="宋体"/>
          <w:b/>
          <w:bCs/>
        </w:rPr>
        <w:t>7.3 定标及中标通知书</w:t>
      </w:r>
    </w:p>
    <w:p w14:paraId="0948F1DC">
      <w:pPr>
        <w:snapToGrid w:val="0"/>
        <w:ind w:firstLine="480" w:firstLineChars="200"/>
        <w:rPr>
          <w:rFonts w:ascii="宋体" w:hAnsi="宋体"/>
        </w:rPr>
      </w:pPr>
      <w:r>
        <w:rPr>
          <w:rFonts w:hint="eastAsia" w:ascii="宋体" w:hAnsi="宋体"/>
        </w:rPr>
        <w:t>7.3.1评标</w:t>
      </w:r>
      <w:r>
        <w:rPr>
          <w:rFonts w:ascii="宋体" w:hAnsi="宋体"/>
        </w:rPr>
        <w:t>报告经</w:t>
      </w:r>
      <w:r>
        <w:rPr>
          <w:rFonts w:hint="eastAsia" w:ascii="宋体" w:hAnsi="宋体"/>
        </w:rPr>
        <w:t>审查后，招标人依据评标委员会推荐的中标候选人确定中标人</w:t>
      </w:r>
    </w:p>
    <w:p w14:paraId="21C3B5FB">
      <w:pPr>
        <w:snapToGrid w:val="0"/>
        <w:ind w:firstLine="480" w:firstLineChars="200"/>
        <w:rPr>
          <w:rFonts w:ascii="宋体" w:hAnsi="宋体"/>
        </w:rPr>
      </w:pPr>
      <w:r>
        <w:rPr>
          <w:rFonts w:hint="eastAsia" w:ascii="宋体" w:hAnsi="宋体"/>
        </w:rPr>
        <w:t>7.3.</w:t>
      </w:r>
      <w:r>
        <w:rPr>
          <w:rFonts w:ascii="宋体" w:hAnsi="宋体"/>
        </w:rPr>
        <w:t>2</w:t>
      </w:r>
      <w:r>
        <w:rPr>
          <w:rFonts w:hint="eastAsia" w:ascii="宋体" w:hAnsi="宋体"/>
        </w:rPr>
        <w:t>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5A7EC992">
      <w:pPr>
        <w:snapToGrid w:val="0"/>
        <w:ind w:firstLine="480" w:firstLineChars="200"/>
        <w:rPr>
          <w:rFonts w:ascii="宋体" w:hAnsi="宋体"/>
        </w:rPr>
      </w:pPr>
      <w:r>
        <w:rPr>
          <w:rFonts w:ascii="宋体" w:hAnsi="宋体"/>
        </w:rPr>
        <w:t>7.</w:t>
      </w:r>
      <w:r>
        <w:rPr>
          <w:rFonts w:hint="eastAsia" w:ascii="宋体" w:hAnsi="宋体"/>
        </w:rPr>
        <w:t>3</w:t>
      </w:r>
      <w:r>
        <w:rPr>
          <w:rFonts w:ascii="宋体" w:hAnsi="宋体"/>
        </w:rPr>
        <w:t>.</w:t>
      </w:r>
      <w:r>
        <w:rPr>
          <w:rFonts w:hint="eastAsia" w:ascii="宋体" w:hAnsi="宋体"/>
        </w:rPr>
        <w:t>3招标人或招标代理机构应在投标有效期结束日30日前向中标人发出</w:t>
      </w:r>
      <w:r>
        <w:rPr>
          <w:rFonts w:hint="eastAsia" w:ascii="宋体" w:hAnsi="宋体"/>
          <w:u w:val="single"/>
        </w:rPr>
        <w:t>电子</w:t>
      </w:r>
      <w:r>
        <w:rPr>
          <w:rFonts w:hint="eastAsia" w:ascii="宋体" w:hAnsi="宋体"/>
        </w:rPr>
        <w:t>中标通知书</w:t>
      </w:r>
      <w:r>
        <w:rPr>
          <w:rFonts w:hint="eastAsia" w:ascii="宋体" w:hAnsi="宋体"/>
          <w:u w:val="single"/>
        </w:rPr>
        <w:t>（以广州公共资源交易中心格式为准）</w:t>
      </w:r>
      <w:r>
        <w:rPr>
          <w:rFonts w:hint="eastAsia" w:ascii="宋体" w:hAnsi="宋体"/>
        </w:rPr>
        <w:t>，同时公告中标结果</w:t>
      </w:r>
      <w:r>
        <w:rPr>
          <w:rFonts w:ascii="宋体" w:hAnsi="宋体"/>
        </w:rPr>
        <w:t>。</w:t>
      </w:r>
    </w:p>
    <w:p w14:paraId="71189E9D">
      <w:pPr>
        <w:snapToGrid w:val="0"/>
        <w:ind w:firstLine="482" w:firstLineChars="200"/>
        <w:rPr>
          <w:rFonts w:ascii="宋体" w:hAnsi="宋体"/>
        </w:rPr>
      </w:pPr>
      <w:r>
        <w:rPr>
          <w:rFonts w:hint="eastAsia" w:ascii="宋体" w:hAnsi="宋体"/>
          <w:b/>
        </w:rPr>
        <w:t>7.4履约担保</w:t>
      </w:r>
    </w:p>
    <w:p w14:paraId="44CD2FF2">
      <w:pPr>
        <w:snapToGrid w:val="0"/>
        <w:ind w:firstLine="480" w:firstLineChars="200"/>
        <w:rPr>
          <w:rFonts w:ascii="宋体" w:hAnsi="宋体"/>
        </w:rPr>
      </w:pPr>
      <w:r>
        <w:rPr>
          <w:rFonts w:hint="eastAsia" w:ascii="宋体" w:hAnsi="宋体"/>
        </w:rPr>
        <w:t>7.4.1在签订合同前，中标人应按</w:t>
      </w:r>
      <w:r>
        <w:rPr>
          <w:rFonts w:hint="eastAsia" w:ascii="宋体" w:hAnsi="宋体"/>
          <w:b/>
          <w:bCs/>
        </w:rPr>
        <w:t>投标人须知前附表</w:t>
      </w:r>
      <w:r>
        <w:rPr>
          <w:rFonts w:hint="eastAsia" w:ascii="宋体" w:hAnsi="宋体"/>
        </w:rPr>
        <w:t>规定的金额、形式和履约保函格式（见第五章“合同条款及格式”附件，或双方认可的格式）向招标人提交履约担保。</w:t>
      </w:r>
    </w:p>
    <w:p w14:paraId="1F8445B3">
      <w:pPr>
        <w:snapToGrid w:val="0"/>
        <w:ind w:firstLine="480" w:firstLineChars="200"/>
        <w:rPr>
          <w:rFonts w:ascii="宋体" w:hAnsi="宋体"/>
        </w:rPr>
      </w:pPr>
      <w:r>
        <w:rPr>
          <w:rFonts w:hint="eastAsia" w:ascii="宋体" w:hAnsi="宋体"/>
        </w:rPr>
        <w:t>7.4.2</w:t>
      </w:r>
      <w:r>
        <w:rPr>
          <w:rFonts w:hint="eastAsia" w:ascii="宋体" w:hAnsi="宋体"/>
        </w:rPr>
        <w:tab/>
      </w:r>
      <w:r>
        <w:rPr>
          <w:rFonts w:hint="eastAsia" w:ascii="宋体" w:hAnsi="宋体"/>
        </w:rPr>
        <w:t xml:space="preserve"> 中标人不能按本章第7.4.1项要求提交履约保证金的，视为放弃中标，其投标保证金不予退还；给招标人造成的损失超过投标保证金数额的，中标人还应当对超过部分予以赔偿。</w:t>
      </w:r>
    </w:p>
    <w:p w14:paraId="4C9F9968">
      <w:pPr>
        <w:snapToGrid w:val="0"/>
        <w:ind w:firstLine="482" w:firstLineChars="200"/>
        <w:rPr>
          <w:rFonts w:ascii="宋体" w:hAnsi="宋体"/>
          <w:b/>
          <w:bCs/>
        </w:rPr>
      </w:pPr>
      <w:r>
        <w:rPr>
          <w:rFonts w:ascii="宋体" w:hAnsi="宋体"/>
          <w:b/>
          <w:bCs/>
        </w:rPr>
        <w:t>7.</w:t>
      </w:r>
      <w:r>
        <w:rPr>
          <w:rFonts w:hint="eastAsia" w:ascii="宋体" w:hAnsi="宋体"/>
          <w:b/>
          <w:bCs/>
        </w:rPr>
        <w:t>5签订合同</w:t>
      </w:r>
    </w:p>
    <w:p w14:paraId="2559B5B5">
      <w:pPr>
        <w:snapToGrid w:val="0"/>
        <w:ind w:firstLine="480" w:firstLineChars="200"/>
        <w:rPr>
          <w:rFonts w:ascii="宋体" w:hAnsi="宋体"/>
        </w:rPr>
      </w:pPr>
      <w:r>
        <w:rPr>
          <w:rFonts w:ascii="宋体" w:hAnsi="宋体"/>
        </w:rPr>
        <w:t>7.</w:t>
      </w:r>
      <w:r>
        <w:rPr>
          <w:rFonts w:hint="eastAsia" w:ascii="宋体" w:hAnsi="宋体"/>
        </w:rPr>
        <w:t>5</w:t>
      </w:r>
      <w:r>
        <w:rPr>
          <w:rFonts w:ascii="宋体" w:hAnsi="宋体"/>
        </w:rPr>
        <w:t>.1</w:t>
      </w:r>
      <w:r>
        <w:rPr>
          <w:rFonts w:hint="eastAsia" w:ascii="宋体" w:hAnsi="宋体"/>
        </w:rPr>
        <w:t>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14:paraId="49424DCC">
      <w:pPr>
        <w:snapToGrid w:val="0"/>
        <w:ind w:firstLine="480" w:firstLineChars="200"/>
        <w:rPr>
          <w:rFonts w:ascii="宋体" w:hAnsi="宋体"/>
        </w:rPr>
      </w:pPr>
      <w:r>
        <w:rPr>
          <w:rFonts w:ascii="宋体" w:hAnsi="宋体"/>
        </w:rPr>
        <w:t>7.</w:t>
      </w:r>
      <w:r>
        <w:rPr>
          <w:rFonts w:hint="eastAsia" w:ascii="宋体" w:hAnsi="宋体"/>
        </w:rPr>
        <w:t>5</w:t>
      </w:r>
      <w:r>
        <w:rPr>
          <w:rFonts w:ascii="宋体" w:hAnsi="宋体"/>
        </w:rPr>
        <w:t>.2发出中标通知书后，招标人无正当理由拒签合同的，招标人向中标人退还投标保证金；给中标人造成损失的，还应当赔偿损失。</w:t>
      </w:r>
    </w:p>
    <w:p w14:paraId="4C5C06F6">
      <w:pPr>
        <w:pStyle w:val="5"/>
      </w:pPr>
      <w:bookmarkStart w:id="98" w:name="_Toc23409"/>
      <w:bookmarkStart w:id="99" w:name="_Toc14988"/>
      <w:bookmarkStart w:id="100" w:name="_Toc11949"/>
      <w:bookmarkStart w:id="101" w:name="_Toc489214137"/>
      <w:r>
        <w:rPr>
          <w:rFonts w:hint="eastAsia"/>
        </w:rPr>
        <w:t>8．重新招标</w:t>
      </w:r>
      <w:bookmarkEnd w:id="98"/>
      <w:bookmarkEnd w:id="99"/>
      <w:bookmarkEnd w:id="100"/>
      <w:bookmarkEnd w:id="101"/>
    </w:p>
    <w:p w14:paraId="31065AB8">
      <w:pPr>
        <w:snapToGrid w:val="0"/>
        <w:ind w:firstLine="482" w:firstLineChars="200"/>
        <w:rPr>
          <w:rFonts w:ascii="宋体" w:hAnsi="宋体"/>
          <w:b/>
          <w:bCs/>
        </w:rPr>
      </w:pPr>
      <w:r>
        <w:rPr>
          <w:rFonts w:hint="eastAsia" w:ascii="宋体" w:hAnsi="宋体"/>
          <w:b/>
          <w:bCs/>
        </w:rPr>
        <w:t>8.1重新招标</w:t>
      </w:r>
    </w:p>
    <w:p w14:paraId="4CE9D71D">
      <w:pPr>
        <w:snapToGrid w:val="0"/>
        <w:ind w:firstLine="480" w:firstLineChars="200"/>
        <w:rPr>
          <w:rFonts w:ascii="宋体" w:hAnsi="宋体"/>
        </w:rPr>
      </w:pPr>
      <w:r>
        <w:rPr>
          <w:rFonts w:hint="eastAsia" w:ascii="宋体" w:hAnsi="宋体"/>
        </w:rPr>
        <w:t>有下列情形之一的，招标人将重新招标：</w:t>
      </w:r>
    </w:p>
    <w:p w14:paraId="3575C949">
      <w:pPr>
        <w:numPr>
          <w:ilvl w:val="0"/>
          <w:numId w:val="5"/>
        </w:numPr>
        <w:snapToGrid w:val="0"/>
        <w:ind w:firstLine="480" w:firstLineChars="200"/>
        <w:rPr>
          <w:rFonts w:ascii="宋体" w:hAnsi="宋体"/>
        </w:rPr>
      </w:pPr>
      <w:r>
        <w:rPr>
          <w:rFonts w:ascii="宋体" w:hAnsi="宋体"/>
        </w:rPr>
        <w:t>投标截止时间止，投标人少于3个的</w:t>
      </w:r>
      <w:r>
        <w:rPr>
          <w:rFonts w:hint="eastAsia" w:ascii="宋体" w:hAnsi="宋体"/>
        </w:rPr>
        <w:t>；</w:t>
      </w:r>
    </w:p>
    <w:p w14:paraId="4D431A1D">
      <w:pPr>
        <w:numPr>
          <w:ilvl w:val="0"/>
          <w:numId w:val="5"/>
        </w:numPr>
        <w:snapToGrid w:val="0"/>
        <w:ind w:firstLine="480" w:firstLineChars="200"/>
        <w:rPr>
          <w:rFonts w:ascii="宋体" w:hAnsi="宋体"/>
        </w:rPr>
      </w:pPr>
      <w:r>
        <w:rPr>
          <w:rFonts w:hint="eastAsia" w:ascii="宋体" w:hAnsi="宋体"/>
        </w:rPr>
        <w:t>规定时间内，递交的投标文件不足3份</w:t>
      </w:r>
      <w:r>
        <w:rPr>
          <w:rFonts w:ascii="宋体" w:hAnsi="宋体"/>
        </w:rPr>
        <w:t>的；</w:t>
      </w:r>
    </w:p>
    <w:p w14:paraId="2DA9D8D8">
      <w:pPr>
        <w:snapToGrid w:val="0"/>
        <w:ind w:firstLine="480" w:firstLineChars="200"/>
        <w:rPr>
          <w:rFonts w:ascii="宋体" w:hAnsi="宋体"/>
        </w:rPr>
      </w:pPr>
      <w:r>
        <w:rPr>
          <w:rFonts w:hint="eastAsia" w:ascii="宋体" w:hAnsi="宋体"/>
        </w:rPr>
        <w:t>（3</w:t>
      </w:r>
      <w:r>
        <w:rPr>
          <w:rFonts w:ascii="宋体" w:hAnsi="宋体"/>
        </w:rPr>
        <w:t>）</w:t>
      </w:r>
      <w:r>
        <w:rPr>
          <w:rFonts w:hint="eastAsia" w:ascii="宋体" w:hAnsi="宋体"/>
        </w:rPr>
        <w:t>根据</w:t>
      </w:r>
      <w:r>
        <w:rPr>
          <w:rFonts w:ascii="宋体" w:hAnsi="宋体"/>
        </w:rPr>
        <w:t>本章第</w:t>
      </w:r>
      <w:r>
        <w:rPr>
          <w:rFonts w:hint="eastAsia" w:ascii="宋体" w:hAnsi="宋体"/>
        </w:rPr>
        <w:t>7.3.2项</w:t>
      </w:r>
      <w:r>
        <w:rPr>
          <w:rFonts w:hint="eastAsia"/>
        </w:rPr>
        <w:t>规定，</w:t>
      </w:r>
      <w:r>
        <w:rPr>
          <w:rFonts w:hint="eastAsia" w:ascii="宋体" w:hAnsi="宋体"/>
        </w:rPr>
        <w:t>招标人确定</w:t>
      </w:r>
      <w:r>
        <w:rPr>
          <w:rFonts w:ascii="宋体" w:hAnsi="宋体"/>
        </w:rPr>
        <w:t>重新招标的；</w:t>
      </w:r>
    </w:p>
    <w:p w14:paraId="00DB8B55">
      <w:pPr>
        <w:snapToGrid w:val="0"/>
        <w:ind w:firstLine="480" w:firstLineChars="200"/>
        <w:rPr>
          <w:rFonts w:ascii="宋体" w:hAnsi="宋体"/>
        </w:rPr>
      </w:pPr>
      <w:r>
        <w:rPr>
          <w:rFonts w:ascii="宋体" w:hAnsi="宋体"/>
        </w:rPr>
        <w:t>（</w:t>
      </w:r>
      <w:r>
        <w:rPr>
          <w:rFonts w:hint="eastAsia" w:ascii="宋体" w:hAnsi="宋体"/>
        </w:rPr>
        <w:t>4</w:t>
      </w:r>
      <w:r>
        <w:rPr>
          <w:rFonts w:ascii="宋体" w:hAnsi="宋体"/>
        </w:rPr>
        <w:t>）</w:t>
      </w:r>
      <w:r>
        <w:rPr>
          <w:rFonts w:hint="eastAsia" w:ascii="宋体" w:hAnsi="宋体"/>
        </w:rPr>
        <w:t>第四章“评标办法”</w:t>
      </w:r>
      <w:r>
        <w:rPr>
          <w:rFonts w:ascii="宋体" w:hAnsi="宋体"/>
        </w:rPr>
        <w:t>规定重新招标</w:t>
      </w:r>
      <w:r>
        <w:rPr>
          <w:rFonts w:hint="eastAsia" w:ascii="宋体" w:hAnsi="宋体"/>
        </w:rPr>
        <w:t>的。</w:t>
      </w:r>
    </w:p>
    <w:p w14:paraId="27ACAD08">
      <w:pPr>
        <w:pStyle w:val="5"/>
        <w:snapToGrid w:val="0"/>
      </w:pPr>
      <w:bookmarkStart w:id="102" w:name="_Toc16509"/>
      <w:bookmarkStart w:id="103" w:name="_Toc489214138"/>
      <w:bookmarkStart w:id="104" w:name="_Toc12704"/>
      <w:bookmarkStart w:id="105" w:name="_Toc14625"/>
      <w:r>
        <w:rPr>
          <w:rFonts w:hint="eastAsia"/>
        </w:rPr>
        <w:t>9．纪律和监督</w:t>
      </w:r>
      <w:bookmarkEnd w:id="102"/>
      <w:bookmarkEnd w:id="103"/>
      <w:bookmarkEnd w:id="104"/>
      <w:bookmarkEnd w:id="105"/>
    </w:p>
    <w:p w14:paraId="2A35B5F2">
      <w:pPr>
        <w:adjustRightInd w:val="0"/>
        <w:snapToGrid w:val="0"/>
        <w:ind w:firstLine="482" w:firstLineChars="200"/>
        <w:rPr>
          <w:rFonts w:ascii="宋体" w:hAnsi="宋体"/>
          <w:b/>
        </w:rPr>
      </w:pPr>
      <w:r>
        <w:rPr>
          <w:rFonts w:hint="eastAsia" w:ascii="宋体" w:hAnsi="宋体"/>
          <w:b/>
          <w:bCs/>
        </w:rPr>
        <w:t>9.1</w:t>
      </w:r>
      <w:r>
        <w:rPr>
          <w:rFonts w:hint="eastAsia" w:ascii="宋体" w:hAnsi="宋体"/>
          <w:b/>
        </w:rPr>
        <w:t>招标</w:t>
      </w:r>
      <w:r>
        <w:rPr>
          <w:rFonts w:ascii="宋体" w:hAnsi="宋体"/>
          <w:b/>
        </w:rPr>
        <w:t>投标</w:t>
      </w:r>
      <w:r>
        <w:rPr>
          <w:rFonts w:hint="eastAsia" w:ascii="宋体" w:hAnsi="宋体"/>
          <w:b/>
        </w:rPr>
        <w:t>纪律</w:t>
      </w:r>
      <w:r>
        <w:rPr>
          <w:rFonts w:ascii="宋体" w:hAnsi="宋体"/>
          <w:b/>
        </w:rPr>
        <w:t>要求</w:t>
      </w:r>
    </w:p>
    <w:p w14:paraId="64DDE498">
      <w:pPr>
        <w:snapToGrid w:val="0"/>
        <w:ind w:firstLine="480" w:firstLineChars="200"/>
        <w:rPr>
          <w:rFonts w:ascii="宋体" w:hAnsi="宋体"/>
        </w:rPr>
      </w:pPr>
      <w:r>
        <w:rPr>
          <w:rFonts w:hint="eastAsia" w:ascii="宋体" w:hAnsi="宋体"/>
        </w:rPr>
        <w:t>对招标人、</w:t>
      </w:r>
      <w:r>
        <w:rPr>
          <w:rFonts w:ascii="宋体" w:hAnsi="宋体"/>
        </w:rPr>
        <w:t>投标人、评标委员</w:t>
      </w:r>
      <w:r>
        <w:rPr>
          <w:rFonts w:hint="eastAsia" w:ascii="宋体" w:hAnsi="宋体"/>
        </w:rPr>
        <w:t>会等</w:t>
      </w:r>
      <w:r>
        <w:rPr>
          <w:rFonts w:ascii="宋体" w:hAnsi="宋体"/>
        </w:rPr>
        <w:t>相关方</w:t>
      </w:r>
      <w:r>
        <w:rPr>
          <w:rFonts w:hint="eastAsia" w:ascii="宋体" w:hAnsi="宋体"/>
        </w:rPr>
        <w:t>的纪律要求见</w:t>
      </w:r>
      <w:r>
        <w:rPr>
          <w:rFonts w:ascii="宋体" w:hAnsi="宋体"/>
          <w:b/>
        </w:rPr>
        <w:t>本章附件</w:t>
      </w:r>
      <w:r>
        <w:rPr>
          <w:rFonts w:hint="eastAsia" w:ascii="宋体" w:hAnsi="宋体"/>
          <w:b/>
        </w:rPr>
        <w:t>1</w:t>
      </w:r>
      <w:r>
        <w:rPr>
          <w:rFonts w:hint="eastAsia" w:ascii="宋体" w:hAnsi="宋体"/>
        </w:rPr>
        <w:t>。</w:t>
      </w:r>
    </w:p>
    <w:p w14:paraId="676B5344">
      <w:pPr>
        <w:snapToGrid w:val="0"/>
        <w:ind w:firstLine="482" w:firstLineChars="200"/>
        <w:rPr>
          <w:rFonts w:ascii="宋体" w:hAnsi="宋体"/>
          <w:b/>
          <w:bCs/>
        </w:rPr>
      </w:pPr>
      <w:r>
        <w:rPr>
          <w:rFonts w:hint="eastAsia" w:ascii="宋体" w:hAnsi="宋体"/>
          <w:b/>
          <w:bCs/>
        </w:rPr>
        <w:t>9.2投诉</w:t>
      </w:r>
    </w:p>
    <w:p w14:paraId="65FED011">
      <w:pPr>
        <w:snapToGrid w:val="0"/>
        <w:ind w:firstLine="480" w:firstLineChars="200"/>
        <w:rPr>
          <w:rFonts w:ascii="宋体" w:hAnsi="宋体"/>
        </w:rPr>
      </w:pPr>
      <w:r>
        <w:rPr>
          <w:rFonts w:hint="eastAsia" w:ascii="宋体" w:hAnsi="宋体"/>
        </w:rPr>
        <w:t>9.</w:t>
      </w:r>
      <w:r>
        <w:rPr>
          <w:rFonts w:ascii="宋体" w:hAnsi="宋体"/>
        </w:rPr>
        <w:t>2</w:t>
      </w:r>
      <w:r>
        <w:rPr>
          <w:rFonts w:hint="eastAsia" w:ascii="宋体" w:hAnsi="宋体"/>
        </w:rPr>
        <w:t>.1投标人或者其他利害关系人认为招标投标活动不符合法律、行政法规规定的，可以自知道或者应当知道之日起10日内书面向</w:t>
      </w:r>
      <w:r>
        <w:rPr>
          <w:rFonts w:hint="eastAsia" w:ascii="宋体" w:hAnsi="宋体"/>
          <w:b/>
        </w:rPr>
        <w:t>投标人须知前附表</w:t>
      </w:r>
      <w:r>
        <w:rPr>
          <w:rFonts w:hint="eastAsia" w:ascii="宋体" w:hAnsi="宋体"/>
        </w:rPr>
        <w:t>载明的</w:t>
      </w:r>
      <w:r>
        <w:rPr>
          <w:rFonts w:hint="eastAsia" w:ascii="宋体" w:hAnsi="宋体" w:cs="宋体"/>
          <w:sz w:val="21"/>
          <w:szCs w:val="21"/>
        </w:rPr>
        <w:t>监督与管理部门</w:t>
      </w:r>
      <w:r>
        <w:rPr>
          <w:rFonts w:hint="eastAsia" w:ascii="宋体" w:hAnsi="宋体"/>
        </w:rPr>
        <w:t>等</w:t>
      </w:r>
      <w:r>
        <w:rPr>
          <w:rFonts w:ascii="宋体" w:hAnsi="宋体"/>
        </w:rPr>
        <w:t>进行</w:t>
      </w:r>
      <w:r>
        <w:rPr>
          <w:rFonts w:hint="eastAsia" w:ascii="宋体" w:hAnsi="宋体"/>
        </w:rPr>
        <w:t>投诉。</w:t>
      </w:r>
    </w:p>
    <w:p w14:paraId="6664B5C2">
      <w:pPr>
        <w:snapToGrid w:val="0"/>
        <w:ind w:firstLine="480" w:firstLineChars="200"/>
        <w:rPr>
          <w:rFonts w:ascii="宋体" w:hAnsi="宋体"/>
        </w:rPr>
      </w:pPr>
      <w:r>
        <w:rPr>
          <w:rFonts w:hint="eastAsia" w:ascii="宋体" w:hAnsi="宋体"/>
        </w:rPr>
        <w:t>9.3监督与管理</w:t>
      </w:r>
    </w:p>
    <w:p w14:paraId="2B4C5720">
      <w:pPr>
        <w:snapToGrid w:val="0"/>
        <w:ind w:firstLine="480" w:firstLineChars="200"/>
        <w:rPr>
          <w:rFonts w:ascii="宋体" w:hAnsi="宋体"/>
        </w:rPr>
      </w:pPr>
      <w:r>
        <w:rPr>
          <w:rFonts w:hint="eastAsia" w:ascii="宋体" w:hAnsi="宋体"/>
          <w:u w:val="single"/>
        </w:rPr>
        <w:t>广东中粤通油品经营有限公司综合部</w:t>
      </w:r>
      <w:r>
        <w:rPr>
          <w:rFonts w:ascii="宋体" w:hAnsi="宋体"/>
        </w:rPr>
        <w:t>，</w:t>
      </w:r>
      <w:r>
        <w:rPr>
          <w:rFonts w:hint="eastAsia" w:ascii="宋体" w:hAnsi="宋体"/>
        </w:rPr>
        <w:t>按照</w:t>
      </w:r>
      <w:r>
        <w:rPr>
          <w:rFonts w:ascii="宋体" w:hAnsi="宋体"/>
        </w:rPr>
        <w:t>国家招标投标的法律法规</w:t>
      </w:r>
      <w:r>
        <w:rPr>
          <w:rFonts w:hint="eastAsia" w:ascii="宋体" w:hAnsi="宋体"/>
        </w:rPr>
        <w:t>和</w:t>
      </w:r>
      <w:r>
        <w:rPr>
          <w:rFonts w:ascii="宋体" w:hAnsi="宋体"/>
        </w:rPr>
        <w:t>有关管理规定</w:t>
      </w:r>
      <w:r>
        <w:rPr>
          <w:rFonts w:hint="eastAsia" w:ascii="宋体" w:hAnsi="宋体"/>
        </w:rPr>
        <w:t>，对</w:t>
      </w:r>
      <w:r>
        <w:rPr>
          <w:rFonts w:ascii="宋体" w:hAnsi="宋体"/>
        </w:rPr>
        <w:t>本次招标投标活动进行监督和管理。</w:t>
      </w:r>
      <w:r>
        <w:rPr>
          <w:rFonts w:hint="eastAsia" w:ascii="宋体" w:hAnsi="宋体"/>
        </w:rPr>
        <w:t>监督和管理部门联系方式见</w:t>
      </w:r>
      <w:r>
        <w:rPr>
          <w:rFonts w:hint="eastAsia" w:ascii="宋体" w:hAnsi="宋体"/>
          <w:b/>
          <w:bCs/>
        </w:rPr>
        <w:t>投标人须知前附表</w:t>
      </w:r>
      <w:r>
        <w:rPr>
          <w:rFonts w:hint="eastAsia" w:ascii="宋体" w:hAnsi="宋体"/>
        </w:rPr>
        <w:t>。</w:t>
      </w:r>
    </w:p>
    <w:p w14:paraId="34E832B0">
      <w:pPr>
        <w:snapToGrid w:val="0"/>
        <w:ind w:firstLine="480" w:firstLineChars="200"/>
        <w:rPr>
          <w:rFonts w:ascii="宋体" w:hAnsi="宋体"/>
        </w:rPr>
      </w:pPr>
      <w:r>
        <w:rPr>
          <w:rFonts w:hint="eastAsia" w:ascii="宋体" w:hAnsi="宋体"/>
        </w:rPr>
        <w:t>招标人指派专人对组建评标委员会、开标、评标进行全过程监督。</w:t>
      </w:r>
    </w:p>
    <w:p w14:paraId="04DAB85C">
      <w:pPr>
        <w:pStyle w:val="5"/>
        <w:snapToGrid w:val="0"/>
      </w:pPr>
      <w:bookmarkStart w:id="106" w:name="_Toc489214139"/>
      <w:bookmarkStart w:id="107" w:name="_Toc5959"/>
      <w:bookmarkStart w:id="108" w:name="_Toc27543"/>
      <w:bookmarkStart w:id="109" w:name="_Toc12749"/>
      <w:r>
        <w:rPr>
          <w:rFonts w:hint="eastAsia"/>
        </w:rPr>
        <w:t>10．其他关键事项</w:t>
      </w:r>
      <w:bookmarkEnd w:id="106"/>
      <w:bookmarkEnd w:id="107"/>
      <w:bookmarkEnd w:id="108"/>
      <w:bookmarkEnd w:id="109"/>
    </w:p>
    <w:p w14:paraId="701D0C4E">
      <w:pPr>
        <w:snapToGrid w:val="0"/>
        <w:ind w:firstLine="480" w:firstLineChars="200"/>
        <w:rPr>
          <w:rFonts w:ascii="宋体" w:hAnsi="宋体"/>
        </w:rPr>
      </w:pPr>
      <w:r>
        <w:rPr>
          <w:rFonts w:ascii="宋体" w:hAnsi="宋体"/>
        </w:rPr>
        <w:t>10.</w:t>
      </w:r>
      <w:r>
        <w:rPr>
          <w:rFonts w:hint="eastAsia" w:ascii="宋体" w:hAnsi="宋体"/>
        </w:rPr>
        <w:t>1</w:t>
      </w:r>
      <w:r>
        <w:rPr>
          <w:rFonts w:ascii="宋体" w:hAnsi="宋体"/>
        </w:rPr>
        <w:t>提交投标文件中</w:t>
      </w:r>
      <w:r>
        <w:rPr>
          <w:rFonts w:hint="eastAsia" w:ascii="宋体" w:hAnsi="宋体"/>
        </w:rPr>
        <w:t>复印</w:t>
      </w:r>
      <w:r>
        <w:rPr>
          <w:rFonts w:ascii="宋体" w:hAnsi="宋体"/>
        </w:rPr>
        <w:t>件的原件</w:t>
      </w:r>
      <w:r>
        <w:rPr>
          <w:rFonts w:hint="eastAsia" w:ascii="宋体" w:hAnsi="宋体"/>
        </w:rPr>
        <w:t>要求：</w:t>
      </w:r>
      <w:r>
        <w:rPr>
          <w:rFonts w:ascii="宋体" w:hAnsi="宋体"/>
        </w:rPr>
        <w:t>见</w:t>
      </w:r>
      <w:r>
        <w:rPr>
          <w:rFonts w:hint="eastAsia" w:ascii="宋体" w:hAnsi="宋体"/>
        </w:rPr>
        <w:t>投标人须知前附表。</w:t>
      </w:r>
    </w:p>
    <w:p w14:paraId="2D996373">
      <w:pPr>
        <w:snapToGrid w:val="0"/>
        <w:ind w:firstLine="482" w:firstLineChars="200"/>
        <w:rPr>
          <w:rFonts w:ascii="宋体" w:hAnsi="宋体"/>
        </w:rPr>
      </w:pPr>
      <w:r>
        <w:rPr>
          <w:rFonts w:ascii="宋体" w:hAnsi="宋体"/>
          <w:b/>
          <w:bCs/>
        </w:rPr>
        <w:t>10.</w:t>
      </w:r>
      <w:r>
        <w:rPr>
          <w:rFonts w:hint="eastAsia" w:ascii="宋体" w:hAnsi="宋体"/>
          <w:b/>
          <w:bCs/>
        </w:rPr>
        <w:t>2</w:t>
      </w:r>
      <w:r>
        <w:rPr>
          <w:rFonts w:hint="eastAsia" w:ascii="宋体" w:hAnsi="宋体"/>
          <w:b/>
        </w:rPr>
        <w:t>确保</w:t>
      </w:r>
      <w:r>
        <w:rPr>
          <w:rFonts w:ascii="宋体" w:hAnsi="宋体"/>
          <w:b/>
        </w:rPr>
        <w:t>联系方式畅通</w:t>
      </w:r>
    </w:p>
    <w:p w14:paraId="2744C09D">
      <w:pPr>
        <w:snapToGrid w:val="0"/>
        <w:ind w:firstLine="480" w:firstLineChars="200"/>
        <w:rPr>
          <w:rFonts w:ascii="宋体" w:hAnsi="宋体"/>
        </w:rPr>
      </w:pPr>
      <w:r>
        <w:rPr>
          <w:rFonts w:hint="eastAsia" w:ascii="宋体" w:hAnsi="宋体"/>
        </w:rPr>
        <w:t>自获取招标文件之日起，投标人应保证其提供的联系方式（电话、传真、电子邮件）一直有效，以保证往来函件（招标文件的澄清、修改等）能及时通知投标人，并能及时反馈信息，否则招标人不承担由此引起的一切后果。</w:t>
      </w:r>
    </w:p>
    <w:p w14:paraId="4BC174EE">
      <w:pPr>
        <w:snapToGrid w:val="0"/>
        <w:ind w:firstLine="482" w:firstLineChars="200"/>
        <w:rPr>
          <w:rFonts w:ascii="宋体" w:hAnsi="宋体"/>
          <w:b/>
        </w:rPr>
      </w:pPr>
      <w:r>
        <w:rPr>
          <w:rFonts w:ascii="宋体" w:hAnsi="宋体"/>
          <w:b/>
          <w:bCs/>
        </w:rPr>
        <w:t>10.</w:t>
      </w:r>
      <w:r>
        <w:rPr>
          <w:rFonts w:hint="eastAsia" w:ascii="宋体" w:hAnsi="宋体"/>
          <w:b/>
          <w:bCs/>
        </w:rPr>
        <w:t>3</w:t>
      </w:r>
      <w:r>
        <w:rPr>
          <w:rFonts w:hint="eastAsia" w:ascii="宋体" w:hAnsi="宋体"/>
          <w:b/>
        </w:rPr>
        <w:t>时间</w:t>
      </w:r>
    </w:p>
    <w:p w14:paraId="1C8F865F">
      <w:pPr>
        <w:snapToGrid w:val="0"/>
        <w:ind w:firstLine="456" w:firstLineChars="200"/>
        <w:rPr>
          <w:rFonts w:ascii="宋体" w:hAnsi="宋体"/>
          <w:spacing w:val="-6"/>
        </w:rPr>
      </w:pPr>
      <w:r>
        <w:rPr>
          <w:rFonts w:hint="eastAsia" w:ascii="宋体" w:hAnsi="宋体"/>
          <w:spacing w:val="-6"/>
        </w:rPr>
        <w:t>（</w:t>
      </w:r>
      <w:r>
        <w:rPr>
          <w:rFonts w:ascii="宋体" w:hAnsi="宋体"/>
          <w:spacing w:val="-6"/>
        </w:rPr>
        <w:t>1）</w:t>
      </w:r>
      <w:r>
        <w:rPr>
          <w:rFonts w:hint="eastAsia" w:ascii="宋体" w:hAnsi="宋体"/>
          <w:spacing w:val="-6"/>
        </w:rPr>
        <w:t>招标文件中所称的期间按照公历年、月、日、小时计算。规定按照小时计算期间的，从规定时开始计算。</w:t>
      </w:r>
    </w:p>
    <w:p w14:paraId="7B35B114">
      <w:pPr>
        <w:snapToGrid w:val="0"/>
        <w:ind w:firstLine="480" w:firstLineChars="200"/>
        <w:rPr>
          <w:rFonts w:ascii="宋体" w:hAnsi="宋体"/>
        </w:rPr>
      </w:pPr>
      <w:r>
        <w:rPr>
          <w:rFonts w:hint="eastAsia" w:ascii="宋体" w:hAnsi="宋体"/>
        </w:rPr>
        <w:t>（2</w:t>
      </w:r>
      <w:r>
        <w:rPr>
          <w:rFonts w:ascii="宋体" w:hAnsi="宋体"/>
        </w:rPr>
        <w:t>）</w:t>
      </w:r>
      <w:r>
        <w:rPr>
          <w:rFonts w:hint="eastAsia" w:ascii="宋体" w:hAnsi="宋体"/>
        </w:rPr>
        <w:t>期间的最后一天的截止时间为二十四点。有业务时间的，到停止业务活动的时间截止。</w:t>
      </w:r>
    </w:p>
    <w:p w14:paraId="33693E1B">
      <w:pPr>
        <w:snapToGrid w:val="0"/>
        <w:ind w:firstLine="482" w:firstLineChars="200"/>
        <w:rPr>
          <w:rFonts w:ascii="宋体" w:hAnsi="宋体"/>
          <w:b/>
        </w:rPr>
      </w:pPr>
      <w:r>
        <w:rPr>
          <w:rFonts w:ascii="宋体" w:hAnsi="宋体"/>
          <w:b/>
        </w:rPr>
        <w:t>10.4</w:t>
      </w:r>
      <w:r>
        <w:rPr>
          <w:rFonts w:hint="eastAsia" w:ascii="宋体" w:hAnsi="宋体"/>
          <w:b/>
        </w:rPr>
        <w:t>其他</w:t>
      </w:r>
    </w:p>
    <w:p w14:paraId="5742266D">
      <w:pPr>
        <w:snapToGrid w:val="0"/>
        <w:ind w:firstLine="480" w:firstLineChars="200"/>
        <w:rPr>
          <w:rFonts w:ascii="宋体" w:hAnsi="宋体"/>
        </w:rPr>
      </w:pPr>
      <w:r>
        <w:rPr>
          <w:rFonts w:hint="eastAsia" w:ascii="宋体" w:hAnsi="宋体"/>
        </w:rPr>
        <w:t>（1）招标文件中所称的“以上”包括本数，“以下”不包括本数。</w:t>
      </w:r>
    </w:p>
    <w:p w14:paraId="75D209CB">
      <w:pPr>
        <w:snapToGrid w:val="0"/>
        <w:ind w:firstLine="480" w:firstLineChars="200"/>
        <w:rPr>
          <w:rFonts w:ascii="宋体" w:hAnsi="宋体"/>
        </w:rPr>
      </w:pPr>
      <w:r>
        <w:rPr>
          <w:rFonts w:hint="eastAsia" w:ascii="宋体" w:hAnsi="宋体"/>
        </w:rPr>
        <w:t>（2）本招标文件由招标人负责解释。</w:t>
      </w:r>
    </w:p>
    <w:p w14:paraId="1B438593">
      <w:pPr>
        <w:pStyle w:val="5"/>
      </w:pPr>
      <w:r>
        <w:rPr>
          <w:rFonts w:hint="eastAsia"/>
        </w:rPr>
        <w:t>11．补充或修改</w:t>
      </w:r>
    </w:p>
    <w:p w14:paraId="4CC47E6E">
      <w:pPr>
        <w:snapToGrid w:val="0"/>
        <w:ind w:firstLine="480" w:firstLineChars="200"/>
        <w:rPr>
          <w:rFonts w:ascii="宋体" w:hAnsi="宋体"/>
        </w:rPr>
      </w:pPr>
      <w:r>
        <w:rPr>
          <w:rFonts w:hint="eastAsia" w:ascii="宋体" w:hAnsi="宋体"/>
        </w:rPr>
        <w:t xml:space="preserve">对本章（是否授权评标委员会定标等）及第四章“评标办法”正文相关条款进行补充或修改的内容见投标人须知前附表补充或修改条款。 </w:t>
      </w:r>
    </w:p>
    <w:p w14:paraId="770362FC">
      <w:pPr>
        <w:pStyle w:val="5"/>
      </w:pPr>
      <w:r>
        <w:rPr>
          <w:rFonts w:hint="eastAsia"/>
        </w:rPr>
        <w:t>12．本章附件</w:t>
      </w:r>
    </w:p>
    <w:p w14:paraId="3169FDE7">
      <w:pPr>
        <w:snapToGrid w:val="0"/>
        <w:ind w:firstLine="480" w:firstLineChars="200"/>
        <w:rPr>
          <w:rFonts w:ascii="宋体" w:hAnsi="宋体"/>
        </w:rPr>
      </w:pPr>
      <w:r>
        <w:rPr>
          <w:rFonts w:hint="eastAsia" w:ascii="宋体" w:hAnsi="宋体"/>
        </w:rPr>
        <w:t xml:space="preserve">附件1：招标投标工作纪律； </w:t>
      </w:r>
    </w:p>
    <w:p w14:paraId="38B0E267">
      <w:pPr>
        <w:snapToGrid w:val="0"/>
        <w:ind w:firstLine="480" w:firstLineChars="200"/>
        <w:rPr>
          <w:rFonts w:ascii="宋体" w:hAnsi="宋体"/>
        </w:rPr>
      </w:pPr>
      <w:r>
        <w:rPr>
          <w:rFonts w:hint="eastAsia" w:ascii="宋体" w:hAnsi="宋体"/>
        </w:rPr>
        <w:t>附件2：评标委员会声明书。</w:t>
      </w:r>
    </w:p>
    <w:p w14:paraId="114CABC2">
      <w:pPr>
        <w:widowControl/>
        <w:snapToGrid w:val="0"/>
        <w:rPr>
          <w:rFonts w:ascii="宋体" w:hAnsi="宋体" w:cs="宋体"/>
          <w:sz w:val="21"/>
          <w:szCs w:val="21"/>
        </w:rPr>
      </w:pPr>
      <w:r>
        <w:rPr>
          <w:rFonts w:hint="eastAsia" w:ascii="宋体" w:hAnsi="宋体"/>
        </w:rPr>
        <w:br w:type="page"/>
      </w:r>
      <w:r>
        <w:rPr>
          <w:rFonts w:hint="eastAsia" w:ascii="宋体" w:hAnsi="宋体" w:cs="宋体"/>
        </w:rPr>
        <w:t>附件1：招标投标工作纪律</w:t>
      </w:r>
    </w:p>
    <w:p w14:paraId="4B5D0420">
      <w:pPr>
        <w:snapToGrid w:val="0"/>
        <w:jc w:val="left"/>
        <w:rPr>
          <w:rFonts w:ascii="宋体" w:hAnsi="宋体" w:cs="宋体"/>
          <w:b/>
          <w:sz w:val="21"/>
          <w:szCs w:val="21"/>
        </w:rPr>
      </w:pPr>
      <w:r>
        <w:rPr>
          <w:rFonts w:hint="eastAsia" w:ascii="宋体" w:hAnsi="宋体" w:cs="宋体"/>
          <w:sz w:val="21"/>
          <w:szCs w:val="21"/>
        </w:rPr>
        <w:t xml:space="preserve"> </w:t>
      </w:r>
    </w:p>
    <w:p w14:paraId="488F788F">
      <w:pPr>
        <w:jc w:val="center"/>
        <w:rPr>
          <w:rFonts w:ascii="宋体" w:hAnsi="宋体" w:cs="宋体"/>
          <w:b/>
          <w:sz w:val="30"/>
        </w:rPr>
      </w:pPr>
      <w:r>
        <w:rPr>
          <w:rFonts w:hint="eastAsia" w:ascii="宋体" w:hAnsi="宋体" w:cs="宋体"/>
          <w:b/>
          <w:sz w:val="30"/>
        </w:rPr>
        <w:t>招标投标工作纪律</w:t>
      </w:r>
    </w:p>
    <w:p w14:paraId="288493A4">
      <w:pPr>
        <w:snapToGrid w:val="0"/>
        <w:ind w:firstLine="420" w:firstLineChars="200"/>
        <w:jc w:val="left"/>
        <w:rPr>
          <w:rFonts w:ascii="宋体" w:hAnsi="宋体" w:cs="宋体"/>
          <w:sz w:val="21"/>
          <w:szCs w:val="21"/>
        </w:rPr>
      </w:pPr>
    </w:p>
    <w:p w14:paraId="3F52A4A5">
      <w:pPr>
        <w:snapToGrid w:val="0"/>
        <w:ind w:firstLine="418" w:firstLineChars="182"/>
        <w:jc w:val="left"/>
        <w:rPr>
          <w:rFonts w:ascii="宋体" w:hAnsi="宋体" w:cs="宋体"/>
          <w:sz w:val="23"/>
        </w:rPr>
      </w:pPr>
      <w:bookmarkStart w:id="110" w:name="_Toc15829"/>
      <w:r>
        <w:rPr>
          <w:rFonts w:hint="eastAsia" w:ascii="宋体" w:hAnsi="宋体" w:cs="宋体"/>
          <w:sz w:val="23"/>
        </w:rPr>
        <w:t>一、招标人应遵守的纪律</w:t>
      </w:r>
    </w:p>
    <w:p w14:paraId="1825E9B2">
      <w:pPr>
        <w:snapToGrid w:val="0"/>
        <w:ind w:firstLine="418" w:firstLineChars="182"/>
        <w:jc w:val="left"/>
        <w:rPr>
          <w:rFonts w:ascii="宋体" w:hAnsi="宋体" w:cs="宋体"/>
          <w:sz w:val="23"/>
        </w:rPr>
      </w:pPr>
      <w:r>
        <w:rPr>
          <w:rFonts w:hint="eastAsia" w:ascii="宋体" w:hAnsi="宋体" w:cs="宋体"/>
          <w:sz w:val="23"/>
        </w:rPr>
        <w:t>1.认真履行职责，以客观严谨的态度和公平、公正的原则开展工作。</w:t>
      </w:r>
    </w:p>
    <w:p w14:paraId="0E6CF794">
      <w:pPr>
        <w:snapToGrid w:val="0"/>
        <w:ind w:firstLine="418" w:firstLineChars="182"/>
        <w:jc w:val="left"/>
        <w:rPr>
          <w:rFonts w:ascii="宋体" w:hAnsi="宋体" w:cs="宋体"/>
          <w:sz w:val="23"/>
        </w:rPr>
      </w:pPr>
      <w:r>
        <w:rPr>
          <w:rFonts w:hint="eastAsia" w:ascii="宋体" w:hAnsi="宋体" w:cs="宋体"/>
          <w:sz w:val="23"/>
        </w:rPr>
        <w:t>2.不与投标人或者与招标结果有利害关系人进行私下接触。</w:t>
      </w:r>
    </w:p>
    <w:p w14:paraId="2511A7C1">
      <w:pPr>
        <w:snapToGrid w:val="0"/>
        <w:ind w:firstLine="418" w:firstLineChars="182"/>
        <w:jc w:val="left"/>
        <w:rPr>
          <w:rFonts w:ascii="宋体" w:hAnsi="宋体" w:cs="宋体"/>
          <w:sz w:val="23"/>
        </w:rPr>
      </w:pPr>
      <w:r>
        <w:rPr>
          <w:rFonts w:hint="eastAsia" w:ascii="宋体" w:hAnsi="宋体" w:cs="宋体"/>
          <w:sz w:val="23"/>
        </w:rPr>
        <w:t>3.不泄漏投标人数量、投标文件的评审和比较、中标候选人的推荐以及与评标有关的其他情况</w:t>
      </w:r>
    </w:p>
    <w:p w14:paraId="1DDA3879">
      <w:pPr>
        <w:snapToGrid w:val="0"/>
        <w:ind w:firstLine="418" w:firstLineChars="182"/>
        <w:jc w:val="left"/>
        <w:rPr>
          <w:rFonts w:ascii="宋体" w:hAnsi="宋体" w:cs="宋体"/>
          <w:sz w:val="23"/>
        </w:rPr>
      </w:pPr>
      <w:r>
        <w:rPr>
          <w:rFonts w:hint="eastAsia" w:ascii="宋体" w:hAnsi="宋体" w:cs="宋体"/>
          <w:sz w:val="23"/>
        </w:rPr>
        <w:t>4.不收受投标人、其他利害关系人的财物或者其他好处。</w:t>
      </w:r>
    </w:p>
    <w:p w14:paraId="60A19839">
      <w:pPr>
        <w:snapToGrid w:val="0"/>
        <w:ind w:firstLine="418" w:firstLineChars="182"/>
        <w:jc w:val="left"/>
        <w:rPr>
          <w:rFonts w:ascii="宋体" w:hAnsi="宋体" w:cs="宋体"/>
          <w:sz w:val="23"/>
        </w:rPr>
      </w:pPr>
      <w:r>
        <w:rPr>
          <w:rFonts w:hint="eastAsia" w:ascii="宋体" w:hAnsi="宋体" w:cs="宋体"/>
          <w:sz w:val="23"/>
        </w:rPr>
        <w:t>二、评标委员会成员应遵守的纪律</w:t>
      </w:r>
    </w:p>
    <w:p w14:paraId="60973874">
      <w:pPr>
        <w:snapToGrid w:val="0"/>
        <w:ind w:firstLine="418" w:firstLineChars="182"/>
        <w:jc w:val="left"/>
        <w:rPr>
          <w:rFonts w:ascii="宋体" w:hAnsi="宋体" w:cs="宋体"/>
          <w:sz w:val="23"/>
        </w:rPr>
      </w:pPr>
      <w:r>
        <w:rPr>
          <w:rFonts w:hint="eastAsia" w:ascii="宋体" w:hAnsi="宋体" w:cs="宋体"/>
          <w:sz w:val="23"/>
        </w:rPr>
        <w:t>严格执行“评标委员会声明书”中明确的评标工作纪律。</w:t>
      </w:r>
    </w:p>
    <w:p w14:paraId="085C6361">
      <w:pPr>
        <w:snapToGrid w:val="0"/>
        <w:ind w:firstLine="418" w:firstLineChars="182"/>
        <w:jc w:val="left"/>
        <w:rPr>
          <w:rFonts w:ascii="宋体" w:hAnsi="宋体" w:cs="宋体"/>
          <w:sz w:val="23"/>
        </w:rPr>
      </w:pPr>
      <w:r>
        <w:rPr>
          <w:rFonts w:hint="eastAsia" w:ascii="宋体" w:hAnsi="宋体" w:cs="宋体"/>
          <w:sz w:val="23"/>
        </w:rPr>
        <w:t>三、投标人应遵守的纪律</w:t>
      </w:r>
    </w:p>
    <w:p w14:paraId="1D7DDEE0">
      <w:pPr>
        <w:snapToGrid w:val="0"/>
        <w:ind w:firstLine="418" w:firstLineChars="182"/>
        <w:jc w:val="left"/>
        <w:rPr>
          <w:rFonts w:ascii="宋体" w:hAnsi="宋体" w:cs="宋体"/>
          <w:sz w:val="23"/>
        </w:rPr>
      </w:pPr>
      <w:r>
        <w:rPr>
          <w:rFonts w:hint="eastAsia" w:ascii="宋体" w:hAnsi="宋体" w:cs="宋体"/>
          <w:sz w:val="23"/>
        </w:rPr>
        <w:t>1.严禁向招标人、评标委员会成员和与评标活动有关的其他工作人员行贿。在招标投标期间，不得邀请招标人、评标委员会成员以及与评标活动有关的其他工作人员到投标人单位参观考察，或出席投标人主办、赞助的任何活动。</w:t>
      </w:r>
    </w:p>
    <w:p w14:paraId="461C52DE">
      <w:pPr>
        <w:snapToGrid w:val="0"/>
        <w:ind w:firstLine="418" w:firstLineChars="182"/>
        <w:jc w:val="left"/>
        <w:rPr>
          <w:rFonts w:ascii="宋体" w:hAnsi="宋体" w:cs="宋体"/>
          <w:sz w:val="23"/>
        </w:rPr>
      </w:pPr>
      <w:r>
        <w:rPr>
          <w:rFonts w:hint="eastAsia" w:ascii="宋体" w:hAnsi="宋体" w:cs="宋体"/>
          <w:sz w:val="23"/>
        </w:rPr>
        <w:t>2.不向招标人、招标代理机构等打听投标人数量、名称及评委信息和评标信息。</w:t>
      </w:r>
    </w:p>
    <w:p w14:paraId="4C94AB8D">
      <w:pPr>
        <w:snapToGrid w:val="0"/>
        <w:ind w:firstLine="418" w:firstLineChars="182"/>
        <w:jc w:val="left"/>
        <w:rPr>
          <w:rFonts w:ascii="宋体" w:hAnsi="宋体" w:cs="宋体"/>
          <w:sz w:val="23"/>
        </w:rPr>
      </w:pPr>
      <w:r>
        <w:rPr>
          <w:rFonts w:hint="eastAsia" w:ascii="宋体" w:hAnsi="宋体" w:cs="宋体"/>
          <w:sz w:val="23"/>
        </w:rPr>
        <w:t>3.不串通投标。</w:t>
      </w:r>
    </w:p>
    <w:p w14:paraId="628E9617">
      <w:pPr>
        <w:snapToGrid w:val="0"/>
        <w:ind w:firstLine="418" w:firstLineChars="182"/>
        <w:jc w:val="left"/>
        <w:rPr>
          <w:rFonts w:ascii="宋体" w:hAnsi="宋体" w:cs="宋体"/>
          <w:sz w:val="23"/>
        </w:rPr>
      </w:pPr>
      <w:r>
        <w:rPr>
          <w:rFonts w:hint="eastAsia" w:ascii="宋体" w:hAnsi="宋体" w:cs="宋体"/>
          <w:sz w:val="23"/>
        </w:rPr>
        <w:t>4.在投标、开标、评标过程中不主动与招标人和评标委员会成员接触。</w:t>
      </w:r>
    </w:p>
    <w:p w14:paraId="1AA7AE2F">
      <w:pPr>
        <w:snapToGrid w:val="0"/>
        <w:ind w:firstLine="418" w:firstLineChars="182"/>
        <w:jc w:val="left"/>
        <w:rPr>
          <w:rFonts w:ascii="宋体" w:hAnsi="宋体" w:cs="宋体"/>
          <w:sz w:val="23"/>
        </w:rPr>
      </w:pPr>
      <w:r>
        <w:rPr>
          <w:rFonts w:hint="eastAsia" w:ascii="宋体" w:hAnsi="宋体" w:cs="宋体"/>
          <w:sz w:val="23"/>
        </w:rPr>
        <w:t>5.不回答招标人、评标委员会成员私下提出的任何问题。</w:t>
      </w:r>
    </w:p>
    <w:p w14:paraId="47708775">
      <w:pPr>
        <w:snapToGrid w:val="0"/>
        <w:ind w:firstLine="418" w:firstLineChars="182"/>
        <w:jc w:val="left"/>
        <w:rPr>
          <w:rFonts w:ascii="宋体" w:hAnsi="宋体" w:cs="宋体"/>
          <w:sz w:val="23"/>
        </w:rPr>
      </w:pPr>
      <w:r>
        <w:rPr>
          <w:rFonts w:hint="eastAsia" w:ascii="宋体" w:hAnsi="宋体" w:cs="宋体"/>
          <w:sz w:val="23"/>
        </w:rPr>
        <w:t>6.评标过程中不主动向评标委员会补充、递交相关资料。</w:t>
      </w:r>
    </w:p>
    <w:p w14:paraId="4935D5D7">
      <w:pPr>
        <w:snapToGrid w:val="0"/>
        <w:ind w:firstLine="418" w:firstLineChars="182"/>
        <w:jc w:val="left"/>
        <w:rPr>
          <w:rFonts w:ascii="宋体" w:hAnsi="宋体" w:cs="宋体"/>
          <w:sz w:val="23"/>
        </w:rPr>
      </w:pPr>
      <w:r>
        <w:rPr>
          <w:rFonts w:hint="eastAsia" w:ascii="宋体" w:hAnsi="宋体" w:cs="宋体"/>
          <w:sz w:val="23"/>
        </w:rPr>
        <w:t>四、其他规定</w:t>
      </w:r>
    </w:p>
    <w:p w14:paraId="19AB1971">
      <w:pPr>
        <w:snapToGrid w:val="0"/>
        <w:ind w:firstLine="418" w:firstLineChars="182"/>
        <w:jc w:val="left"/>
        <w:rPr>
          <w:rFonts w:ascii="宋体" w:hAnsi="宋体" w:cs="宋体"/>
          <w:sz w:val="23"/>
        </w:rPr>
      </w:pPr>
      <w:r>
        <w:rPr>
          <w:rFonts w:hint="eastAsia" w:ascii="宋体" w:hAnsi="宋体" w:cs="宋体"/>
          <w:sz w:val="23"/>
        </w:rPr>
        <w:t>1.评标委员会全体成员和相关人员接受招标投标管理部门及监督部门的监督。</w:t>
      </w:r>
    </w:p>
    <w:p w14:paraId="2BC823DC">
      <w:pPr>
        <w:snapToGrid w:val="0"/>
        <w:ind w:firstLine="418" w:firstLineChars="182"/>
        <w:jc w:val="left"/>
        <w:rPr>
          <w:rFonts w:ascii="宋体" w:hAnsi="宋体" w:cs="宋体"/>
          <w:sz w:val="23"/>
        </w:rPr>
      </w:pPr>
      <w:r>
        <w:rPr>
          <w:rFonts w:hint="eastAsia" w:ascii="宋体" w:hAnsi="宋体" w:cs="宋体"/>
          <w:sz w:val="23"/>
        </w:rPr>
        <w:t>2.评标过程中，评标委员会成员及相关工作人员不得与外界联系，手机交由具备相关保管设施的招标代理机构或招标人监督人保管。</w:t>
      </w:r>
    </w:p>
    <w:p w14:paraId="4278DBEC">
      <w:pPr>
        <w:snapToGrid w:val="0"/>
        <w:ind w:firstLine="418" w:firstLineChars="182"/>
        <w:jc w:val="left"/>
        <w:rPr>
          <w:rFonts w:ascii="宋体" w:hAnsi="宋体" w:cs="宋体"/>
          <w:sz w:val="23"/>
        </w:rPr>
      </w:pPr>
      <w:r>
        <w:rPr>
          <w:rFonts w:hint="eastAsia" w:ascii="宋体" w:hAnsi="宋体" w:cs="宋体"/>
          <w:sz w:val="23"/>
        </w:rPr>
        <w:t>3.参加评标活动的所有人员（包括评标委员会成员、监督人员、招标人或招标代理机构的工作人员）不得透露评委成员信息、对投标文件的评审和比较、中标候选人的推荐情况以及与评标有关的其他情况。</w:t>
      </w:r>
    </w:p>
    <w:p w14:paraId="4D6E4497">
      <w:pPr>
        <w:snapToGrid w:val="0"/>
        <w:ind w:firstLine="418" w:firstLineChars="182"/>
        <w:jc w:val="left"/>
        <w:rPr>
          <w:rFonts w:ascii="宋体" w:hAnsi="宋体" w:cs="宋体"/>
          <w:sz w:val="23"/>
        </w:rPr>
      </w:pPr>
      <w:r>
        <w:rPr>
          <w:rFonts w:hint="eastAsia" w:ascii="宋体" w:hAnsi="宋体" w:cs="宋体"/>
          <w:sz w:val="23"/>
        </w:rPr>
        <w:t>4.评标期间，评标委员会成员及相关工作人员不得将投标文件带离评标地点。评标工作结束后，评标工作相关人员不得私自复印、拷贝、带走与评标有关的资料</w:t>
      </w:r>
      <w:bookmarkEnd w:id="110"/>
      <w:r>
        <w:rPr>
          <w:rFonts w:hint="eastAsia" w:ascii="宋体" w:hAnsi="宋体" w:cs="宋体"/>
          <w:sz w:val="23"/>
        </w:rPr>
        <w:t xml:space="preserve">。 </w:t>
      </w:r>
    </w:p>
    <w:p w14:paraId="1D990822">
      <w:pPr>
        <w:snapToGrid w:val="0"/>
        <w:jc w:val="left"/>
        <w:rPr>
          <w:rFonts w:ascii="宋体" w:hAnsi="宋体" w:cs="宋体"/>
          <w:b/>
          <w:sz w:val="30"/>
        </w:rPr>
      </w:pPr>
      <w:r>
        <w:rPr>
          <w:rFonts w:hint="eastAsia" w:ascii="宋体" w:hAnsi="宋体" w:cs="宋体"/>
          <w:sz w:val="21"/>
          <w:szCs w:val="21"/>
        </w:rPr>
        <w:br w:type="page"/>
      </w:r>
      <w:r>
        <w:rPr>
          <w:rFonts w:hint="eastAsia" w:ascii="宋体" w:hAnsi="宋体" w:cs="宋体"/>
        </w:rPr>
        <w:t>附件2</w:t>
      </w:r>
      <w:r>
        <w:rPr>
          <w:rFonts w:ascii="宋体" w:hAnsi="宋体" w:cs="宋体"/>
        </w:rPr>
        <w:t xml:space="preserve">：评标委员会声明书 </w:t>
      </w:r>
    </w:p>
    <w:p w14:paraId="65CA80B4">
      <w:pPr>
        <w:jc w:val="center"/>
        <w:rPr>
          <w:rFonts w:ascii="宋体" w:hAnsi="宋体" w:cs="宋体"/>
          <w:sz w:val="30"/>
        </w:rPr>
      </w:pPr>
      <w:r>
        <w:rPr>
          <w:rFonts w:hint="eastAsia" w:ascii="宋体" w:hAnsi="宋体" w:cs="宋体"/>
          <w:b/>
          <w:sz w:val="30"/>
        </w:rPr>
        <w:t>评标委员会声明书</w:t>
      </w:r>
    </w:p>
    <w:p w14:paraId="5A49C3FD">
      <w:pPr>
        <w:jc w:val="left"/>
        <w:rPr>
          <w:rFonts w:ascii="宋体" w:hAnsi="宋体" w:cs="宋体"/>
          <w:sz w:val="23"/>
        </w:rPr>
      </w:pPr>
    </w:p>
    <w:p w14:paraId="40018747">
      <w:pPr>
        <w:snapToGrid w:val="0"/>
        <w:ind w:firstLine="418" w:firstLineChars="182"/>
        <w:jc w:val="left"/>
        <w:rPr>
          <w:rFonts w:ascii="宋体" w:hAnsi="宋体" w:cs="宋体"/>
          <w:sz w:val="23"/>
        </w:rPr>
      </w:pPr>
      <w:r>
        <w:rPr>
          <w:rFonts w:hint="eastAsia" w:ascii="宋体" w:hAnsi="宋体" w:cs="宋体"/>
          <w:sz w:val="23"/>
        </w:rPr>
        <w:t>本人声明，本人在评标前未与招标人、招标代理机构、投标人发生可能影响评标结果的接触；无国家有关规定需要回避的情形。</w:t>
      </w:r>
    </w:p>
    <w:p w14:paraId="1C019C94">
      <w:pPr>
        <w:snapToGrid w:val="0"/>
        <w:ind w:firstLine="418" w:firstLineChars="182"/>
        <w:jc w:val="left"/>
        <w:rPr>
          <w:rFonts w:ascii="宋体" w:hAnsi="宋体" w:cs="宋体"/>
          <w:sz w:val="23"/>
        </w:rPr>
      </w:pPr>
      <w:r>
        <w:rPr>
          <w:rFonts w:hint="eastAsia" w:ascii="宋体" w:hAnsi="宋体" w:cs="宋体"/>
          <w:sz w:val="23"/>
        </w:rPr>
        <w:t>在评标过程中本人严格遵守以下评标工作纪律：</w:t>
      </w:r>
    </w:p>
    <w:p w14:paraId="39B273CF">
      <w:pPr>
        <w:snapToGrid w:val="0"/>
        <w:ind w:firstLine="418" w:firstLineChars="182"/>
        <w:jc w:val="left"/>
        <w:rPr>
          <w:rFonts w:ascii="宋体" w:hAnsi="宋体" w:cs="宋体"/>
          <w:sz w:val="23"/>
        </w:rPr>
      </w:pPr>
      <w:r>
        <w:rPr>
          <w:rFonts w:ascii="宋体" w:hAnsi="宋体" w:cs="宋体"/>
          <w:sz w:val="23"/>
        </w:rPr>
        <w:t>1.严格遵守《中华人民共和国招标投标法》、《中华人民共和国招标投标法实施条例》及有关法律、法规的规定，本着维护国家利益、社会公共利益和招标投标当事人合法权益的目的，</w:t>
      </w:r>
      <w:r>
        <w:t>遵循公平、公正、科学、择优的原则，认真研究招标文件，根据招标文件规定的评标标准和方法</w:t>
      </w:r>
      <w:r>
        <w:rPr>
          <w:rFonts w:hint="eastAsia"/>
        </w:rPr>
        <w:t>，</w:t>
      </w:r>
      <w:r>
        <w:t>对投标文件进行系统地评审和比较</w:t>
      </w:r>
      <w:r>
        <w:rPr>
          <w:rFonts w:ascii="宋体" w:hAnsi="宋体" w:cs="宋体"/>
          <w:sz w:val="23"/>
        </w:rPr>
        <w:t>。</w:t>
      </w:r>
    </w:p>
    <w:p w14:paraId="6389BE29">
      <w:pPr>
        <w:snapToGrid w:val="0"/>
        <w:ind w:firstLine="418" w:firstLineChars="182"/>
        <w:jc w:val="left"/>
        <w:rPr>
          <w:rFonts w:ascii="宋体" w:hAnsi="宋体" w:cs="宋体"/>
          <w:sz w:val="23"/>
        </w:rPr>
      </w:pPr>
      <w:r>
        <w:rPr>
          <w:rFonts w:ascii="宋体" w:hAnsi="宋体" w:cs="宋体"/>
          <w:sz w:val="23"/>
        </w:rPr>
        <w:t>2.</w:t>
      </w:r>
      <w:r>
        <w:rPr>
          <w:rFonts w:hint="eastAsia" w:ascii="宋体" w:hAnsi="宋体" w:cs="宋体"/>
          <w:sz w:val="23"/>
        </w:rPr>
        <w:t>认真、诚实、廉洁、勤勉地履行专家职责，按时参加评标，在评标过程中严格做到：</w:t>
      </w:r>
    </w:p>
    <w:p w14:paraId="163C7971">
      <w:pPr>
        <w:snapToGrid w:val="0"/>
        <w:ind w:firstLine="418" w:firstLineChars="182"/>
        <w:jc w:val="left"/>
        <w:rPr>
          <w:rFonts w:ascii="宋体" w:hAnsi="宋体" w:cs="宋体"/>
          <w:sz w:val="23"/>
        </w:rPr>
      </w:pPr>
      <w:r>
        <w:rPr>
          <w:rFonts w:hint="eastAsia" w:ascii="宋体" w:hAnsi="宋体" w:cs="宋体"/>
          <w:sz w:val="23"/>
        </w:rPr>
        <w:t>（1）发现问题的，应当及时向招标人提出处理建议；</w:t>
      </w:r>
    </w:p>
    <w:p w14:paraId="771C0359">
      <w:pPr>
        <w:snapToGrid w:val="0"/>
        <w:ind w:firstLine="418" w:firstLineChars="182"/>
        <w:jc w:val="left"/>
        <w:rPr>
          <w:rFonts w:ascii="宋体" w:hAnsi="宋体" w:cs="宋体"/>
          <w:sz w:val="23"/>
        </w:rPr>
      </w:pPr>
      <w:r>
        <w:rPr>
          <w:rFonts w:hint="eastAsia" w:ascii="宋体" w:hAnsi="宋体" w:cs="宋体"/>
          <w:sz w:val="23"/>
        </w:rPr>
        <w:t>（2）发现招标文件内容违反有关强制性规定或者招标文件存在歧义、重大缺陷导致评标无法进行时，应当停止评标并向招标人说明情况；</w:t>
      </w:r>
    </w:p>
    <w:p w14:paraId="61765160">
      <w:pPr>
        <w:snapToGrid w:val="0"/>
        <w:ind w:firstLine="418" w:firstLineChars="182"/>
        <w:jc w:val="left"/>
        <w:rPr>
          <w:rFonts w:ascii="宋体" w:hAnsi="宋体" w:cs="宋体"/>
          <w:sz w:val="23"/>
        </w:rPr>
      </w:pPr>
      <w:r>
        <w:rPr>
          <w:rFonts w:hint="eastAsia" w:ascii="宋体" w:hAnsi="宋体" w:cs="宋体"/>
          <w:sz w:val="23"/>
        </w:rPr>
        <w:t>（3）发现投标文件中含义不明确、对同类问题表述不一致、有明显文字和计算错误、投标报价可能低于成本影响履约的，应当先请投标人作必要的澄清、说明，不得直接否决投标；</w:t>
      </w:r>
    </w:p>
    <w:p w14:paraId="1C39DE1D">
      <w:pPr>
        <w:snapToGrid w:val="0"/>
        <w:ind w:firstLine="418" w:firstLineChars="182"/>
        <w:jc w:val="left"/>
        <w:rPr>
          <w:rFonts w:ascii="宋体" w:hAnsi="宋体" w:cs="宋体"/>
          <w:sz w:val="23"/>
        </w:rPr>
      </w:pPr>
      <w:r>
        <w:rPr>
          <w:rFonts w:hint="eastAsia" w:ascii="宋体" w:hAnsi="宋体" w:cs="宋体"/>
          <w:sz w:val="23"/>
        </w:rPr>
        <w:t>（4）发现违法行为的，以及评标过程和结果受到非法影响或者干预的，应当及时向工程部报告</w:t>
      </w:r>
      <w:r>
        <w:rPr>
          <w:rFonts w:ascii="宋体" w:hAnsi="宋体" w:cs="宋体"/>
          <w:sz w:val="23"/>
        </w:rPr>
        <w:t>。</w:t>
      </w:r>
    </w:p>
    <w:p w14:paraId="6BF06C73">
      <w:pPr>
        <w:snapToGrid w:val="0"/>
        <w:ind w:firstLine="418" w:firstLineChars="182"/>
        <w:jc w:val="left"/>
        <w:rPr>
          <w:rFonts w:ascii="宋体" w:hAnsi="宋体" w:cs="宋体"/>
          <w:sz w:val="23"/>
        </w:rPr>
      </w:pPr>
      <w:r>
        <w:rPr>
          <w:rFonts w:ascii="宋体" w:hAnsi="宋体" w:cs="宋体"/>
          <w:sz w:val="23"/>
        </w:rPr>
        <w:t>3.</w:t>
      </w:r>
      <w:bookmarkStart w:id="111" w:name="_Toc17488"/>
      <w:r>
        <w:rPr>
          <w:rFonts w:hint="eastAsia" w:ascii="宋体" w:hAnsi="宋体" w:cs="宋体"/>
          <w:sz w:val="23"/>
        </w:rPr>
        <w:t>.有下列情形之一的，本人主动提出回避：</w:t>
      </w:r>
    </w:p>
    <w:p w14:paraId="67DC3CB8">
      <w:pPr>
        <w:snapToGrid w:val="0"/>
        <w:ind w:firstLine="418" w:firstLineChars="182"/>
        <w:jc w:val="left"/>
        <w:rPr>
          <w:rFonts w:ascii="宋体" w:hAnsi="宋体" w:cs="宋体"/>
          <w:sz w:val="23"/>
        </w:rPr>
      </w:pPr>
      <w:r>
        <w:rPr>
          <w:rFonts w:hint="eastAsia" w:ascii="宋体" w:hAnsi="宋体" w:cs="宋体"/>
          <w:sz w:val="23"/>
        </w:rPr>
        <w:t>（1）投标人主要负责人的近亲属；</w:t>
      </w:r>
    </w:p>
    <w:p w14:paraId="6B991B60">
      <w:pPr>
        <w:snapToGrid w:val="0"/>
        <w:ind w:firstLine="418" w:firstLineChars="182"/>
        <w:jc w:val="left"/>
        <w:rPr>
          <w:rFonts w:ascii="宋体" w:hAnsi="宋体" w:cs="宋体"/>
          <w:sz w:val="23"/>
        </w:rPr>
      </w:pPr>
      <w:r>
        <w:rPr>
          <w:rFonts w:hint="eastAsia" w:ascii="宋体" w:hAnsi="宋体" w:cs="宋体"/>
          <w:sz w:val="23"/>
        </w:rPr>
        <w:t>（2）行政监督部门的人员；</w:t>
      </w:r>
    </w:p>
    <w:p w14:paraId="437743F9">
      <w:pPr>
        <w:snapToGrid w:val="0"/>
        <w:ind w:firstLine="418" w:firstLineChars="182"/>
        <w:jc w:val="left"/>
        <w:rPr>
          <w:rFonts w:ascii="宋体" w:hAnsi="宋体" w:cs="宋体"/>
          <w:sz w:val="23"/>
        </w:rPr>
      </w:pPr>
      <w:r>
        <w:rPr>
          <w:rFonts w:hint="eastAsia" w:ascii="宋体" w:hAnsi="宋体" w:cs="宋体"/>
          <w:sz w:val="23"/>
        </w:rPr>
        <w:t>（3）与投标人有经济利益关系；</w:t>
      </w:r>
    </w:p>
    <w:p w14:paraId="33FCD77B">
      <w:pPr>
        <w:snapToGrid w:val="0"/>
        <w:ind w:firstLine="418" w:firstLineChars="182"/>
        <w:jc w:val="left"/>
        <w:rPr>
          <w:rFonts w:ascii="宋体" w:hAnsi="宋体" w:cs="宋体"/>
          <w:sz w:val="23"/>
        </w:rPr>
      </w:pPr>
      <w:r>
        <w:rPr>
          <w:rFonts w:hint="eastAsia" w:ascii="宋体" w:hAnsi="宋体" w:cs="宋体"/>
          <w:sz w:val="23"/>
        </w:rPr>
        <w:t>（4）曾因在招投标及标评（包括资格预审）以及其他与招标投标有关活动中从事违法行为而受过行政处罚或刑事处罚的；</w:t>
      </w:r>
    </w:p>
    <w:p w14:paraId="1266419B">
      <w:pPr>
        <w:snapToGrid w:val="0"/>
        <w:ind w:firstLine="418" w:firstLineChars="182"/>
        <w:jc w:val="left"/>
        <w:rPr>
          <w:rFonts w:ascii="宋体" w:hAnsi="宋体" w:cs="宋体"/>
          <w:sz w:val="23"/>
        </w:rPr>
      </w:pPr>
      <w:r>
        <w:rPr>
          <w:rFonts w:hint="eastAsia" w:ascii="宋体" w:hAnsi="宋体" w:cs="宋体"/>
          <w:sz w:val="23"/>
        </w:rPr>
        <w:t>（5）与投标人有其他利害关系。</w:t>
      </w:r>
    </w:p>
    <w:p w14:paraId="0F9BDC3F">
      <w:pPr>
        <w:snapToGrid w:val="0"/>
        <w:ind w:firstLine="418" w:firstLineChars="182"/>
        <w:jc w:val="left"/>
        <w:rPr>
          <w:rFonts w:ascii="宋体" w:hAnsi="宋体" w:cs="宋体"/>
          <w:sz w:val="23"/>
        </w:rPr>
      </w:pPr>
      <w:r>
        <w:rPr>
          <w:rFonts w:hint="eastAsia" w:ascii="宋体" w:hAnsi="宋体" w:cs="宋体"/>
          <w:sz w:val="23"/>
        </w:rPr>
        <w:t>4.认真阅读招标文件和投标文件，严格按照招标文件规定的评审标准对投标文件进行独立评审；对所提出的评审意见承担个人责任。</w:t>
      </w:r>
    </w:p>
    <w:p w14:paraId="53953AD2">
      <w:pPr>
        <w:snapToGrid w:val="0"/>
        <w:ind w:firstLine="418" w:firstLineChars="182"/>
        <w:jc w:val="left"/>
        <w:rPr>
          <w:rFonts w:ascii="宋体" w:hAnsi="宋体" w:cs="宋体"/>
          <w:sz w:val="23"/>
        </w:rPr>
      </w:pPr>
      <w:r>
        <w:rPr>
          <w:rFonts w:hint="eastAsia" w:ascii="宋体" w:hAnsi="宋体" w:cs="宋体"/>
          <w:sz w:val="23"/>
        </w:rPr>
        <w:t>5.对按照评审标准应当否决的投标提出否决意见。</w:t>
      </w:r>
    </w:p>
    <w:p w14:paraId="773004B3">
      <w:pPr>
        <w:snapToGrid w:val="0"/>
        <w:ind w:firstLine="418" w:firstLineChars="182"/>
        <w:jc w:val="left"/>
        <w:rPr>
          <w:rFonts w:ascii="宋体" w:hAnsi="宋体" w:cs="宋体"/>
          <w:sz w:val="23"/>
        </w:rPr>
      </w:pPr>
      <w:r>
        <w:rPr>
          <w:rFonts w:hint="eastAsia" w:ascii="宋体" w:hAnsi="宋体" w:cs="宋体"/>
          <w:sz w:val="23"/>
        </w:rPr>
        <w:t>6.当投标文件中（包括投标函及附录）出现含义不明、对同类问题表述不一致、明显的文字或计算错误等内容，且评标委员会不能准确了解投标人真实意思表示时，评标委员会应当启动澄清、说明工作。</w:t>
      </w:r>
    </w:p>
    <w:p w14:paraId="2183A1BA">
      <w:pPr>
        <w:snapToGrid w:val="0"/>
        <w:ind w:firstLine="418" w:firstLineChars="182"/>
        <w:jc w:val="left"/>
        <w:rPr>
          <w:rFonts w:ascii="宋体" w:hAnsi="宋体" w:cs="宋体"/>
          <w:sz w:val="23"/>
        </w:rPr>
      </w:pPr>
      <w:r>
        <w:rPr>
          <w:rFonts w:hint="eastAsia" w:ascii="宋体" w:hAnsi="宋体" w:cs="宋体"/>
          <w:sz w:val="23"/>
        </w:rPr>
        <w:t xml:space="preserve">7.当出现自己的评审结果与多数评委存在较大差异时，主动进行说明；属于差错情形的，及时予以改正。 </w:t>
      </w:r>
    </w:p>
    <w:p w14:paraId="62DDCE57">
      <w:pPr>
        <w:snapToGrid w:val="0"/>
        <w:ind w:firstLine="418" w:firstLineChars="182"/>
        <w:jc w:val="left"/>
        <w:rPr>
          <w:rFonts w:ascii="宋体" w:hAnsi="宋体" w:cs="宋体"/>
          <w:sz w:val="23"/>
        </w:rPr>
      </w:pPr>
      <w:r>
        <w:rPr>
          <w:rFonts w:hint="eastAsia" w:ascii="宋体" w:hAnsi="宋体" w:cs="宋体"/>
          <w:sz w:val="23"/>
        </w:rPr>
        <w:t>8.评标结束后，以评标委员会名义形成评标报告。</w:t>
      </w:r>
    </w:p>
    <w:p w14:paraId="32A9583C">
      <w:pPr>
        <w:snapToGrid w:val="0"/>
        <w:ind w:firstLine="418" w:firstLineChars="182"/>
        <w:jc w:val="left"/>
        <w:rPr>
          <w:rFonts w:ascii="宋体" w:hAnsi="宋体" w:cs="宋体"/>
          <w:sz w:val="23"/>
        </w:rPr>
      </w:pPr>
      <w:r>
        <w:rPr>
          <w:rFonts w:hint="eastAsia" w:ascii="宋体" w:hAnsi="宋体" w:cs="宋体"/>
          <w:sz w:val="23"/>
        </w:rPr>
        <w:t>9.本人严格做到：</w:t>
      </w:r>
    </w:p>
    <w:p w14:paraId="494BE4F4">
      <w:pPr>
        <w:snapToGrid w:val="0"/>
        <w:ind w:firstLine="418" w:firstLineChars="182"/>
        <w:jc w:val="left"/>
        <w:rPr>
          <w:rFonts w:ascii="宋体" w:hAnsi="宋体" w:cs="宋体"/>
          <w:sz w:val="23"/>
        </w:rPr>
      </w:pPr>
      <w:r>
        <w:rPr>
          <w:rFonts w:hint="eastAsia" w:ascii="宋体" w:hAnsi="宋体" w:cs="宋体"/>
          <w:sz w:val="23"/>
        </w:rPr>
        <w:t>（1）不擅自离开评标场所，一切对外联系均通过招标组织者进行；</w:t>
      </w:r>
    </w:p>
    <w:p w14:paraId="274F4D74">
      <w:pPr>
        <w:snapToGrid w:val="0"/>
        <w:ind w:firstLine="418" w:firstLineChars="182"/>
        <w:jc w:val="left"/>
        <w:rPr>
          <w:rFonts w:ascii="宋体" w:hAnsi="宋体" w:cs="宋体"/>
          <w:sz w:val="23"/>
        </w:rPr>
      </w:pPr>
      <w:r>
        <w:rPr>
          <w:rFonts w:hint="eastAsia" w:ascii="宋体" w:hAnsi="宋体" w:cs="宋体"/>
          <w:sz w:val="23"/>
        </w:rPr>
        <w:t>（2）不对其他评标委员会成员的独立评审施加不当影响；</w:t>
      </w:r>
    </w:p>
    <w:p w14:paraId="4BDCF2B0">
      <w:pPr>
        <w:snapToGrid w:val="0"/>
        <w:ind w:firstLine="418" w:firstLineChars="182"/>
        <w:jc w:val="left"/>
        <w:rPr>
          <w:rFonts w:ascii="宋体" w:hAnsi="宋体" w:cs="宋体"/>
          <w:sz w:val="23"/>
        </w:rPr>
      </w:pPr>
      <w:r>
        <w:rPr>
          <w:rFonts w:hint="eastAsia" w:ascii="宋体" w:hAnsi="宋体" w:cs="宋体"/>
          <w:sz w:val="23"/>
        </w:rPr>
        <w:t>（3）不私下接触投标人，不收受投标人、中介人、其他利害关系人的财物或者其他好处；</w:t>
      </w:r>
    </w:p>
    <w:p w14:paraId="124DE3CC">
      <w:pPr>
        <w:snapToGrid w:val="0"/>
        <w:ind w:firstLine="418" w:firstLineChars="182"/>
        <w:jc w:val="left"/>
        <w:rPr>
          <w:rFonts w:ascii="宋体" w:hAnsi="宋体" w:cs="宋体"/>
          <w:sz w:val="23"/>
        </w:rPr>
      </w:pPr>
      <w:r>
        <w:rPr>
          <w:rFonts w:hint="eastAsia" w:ascii="宋体" w:hAnsi="宋体" w:cs="宋体"/>
          <w:sz w:val="23"/>
        </w:rPr>
        <w:t>（4）不向招标人征询确定中标人的意向；</w:t>
      </w:r>
    </w:p>
    <w:p w14:paraId="0A6FCE6D">
      <w:pPr>
        <w:snapToGrid w:val="0"/>
        <w:ind w:firstLine="418" w:firstLineChars="182"/>
        <w:jc w:val="left"/>
        <w:rPr>
          <w:rFonts w:ascii="宋体" w:hAnsi="宋体" w:cs="宋体"/>
          <w:sz w:val="23"/>
        </w:rPr>
      </w:pPr>
      <w:r>
        <w:rPr>
          <w:rFonts w:hint="eastAsia" w:ascii="宋体" w:hAnsi="宋体" w:cs="宋体"/>
          <w:sz w:val="23"/>
        </w:rPr>
        <w:t>（5）不接受任何单位或者个人明示或者暗示提出的倾向或者排斥特定投标人的要求；</w:t>
      </w:r>
    </w:p>
    <w:p w14:paraId="321F365F">
      <w:pPr>
        <w:snapToGrid w:val="0"/>
        <w:ind w:firstLine="418" w:firstLineChars="182"/>
        <w:jc w:val="left"/>
        <w:rPr>
          <w:rFonts w:ascii="宋体" w:hAnsi="宋体" w:cs="宋体"/>
          <w:sz w:val="23"/>
        </w:rPr>
      </w:pPr>
      <w:r>
        <w:rPr>
          <w:rFonts w:hint="eastAsia" w:ascii="宋体" w:hAnsi="宋体" w:cs="宋体"/>
          <w:sz w:val="23"/>
        </w:rPr>
        <w:t>（6）不暗示或者诱导投标人作出澄清、说明或者接受投标人主动提出的澄清、说明；</w:t>
      </w:r>
    </w:p>
    <w:p w14:paraId="4134E526">
      <w:pPr>
        <w:snapToGrid w:val="0"/>
        <w:ind w:firstLine="418" w:firstLineChars="182"/>
        <w:jc w:val="left"/>
        <w:rPr>
          <w:rFonts w:ascii="宋体" w:hAnsi="宋体" w:cs="宋体"/>
          <w:sz w:val="23"/>
        </w:rPr>
      </w:pPr>
      <w:r>
        <w:rPr>
          <w:rFonts w:hint="eastAsia" w:ascii="宋体" w:hAnsi="宋体" w:cs="宋体"/>
          <w:sz w:val="23"/>
        </w:rPr>
        <w:t>（7）不透露评标委员会成员身份和评标项目；</w:t>
      </w:r>
    </w:p>
    <w:p w14:paraId="67783B94">
      <w:pPr>
        <w:snapToGrid w:val="0"/>
        <w:ind w:firstLine="418" w:firstLineChars="182"/>
        <w:jc w:val="left"/>
        <w:rPr>
          <w:rFonts w:ascii="宋体" w:hAnsi="宋体" w:cs="宋体"/>
          <w:sz w:val="23"/>
        </w:rPr>
      </w:pPr>
      <w:r>
        <w:rPr>
          <w:rFonts w:hint="eastAsia" w:ascii="宋体" w:hAnsi="宋体" w:cs="宋体"/>
          <w:sz w:val="23"/>
        </w:rPr>
        <w:t>（8）不透露对投标文件的评审和比较、中标候选人的推荐情况、在评标过程中知悉的国家秘密和商业秘密以及与评标有关的其他情况；</w:t>
      </w:r>
    </w:p>
    <w:p w14:paraId="38670C48">
      <w:pPr>
        <w:snapToGrid w:val="0"/>
        <w:ind w:firstLine="418" w:firstLineChars="182"/>
        <w:jc w:val="left"/>
        <w:rPr>
          <w:rFonts w:ascii="宋体" w:hAnsi="宋体" w:cs="宋体"/>
          <w:sz w:val="23"/>
        </w:rPr>
      </w:pPr>
      <w:r>
        <w:rPr>
          <w:rFonts w:hint="eastAsia" w:ascii="宋体" w:hAnsi="宋体" w:cs="宋体"/>
          <w:sz w:val="23"/>
        </w:rPr>
        <w:t>（9）不擅离职守，不因其他工作而影响评标工作的正常开展；</w:t>
      </w:r>
    </w:p>
    <w:p w14:paraId="2723B837">
      <w:pPr>
        <w:snapToGrid w:val="0"/>
        <w:ind w:firstLine="418" w:firstLineChars="182"/>
        <w:jc w:val="left"/>
        <w:rPr>
          <w:rFonts w:ascii="宋体" w:hAnsi="宋体" w:cs="宋体"/>
          <w:sz w:val="23"/>
        </w:rPr>
      </w:pPr>
      <w:r>
        <w:rPr>
          <w:rFonts w:hint="eastAsia" w:ascii="宋体" w:hAnsi="宋体" w:cs="宋体"/>
          <w:sz w:val="23"/>
        </w:rPr>
        <w:t>（10）不故意拖延评标时间，或者敷衍塞责随意评标；</w:t>
      </w:r>
    </w:p>
    <w:p w14:paraId="0E7149EE">
      <w:pPr>
        <w:snapToGrid w:val="0"/>
        <w:ind w:firstLine="418" w:firstLineChars="182"/>
        <w:jc w:val="left"/>
        <w:rPr>
          <w:rFonts w:ascii="宋体" w:hAnsi="宋体" w:cs="宋体"/>
          <w:sz w:val="23"/>
        </w:rPr>
      </w:pPr>
      <w:r>
        <w:rPr>
          <w:rFonts w:hint="eastAsia" w:ascii="宋体" w:hAnsi="宋体" w:cs="宋体"/>
          <w:sz w:val="23"/>
        </w:rPr>
        <w:t>（11）不在合法的评标劳务费之外额外索取、接受报酬或者其他好处；</w:t>
      </w:r>
    </w:p>
    <w:p w14:paraId="02FA70C2">
      <w:pPr>
        <w:snapToGrid w:val="0"/>
        <w:ind w:firstLine="418" w:firstLineChars="182"/>
        <w:jc w:val="left"/>
        <w:rPr>
          <w:rFonts w:ascii="宋体" w:hAnsi="宋体" w:cs="宋体"/>
          <w:sz w:val="23"/>
        </w:rPr>
      </w:pPr>
      <w:r>
        <w:rPr>
          <w:rFonts w:hint="eastAsia" w:ascii="宋体" w:hAnsi="宋体" w:cs="宋体"/>
          <w:sz w:val="23"/>
        </w:rPr>
        <w:t>（12）不组建、不加入可能影响公正评标的微信群、QQ群等网络通讯群组</w:t>
      </w:r>
      <w:r>
        <w:rPr>
          <w:rFonts w:ascii="宋体" w:hAnsi="宋体" w:cs="宋体"/>
          <w:sz w:val="23"/>
        </w:rPr>
        <w:t>。</w:t>
      </w:r>
      <w:bookmarkEnd w:id="111"/>
    </w:p>
    <w:p w14:paraId="2D9E4D13">
      <w:pPr>
        <w:snapToGrid w:val="0"/>
        <w:jc w:val="left"/>
        <w:rPr>
          <w:rFonts w:ascii="宋体" w:hAnsi="宋体" w:cs="宋体"/>
          <w:sz w:val="23"/>
        </w:rPr>
      </w:pPr>
    </w:p>
    <w:p w14:paraId="5B55AB6C">
      <w:pPr>
        <w:snapToGrid w:val="0"/>
        <w:jc w:val="left"/>
        <w:rPr>
          <w:rFonts w:ascii="宋体" w:hAnsi="宋体" w:cs="宋体"/>
          <w:sz w:val="23"/>
        </w:rPr>
      </w:pPr>
      <w:r>
        <w:rPr>
          <w:rFonts w:hint="eastAsia" w:ascii="宋体" w:hAnsi="宋体" w:cs="宋体"/>
          <w:sz w:val="23"/>
        </w:rPr>
        <w:t>评标委员会全体成员签名：</w:t>
      </w:r>
      <w:r>
        <w:rPr>
          <w:rFonts w:ascii="宋体" w:hAnsi="宋体" w:cs="宋体"/>
          <w:sz w:val="23"/>
        </w:rPr>
        <w:t xml:space="preserve"> </w:t>
      </w:r>
    </w:p>
    <w:p w14:paraId="4FC86FD4">
      <w:pPr>
        <w:snapToGrid w:val="0"/>
        <w:jc w:val="right"/>
        <w:rPr>
          <w:rFonts w:ascii="宋体" w:hAnsi="宋体" w:cs="宋体"/>
          <w:sz w:val="23"/>
        </w:rPr>
      </w:pPr>
    </w:p>
    <w:p w14:paraId="2B808BF2">
      <w:pPr>
        <w:snapToGrid w:val="0"/>
        <w:rPr>
          <w:rFonts w:ascii="宋体" w:hAnsi="宋体" w:cs="宋体"/>
          <w:sz w:val="23"/>
        </w:rPr>
      </w:pPr>
    </w:p>
    <w:p w14:paraId="1B2BDDE2">
      <w:pPr>
        <w:snapToGrid w:val="0"/>
        <w:jc w:val="right"/>
        <w:rPr>
          <w:rFonts w:ascii="宋体" w:hAnsi="宋体" w:cs="宋体"/>
          <w:sz w:val="23"/>
        </w:rPr>
      </w:pPr>
    </w:p>
    <w:p w14:paraId="3EB5CA4D">
      <w:pPr>
        <w:snapToGrid w:val="0"/>
        <w:jc w:val="right"/>
        <w:rPr>
          <w:rFonts w:ascii="宋体" w:hAnsi="宋体" w:cs="宋体"/>
          <w:sz w:val="23"/>
        </w:rPr>
      </w:pPr>
      <w:r>
        <w:rPr>
          <w:rFonts w:hint="eastAsia" w:ascii="宋体" w:hAnsi="宋体" w:cs="宋体"/>
          <w:sz w:val="23"/>
        </w:rPr>
        <w:t xml:space="preserve">  </w:t>
      </w:r>
      <w:r>
        <w:rPr>
          <w:rFonts w:ascii="宋体" w:hAnsi="宋体" w:cs="宋体"/>
          <w:sz w:val="23"/>
        </w:rPr>
        <w:t>年</w:t>
      </w:r>
      <w:r>
        <w:rPr>
          <w:rFonts w:hint="eastAsia" w:ascii="宋体" w:hAnsi="宋体" w:cs="宋体"/>
          <w:sz w:val="23"/>
        </w:rPr>
        <w:t xml:space="preserve">   </w:t>
      </w:r>
      <w:r>
        <w:rPr>
          <w:rFonts w:ascii="宋体" w:hAnsi="宋体" w:cs="宋体"/>
          <w:sz w:val="23"/>
        </w:rPr>
        <w:t>月</w:t>
      </w:r>
      <w:r>
        <w:rPr>
          <w:rFonts w:hint="eastAsia" w:ascii="宋体" w:hAnsi="宋体" w:cs="宋体"/>
          <w:sz w:val="23"/>
        </w:rPr>
        <w:t xml:space="preserve">   </w:t>
      </w:r>
      <w:r>
        <w:rPr>
          <w:rFonts w:ascii="宋体" w:hAnsi="宋体" w:cs="宋体"/>
          <w:sz w:val="23"/>
        </w:rPr>
        <w:t xml:space="preserve">日 </w:t>
      </w:r>
    </w:p>
    <w:p w14:paraId="1D5C1F7A">
      <w:pPr>
        <w:snapToGrid w:val="0"/>
        <w:jc w:val="left"/>
        <w:rPr>
          <w:rFonts w:ascii="宋体" w:hAnsi="宋体" w:cs="宋体"/>
          <w:b/>
          <w:sz w:val="43"/>
        </w:rPr>
      </w:pPr>
    </w:p>
    <w:p w14:paraId="473C1E20">
      <w:pPr>
        <w:snapToGrid w:val="0"/>
        <w:jc w:val="center"/>
        <w:rPr>
          <w:bCs/>
        </w:rPr>
      </w:pPr>
      <w:r>
        <w:rPr>
          <w:bCs/>
        </w:rPr>
        <w:br w:type="page"/>
      </w:r>
    </w:p>
    <w:p w14:paraId="13E5D126">
      <w:pPr>
        <w:pStyle w:val="323"/>
        <w:rPr>
          <w:bCs/>
        </w:rPr>
      </w:pPr>
    </w:p>
    <w:p w14:paraId="22A7FA54">
      <w:pPr>
        <w:pStyle w:val="323"/>
        <w:rPr>
          <w:bCs/>
        </w:rPr>
      </w:pPr>
    </w:p>
    <w:p w14:paraId="65F3E655">
      <w:pPr>
        <w:pStyle w:val="323"/>
        <w:rPr>
          <w:bCs/>
        </w:rPr>
      </w:pPr>
    </w:p>
    <w:p w14:paraId="1CD24719">
      <w:pPr>
        <w:pStyle w:val="323"/>
        <w:rPr>
          <w:bCs/>
        </w:rPr>
      </w:pPr>
    </w:p>
    <w:p w14:paraId="4F17FF1C">
      <w:pPr>
        <w:pStyle w:val="323"/>
        <w:rPr>
          <w:bCs/>
        </w:rPr>
      </w:pPr>
    </w:p>
    <w:p w14:paraId="4B3CF2BF">
      <w:pPr>
        <w:pStyle w:val="4"/>
        <w:rPr>
          <w:bCs w:val="0"/>
        </w:rPr>
      </w:pPr>
      <w:bookmarkStart w:id="112" w:name="_Toc489214149"/>
    </w:p>
    <w:p w14:paraId="7971E965">
      <w:pPr>
        <w:pStyle w:val="4"/>
        <w:rPr>
          <w:bCs w:val="0"/>
        </w:rPr>
      </w:pPr>
    </w:p>
    <w:p w14:paraId="4302DE5D">
      <w:pPr>
        <w:pStyle w:val="4"/>
        <w:rPr>
          <w:bCs w:val="0"/>
        </w:rPr>
      </w:pPr>
    </w:p>
    <w:p w14:paraId="271C2DA7">
      <w:pPr>
        <w:pStyle w:val="4"/>
        <w:rPr>
          <w:bCs w:val="0"/>
        </w:rPr>
      </w:pPr>
      <w:bookmarkStart w:id="113" w:name="_Toc31079"/>
      <w:bookmarkStart w:id="114" w:name="_Toc13640"/>
      <w:bookmarkStart w:id="115" w:name="_Toc16750"/>
      <w:bookmarkStart w:id="116" w:name="_Toc23404"/>
      <w:bookmarkStart w:id="117" w:name="_Toc31426"/>
      <w:bookmarkStart w:id="118" w:name="_Toc18282"/>
      <w:r>
        <w:rPr>
          <w:rFonts w:hint="eastAsia"/>
          <w:bCs w:val="0"/>
        </w:rPr>
        <w:t>第三章 投标报价</w:t>
      </w:r>
      <w:bookmarkEnd w:id="112"/>
      <w:bookmarkEnd w:id="113"/>
      <w:bookmarkEnd w:id="114"/>
      <w:bookmarkEnd w:id="115"/>
      <w:bookmarkEnd w:id="116"/>
      <w:bookmarkEnd w:id="117"/>
      <w:bookmarkEnd w:id="118"/>
    </w:p>
    <w:p w14:paraId="0EDFCF77">
      <w:pPr>
        <w:snapToGrid w:val="0"/>
        <w:ind w:firstLine="480" w:firstLineChars="200"/>
        <w:rPr>
          <w:rFonts w:ascii="宋体" w:hAnsi="宋体"/>
        </w:rPr>
      </w:pPr>
    </w:p>
    <w:p w14:paraId="72FC08CF">
      <w:pPr>
        <w:pStyle w:val="5"/>
        <w:adjustRightInd w:val="0"/>
        <w:snapToGrid w:val="0"/>
        <w:rPr>
          <w:rFonts w:ascii="宋体" w:hAnsi="宋体" w:cs="宋体"/>
          <w:b w:val="0"/>
          <w:szCs w:val="24"/>
        </w:rPr>
      </w:pPr>
      <w:r>
        <w:br w:type="page"/>
      </w:r>
      <w:bookmarkStart w:id="119" w:name="_Toc12773"/>
      <w:bookmarkStart w:id="120" w:name="_Toc427570191"/>
      <w:bookmarkStart w:id="121" w:name="_Toc369606480"/>
      <w:bookmarkStart w:id="122" w:name="_Toc11747"/>
      <w:bookmarkStart w:id="123" w:name="_Toc489214150"/>
      <w:bookmarkStart w:id="124" w:name="_Toc3683"/>
      <w:bookmarkStart w:id="125" w:name="_Toc386206212"/>
      <w:r>
        <w:rPr>
          <w:rFonts w:hint="eastAsia" w:ascii="宋体" w:hAnsi="宋体" w:cs="宋体"/>
          <w:szCs w:val="24"/>
        </w:rPr>
        <w:t>1.投标报价编制依据</w:t>
      </w:r>
    </w:p>
    <w:p w14:paraId="192F2364">
      <w:pPr>
        <w:adjustRightInd w:val="0"/>
        <w:snapToGrid w:val="0"/>
        <w:ind w:firstLine="480" w:firstLineChars="200"/>
        <w:rPr>
          <w:rFonts w:ascii="宋体" w:hAnsi="宋体" w:cs="宋体"/>
        </w:rPr>
      </w:pPr>
      <w:r>
        <w:rPr>
          <w:rFonts w:hint="eastAsia" w:ascii="宋体" w:hAnsi="宋体" w:cs="宋体"/>
        </w:rPr>
        <w:t>1.1 投标报价应根据招标人编制的本招标项目工程量清单计价表并参照以下内容编制和复核：</w:t>
      </w:r>
    </w:p>
    <w:p w14:paraId="22C92148">
      <w:pPr>
        <w:snapToGrid w:val="0"/>
        <w:ind w:firstLine="480" w:firstLineChars="200"/>
        <w:rPr>
          <w:rFonts w:ascii="宋体" w:hAnsi="宋体" w:cs="宋体"/>
        </w:rPr>
      </w:pPr>
      <w:r>
        <w:rPr>
          <w:rFonts w:hint="eastAsia" w:ascii="宋体" w:hAnsi="宋体" w:cs="宋体"/>
        </w:rPr>
        <w:t>（1）招标文件（包括工程量清单计价表）及其补充修改及澄清文件；</w:t>
      </w:r>
    </w:p>
    <w:p w14:paraId="59C0630B">
      <w:pPr>
        <w:snapToGrid w:val="0"/>
        <w:ind w:firstLine="480" w:firstLineChars="200"/>
        <w:rPr>
          <w:rFonts w:ascii="宋体" w:hAnsi="宋体" w:cs="宋体"/>
        </w:rPr>
      </w:pPr>
      <w:r>
        <w:rPr>
          <w:rFonts w:hint="eastAsia" w:ascii="宋体" w:hAnsi="宋体" w:cs="宋体"/>
        </w:rPr>
        <w:t xml:space="preserve">（2）详细工程设计文件； </w:t>
      </w:r>
    </w:p>
    <w:p w14:paraId="4C3B85A7">
      <w:pPr>
        <w:adjustRightInd w:val="0"/>
        <w:snapToGrid w:val="0"/>
        <w:ind w:firstLine="480" w:firstLineChars="200"/>
        <w:rPr>
          <w:rFonts w:ascii="宋体" w:hAnsi="宋体" w:cs="宋体"/>
        </w:rPr>
      </w:pPr>
      <w:r>
        <w:rPr>
          <w:rFonts w:hint="eastAsia" w:ascii="宋体" w:hAnsi="宋体" w:cs="宋体"/>
        </w:rPr>
        <w:t>（3）工程现场情况、工程特点及投标时拟定的施工组织设计或施工方案；</w:t>
      </w:r>
    </w:p>
    <w:p w14:paraId="2F41703B">
      <w:pPr>
        <w:adjustRightInd w:val="0"/>
        <w:snapToGrid w:val="0"/>
        <w:ind w:firstLine="465"/>
        <w:rPr>
          <w:rFonts w:ascii="宋体" w:hAnsi="宋体" w:cs="宋体"/>
        </w:rPr>
      </w:pPr>
      <w:r>
        <w:rPr>
          <w:rFonts w:hint="eastAsia" w:ascii="宋体" w:hAnsi="宋体" w:cs="宋体"/>
        </w:rPr>
        <w:t>（4）与建设项目相关的标准、规定等技术资料；</w:t>
      </w:r>
    </w:p>
    <w:p w14:paraId="75B355C2">
      <w:pPr>
        <w:adjustRightInd w:val="0"/>
        <w:snapToGrid w:val="0"/>
        <w:ind w:firstLine="480" w:firstLineChars="200"/>
        <w:rPr>
          <w:rFonts w:ascii="宋体" w:hAnsi="宋体" w:cs="宋体"/>
        </w:rPr>
      </w:pPr>
      <w:r>
        <w:rPr>
          <w:rFonts w:hint="eastAsia" w:ascii="宋体" w:hAnsi="宋体" w:cs="宋体"/>
        </w:rPr>
        <w:t>（5）市场价格信息、工程造价管理机构发布的工程造价信息；</w:t>
      </w:r>
    </w:p>
    <w:p w14:paraId="53D1C552">
      <w:pPr>
        <w:adjustRightInd w:val="0"/>
        <w:snapToGrid w:val="0"/>
        <w:ind w:firstLine="480" w:firstLineChars="200"/>
        <w:rPr>
          <w:rFonts w:ascii="宋体" w:hAnsi="宋体" w:cs="宋体"/>
        </w:rPr>
      </w:pPr>
      <w:r>
        <w:rPr>
          <w:rFonts w:hint="eastAsia" w:ascii="宋体" w:hAnsi="宋体" w:cs="宋体"/>
        </w:rPr>
        <w:t>（6）最高投标限价。</w:t>
      </w:r>
    </w:p>
    <w:p w14:paraId="25FB272A">
      <w:pPr>
        <w:pStyle w:val="5"/>
        <w:adjustRightInd w:val="0"/>
        <w:snapToGrid w:val="0"/>
        <w:rPr>
          <w:rFonts w:ascii="宋体" w:hAnsi="宋体" w:cs="宋体"/>
          <w:szCs w:val="24"/>
        </w:rPr>
      </w:pPr>
      <w:r>
        <w:rPr>
          <w:rFonts w:hint="eastAsia" w:ascii="宋体" w:hAnsi="宋体" w:cs="宋体"/>
          <w:szCs w:val="24"/>
        </w:rPr>
        <w:t>2．工程量清单及计价说明</w:t>
      </w:r>
    </w:p>
    <w:p w14:paraId="08DF189B">
      <w:pPr>
        <w:adjustRightInd w:val="0"/>
        <w:snapToGrid w:val="0"/>
        <w:ind w:firstLine="480" w:firstLineChars="200"/>
        <w:rPr>
          <w:rFonts w:ascii="宋体" w:hAnsi="宋体" w:cs="宋体"/>
        </w:rPr>
      </w:pPr>
      <w:r>
        <w:rPr>
          <w:rFonts w:hint="eastAsia" w:ascii="宋体" w:hAnsi="宋体" w:cs="宋体"/>
        </w:rPr>
        <w:t>2.1计量依据</w:t>
      </w:r>
    </w:p>
    <w:p w14:paraId="2C7144CD">
      <w:pPr>
        <w:adjustRightInd w:val="0"/>
        <w:snapToGrid w:val="0"/>
        <w:ind w:firstLine="480" w:firstLineChars="200"/>
        <w:rPr>
          <w:rFonts w:ascii="宋体" w:hAnsi="宋体" w:cs="宋体"/>
        </w:rPr>
      </w:pPr>
      <w:r>
        <w:rPr>
          <w:rFonts w:hint="eastAsia" w:ascii="宋体" w:hAnsi="宋体" w:cs="宋体"/>
        </w:rPr>
        <w:t>1)《</w:t>
      </w:r>
      <w:bookmarkStart w:id="126" w:name="OLE_LINK14"/>
      <w:r>
        <w:rPr>
          <w:rFonts w:hint="eastAsia" w:ascii="宋体" w:hAnsi="宋体" w:cs="宋体"/>
        </w:rPr>
        <w:t>建设工程工程量清单计价规范</w:t>
      </w:r>
      <w:bookmarkEnd w:id="126"/>
      <w:r>
        <w:rPr>
          <w:rFonts w:hint="eastAsia" w:ascii="宋体" w:hAnsi="宋体" w:cs="宋体"/>
        </w:rPr>
        <w:t>》（GB50500-</w:t>
      </w:r>
      <w:r>
        <w:rPr>
          <w:rFonts w:hint="eastAsia" w:ascii="宋体" w:hAnsi="宋体" w:cs="宋体"/>
          <w:lang w:val="en-US" w:eastAsia="zh-CN"/>
        </w:rPr>
        <w:t>2024</w:t>
      </w:r>
      <w:r>
        <w:rPr>
          <w:rFonts w:hint="eastAsia" w:ascii="宋体" w:hAnsi="宋体" w:cs="宋体"/>
        </w:rPr>
        <w:t>）。</w:t>
      </w:r>
    </w:p>
    <w:p w14:paraId="563E579B">
      <w:pPr>
        <w:adjustRightInd w:val="0"/>
        <w:snapToGrid w:val="0"/>
        <w:ind w:firstLine="480" w:firstLineChars="200"/>
        <w:rPr>
          <w:rFonts w:ascii="宋体" w:hAnsi="宋体" w:cs="宋体"/>
          <w:highlight w:val="yellow"/>
        </w:rPr>
      </w:pPr>
      <w:r>
        <w:rPr>
          <w:rFonts w:hint="eastAsia" w:ascii="宋体" w:hAnsi="宋体" w:cs="宋体"/>
        </w:rPr>
        <w:t>2) 本次招标所提供的施工图纸。</w:t>
      </w:r>
    </w:p>
    <w:p w14:paraId="313DA3F6">
      <w:pPr>
        <w:adjustRightInd w:val="0"/>
        <w:snapToGrid w:val="0"/>
        <w:ind w:firstLine="480" w:firstLineChars="200"/>
        <w:rPr>
          <w:rFonts w:ascii="宋体" w:hAnsi="宋体" w:cs="宋体"/>
        </w:rPr>
      </w:pPr>
      <w:r>
        <w:rPr>
          <w:rFonts w:hint="eastAsia" w:ascii="宋体" w:hAnsi="宋体" w:cs="宋体"/>
        </w:rPr>
        <w:t>2.2计价依据</w:t>
      </w:r>
    </w:p>
    <w:p w14:paraId="3DE6D557">
      <w:pPr>
        <w:adjustRightInd w:val="0"/>
        <w:snapToGrid w:val="0"/>
        <w:ind w:firstLine="480" w:firstLineChars="200"/>
        <w:rPr>
          <w:rFonts w:ascii="宋体" w:hAnsi="宋体" w:cs="宋体"/>
        </w:rPr>
      </w:pPr>
      <w:r>
        <w:rPr>
          <w:rFonts w:hint="eastAsia" w:ascii="宋体" w:hAnsi="宋体" w:cs="宋体"/>
        </w:rPr>
        <w:t>1)《</w:t>
      </w:r>
      <w:bookmarkStart w:id="127" w:name="OLE_LINK15"/>
      <w:r>
        <w:rPr>
          <w:rFonts w:hint="eastAsia" w:ascii="宋体" w:hAnsi="宋体" w:cs="宋体"/>
        </w:rPr>
        <w:t>广东省建设工程计价依据</w:t>
      </w:r>
      <w:bookmarkEnd w:id="127"/>
      <w:r>
        <w:rPr>
          <w:rFonts w:hint="eastAsia" w:ascii="宋体" w:hAnsi="宋体" w:cs="宋体"/>
        </w:rPr>
        <w:t>（2018）》。</w:t>
      </w:r>
    </w:p>
    <w:p w14:paraId="547E559D">
      <w:pPr>
        <w:adjustRightInd w:val="0"/>
        <w:snapToGrid w:val="0"/>
        <w:ind w:firstLine="480" w:firstLineChars="200"/>
        <w:rPr>
          <w:rFonts w:ascii="宋体" w:hAnsi="宋体" w:cs="宋体"/>
        </w:rPr>
      </w:pPr>
      <w:r>
        <w:rPr>
          <w:rFonts w:hint="eastAsia" w:ascii="宋体" w:hAnsi="宋体" w:cs="宋体"/>
        </w:rPr>
        <w:t>2)《广东省房屋建筑与装饰工程综合定额2018》、《广东省通用安装工程综合定额2018》、《广东省市政工程综合定额2018》等。</w:t>
      </w:r>
    </w:p>
    <w:p w14:paraId="388BDA0C">
      <w:pPr>
        <w:adjustRightInd w:val="0"/>
        <w:snapToGrid w:val="0"/>
        <w:ind w:firstLine="480" w:firstLineChars="200"/>
        <w:rPr>
          <w:rFonts w:ascii="宋体" w:hAnsi="宋体" w:cs="宋体"/>
        </w:rPr>
      </w:pPr>
      <w:r>
        <w:rPr>
          <w:rFonts w:hint="eastAsia" w:ascii="宋体" w:hAnsi="宋体" w:cs="宋体"/>
        </w:rPr>
        <w:t>3)广东省住房和城乡建设厅关于调整广东省建设工程计价依据增值税税率的通知（粤建标函[2019]819号）。</w:t>
      </w:r>
    </w:p>
    <w:p w14:paraId="33B91DD0">
      <w:pPr>
        <w:adjustRightInd w:val="0"/>
        <w:snapToGrid w:val="0"/>
        <w:ind w:firstLine="480" w:firstLineChars="200"/>
        <w:rPr>
          <w:rFonts w:ascii="宋体" w:hAnsi="宋体" w:cs="宋体"/>
          <w:highlight w:val="none"/>
        </w:rPr>
      </w:pPr>
      <w:r>
        <w:rPr>
          <w:rFonts w:hint="eastAsia" w:ascii="宋体" w:hAnsi="宋体" w:cs="宋体"/>
        </w:rPr>
        <w:t>4)</w:t>
      </w:r>
      <w:r>
        <w:rPr>
          <w:rFonts w:hint="eastAsia" w:ascii="宋体" w:hAnsi="宋体" w:cs="宋体"/>
          <w:highlight w:val="none"/>
        </w:rPr>
        <w:t>人材机价格：按中山市造价站发布的</w:t>
      </w:r>
      <w:bookmarkStart w:id="128" w:name="OLE_LINK16"/>
      <w:bookmarkStart w:id="129" w:name="OLE_LINK17"/>
      <w:r>
        <w:rPr>
          <w:rFonts w:hint="eastAsia" w:ascii="宋体" w:hAnsi="宋体" w:cs="宋体"/>
          <w:highlight w:val="none"/>
        </w:rPr>
        <w:t>2025年</w:t>
      </w:r>
      <w:r>
        <w:rPr>
          <w:rFonts w:hint="eastAsia" w:ascii="宋体" w:hAnsi="宋体" w:cs="宋体"/>
          <w:highlight w:val="none"/>
          <w:lang w:val="en-US" w:eastAsia="zh-CN"/>
        </w:rPr>
        <w:t>9</w:t>
      </w:r>
      <w:r>
        <w:rPr>
          <w:rFonts w:hint="eastAsia" w:ascii="宋体" w:hAnsi="宋体" w:cs="宋体"/>
          <w:highlight w:val="none"/>
        </w:rPr>
        <w:t>月信息价</w:t>
      </w:r>
      <w:bookmarkEnd w:id="128"/>
      <w:bookmarkEnd w:id="129"/>
      <w:r>
        <w:rPr>
          <w:rFonts w:hint="eastAsia" w:ascii="宋体" w:hAnsi="宋体" w:cs="宋体"/>
          <w:highlight w:val="none"/>
        </w:rPr>
        <w:t>执行，不足部分参照中山市市场相关价格。</w:t>
      </w:r>
    </w:p>
    <w:p w14:paraId="3FE10D64">
      <w:pPr>
        <w:keepNext/>
        <w:keepLines/>
        <w:snapToGrid w:val="0"/>
        <w:outlineLvl w:val="1"/>
        <w:rPr>
          <w:rFonts w:ascii="宋体" w:hAnsi="宋体" w:cs="宋体"/>
          <w:b/>
          <w:bCs/>
          <w:kern w:val="0"/>
        </w:rPr>
      </w:pPr>
      <w:r>
        <w:rPr>
          <w:rFonts w:hint="eastAsia" w:ascii="宋体" w:hAnsi="宋体" w:cs="宋体"/>
        </w:rPr>
        <w:t>3．</w:t>
      </w:r>
      <w:r>
        <w:rPr>
          <w:rFonts w:hint="eastAsia" w:ascii="宋体" w:hAnsi="宋体" w:cs="宋体"/>
          <w:b/>
          <w:bCs/>
          <w:kern w:val="0"/>
        </w:rPr>
        <w:t>投标报价中包含的风险因素及风险费用</w:t>
      </w:r>
    </w:p>
    <w:p w14:paraId="1BD6BCCF">
      <w:pPr>
        <w:pStyle w:val="273"/>
        <w:adjustRightInd w:val="0"/>
        <w:snapToGrid w:val="0"/>
        <w:ind w:firstLine="480"/>
        <w:jc w:val="left"/>
        <w:rPr>
          <w:rFonts w:ascii="宋体" w:hAnsi="宋体" w:cs="宋体"/>
        </w:rPr>
      </w:pPr>
      <w:r>
        <w:rPr>
          <w:rFonts w:hint="eastAsia" w:ascii="宋体" w:hAnsi="宋体" w:cs="宋体"/>
        </w:rPr>
        <w:t>投标报价中包含的风险因素及风险费用见第五章“合同条款及格式”中相关合同条款的约定。</w:t>
      </w:r>
    </w:p>
    <w:p w14:paraId="64E5D7D1">
      <w:pPr>
        <w:keepNext/>
        <w:keepLines/>
        <w:snapToGrid w:val="0"/>
        <w:outlineLvl w:val="1"/>
        <w:rPr>
          <w:rFonts w:ascii="宋体" w:hAnsi="宋体" w:cs="宋体"/>
          <w:b/>
          <w:bCs/>
          <w:kern w:val="0"/>
        </w:rPr>
      </w:pPr>
      <w:r>
        <w:rPr>
          <w:rFonts w:hint="eastAsia" w:ascii="宋体" w:hAnsi="宋体" w:cs="宋体"/>
        </w:rPr>
        <w:t>4．</w:t>
      </w:r>
      <w:bookmarkStart w:id="130" w:name="_Toc5515"/>
      <w:r>
        <w:rPr>
          <w:rFonts w:hint="eastAsia" w:ascii="宋体" w:hAnsi="宋体" w:cs="宋体"/>
          <w:b/>
          <w:bCs/>
          <w:kern w:val="0"/>
        </w:rPr>
        <w:t>最高投标限价说明</w:t>
      </w:r>
      <w:bookmarkEnd w:id="130"/>
    </w:p>
    <w:p w14:paraId="27BA8DA6">
      <w:pPr>
        <w:snapToGrid w:val="0"/>
        <w:ind w:firstLine="465"/>
        <w:rPr>
          <w:rFonts w:ascii="宋体" w:hAnsi="宋体" w:cs="宋体"/>
        </w:rPr>
      </w:pPr>
      <w:r>
        <w:rPr>
          <w:rFonts w:hint="eastAsia" w:ascii="宋体" w:hAnsi="宋体" w:cs="宋体"/>
        </w:rPr>
        <w:t>见第二章“投标人须知”前附表第3.2.4项。</w:t>
      </w:r>
    </w:p>
    <w:p w14:paraId="3114DE25">
      <w:pPr>
        <w:pStyle w:val="5"/>
        <w:adjustRightInd w:val="0"/>
        <w:snapToGrid w:val="0"/>
        <w:rPr>
          <w:rFonts w:ascii="宋体" w:hAnsi="宋体" w:cs="宋体"/>
          <w:szCs w:val="24"/>
        </w:rPr>
      </w:pPr>
      <w:r>
        <w:rPr>
          <w:rFonts w:hint="eastAsia" w:ascii="宋体" w:hAnsi="宋体" w:cs="宋体"/>
          <w:szCs w:val="24"/>
        </w:rPr>
        <w:t>5．其他</w:t>
      </w:r>
    </w:p>
    <w:p w14:paraId="08753702">
      <w:pPr>
        <w:snapToGrid w:val="0"/>
        <w:ind w:firstLine="480" w:firstLineChars="200"/>
        <w:rPr>
          <w:rFonts w:ascii="宋体" w:hAnsi="宋体" w:cs="宋体"/>
        </w:rPr>
      </w:pPr>
      <w:r>
        <w:rPr>
          <w:rFonts w:hint="eastAsia" w:ascii="宋体" w:hAnsi="宋体" w:cs="宋体"/>
        </w:rPr>
        <w:t>5.1现场踏勘</w:t>
      </w:r>
    </w:p>
    <w:p w14:paraId="253CE429">
      <w:pPr>
        <w:snapToGrid w:val="0"/>
        <w:ind w:firstLine="480" w:firstLineChars="200"/>
        <w:rPr>
          <w:rFonts w:ascii="宋体" w:hAnsi="宋体" w:cs="宋体"/>
        </w:rPr>
      </w:pPr>
      <w:r>
        <w:rPr>
          <w:rFonts w:hint="eastAsia" w:ascii="宋体" w:hAnsi="宋体" w:cs="宋体"/>
        </w:rPr>
        <w:t>投标人应进行现场踏勘，以充分了解工地位置、道路情况、储存空间、装卸限制、自然条件、地质地貌及任何其他足以影响投标报价的情况。任何因忽视或误解工地情况而导致的索赔或工期延长申请将不获批准。</w:t>
      </w:r>
    </w:p>
    <w:p w14:paraId="25C5655A">
      <w:pPr>
        <w:snapToGrid w:val="0"/>
        <w:ind w:firstLine="480" w:firstLineChars="200"/>
        <w:rPr>
          <w:rFonts w:ascii="宋体" w:hAnsi="宋体" w:cs="宋体"/>
        </w:rPr>
      </w:pPr>
      <w:r>
        <w:rPr>
          <w:rFonts w:hint="eastAsia" w:ascii="宋体" w:hAnsi="宋体" w:cs="宋体"/>
        </w:rPr>
        <w:t>5.2合同价款形式</w:t>
      </w:r>
    </w:p>
    <w:p w14:paraId="21EC721C">
      <w:pPr>
        <w:snapToGrid w:val="0"/>
        <w:ind w:firstLine="480" w:firstLineChars="200"/>
        <w:rPr>
          <w:rFonts w:ascii="宋体" w:hAnsi="宋体" w:cs="宋体"/>
        </w:rPr>
      </w:pPr>
      <w:r>
        <w:rPr>
          <w:rFonts w:hint="eastAsia" w:ascii="宋体" w:hAnsi="宋体" w:cs="宋体"/>
        </w:rPr>
        <w:t>（1）</w:t>
      </w:r>
      <w:r>
        <w:rPr>
          <w:rFonts w:hint="eastAsia" w:ascii="宋体" w:hAnsi="宋体"/>
        </w:rPr>
        <w:t>本招标项目合同价款形式为单价合同，在本招标文件约定的招标范围、风险承担范围内投标人的中标单价不予调整。</w:t>
      </w:r>
    </w:p>
    <w:p w14:paraId="6604B501">
      <w:pPr>
        <w:snapToGrid w:val="0"/>
        <w:ind w:firstLine="480"/>
        <w:rPr>
          <w:rFonts w:ascii="宋体" w:hAnsi="宋体" w:cs="宋体"/>
        </w:rPr>
      </w:pPr>
      <w:r>
        <w:rPr>
          <w:rFonts w:hint="eastAsia" w:ascii="宋体" w:hAnsi="宋体" w:cs="宋体"/>
        </w:rPr>
        <w:t>（2）投标人须对投标报价文件内容的完整性、准确性负责。投标人的任何漏报、少报视为其报价综合含在投标报价中。若出现较大报价漏项、报价错误，经评标委员会评审判定为重大偏差的，其投标将被否决。</w:t>
      </w:r>
    </w:p>
    <w:bookmarkEnd w:id="119"/>
    <w:bookmarkEnd w:id="120"/>
    <w:bookmarkEnd w:id="121"/>
    <w:bookmarkEnd w:id="122"/>
    <w:bookmarkEnd w:id="123"/>
    <w:bookmarkEnd w:id="124"/>
    <w:p w14:paraId="3A7E1B2D">
      <w:pPr>
        <w:pStyle w:val="4"/>
        <w:spacing w:before="0" w:after="0" w:line="276" w:lineRule="auto"/>
        <w:ind w:left="2760" w:leftChars="1150" w:right="2760" w:rightChars="1150"/>
        <w:rPr>
          <w:bCs w:val="0"/>
        </w:rPr>
      </w:pPr>
      <w:bookmarkStart w:id="131" w:name="_Toc146"/>
      <w:bookmarkStart w:id="132" w:name="_Toc402858987"/>
      <w:bookmarkStart w:id="133" w:name="_Toc31310"/>
      <w:bookmarkStart w:id="134" w:name="_Toc489214160"/>
      <w:bookmarkStart w:id="135" w:name="_Toc9867"/>
      <w:bookmarkStart w:id="136" w:name="_Toc11903"/>
      <w:bookmarkStart w:id="137" w:name="_Toc24158"/>
    </w:p>
    <w:p w14:paraId="45F67488">
      <w:pPr>
        <w:pStyle w:val="4"/>
        <w:spacing w:before="0" w:after="0" w:line="276" w:lineRule="auto"/>
        <w:ind w:left="2760" w:leftChars="1150" w:right="2760" w:rightChars="1150"/>
        <w:rPr>
          <w:bCs w:val="0"/>
        </w:rPr>
      </w:pPr>
    </w:p>
    <w:p w14:paraId="73639DAD">
      <w:pPr>
        <w:pStyle w:val="4"/>
        <w:spacing w:before="0" w:after="0" w:line="276" w:lineRule="auto"/>
        <w:ind w:left="2760" w:leftChars="1150" w:right="2760" w:rightChars="1150"/>
        <w:rPr>
          <w:bCs w:val="0"/>
        </w:rPr>
      </w:pPr>
    </w:p>
    <w:p w14:paraId="1D387804">
      <w:pPr>
        <w:pStyle w:val="4"/>
        <w:spacing w:before="0" w:after="0" w:line="276" w:lineRule="auto"/>
        <w:ind w:left="2760" w:leftChars="1150" w:right="2760" w:rightChars="1150"/>
        <w:rPr>
          <w:bCs w:val="0"/>
        </w:rPr>
      </w:pPr>
    </w:p>
    <w:p w14:paraId="5E63A601">
      <w:pPr>
        <w:pStyle w:val="4"/>
        <w:spacing w:before="0" w:after="0" w:line="276" w:lineRule="auto"/>
        <w:ind w:left="2760" w:leftChars="1150" w:right="2760" w:rightChars="1150"/>
        <w:rPr>
          <w:bCs w:val="0"/>
        </w:rPr>
      </w:pPr>
    </w:p>
    <w:p w14:paraId="7BEF99D8">
      <w:pPr>
        <w:pStyle w:val="4"/>
        <w:spacing w:before="0" w:after="0" w:line="276" w:lineRule="auto"/>
        <w:ind w:left="2760" w:leftChars="1150" w:right="2760" w:rightChars="1150"/>
        <w:rPr>
          <w:bCs w:val="0"/>
        </w:rPr>
      </w:pPr>
    </w:p>
    <w:p w14:paraId="72BCA594">
      <w:pPr>
        <w:pStyle w:val="4"/>
        <w:spacing w:before="0" w:after="0" w:line="276" w:lineRule="auto"/>
        <w:ind w:left="2760" w:leftChars="1150" w:right="2760" w:rightChars="1150"/>
        <w:rPr>
          <w:bCs w:val="0"/>
        </w:rPr>
      </w:pPr>
    </w:p>
    <w:p w14:paraId="69BAA4E6">
      <w:pPr>
        <w:pStyle w:val="4"/>
        <w:spacing w:before="0" w:after="0" w:line="276" w:lineRule="auto"/>
        <w:ind w:left="2760" w:leftChars="1150" w:right="2760" w:rightChars="1150"/>
        <w:rPr>
          <w:bCs w:val="0"/>
        </w:rPr>
      </w:pPr>
    </w:p>
    <w:p w14:paraId="759CBC25">
      <w:pPr>
        <w:pStyle w:val="4"/>
        <w:spacing w:before="0" w:after="0" w:line="276" w:lineRule="auto"/>
        <w:ind w:left="2760" w:leftChars="1150" w:right="2760" w:rightChars="1150"/>
        <w:rPr>
          <w:bCs w:val="0"/>
        </w:rPr>
      </w:pPr>
    </w:p>
    <w:p w14:paraId="16CEE64F">
      <w:pPr>
        <w:snapToGrid w:val="0"/>
        <w:jc w:val="center"/>
        <w:outlineLvl w:val="0"/>
        <w:rPr>
          <w:rFonts w:hint="eastAsia"/>
          <w:b/>
          <w:bCs/>
          <w:sz w:val="44"/>
          <w:szCs w:val="44"/>
        </w:rPr>
      </w:pPr>
      <w:bookmarkStart w:id="138" w:name="_Toc28969"/>
    </w:p>
    <w:p w14:paraId="6E0FD81B">
      <w:pPr>
        <w:snapToGrid w:val="0"/>
        <w:jc w:val="center"/>
        <w:outlineLvl w:val="0"/>
        <w:rPr>
          <w:rFonts w:hint="eastAsia"/>
          <w:b/>
          <w:bCs/>
          <w:sz w:val="44"/>
          <w:szCs w:val="44"/>
        </w:rPr>
      </w:pPr>
    </w:p>
    <w:p w14:paraId="516D824D">
      <w:pPr>
        <w:snapToGrid w:val="0"/>
        <w:jc w:val="center"/>
        <w:outlineLvl w:val="0"/>
        <w:rPr>
          <w:rFonts w:hint="eastAsia"/>
          <w:b/>
          <w:bCs/>
          <w:sz w:val="44"/>
          <w:szCs w:val="44"/>
        </w:rPr>
      </w:pPr>
    </w:p>
    <w:p w14:paraId="379669DC">
      <w:pPr>
        <w:snapToGrid w:val="0"/>
        <w:jc w:val="center"/>
        <w:outlineLvl w:val="0"/>
        <w:rPr>
          <w:rFonts w:hint="eastAsia"/>
          <w:b/>
          <w:bCs/>
          <w:sz w:val="44"/>
          <w:szCs w:val="44"/>
        </w:rPr>
      </w:pPr>
    </w:p>
    <w:p w14:paraId="05EEB23D">
      <w:pPr>
        <w:snapToGrid w:val="0"/>
        <w:jc w:val="center"/>
        <w:outlineLvl w:val="0"/>
        <w:rPr>
          <w:rFonts w:hint="eastAsia"/>
          <w:b/>
          <w:bCs/>
          <w:sz w:val="44"/>
          <w:szCs w:val="44"/>
        </w:rPr>
      </w:pPr>
    </w:p>
    <w:p w14:paraId="1BC9F256">
      <w:pPr>
        <w:snapToGrid w:val="0"/>
        <w:jc w:val="center"/>
        <w:outlineLvl w:val="0"/>
        <w:rPr>
          <w:rFonts w:hint="eastAsia"/>
          <w:b/>
          <w:bCs/>
          <w:sz w:val="44"/>
          <w:szCs w:val="44"/>
        </w:rPr>
      </w:pPr>
    </w:p>
    <w:p w14:paraId="50B72FB6">
      <w:pPr>
        <w:snapToGrid w:val="0"/>
        <w:jc w:val="center"/>
        <w:outlineLvl w:val="0"/>
        <w:rPr>
          <w:rFonts w:hint="eastAsia"/>
          <w:b/>
          <w:bCs/>
          <w:sz w:val="44"/>
          <w:szCs w:val="44"/>
        </w:rPr>
      </w:pPr>
    </w:p>
    <w:p w14:paraId="47886523">
      <w:pPr>
        <w:snapToGrid w:val="0"/>
        <w:jc w:val="center"/>
        <w:outlineLvl w:val="0"/>
        <w:rPr>
          <w:b/>
          <w:bCs/>
          <w:sz w:val="44"/>
          <w:szCs w:val="44"/>
        </w:rPr>
      </w:pPr>
      <w:r>
        <w:rPr>
          <w:rFonts w:hint="eastAsia"/>
          <w:b/>
          <w:bCs/>
          <w:sz w:val="44"/>
          <w:szCs w:val="44"/>
        </w:rPr>
        <w:t>第四章</w:t>
      </w:r>
      <w:bookmarkStart w:id="139" w:name="_Toc296088455"/>
      <w:r>
        <w:rPr>
          <w:rFonts w:hint="eastAsia"/>
          <w:b/>
          <w:bCs/>
          <w:sz w:val="44"/>
          <w:szCs w:val="44"/>
        </w:rPr>
        <w:t xml:space="preserve"> 评标办法</w:t>
      </w:r>
      <w:bookmarkEnd w:id="125"/>
      <w:bookmarkEnd w:id="131"/>
      <w:bookmarkEnd w:id="132"/>
      <w:bookmarkEnd w:id="133"/>
      <w:bookmarkEnd w:id="134"/>
      <w:bookmarkEnd w:id="135"/>
      <w:bookmarkEnd w:id="136"/>
      <w:bookmarkEnd w:id="137"/>
      <w:bookmarkEnd w:id="138"/>
      <w:bookmarkEnd w:id="139"/>
    </w:p>
    <w:p w14:paraId="720802C5">
      <w:pPr>
        <w:snapToGrid w:val="0"/>
        <w:rPr>
          <w:bCs/>
          <w:szCs w:val="21"/>
        </w:rPr>
      </w:pPr>
    </w:p>
    <w:p w14:paraId="274F7263">
      <w:pPr>
        <w:pStyle w:val="5"/>
        <w:snapToGrid w:val="0"/>
      </w:pPr>
      <w:r>
        <w:br w:type="page"/>
      </w:r>
      <w:bookmarkStart w:id="140" w:name="_Toc1396"/>
      <w:bookmarkStart w:id="141" w:name="_Toc1448"/>
      <w:bookmarkStart w:id="142" w:name="_Toc489214161"/>
      <w:bookmarkStart w:id="143" w:name="_Toc29333"/>
      <w:bookmarkStart w:id="144" w:name="_Toc321405338"/>
      <w:bookmarkStart w:id="145" w:name="_Toc167955087"/>
      <w:r>
        <w:t>1</w:t>
      </w:r>
      <w:r>
        <w:rPr>
          <w:rFonts w:hint="eastAsia"/>
        </w:rPr>
        <w:t>．编制依据</w:t>
      </w:r>
      <w:bookmarkEnd w:id="140"/>
      <w:bookmarkEnd w:id="141"/>
      <w:bookmarkEnd w:id="142"/>
      <w:bookmarkEnd w:id="143"/>
      <w:bookmarkEnd w:id="144"/>
    </w:p>
    <w:p w14:paraId="3AB3EA7F">
      <w:pPr>
        <w:snapToGrid w:val="0"/>
        <w:ind w:firstLine="480" w:firstLineChars="200"/>
        <w:rPr>
          <w:rFonts w:ascii="宋体" w:hAnsi="宋体"/>
        </w:rPr>
      </w:pPr>
      <w:r>
        <w:rPr>
          <w:rFonts w:hint="eastAsia" w:ascii="宋体" w:hAnsi="宋体"/>
        </w:rPr>
        <w:t>招标人根据《中华人民共和国招标投标法》《中华人民共和国招标投标法实施条例》等有关法律、法规及规定，结合本招标项目实际情况，制定本评标办法（以下简称“本办法”）</w:t>
      </w:r>
      <w:r>
        <w:rPr>
          <w:rFonts w:ascii="宋体" w:hAnsi="宋体"/>
        </w:rPr>
        <w:t>。</w:t>
      </w:r>
    </w:p>
    <w:p w14:paraId="409E7BA0">
      <w:pPr>
        <w:snapToGrid w:val="0"/>
        <w:jc w:val="left"/>
        <w:outlineLvl w:val="1"/>
        <w:rPr>
          <w:rFonts w:ascii="宋体" w:hAnsi="宋体" w:cs="宋体"/>
        </w:rPr>
      </w:pPr>
      <w:bookmarkStart w:id="146" w:name="_Toc17758"/>
      <w:bookmarkStart w:id="147" w:name="_Toc3960"/>
      <w:bookmarkStart w:id="148" w:name="_Toc14539"/>
      <w:bookmarkStart w:id="149" w:name="_Toc489214162"/>
      <w:r>
        <w:rPr>
          <w:rFonts w:hint="eastAsia"/>
        </w:rPr>
        <w:t>2．</w:t>
      </w:r>
      <w:r>
        <w:rPr>
          <w:rFonts w:ascii="宋体" w:hAnsi="宋体" w:cs="宋体"/>
          <w:b/>
        </w:rPr>
        <w:t>评标办法适用</w:t>
      </w:r>
    </w:p>
    <w:p w14:paraId="369E40B7">
      <w:pPr>
        <w:snapToGrid w:val="0"/>
        <w:ind w:firstLine="480" w:firstLineChars="200"/>
        <w:rPr>
          <w:rFonts w:ascii="宋体" w:hAnsi="宋体"/>
        </w:rPr>
      </w:pPr>
      <w:r>
        <w:rPr>
          <w:rFonts w:hint="eastAsia" w:ascii="宋体" w:hAnsi="宋体"/>
        </w:rPr>
        <w:t>本办法仅适用于本招标项目的评标活动</w:t>
      </w:r>
      <w:bookmarkEnd w:id="146"/>
      <w:bookmarkEnd w:id="147"/>
      <w:bookmarkEnd w:id="148"/>
      <w:bookmarkEnd w:id="149"/>
      <w:r>
        <w:rPr>
          <w:rFonts w:hint="eastAsia" w:ascii="宋体" w:hAnsi="宋体"/>
        </w:rPr>
        <w:t>。</w:t>
      </w:r>
    </w:p>
    <w:p w14:paraId="7B933B41">
      <w:pPr>
        <w:pStyle w:val="5"/>
        <w:snapToGrid w:val="0"/>
      </w:pPr>
      <w:bookmarkStart w:id="150" w:name="_Toc4960"/>
      <w:bookmarkStart w:id="151" w:name="_Toc20840"/>
      <w:bookmarkStart w:id="152" w:name="_Toc489214163"/>
      <w:bookmarkStart w:id="153" w:name="_Toc9978"/>
      <w:r>
        <w:rPr>
          <w:rFonts w:hint="eastAsia"/>
        </w:rPr>
        <w:t>3．</w:t>
      </w:r>
      <w:r>
        <w:t>评标方法</w:t>
      </w:r>
      <w:bookmarkEnd w:id="150"/>
      <w:bookmarkEnd w:id="151"/>
      <w:bookmarkEnd w:id="152"/>
      <w:bookmarkEnd w:id="153"/>
    </w:p>
    <w:p w14:paraId="37211B8F">
      <w:pPr>
        <w:snapToGrid w:val="0"/>
        <w:ind w:firstLine="480" w:firstLineChars="200"/>
        <w:rPr>
          <w:rFonts w:ascii="宋体" w:hAnsi="宋体"/>
        </w:rPr>
      </w:pPr>
      <w:bookmarkStart w:id="154" w:name="_Toc321405339"/>
      <w:r>
        <w:rPr>
          <w:rFonts w:hint="eastAsia" w:ascii="宋体" w:hAnsi="宋体"/>
        </w:rPr>
        <w:t>本</w:t>
      </w:r>
      <w:bookmarkEnd w:id="154"/>
      <w:bookmarkStart w:id="155" w:name="_Toc321405340"/>
      <w:r>
        <w:rPr>
          <w:rFonts w:hint="eastAsia" w:ascii="宋体" w:hAnsi="宋体"/>
        </w:rPr>
        <w:t>次评标采用综合评估法。评标委员会对满足招标文件实质性要求的投标文件，按照本章规定的评分标准进行打分，并按得分由高到低顺序推荐中标候选人。</w:t>
      </w:r>
    </w:p>
    <w:p w14:paraId="79C31975">
      <w:pPr>
        <w:pStyle w:val="5"/>
        <w:snapToGrid w:val="0"/>
      </w:pPr>
      <w:bookmarkStart w:id="156" w:name="_Toc29016"/>
      <w:bookmarkStart w:id="157" w:name="_Toc489214164"/>
      <w:bookmarkStart w:id="158" w:name="_Toc4669"/>
      <w:bookmarkStart w:id="159" w:name="_Toc21446"/>
      <w:r>
        <w:rPr>
          <w:rFonts w:hint="eastAsia"/>
        </w:rPr>
        <w:t>4．</w:t>
      </w:r>
      <w:r>
        <w:t>评标委员会</w:t>
      </w:r>
      <w:bookmarkEnd w:id="155"/>
      <w:bookmarkEnd w:id="156"/>
      <w:bookmarkEnd w:id="157"/>
      <w:bookmarkEnd w:id="158"/>
      <w:bookmarkEnd w:id="159"/>
    </w:p>
    <w:p w14:paraId="71E1FD12">
      <w:pPr>
        <w:snapToGrid w:val="0"/>
        <w:ind w:firstLine="480" w:firstLineChars="200"/>
        <w:rPr>
          <w:rFonts w:ascii="宋体" w:hAnsi="宋体"/>
        </w:rPr>
      </w:pPr>
      <w:bookmarkStart w:id="160" w:name="_Toc321405344"/>
      <w:r>
        <w:rPr>
          <w:rFonts w:hint="eastAsia" w:ascii="宋体" w:hAnsi="宋体"/>
        </w:rPr>
        <w:t>4.1</w:t>
      </w:r>
      <w:r>
        <w:rPr>
          <w:rFonts w:ascii="宋体" w:hAnsi="宋体"/>
        </w:rPr>
        <w:t>评标活动由招标人依法组建的评标委员会负责。</w:t>
      </w:r>
      <w:r>
        <w:rPr>
          <w:rFonts w:hint="eastAsia" w:ascii="宋体" w:hAnsi="宋体"/>
        </w:rPr>
        <w:t>评标委员会</w:t>
      </w:r>
      <w:r>
        <w:rPr>
          <w:rFonts w:ascii="宋体" w:hAnsi="宋体"/>
        </w:rPr>
        <w:t>由招标人代表</w:t>
      </w:r>
      <w:r>
        <w:rPr>
          <w:rFonts w:hint="eastAsia" w:ascii="宋体" w:hAnsi="宋体"/>
        </w:rPr>
        <w:t>和有关</w:t>
      </w:r>
      <w:r>
        <w:rPr>
          <w:rFonts w:ascii="宋体" w:hAnsi="宋体"/>
        </w:rPr>
        <w:t>经济、技术</w:t>
      </w:r>
      <w:r>
        <w:rPr>
          <w:rFonts w:hint="eastAsia" w:ascii="宋体" w:hAnsi="宋体"/>
        </w:rPr>
        <w:t>等</w:t>
      </w:r>
      <w:r>
        <w:rPr>
          <w:rFonts w:ascii="宋体" w:hAnsi="宋体"/>
        </w:rPr>
        <w:t>方面的专家</w:t>
      </w:r>
      <w:r>
        <w:rPr>
          <w:rFonts w:hint="eastAsia" w:ascii="宋体" w:hAnsi="宋体"/>
        </w:rPr>
        <w:t>组成，成员人数见第二章“投标人须知”第6.1款的规定。</w:t>
      </w:r>
    </w:p>
    <w:p w14:paraId="3699A8A2">
      <w:pPr>
        <w:snapToGrid w:val="0"/>
        <w:ind w:firstLine="480" w:firstLineChars="200"/>
        <w:rPr>
          <w:rFonts w:ascii="宋体" w:hAnsi="宋体"/>
        </w:rPr>
      </w:pPr>
      <w:r>
        <w:rPr>
          <w:rFonts w:hint="eastAsia" w:ascii="宋体" w:hAnsi="宋体"/>
        </w:rPr>
        <w:t>4.2</w:t>
      </w:r>
      <w:r>
        <w:rPr>
          <w:rFonts w:ascii="宋体" w:hAnsi="宋体"/>
        </w:rPr>
        <w:t>评标委员会中的招标人代表应当是</w:t>
      </w:r>
      <w:r>
        <w:rPr>
          <w:rFonts w:hint="eastAsia" w:ascii="宋体" w:hAnsi="宋体"/>
        </w:rPr>
        <w:t>招标人委派的</w:t>
      </w:r>
      <w:r>
        <w:rPr>
          <w:rFonts w:ascii="宋体" w:hAnsi="宋体"/>
        </w:rPr>
        <w:t>熟悉相关业务的人员。</w:t>
      </w:r>
      <w:bookmarkEnd w:id="160"/>
      <w:r>
        <w:rPr>
          <w:rFonts w:hint="eastAsia" w:ascii="宋体" w:hAnsi="宋体"/>
        </w:rPr>
        <w:t>招标人代表和监督人发现其他评标委员会成员不按照本章规定的评标标准和方法评标的，应当及时提醒、劝阻并及时向企业招投标监管部门报告。</w:t>
      </w:r>
    </w:p>
    <w:p w14:paraId="43C0BA07">
      <w:pPr>
        <w:pStyle w:val="5"/>
        <w:snapToGrid w:val="0"/>
      </w:pPr>
      <w:bookmarkStart w:id="161" w:name="_Toc321405349"/>
      <w:bookmarkStart w:id="162" w:name="_Toc4207"/>
      <w:bookmarkStart w:id="163" w:name="_Toc489214165"/>
      <w:bookmarkStart w:id="164" w:name="_Toc2690"/>
      <w:bookmarkStart w:id="165" w:name="_Toc22592"/>
      <w:r>
        <w:rPr>
          <w:rFonts w:hint="eastAsia"/>
        </w:rPr>
        <w:t>5．</w:t>
      </w:r>
      <w:r>
        <w:t>评标依据</w:t>
      </w:r>
      <w:bookmarkEnd w:id="161"/>
      <w:bookmarkEnd w:id="162"/>
      <w:bookmarkEnd w:id="163"/>
      <w:bookmarkEnd w:id="164"/>
      <w:bookmarkEnd w:id="165"/>
    </w:p>
    <w:p w14:paraId="103FF368">
      <w:pPr>
        <w:snapToGrid w:val="0"/>
        <w:ind w:firstLine="480" w:firstLineChars="200"/>
        <w:rPr>
          <w:rFonts w:ascii="宋体" w:hAnsi="宋体"/>
        </w:rPr>
      </w:pPr>
      <w:bookmarkStart w:id="166" w:name="_Toc321405352"/>
      <w:r>
        <w:rPr>
          <w:rFonts w:ascii="宋体" w:hAnsi="宋体"/>
        </w:rPr>
        <w:t>评标委员会应当依据本办法对投标文件进行评审。招标文件中没有规定的标准和方法不得作为评标依据。</w:t>
      </w:r>
      <w:bookmarkEnd w:id="166"/>
    </w:p>
    <w:p w14:paraId="47DD91E1">
      <w:pPr>
        <w:pStyle w:val="5"/>
        <w:snapToGrid w:val="0"/>
      </w:pPr>
      <w:bookmarkStart w:id="167" w:name="_Toc27394"/>
      <w:bookmarkStart w:id="168" w:name="_Toc321405353"/>
      <w:bookmarkStart w:id="169" w:name="_Toc16840"/>
      <w:bookmarkStart w:id="170" w:name="_Toc17750"/>
      <w:bookmarkStart w:id="171" w:name="_Toc489214166"/>
      <w:r>
        <w:rPr>
          <w:rFonts w:hint="eastAsia"/>
        </w:rPr>
        <w:t>6．</w:t>
      </w:r>
      <w:bookmarkEnd w:id="167"/>
      <w:bookmarkEnd w:id="168"/>
      <w:bookmarkEnd w:id="169"/>
      <w:bookmarkEnd w:id="170"/>
      <w:bookmarkEnd w:id="171"/>
      <w:bookmarkStart w:id="172" w:name="_Toc321405359"/>
      <w:bookmarkStart w:id="173" w:name="_Toc28192"/>
      <w:bookmarkStart w:id="174" w:name="_Toc9809"/>
      <w:bookmarkStart w:id="175" w:name="_Toc489214167"/>
      <w:bookmarkStart w:id="176" w:name="_Toc16028"/>
      <w:r>
        <w:rPr>
          <w:rFonts w:hint="eastAsia"/>
        </w:rPr>
        <w:t>评标工作程序</w:t>
      </w:r>
      <w:bookmarkEnd w:id="172"/>
      <w:bookmarkEnd w:id="173"/>
      <w:bookmarkEnd w:id="174"/>
      <w:bookmarkEnd w:id="175"/>
      <w:bookmarkEnd w:id="176"/>
    </w:p>
    <w:p w14:paraId="33E4D876">
      <w:pPr>
        <w:snapToGrid w:val="0"/>
        <w:ind w:firstLine="480" w:firstLineChars="200"/>
        <w:rPr>
          <w:rFonts w:ascii="宋体" w:hAnsi="宋体"/>
        </w:rPr>
      </w:pPr>
      <w:bookmarkStart w:id="177" w:name="_Toc321405360"/>
      <w:r>
        <w:rPr>
          <w:rFonts w:hint="eastAsia" w:ascii="宋体" w:hAnsi="宋体"/>
          <w:bCs/>
          <w:kern w:val="0"/>
        </w:rPr>
        <w:t>6.1</w:t>
      </w:r>
      <w:r>
        <w:rPr>
          <w:rFonts w:ascii="宋体" w:hAnsi="宋体"/>
          <w:bCs/>
          <w:kern w:val="0"/>
        </w:rPr>
        <w:t>按照以下程序</w:t>
      </w:r>
      <w:r>
        <w:rPr>
          <w:rFonts w:hint="eastAsia" w:ascii="宋体" w:hAnsi="宋体"/>
          <w:bCs/>
          <w:kern w:val="0"/>
        </w:rPr>
        <w:t>开展</w:t>
      </w:r>
      <w:r>
        <w:rPr>
          <w:rFonts w:ascii="宋体" w:hAnsi="宋体"/>
          <w:bCs/>
          <w:kern w:val="0"/>
        </w:rPr>
        <w:t>评标</w:t>
      </w:r>
      <w:r>
        <w:rPr>
          <w:rFonts w:hint="eastAsia" w:ascii="宋体" w:hAnsi="宋体"/>
          <w:bCs/>
          <w:kern w:val="0"/>
        </w:rPr>
        <w:t>工作</w:t>
      </w:r>
      <w:r>
        <w:rPr>
          <w:rFonts w:ascii="宋体" w:hAnsi="宋体"/>
          <w:bCs/>
          <w:kern w:val="0"/>
        </w:rPr>
        <w:t>：</w:t>
      </w:r>
      <w:bookmarkEnd w:id="177"/>
    </w:p>
    <w:p w14:paraId="69C4CCD2">
      <w:pPr>
        <w:snapToGrid w:val="0"/>
        <w:ind w:left="480"/>
        <w:rPr>
          <w:rFonts w:ascii="宋体" w:hAnsi="宋体"/>
        </w:rPr>
      </w:pPr>
      <w:r>
        <w:rPr>
          <w:rFonts w:hint="eastAsia" w:ascii="宋体" w:hAnsi="宋体"/>
        </w:rPr>
        <w:t>（1）初步评审；</w:t>
      </w:r>
    </w:p>
    <w:p w14:paraId="69C4CB0F">
      <w:pPr>
        <w:snapToGrid w:val="0"/>
        <w:ind w:left="480"/>
        <w:rPr>
          <w:rFonts w:ascii="楷体" w:hAnsi="楷体" w:eastAsia="楷体"/>
          <w:sz w:val="21"/>
          <w:szCs w:val="21"/>
        </w:rPr>
      </w:pPr>
      <w:r>
        <w:rPr>
          <w:rFonts w:hint="eastAsia" w:ascii="宋体" w:hAnsi="宋体"/>
        </w:rPr>
        <w:t>（2）详细评审；</w:t>
      </w:r>
    </w:p>
    <w:p w14:paraId="00482C03">
      <w:pPr>
        <w:snapToGrid w:val="0"/>
        <w:ind w:left="480"/>
        <w:rPr>
          <w:rFonts w:ascii="宋体" w:hAnsi="宋体"/>
        </w:rPr>
      </w:pPr>
      <w:r>
        <w:rPr>
          <w:rFonts w:hint="eastAsia" w:ascii="宋体" w:hAnsi="宋体"/>
        </w:rPr>
        <w:t>（3）</w:t>
      </w:r>
      <w:r>
        <w:rPr>
          <w:rFonts w:ascii="宋体" w:hAnsi="宋体"/>
        </w:rPr>
        <w:t>汇总评审结果；</w:t>
      </w:r>
    </w:p>
    <w:p w14:paraId="04B345A7">
      <w:pPr>
        <w:snapToGrid w:val="0"/>
        <w:ind w:left="480"/>
        <w:rPr>
          <w:rFonts w:ascii="宋体" w:hAnsi="宋体"/>
        </w:rPr>
      </w:pPr>
      <w:r>
        <w:rPr>
          <w:rFonts w:hint="eastAsia" w:ascii="宋体" w:hAnsi="宋体"/>
        </w:rPr>
        <w:t>（4）</w:t>
      </w:r>
      <w:r>
        <w:rPr>
          <w:rFonts w:ascii="宋体" w:hAnsi="宋体"/>
        </w:rPr>
        <w:t>推荐中标候选人；</w:t>
      </w:r>
    </w:p>
    <w:p w14:paraId="2C481812">
      <w:pPr>
        <w:snapToGrid w:val="0"/>
        <w:ind w:left="480"/>
        <w:rPr>
          <w:rFonts w:ascii="宋体" w:hAnsi="宋体"/>
        </w:rPr>
      </w:pPr>
      <w:bookmarkStart w:id="178" w:name="_Toc321405361"/>
      <w:r>
        <w:rPr>
          <w:rFonts w:hint="eastAsia" w:ascii="宋体" w:hAnsi="宋体"/>
        </w:rPr>
        <w:t>（5）</w:t>
      </w:r>
      <w:r>
        <w:rPr>
          <w:rFonts w:ascii="宋体" w:hAnsi="宋体"/>
        </w:rPr>
        <w:t>编</w:t>
      </w:r>
      <w:r>
        <w:rPr>
          <w:rFonts w:hint="eastAsia" w:ascii="宋体" w:hAnsi="宋体"/>
        </w:rPr>
        <w:t>制</w:t>
      </w:r>
      <w:r>
        <w:rPr>
          <w:rFonts w:ascii="宋体" w:hAnsi="宋体"/>
        </w:rPr>
        <w:t>评标报告。</w:t>
      </w:r>
      <w:bookmarkEnd w:id="178"/>
    </w:p>
    <w:p w14:paraId="1C8CD672">
      <w:pPr>
        <w:snapToGrid w:val="0"/>
        <w:jc w:val="left"/>
        <w:outlineLvl w:val="1"/>
        <w:rPr>
          <w:rFonts w:ascii="宋体" w:hAnsi="宋体" w:cs="宋体"/>
        </w:rPr>
      </w:pPr>
      <w:bookmarkStart w:id="179" w:name="_Toc25000"/>
      <w:bookmarkStart w:id="180" w:name="_Toc321405362"/>
      <w:bookmarkStart w:id="181" w:name="_Toc6881"/>
      <w:bookmarkStart w:id="182" w:name="_Toc23392"/>
      <w:bookmarkStart w:id="183" w:name="_Toc489214168"/>
      <w:r>
        <w:rPr>
          <w:rFonts w:hint="eastAsia" w:ascii="宋体" w:hAnsi="宋体"/>
        </w:rPr>
        <w:t>7．</w:t>
      </w:r>
      <w:r>
        <w:rPr>
          <w:rFonts w:ascii="宋体" w:hAnsi="宋体" w:cs="宋体"/>
          <w:b/>
        </w:rPr>
        <w:t>评标委员会负责人</w:t>
      </w:r>
    </w:p>
    <w:p w14:paraId="6BADEBDC">
      <w:pPr>
        <w:snapToGrid w:val="0"/>
        <w:ind w:left="480"/>
        <w:rPr>
          <w:rFonts w:ascii="宋体" w:hAnsi="宋体"/>
        </w:rPr>
      </w:pPr>
      <w:r>
        <w:rPr>
          <w:rFonts w:hint="eastAsia" w:ascii="宋体" w:hAnsi="宋体"/>
        </w:rPr>
        <w:t xml:space="preserve">7.1评标委员会负责人与评标委员会其他成员具有同等的评标权力。 </w:t>
      </w:r>
    </w:p>
    <w:p w14:paraId="519D728C">
      <w:pPr>
        <w:snapToGrid w:val="0"/>
        <w:ind w:left="480"/>
        <w:rPr>
          <w:rFonts w:ascii="宋体" w:hAnsi="宋体"/>
        </w:rPr>
      </w:pPr>
      <w:r>
        <w:rPr>
          <w:rFonts w:hint="eastAsia" w:ascii="宋体" w:hAnsi="宋体"/>
        </w:rPr>
        <w:t xml:space="preserve">7.2评标委员会负责人除履行自己作为评标委员会成员独立评标的职责外，主要负责以下工作：  </w:t>
      </w:r>
    </w:p>
    <w:p w14:paraId="7CFCEE96">
      <w:pPr>
        <w:snapToGrid w:val="0"/>
        <w:ind w:left="480"/>
        <w:rPr>
          <w:rFonts w:ascii="宋体" w:hAnsi="宋体"/>
        </w:rPr>
      </w:pPr>
      <w:r>
        <w:rPr>
          <w:rFonts w:hint="eastAsia" w:ascii="宋体" w:hAnsi="宋体"/>
        </w:rPr>
        <w:t xml:space="preserve">（1）组织评标委员会成员学习招标文件及其补充、修改、澄清文件； </w:t>
      </w:r>
    </w:p>
    <w:p w14:paraId="5644AE39">
      <w:pPr>
        <w:snapToGrid w:val="0"/>
        <w:ind w:left="480"/>
        <w:rPr>
          <w:rFonts w:ascii="宋体" w:hAnsi="宋体"/>
        </w:rPr>
      </w:pPr>
      <w:r>
        <w:rPr>
          <w:rFonts w:hint="eastAsia" w:ascii="宋体" w:hAnsi="宋体"/>
        </w:rPr>
        <w:t xml:space="preserve">（2）组织评标委员会成员进行评审； </w:t>
      </w:r>
    </w:p>
    <w:p w14:paraId="4C051BE6">
      <w:pPr>
        <w:snapToGrid w:val="0"/>
        <w:ind w:left="480"/>
        <w:rPr>
          <w:rFonts w:ascii="宋体" w:hAnsi="宋体"/>
        </w:rPr>
      </w:pPr>
      <w:r>
        <w:rPr>
          <w:rFonts w:hint="eastAsia" w:ascii="宋体" w:hAnsi="宋体"/>
        </w:rPr>
        <w:t xml:space="preserve">（3）汇总各评标委员会成员认为需要投标人澄清、说明的问题； </w:t>
      </w:r>
    </w:p>
    <w:p w14:paraId="6AED3C3B">
      <w:pPr>
        <w:snapToGrid w:val="0"/>
        <w:ind w:left="480"/>
        <w:rPr>
          <w:rFonts w:ascii="宋体" w:hAnsi="宋体"/>
        </w:rPr>
      </w:pPr>
      <w:r>
        <w:rPr>
          <w:rFonts w:hint="eastAsia" w:ascii="宋体" w:hAnsi="宋体"/>
        </w:rPr>
        <w:t xml:space="preserve">（4）组织评标委员会对投标人的澄清、说明进行评审； </w:t>
      </w:r>
    </w:p>
    <w:p w14:paraId="1F02F356">
      <w:pPr>
        <w:snapToGrid w:val="0"/>
        <w:ind w:left="480"/>
        <w:rPr>
          <w:rFonts w:ascii="宋体" w:hAnsi="宋体"/>
        </w:rPr>
      </w:pPr>
      <w:r>
        <w:rPr>
          <w:rFonts w:hint="eastAsia" w:ascii="宋体" w:hAnsi="宋体"/>
        </w:rPr>
        <w:t xml:space="preserve">（5）对出现较大争议的事项进行记录； </w:t>
      </w:r>
    </w:p>
    <w:p w14:paraId="49970AD0">
      <w:pPr>
        <w:snapToGrid w:val="0"/>
        <w:ind w:left="480"/>
        <w:rPr>
          <w:rFonts w:ascii="宋体" w:hAnsi="宋体"/>
        </w:rPr>
      </w:pPr>
      <w:r>
        <w:rPr>
          <w:rFonts w:hint="eastAsia" w:ascii="宋体" w:hAnsi="宋体"/>
        </w:rPr>
        <w:t xml:space="preserve">（6）查验评审记录的完整性及有效性； </w:t>
      </w:r>
    </w:p>
    <w:p w14:paraId="6AA2E264">
      <w:pPr>
        <w:snapToGrid w:val="0"/>
        <w:ind w:left="480"/>
        <w:rPr>
          <w:rFonts w:ascii="宋体" w:hAnsi="宋体"/>
        </w:rPr>
      </w:pPr>
      <w:r>
        <w:rPr>
          <w:rFonts w:hint="eastAsia" w:ascii="宋体" w:hAnsi="宋体"/>
        </w:rPr>
        <w:t>（7）组织编写评标报告</w:t>
      </w:r>
      <w:bookmarkEnd w:id="179"/>
      <w:bookmarkEnd w:id="180"/>
      <w:bookmarkEnd w:id="181"/>
      <w:bookmarkEnd w:id="182"/>
      <w:bookmarkEnd w:id="183"/>
      <w:r>
        <w:rPr>
          <w:rFonts w:hint="eastAsia" w:ascii="宋体" w:hAnsi="宋体"/>
        </w:rPr>
        <w:t>。</w:t>
      </w:r>
    </w:p>
    <w:p w14:paraId="3A7D07AB">
      <w:pPr>
        <w:pStyle w:val="5"/>
        <w:snapToGrid w:val="0"/>
      </w:pPr>
      <w:bookmarkStart w:id="184" w:name="_Toc489214169"/>
      <w:bookmarkStart w:id="185" w:name="_Toc15551"/>
      <w:bookmarkStart w:id="186" w:name="_Toc20678"/>
      <w:bookmarkStart w:id="187" w:name="_Toc17016"/>
      <w:r>
        <w:rPr>
          <w:rFonts w:hint="eastAsia"/>
        </w:rPr>
        <w:t>8. 否决投标的情形</w:t>
      </w:r>
      <w:bookmarkEnd w:id="184"/>
      <w:bookmarkEnd w:id="185"/>
      <w:bookmarkEnd w:id="186"/>
      <w:bookmarkEnd w:id="187"/>
    </w:p>
    <w:p w14:paraId="0EF86E55">
      <w:pPr>
        <w:snapToGrid w:val="0"/>
        <w:ind w:firstLine="480" w:firstLineChars="200"/>
        <w:rPr>
          <w:rFonts w:ascii="宋体" w:hAnsi="宋体"/>
          <w:bCs/>
          <w:kern w:val="0"/>
        </w:rPr>
      </w:pPr>
      <w:r>
        <w:rPr>
          <w:rFonts w:hint="eastAsia" w:ascii="宋体" w:hAnsi="宋体"/>
          <w:bCs/>
          <w:kern w:val="0"/>
        </w:rPr>
        <w:t xml:space="preserve">8.1否决投标的情形见本章附件1。 </w:t>
      </w:r>
    </w:p>
    <w:p w14:paraId="41855A49">
      <w:pPr>
        <w:snapToGrid w:val="0"/>
        <w:ind w:firstLine="480" w:firstLineChars="200"/>
        <w:rPr>
          <w:rFonts w:ascii="宋体" w:hAnsi="宋体"/>
          <w:bCs/>
          <w:kern w:val="0"/>
        </w:rPr>
      </w:pPr>
      <w:r>
        <w:rPr>
          <w:rFonts w:hint="eastAsia" w:ascii="宋体" w:hAnsi="宋体"/>
          <w:bCs/>
          <w:kern w:val="0"/>
        </w:rPr>
        <w:t xml:space="preserve">8.2否决投标的情形须在本章附件1和评标标准中予以明确。 </w:t>
      </w:r>
    </w:p>
    <w:p w14:paraId="60D53C2D">
      <w:pPr>
        <w:snapToGrid w:val="0"/>
        <w:ind w:firstLine="480" w:firstLineChars="200"/>
        <w:rPr>
          <w:rFonts w:ascii="宋体" w:hAnsi="宋体"/>
          <w:bCs/>
          <w:kern w:val="0"/>
        </w:rPr>
      </w:pPr>
      <w:r>
        <w:rPr>
          <w:rFonts w:hint="eastAsia" w:ascii="宋体" w:hAnsi="宋体"/>
          <w:bCs/>
          <w:kern w:val="0"/>
        </w:rPr>
        <w:t>8.3本章附件1集中列示的否决投标的情形不应与初步评审中包括的否决投标的条件抵触，如果出现相互矛盾的情况，以本章附件1集中列示的条件为准。</w:t>
      </w:r>
    </w:p>
    <w:p w14:paraId="4E508017">
      <w:pPr>
        <w:pStyle w:val="5"/>
        <w:snapToGrid w:val="0"/>
      </w:pPr>
      <w:bookmarkStart w:id="188" w:name="_Toc489214171"/>
      <w:bookmarkStart w:id="189" w:name="_Toc7972"/>
      <w:bookmarkStart w:id="190" w:name="_Toc27733"/>
      <w:bookmarkStart w:id="191" w:name="_Toc3993"/>
      <w:r>
        <w:rPr>
          <w:rFonts w:hint="eastAsia"/>
        </w:rPr>
        <w:t>9．初步评审</w:t>
      </w:r>
      <w:bookmarkEnd w:id="188"/>
      <w:bookmarkEnd w:id="189"/>
      <w:bookmarkEnd w:id="190"/>
      <w:bookmarkEnd w:id="191"/>
    </w:p>
    <w:p w14:paraId="0B6B987A">
      <w:pPr>
        <w:snapToGrid w:val="0"/>
        <w:ind w:firstLine="480" w:firstLineChars="200"/>
        <w:rPr>
          <w:rFonts w:ascii="宋体" w:hAnsi="宋体"/>
          <w:bCs/>
        </w:rPr>
      </w:pPr>
      <w:r>
        <w:rPr>
          <w:rFonts w:hint="eastAsia" w:ascii="宋体" w:hAnsi="宋体"/>
          <w:bCs/>
        </w:rPr>
        <w:t>9.1初步评审内容包括形式评审、资格评审、响应性评审，评审因素、评审标准、评审依据等见本章附件2-1“初步评审标准及记录表”、附件2-2“初步评审标准及记录表（其他情形）”。</w:t>
      </w:r>
    </w:p>
    <w:p w14:paraId="4A30A414">
      <w:pPr>
        <w:snapToGrid w:val="0"/>
        <w:ind w:firstLine="480" w:firstLineChars="200"/>
        <w:rPr>
          <w:rFonts w:ascii="宋体" w:hAnsi="宋体"/>
          <w:bCs/>
        </w:rPr>
      </w:pPr>
      <w:r>
        <w:rPr>
          <w:rFonts w:hint="eastAsia" w:ascii="宋体" w:hAnsi="宋体"/>
          <w:bCs/>
        </w:rPr>
        <w:t>9.1.1未进行资格预审的初步评审程序和相关规定：</w:t>
      </w:r>
    </w:p>
    <w:p w14:paraId="6421D567">
      <w:pPr>
        <w:snapToGrid w:val="0"/>
        <w:ind w:firstLine="480" w:firstLineChars="200"/>
        <w:rPr>
          <w:rFonts w:ascii="宋体" w:hAnsi="宋体"/>
          <w:bCs/>
        </w:rPr>
      </w:pPr>
      <w:r>
        <w:rPr>
          <w:rFonts w:hint="eastAsia" w:ascii="宋体" w:hAnsi="宋体"/>
          <w:bCs/>
        </w:rPr>
        <w:t xml:space="preserve">（1）评标委员会依据初步评审标准及记录表中规定的评审标准，对投标文件进行形式评审、资格评审、响应性评审等。 </w:t>
      </w:r>
    </w:p>
    <w:p w14:paraId="1B4FE1E9">
      <w:pPr>
        <w:snapToGrid w:val="0"/>
        <w:ind w:firstLine="480" w:firstLineChars="200"/>
        <w:rPr>
          <w:rFonts w:ascii="宋体" w:hAnsi="宋体"/>
          <w:bCs/>
        </w:rPr>
      </w:pPr>
      <w:r>
        <w:rPr>
          <w:rFonts w:hint="eastAsia" w:ascii="宋体" w:hAnsi="宋体"/>
          <w:bCs/>
        </w:rPr>
        <w:t>（2）由资格预审变更为资格后审的，招标文件中确定的资格及评审标准等要求，应与本招标项目的资格预审公告、资格预审文件中的相应内容一致。</w:t>
      </w:r>
    </w:p>
    <w:p w14:paraId="1BC7CDF1">
      <w:pPr>
        <w:snapToGrid w:val="0"/>
        <w:ind w:firstLine="480" w:firstLineChars="200"/>
        <w:rPr>
          <w:rFonts w:ascii="宋体" w:hAnsi="宋体"/>
          <w:bCs/>
        </w:rPr>
      </w:pPr>
      <w:r>
        <w:rPr>
          <w:rFonts w:hint="eastAsia" w:ascii="宋体" w:hAnsi="宋体"/>
          <w:bCs/>
        </w:rPr>
        <w:t xml:space="preserve">9.1.2评标委员会依据初步评审标准及记录表中规定的评审标准、评审依据，对所有投标文件进行初步评审，并根据本办法规定的否决投标条件，审定每份投标文件是否响应招标文件规定的实质性要求和条件。有一项不符合评审标准的，评标委员会应当否决其投标。 </w:t>
      </w:r>
    </w:p>
    <w:p w14:paraId="7186F139">
      <w:pPr>
        <w:snapToGrid w:val="0"/>
        <w:ind w:firstLine="480" w:firstLineChars="200"/>
        <w:rPr>
          <w:rFonts w:ascii="宋体" w:hAnsi="宋体"/>
          <w:bCs/>
        </w:rPr>
      </w:pPr>
      <w:r>
        <w:rPr>
          <w:rFonts w:hint="eastAsia" w:ascii="宋体" w:hAnsi="宋体"/>
          <w:bCs/>
        </w:rPr>
        <w:t xml:space="preserve">9.1.3评标委员会应当拒绝不响应招标文件规定的实质性要求和条件的投标文件，并且不允许相关投标人通过修正或撤销其不符合要求的差异或保留，使其成为具有响应性的投标。初步评审时被拒绝的投标文件，不再进入详细评审。 </w:t>
      </w:r>
    </w:p>
    <w:p w14:paraId="78BFFD42">
      <w:pPr>
        <w:snapToGrid w:val="0"/>
        <w:ind w:firstLine="480" w:firstLineChars="200"/>
        <w:rPr>
          <w:rFonts w:ascii="宋体" w:hAnsi="宋体"/>
          <w:bCs/>
        </w:rPr>
      </w:pPr>
      <w:r>
        <w:rPr>
          <w:rFonts w:hint="eastAsia" w:ascii="宋体" w:hAnsi="宋体"/>
          <w:bCs/>
        </w:rPr>
        <w:t>9.2若在初步评审时有不能通过初步审查的情况发生，评标委员会应对全部未通过初步审查等情况进行汇总。汇总表格式见本章附件2-3。</w:t>
      </w:r>
    </w:p>
    <w:p w14:paraId="1DE52EEA">
      <w:pPr>
        <w:pStyle w:val="5"/>
        <w:snapToGrid w:val="0"/>
      </w:pPr>
      <w:bookmarkStart w:id="192" w:name="_Toc489214172"/>
      <w:bookmarkStart w:id="193" w:name="_Toc13349"/>
      <w:bookmarkStart w:id="194" w:name="_Toc8817"/>
      <w:bookmarkStart w:id="195" w:name="_Toc13139"/>
      <w:r>
        <w:rPr>
          <w:rFonts w:hint="eastAsia"/>
        </w:rPr>
        <w:t>10.详细评审</w:t>
      </w:r>
      <w:bookmarkEnd w:id="192"/>
      <w:bookmarkEnd w:id="193"/>
      <w:bookmarkEnd w:id="194"/>
      <w:bookmarkEnd w:id="195"/>
      <w:bookmarkStart w:id="196" w:name="_Toc439161144"/>
    </w:p>
    <w:bookmarkEnd w:id="196"/>
    <w:p w14:paraId="2AD8B752">
      <w:pPr>
        <w:snapToGrid w:val="0"/>
        <w:ind w:firstLine="480" w:firstLineChars="200"/>
        <w:rPr>
          <w:rFonts w:ascii="宋体" w:hAnsi="宋体"/>
          <w:bCs/>
          <w:kern w:val="0"/>
        </w:rPr>
      </w:pPr>
      <w:r>
        <w:rPr>
          <w:rFonts w:hint="eastAsia" w:ascii="宋体" w:hAnsi="宋体"/>
          <w:bCs/>
          <w:kern w:val="0"/>
        </w:rPr>
        <w:t>10.1详细评审的评分项目、评分标准、依据等详见本章附件3-1“详细评审标准及计分表”、 附件3-2“评分汇总及得分记录表”。</w:t>
      </w:r>
    </w:p>
    <w:p w14:paraId="124649C4">
      <w:pPr>
        <w:snapToGrid w:val="0"/>
        <w:ind w:firstLine="480" w:firstLineChars="200"/>
        <w:rPr>
          <w:rFonts w:ascii="宋体" w:hAnsi="宋体"/>
          <w:bCs/>
          <w:kern w:val="0"/>
        </w:rPr>
      </w:pPr>
      <w:r>
        <w:rPr>
          <w:rFonts w:hint="eastAsia" w:ascii="宋体" w:hAnsi="宋体"/>
          <w:bCs/>
          <w:kern w:val="0"/>
        </w:rPr>
        <w:t>10.2评标委员会将对经上述评审合格的投标文件的投标报价进行校核，并对算术性错误予以修正。对投标报价表的算术性错误分析和修正的原则如下：</w:t>
      </w:r>
    </w:p>
    <w:p w14:paraId="4061649C">
      <w:pPr>
        <w:snapToGrid w:val="0"/>
        <w:ind w:firstLine="480" w:firstLineChars="200"/>
        <w:rPr>
          <w:rFonts w:ascii="宋体" w:hAnsi="宋体"/>
          <w:bCs/>
          <w:kern w:val="0"/>
        </w:rPr>
      </w:pPr>
      <w:r>
        <w:rPr>
          <w:rFonts w:hint="eastAsia" w:ascii="宋体" w:hAnsi="宋体"/>
          <w:bCs/>
          <w:kern w:val="0"/>
        </w:rPr>
        <w:t>（1）当单价×数量的合价与表中的合价不一致时，以单价为准，修正报价表中合价、合计数以及投标函中的报价金额，但单价有明显小数点错误的除外；</w:t>
      </w:r>
    </w:p>
    <w:p w14:paraId="69111C85">
      <w:pPr>
        <w:snapToGrid w:val="0"/>
        <w:ind w:firstLine="480" w:firstLineChars="200"/>
        <w:rPr>
          <w:rFonts w:ascii="宋体" w:hAnsi="宋体"/>
          <w:bCs/>
          <w:kern w:val="0"/>
        </w:rPr>
      </w:pPr>
      <w:r>
        <w:rPr>
          <w:rFonts w:hint="eastAsia" w:ascii="宋体" w:hAnsi="宋体"/>
          <w:bCs/>
          <w:kern w:val="0"/>
        </w:rPr>
        <w:t xml:space="preserve">（2）当∑合价数与表中的合计数不一致时，以∑合价数修正报价表中的合计数以及投标函中的报价金额。 </w:t>
      </w:r>
    </w:p>
    <w:p w14:paraId="392BD910">
      <w:pPr>
        <w:snapToGrid w:val="0"/>
        <w:ind w:firstLine="480" w:firstLineChars="200"/>
        <w:rPr>
          <w:rFonts w:ascii="宋体" w:hAnsi="宋体"/>
          <w:bCs/>
          <w:kern w:val="0"/>
        </w:rPr>
      </w:pPr>
      <w:r>
        <w:rPr>
          <w:rFonts w:hint="eastAsia" w:ascii="宋体" w:hAnsi="宋体"/>
          <w:bCs/>
          <w:kern w:val="0"/>
        </w:rPr>
        <w:t>10.3报价部分评审特别说明：</w:t>
      </w:r>
    </w:p>
    <w:p w14:paraId="5DEC0279">
      <w:pPr>
        <w:snapToGrid w:val="0"/>
        <w:ind w:firstLine="480" w:firstLineChars="200"/>
        <w:rPr>
          <w:rFonts w:ascii="宋体" w:hAnsi="宋体"/>
          <w:bCs/>
          <w:kern w:val="0"/>
        </w:rPr>
      </w:pPr>
      <w:r>
        <w:rPr>
          <w:rFonts w:hint="eastAsia" w:ascii="宋体" w:hAnsi="宋体"/>
          <w:bCs/>
          <w:kern w:val="0"/>
        </w:rPr>
        <w:t>（1）修正后的报价在评标时，由投标人予以确认。该修正后的报价经投标人确认后，对投标人起约束作用。</w:t>
      </w:r>
    </w:p>
    <w:p w14:paraId="54D33E56">
      <w:pPr>
        <w:snapToGrid w:val="0"/>
        <w:ind w:firstLine="480" w:firstLineChars="200"/>
        <w:rPr>
          <w:rFonts w:ascii="宋体" w:hAnsi="宋体"/>
          <w:bCs/>
          <w:kern w:val="0"/>
        </w:rPr>
      </w:pPr>
      <w:r>
        <w:rPr>
          <w:rFonts w:hint="eastAsia" w:ascii="宋体" w:hAnsi="宋体"/>
          <w:bCs/>
          <w:kern w:val="0"/>
        </w:rPr>
        <w:t>（2）参与评审的报价为算术性错误修正后的报价。</w:t>
      </w:r>
    </w:p>
    <w:p w14:paraId="5169A591">
      <w:pPr>
        <w:snapToGrid w:val="0"/>
        <w:ind w:firstLine="480" w:firstLineChars="200"/>
        <w:rPr>
          <w:rFonts w:ascii="宋体" w:hAnsi="宋体"/>
          <w:bCs/>
          <w:kern w:val="0"/>
        </w:rPr>
      </w:pPr>
      <w:r>
        <w:rPr>
          <w:rFonts w:hint="eastAsia" w:ascii="宋体" w:hAnsi="宋体"/>
          <w:bCs/>
          <w:kern w:val="0"/>
        </w:rPr>
        <w:t>（3）若算术性错误修正后的报价高于最高投标限价，该投标将被否决。</w:t>
      </w:r>
    </w:p>
    <w:p w14:paraId="5C6FBD58">
      <w:pPr>
        <w:snapToGrid w:val="0"/>
        <w:ind w:firstLine="480" w:firstLineChars="200"/>
        <w:rPr>
          <w:rFonts w:ascii="宋体" w:hAnsi="宋体"/>
          <w:bCs/>
          <w:kern w:val="0"/>
        </w:rPr>
      </w:pPr>
      <w:r>
        <w:rPr>
          <w:rFonts w:hint="eastAsia" w:ascii="宋体" w:hAnsi="宋体"/>
          <w:bCs/>
          <w:kern w:val="0"/>
        </w:rPr>
        <w:t>（4）须对通过初步评审的全部投标文件的投标报价进行算术性错误分析和修正。</w:t>
      </w:r>
    </w:p>
    <w:p w14:paraId="6801BCAA">
      <w:pPr>
        <w:snapToGrid w:val="0"/>
        <w:ind w:firstLine="480" w:firstLineChars="200"/>
        <w:rPr>
          <w:rFonts w:ascii="宋体" w:hAnsi="宋体"/>
          <w:bCs/>
          <w:kern w:val="0"/>
        </w:rPr>
      </w:pPr>
      <w:r>
        <w:rPr>
          <w:rFonts w:hint="eastAsia" w:ascii="宋体" w:hAnsi="宋体"/>
          <w:bCs/>
          <w:kern w:val="0"/>
        </w:rPr>
        <w:t>10.4技术等其他部分评审说明：在评审过程中，针对每个评分项目，评标委员会个别成员的单项评分与其余评标委员会成员单项评分存在较大差距或存在大的意见分歧时，评标委员会负责人应当提醒其进行复核，经复核后该评标委员会成员仍坚持其独立意见的，应当作出说明（在评标报告中予以记录）。但是该成员所评出的总分顺序与其他成员相对一致、不影响中标结果的，应当视为合理。</w:t>
      </w:r>
    </w:p>
    <w:p w14:paraId="367E52D8">
      <w:pPr>
        <w:adjustRightInd w:val="0"/>
        <w:snapToGrid w:val="0"/>
        <w:ind w:firstLine="424" w:firstLineChars="177"/>
        <w:jc w:val="left"/>
        <w:rPr>
          <w:rFonts w:ascii="宋体" w:hAnsi="宋体"/>
        </w:rPr>
      </w:pPr>
      <w:r>
        <w:rPr>
          <w:rFonts w:hint="eastAsia" w:ascii="宋体" w:hAnsi="宋体"/>
          <w:bCs/>
          <w:kern w:val="0"/>
        </w:rPr>
        <w:t>10.5对详细评审过程中可能出现的不满足招标文件实质性内容的情形，评标委员会全体成员对此进行分析，并按照本章第19条“记名投票”的规定表决是否否决其投标</w:t>
      </w:r>
      <w:bookmarkStart w:id="197" w:name="_Toc321405386"/>
      <w:bookmarkStart w:id="198" w:name="_Toc321405381"/>
      <w:r>
        <w:rPr>
          <w:rFonts w:hint="eastAsia" w:ascii="宋体" w:hAnsi="宋体"/>
        </w:rPr>
        <w:t>。</w:t>
      </w:r>
    </w:p>
    <w:p w14:paraId="32995BEC">
      <w:pPr>
        <w:pStyle w:val="5"/>
        <w:snapToGrid w:val="0"/>
      </w:pPr>
      <w:bookmarkStart w:id="199" w:name="_Toc23347"/>
      <w:bookmarkStart w:id="200" w:name="_Toc10534"/>
      <w:bookmarkStart w:id="201" w:name="_Toc19101"/>
      <w:bookmarkStart w:id="202" w:name="_Toc489214173"/>
      <w:r>
        <w:rPr>
          <w:rFonts w:hint="eastAsia"/>
        </w:rPr>
        <w:t>1</w:t>
      </w:r>
      <w:bookmarkStart w:id="203" w:name="_Toc475787739"/>
      <w:bookmarkStart w:id="204" w:name="_Toc101375617"/>
      <w:r>
        <w:rPr>
          <w:rFonts w:hint="eastAsia"/>
        </w:rPr>
        <w:t>1．汇总评审结果并排序</w:t>
      </w:r>
      <w:bookmarkEnd w:id="203"/>
      <w:bookmarkEnd w:id="204"/>
    </w:p>
    <w:p w14:paraId="469C7756">
      <w:pPr>
        <w:snapToGrid w:val="0"/>
        <w:ind w:firstLine="480" w:firstLineChars="200"/>
        <w:rPr>
          <w:rFonts w:ascii="宋体" w:hAnsi="宋体"/>
          <w:b/>
          <w:bCs/>
        </w:rPr>
      </w:pPr>
      <w:r>
        <w:rPr>
          <w:rFonts w:hint="eastAsia" w:ascii="宋体" w:hAnsi="宋体"/>
          <w:bCs/>
        </w:rPr>
        <w:t>11.1</w:t>
      </w:r>
      <w:r>
        <w:rPr>
          <w:rFonts w:hint="eastAsia" w:ascii="宋体" w:hAnsi="宋体"/>
          <w:b/>
          <w:bCs/>
        </w:rPr>
        <w:t>评标委员会负责人对</w:t>
      </w:r>
      <w:r>
        <w:rPr>
          <w:rFonts w:ascii="宋体" w:hAnsi="宋体"/>
          <w:b/>
          <w:bCs/>
        </w:rPr>
        <w:t>各评委的有效投标评分</w:t>
      </w:r>
      <w:r>
        <w:rPr>
          <w:rFonts w:hint="eastAsia" w:ascii="宋体" w:hAnsi="宋体"/>
          <w:b/>
          <w:bCs/>
        </w:rPr>
        <w:t>进行</w:t>
      </w:r>
      <w:r>
        <w:rPr>
          <w:rFonts w:ascii="宋体" w:hAnsi="宋体"/>
          <w:b/>
          <w:bCs/>
        </w:rPr>
        <w:t>汇总</w:t>
      </w:r>
      <w:r>
        <w:rPr>
          <w:rFonts w:hint="eastAsia" w:ascii="宋体" w:hAnsi="宋体"/>
          <w:b/>
          <w:bCs/>
        </w:rPr>
        <w:t>（得分</w:t>
      </w:r>
      <w:r>
        <w:rPr>
          <w:rFonts w:ascii="宋体" w:hAnsi="宋体"/>
          <w:b/>
          <w:bCs/>
        </w:rPr>
        <w:t>小计</w:t>
      </w:r>
      <w:r>
        <w:rPr>
          <w:rFonts w:hint="eastAsia" w:ascii="宋体" w:hAnsi="宋体"/>
          <w:b/>
          <w:bCs/>
        </w:rPr>
        <w:t>）（报价部分得分合计、综合部分得分合计、技术部分得分合计），在此基础上依次计算①各有效投标的得分平均值（得分小计÷评委</w:t>
      </w:r>
      <w:r>
        <w:rPr>
          <w:rFonts w:ascii="宋体" w:hAnsi="宋体"/>
          <w:b/>
          <w:bCs/>
        </w:rPr>
        <w:t>人数</w:t>
      </w:r>
      <w:r>
        <w:rPr>
          <w:rFonts w:hint="eastAsia" w:ascii="宋体" w:hAnsi="宋体"/>
          <w:b/>
          <w:bCs/>
        </w:rPr>
        <w:t>）②各</w:t>
      </w:r>
      <w:r>
        <w:rPr>
          <w:rFonts w:ascii="宋体" w:hAnsi="宋体"/>
          <w:b/>
          <w:bCs/>
        </w:rPr>
        <w:t>有效投标平均值的加权得分</w:t>
      </w:r>
      <w:r>
        <w:rPr>
          <w:rFonts w:hint="eastAsia" w:ascii="宋体" w:hAnsi="宋体"/>
          <w:b/>
          <w:bCs/>
        </w:rPr>
        <w:t>（本项目权重：报价部分权重为45%、综合部分权重为20%、技术部分权重为35% ），</w:t>
      </w:r>
      <w:r>
        <w:rPr>
          <w:rFonts w:ascii="宋体" w:hAnsi="宋体"/>
          <w:b/>
          <w:bCs/>
        </w:rPr>
        <w:t>最终汇总计算</w:t>
      </w:r>
      <w:r>
        <w:rPr>
          <w:rFonts w:hint="eastAsia" w:ascii="宋体" w:hAnsi="宋体"/>
          <w:b/>
          <w:bCs/>
        </w:rPr>
        <w:t>出</w:t>
      </w:r>
      <w:r>
        <w:rPr>
          <w:rFonts w:ascii="宋体" w:hAnsi="宋体"/>
          <w:b/>
          <w:bCs/>
        </w:rPr>
        <w:t>各有效投标的</w:t>
      </w:r>
      <w:r>
        <w:rPr>
          <w:rFonts w:hint="eastAsia" w:ascii="宋体" w:hAnsi="宋体"/>
          <w:b/>
          <w:bCs/>
        </w:rPr>
        <w:t>最终</w:t>
      </w:r>
      <w:r>
        <w:rPr>
          <w:rFonts w:ascii="宋体" w:hAnsi="宋体"/>
          <w:b/>
          <w:bCs/>
        </w:rPr>
        <w:t>得分</w:t>
      </w:r>
      <w:r>
        <w:rPr>
          <w:rFonts w:hint="eastAsia" w:ascii="宋体" w:hAnsi="宋体"/>
          <w:b/>
          <w:bCs/>
        </w:rPr>
        <w:t xml:space="preserve">。评标委员会按照加权得分平均分值由高至低的次序，对各有效投标人进行排序，排序表格式见本章附件4。 </w:t>
      </w:r>
    </w:p>
    <w:p w14:paraId="7439D279">
      <w:pPr>
        <w:snapToGrid w:val="0"/>
        <w:ind w:firstLine="480" w:firstLineChars="200"/>
        <w:rPr>
          <w:rFonts w:ascii="宋体" w:hAnsi="宋体"/>
          <w:bCs/>
        </w:rPr>
      </w:pPr>
      <w:r>
        <w:rPr>
          <w:rFonts w:hint="eastAsia" w:ascii="宋体" w:hAnsi="宋体"/>
          <w:bCs/>
        </w:rPr>
        <w:t>11.2如果出现各有效投标的最终得分相同的情况，则按照以下优先排名次序的确定标准进行排序：</w:t>
      </w:r>
    </w:p>
    <w:p w14:paraId="3FB6A4E4">
      <w:pPr>
        <w:snapToGrid w:val="0"/>
        <w:ind w:firstLine="480" w:firstLineChars="200"/>
        <w:rPr>
          <w:rFonts w:ascii="宋体" w:hAnsi="宋体"/>
          <w:bCs/>
        </w:rPr>
      </w:pPr>
      <w:r>
        <w:rPr>
          <w:rFonts w:hint="eastAsia" w:ascii="宋体" w:hAnsi="宋体"/>
          <w:bCs/>
        </w:rPr>
        <w:t>（1）经评审的有效投标报价低者；</w:t>
      </w:r>
    </w:p>
    <w:p w14:paraId="19CF6A83">
      <w:pPr>
        <w:snapToGrid w:val="0"/>
        <w:ind w:firstLine="480" w:firstLineChars="200"/>
        <w:rPr>
          <w:rFonts w:ascii="宋体" w:hAnsi="宋体"/>
          <w:bCs/>
        </w:rPr>
      </w:pPr>
      <w:r>
        <w:rPr>
          <w:rFonts w:hint="eastAsia" w:ascii="宋体" w:hAnsi="宋体"/>
          <w:bCs/>
        </w:rPr>
        <w:t>（2）投标人业绩得分高者；</w:t>
      </w:r>
    </w:p>
    <w:p w14:paraId="7DE2AEE1">
      <w:pPr>
        <w:snapToGrid w:val="0"/>
        <w:ind w:firstLine="480" w:firstLineChars="200"/>
        <w:rPr>
          <w:rFonts w:ascii="宋体" w:hAnsi="宋体"/>
          <w:bCs/>
        </w:rPr>
      </w:pPr>
      <w:r>
        <w:rPr>
          <w:rFonts w:hint="eastAsia" w:ascii="宋体" w:hAnsi="宋体"/>
          <w:bCs/>
        </w:rPr>
        <w:t>（3）技术评审中项目经理部等人员得分高者。</w:t>
      </w:r>
    </w:p>
    <w:p w14:paraId="6066AE2B">
      <w:pPr>
        <w:snapToGrid w:val="0"/>
        <w:ind w:firstLine="480" w:firstLineChars="200"/>
        <w:rPr>
          <w:rFonts w:ascii="宋体" w:hAnsi="宋体"/>
          <w:bCs/>
        </w:rPr>
      </w:pPr>
      <w:r>
        <w:rPr>
          <w:rFonts w:hint="eastAsia" w:ascii="宋体" w:hAnsi="宋体"/>
          <w:bCs/>
        </w:rPr>
        <w:t xml:space="preserve">若经上述（1）、（2）、（3）项评审后得分依然相同，由评标委员会自行确定标准。 </w:t>
      </w:r>
    </w:p>
    <w:p w14:paraId="5B22E43E">
      <w:pPr>
        <w:snapToGrid w:val="0"/>
        <w:ind w:firstLine="480" w:firstLineChars="200"/>
        <w:rPr>
          <w:rFonts w:ascii="宋体" w:hAnsi="宋体"/>
          <w:bCs/>
        </w:rPr>
      </w:pPr>
      <w:r>
        <w:rPr>
          <w:rFonts w:hint="eastAsia" w:ascii="宋体" w:hAnsi="宋体"/>
          <w:bCs/>
        </w:rPr>
        <w:t xml:space="preserve">11.3评标委员会各成员应以亲笔签字对本人的评审意见进行确认。 </w:t>
      </w:r>
    </w:p>
    <w:p w14:paraId="262FB392">
      <w:pPr>
        <w:snapToGrid w:val="0"/>
        <w:ind w:firstLine="480" w:firstLineChars="200"/>
        <w:rPr>
          <w:rFonts w:ascii="宋体" w:hAnsi="宋体"/>
        </w:rPr>
      </w:pPr>
      <w:r>
        <w:rPr>
          <w:rFonts w:hint="eastAsia" w:ascii="宋体" w:hAnsi="宋体"/>
          <w:bCs/>
        </w:rPr>
        <w:t>11.4评标委员会各成员对本人评审意见的真实性和准确性负责</w:t>
      </w:r>
      <w:bookmarkEnd w:id="197"/>
      <w:bookmarkEnd w:id="199"/>
      <w:bookmarkEnd w:id="200"/>
      <w:bookmarkEnd w:id="201"/>
      <w:bookmarkEnd w:id="202"/>
      <w:r>
        <w:rPr>
          <w:rFonts w:hint="eastAsia" w:ascii="宋体" w:hAnsi="宋体"/>
        </w:rPr>
        <w:t>。</w:t>
      </w:r>
    </w:p>
    <w:p w14:paraId="06AE252C">
      <w:pPr>
        <w:pStyle w:val="5"/>
        <w:snapToGrid w:val="0"/>
      </w:pPr>
      <w:bookmarkStart w:id="205" w:name="_Toc20201"/>
      <w:bookmarkStart w:id="206" w:name="_Toc21549"/>
      <w:bookmarkStart w:id="207" w:name="_Toc489214174"/>
      <w:bookmarkStart w:id="208" w:name="_Toc25249"/>
      <w:r>
        <w:rPr>
          <w:rFonts w:hint="eastAsia"/>
        </w:rPr>
        <w:t>1</w:t>
      </w:r>
      <w:bookmarkStart w:id="209" w:name="_Toc10520"/>
      <w:bookmarkStart w:id="210" w:name="_Toc29862"/>
      <w:bookmarkStart w:id="211" w:name="_Toc3968"/>
      <w:bookmarkStart w:id="212" w:name="_Toc11607"/>
      <w:bookmarkStart w:id="213" w:name="_Toc30295"/>
      <w:bookmarkStart w:id="214" w:name="_Toc10424"/>
      <w:r>
        <w:rPr>
          <w:rFonts w:hint="eastAsia"/>
        </w:rPr>
        <w:t>2．澄清和补正</w:t>
      </w:r>
      <w:bookmarkEnd w:id="209"/>
      <w:bookmarkEnd w:id="210"/>
      <w:bookmarkEnd w:id="211"/>
      <w:bookmarkEnd w:id="212"/>
      <w:bookmarkEnd w:id="213"/>
      <w:bookmarkEnd w:id="214"/>
    </w:p>
    <w:p w14:paraId="603FDB62">
      <w:pPr>
        <w:ind w:firstLine="480" w:firstLineChars="200"/>
        <w:jc w:val="left"/>
        <w:rPr>
          <w:rFonts w:ascii="宋体" w:hAnsi="宋体" w:cs="宋体"/>
        </w:rPr>
      </w:pPr>
      <w:r>
        <w:rPr>
          <w:rFonts w:hint="eastAsia" w:ascii="宋体" w:hAnsi="宋体" w:cs="宋体"/>
        </w:rPr>
        <w:t>按照以下规定开展澄清、说明、补正、确认工作：</w:t>
      </w:r>
      <w:r>
        <w:rPr>
          <w:rFonts w:ascii="宋体" w:hAnsi="宋体" w:cs="宋体"/>
        </w:rPr>
        <w:t xml:space="preserve"> </w:t>
      </w:r>
    </w:p>
    <w:p w14:paraId="03242C7B">
      <w:pPr>
        <w:ind w:firstLine="480" w:firstLineChars="200"/>
        <w:jc w:val="left"/>
        <w:rPr>
          <w:rFonts w:ascii="宋体" w:hAnsi="宋体" w:cs="宋体"/>
        </w:rPr>
      </w:pPr>
      <w:r>
        <w:rPr>
          <w:rFonts w:hint="eastAsia" w:ascii="宋体" w:hAnsi="宋体" w:cs="宋体"/>
        </w:rPr>
        <w:t>（</w:t>
      </w:r>
      <w:r>
        <w:rPr>
          <w:rFonts w:ascii="宋体" w:hAnsi="宋体" w:cs="宋体"/>
        </w:rPr>
        <w:t xml:space="preserve">1）当投标文件中（包括投标函及附录）出现含义不明、对同类问题表述不一致、明显的文字或计算错误等内容，且评标委员会不能准确了解投标人真实意思表示时，评标委员会应当启动澄清、说明工作（格式见本章附件5-1，含算术性错误修正后对修正报价的确认）。 </w:t>
      </w:r>
    </w:p>
    <w:p w14:paraId="3ECBDD06">
      <w:pPr>
        <w:ind w:firstLine="480" w:firstLineChars="200"/>
        <w:jc w:val="left"/>
        <w:rPr>
          <w:rFonts w:ascii="宋体" w:hAnsi="宋体" w:cs="宋体"/>
        </w:rPr>
      </w:pPr>
      <w:r>
        <w:rPr>
          <w:rFonts w:hint="eastAsia" w:ascii="宋体" w:hAnsi="宋体" w:cs="宋体"/>
        </w:rPr>
        <w:t>（</w:t>
      </w:r>
      <w:r>
        <w:rPr>
          <w:rFonts w:ascii="宋体" w:hAnsi="宋体" w:cs="宋体"/>
        </w:rPr>
        <w:t xml:space="preserve">2）对于投标文件中意思表示明确或者根据投标文件的上下文能够准确判断其含义的内容，评标委员会不得要求投标人进行澄清或者说明。 </w:t>
      </w:r>
    </w:p>
    <w:p w14:paraId="18C7DAD3">
      <w:pPr>
        <w:ind w:firstLine="480" w:firstLineChars="200"/>
        <w:jc w:val="left"/>
        <w:rPr>
          <w:rFonts w:ascii="宋体" w:hAnsi="宋体" w:cs="宋体"/>
        </w:rPr>
      </w:pPr>
      <w:r>
        <w:rPr>
          <w:rFonts w:hint="eastAsia" w:ascii="宋体" w:hAnsi="宋体" w:cs="宋体"/>
        </w:rPr>
        <w:t>（</w:t>
      </w:r>
      <w:r>
        <w:rPr>
          <w:rFonts w:ascii="宋体" w:hAnsi="宋体" w:cs="宋体"/>
        </w:rPr>
        <w:t xml:space="preserve">3）投标文件中明显背离招标文件实质性内容（不是含义不明或对同类问题表述不一致或明显的文字或计算错误的情形）的属于重大偏差，评标委员会不得要求投标人进行澄清或者说明。 </w:t>
      </w:r>
    </w:p>
    <w:p w14:paraId="3C4ADCA8">
      <w:pPr>
        <w:ind w:firstLine="480" w:firstLineChars="200"/>
        <w:jc w:val="left"/>
        <w:rPr>
          <w:rFonts w:ascii="宋体" w:hAnsi="宋体" w:cs="宋体"/>
        </w:rPr>
      </w:pPr>
      <w:r>
        <w:rPr>
          <w:rFonts w:hint="eastAsia" w:ascii="宋体" w:hAnsi="宋体" w:cs="宋体"/>
        </w:rPr>
        <w:t>（</w:t>
      </w:r>
      <w:r>
        <w:rPr>
          <w:rFonts w:ascii="宋体" w:hAnsi="宋体" w:cs="宋体"/>
        </w:rPr>
        <w:t xml:space="preserve">4）要求投标人给予澄清、说明的内容既可能涉及投标文件的实质性内容，也可能涉及投标文件中的非实质性内容，但只有评标委员会认为含义不明、对同类问题表述不一致、明显的文字或计算错误等内容才可以要求投标人给予澄清、说明或者补正。 </w:t>
      </w:r>
    </w:p>
    <w:p w14:paraId="7B20CBA8">
      <w:pPr>
        <w:ind w:firstLine="480" w:firstLineChars="200"/>
        <w:jc w:val="left"/>
        <w:rPr>
          <w:rFonts w:ascii="宋体" w:hAnsi="宋体" w:cs="宋体"/>
        </w:rPr>
      </w:pPr>
      <w:r>
        <w:rPr>
          <w:rFonts w:hint="eastAsia" w:ascii="宋体" w:hAnsi="宋体" w:cs="宋体"/>
        </w:rPr>
        <w:t>（</w:t>
      </w:r>
      <w:r>
        <w:rPr>
          <w:rFonts w:ascii="宋体" w:hAnsi="宋体" w:cs="宋体"/>
        </w:rPr>
        <w:t xml:space="preserve">5）投标人应按评标委员会的要求进行澄清、说明或补正（格式见本章附件5-2，含算术性错误修正后对修正报价的确认回复）。 </w:t>
      </w:r>
    </w:p>
    <w:p w14:paraId="3570DB47">
      <w:pPr>
        <w:ind w:firstLine="480" w:firstLineChars="200"/>
        <w:jc w:val="left"/>
        <w:rPr>
          <w:rFonts w:ascii="宋体" w:hAnsi="宋体" w:cs="宋体"/>
        </w:rPr>
      </w:pPr>
      <w:r>
        <w:rPr>
          <w:rFonts w:hint="eastAsia" w:ascii="宋体" w:hAnsi="宋体" w:cs="宋体"/>
        </w:rPr>
        <w:t>投标人对算术性错误修正结果拒不澄清确认的，评标委员会应当否决其投标。</w:t>
      </w:r>
      <w:r>
        <w:rPr>
          <w:rFonts w:ascii="宋体" w:hAnsi="宋体" w:cs="宋体"/>
        </w:rPr>
        <w:t xml:space="preserve"> </w:t>
      </w:r>
    </w:p>
    <w:p w14:paraId="13711158">
      <w:pPr>
        <w:ind w:firstLine="480" w:firstLineChars="200"/>
        <w:jc w:val="left"/>
        <w:rPr>
          <w:rFonts w:ascii="宋体" w:hAnsi="宋体" w:cs="宋体"/>
        </w:rPr>
      </w:pPr>
      <w:r>
        <w:rPr>
          <w:rFonts w:hint="eastAsia" w:ascii="宋体" w:hAnsi="宋体" w:cs="宋体"/>
        </w:rPr>
        <w:t>（</w:t>
      </w:r>
      <w:r>
        <w:rPr>
          <w:rFonts w:ascii="宋体" w:hAnsi="宋体" w:cs="宋体"/>
        </w:rPr>
        <w:t xml:space="preserve">6）如果评标委员会对投标人提交的澄清、说明依然存在疑问，评标委员会可以要求投标人进一步澄清、说明，直至满足评标委员会要求。 </w:t>
      </w:r>
    </w:p>
    <w:p w14:paraId="09D37EA8">
      <w:pPr>
        <w:ind w:firstLine="480" w:firstLineChars="200"/>
        <w:jc w:val="left"/>
        <w:rPr>
          <w:rFonts w:ascii="宋体" w:hAnsi="宋体" w:cs="宋体"/>
        </w:rPr>
      </w:pPr>
      <w:r>
        <w:rPr>
          <w:rFonts w:hint="eastAsia" w:ascii="宋体" w:hAnsi="宋体" w:cs="宋体"/>
        </w:rPr>
        <w:t>（</w:t>
      </w:r>
      <w:r>
        <w:rPr>
          <w:rFonts w:ascii="宋体" w:hAnsi="宋体" w:cs="宋体"/>
        </w:rPr>
        <w:t xml:space="preserve">7）评标委员会不得暗示或者诱导投标人作出澄清、说明，不得接受投标人主动提出的澄清、说明。 </w:t>
      </w:r>
    </w:p>
    <w:bookmarkEnd w:id="198"/>
    <w:bookmarkEnd w:id="205"/>
    <w:bookmarkEnd w:id="206"/>
    <w:bookmarkEnd w:id="207"/>
    <w:bookmarkEnd w:id="208"/>
    <w:p w14:paraId="4E63C831">
      <w:pPr>
        <w:pStyle w:val="5"/>
        <w:snapToGrid w:val="0"/>
      </w:pPr>
      <w:bookmarkStart w:id="215" w:name="_Toc321405390"/>
      <w:bookmarkStart w:id="216" w:name="_Toc489214175"/>
      <w:bookmarkStart w:id="217" w:name="_Toc2365"/>
      <w:bookmarkStart w:id="218" w:name="_Toc10339"/>
      <w:bookmarkStart w:id="219" w:name="_Toc11882"/>
      <w:r>
        <w:rPr>
          <w:rFonts w:hint="eastAsia"/>
        </w:rPr>
        <w:t>13．</w:t>
      </w:r>
      <w:r>
        <w:t>推荐中标候选人</w:t>
      </w:r>
      <w:bookmarkEnd w:id="215"/>
      <w:r>
        <w:rPr>
          <w:rFonts w:hint="eastAsia"/>
        </w:rPr>
        <w:t>或定标</w:t>
      </w:r>
      <w:bookmarkEnd w:id="216"/>
      <w:bookmarkEnd w:id="217"/>
      <w:bookmarkEnd w:id="218"/>
      <w:bookmarkEnd w:id="219"/>
    </w:p>
    <w:p w14:paraId="799B5528">
      <w:pPr>
        <w:snapToGrid w:val="0"/>
        <w:ind w:firstLine="480" w:firstLineChars="200"/>
        <w:rPr>
          <w:rFonts w:ascii="宋体" w:hAnsi="宋体"/>
          <w:bCs/>
        </w:rPr>
      </w:pPr>
      <w:r>
        <w:rPr>
          <w:rFonts w:hint="eastAsia" w:ascii="宋体" w:hAnsi="宋体"/>
          <w:bCs/>
        </w:rPr>
        <w:t>13.1评标委员会按照得分由高到低的顺序推荐3名中标候选人。</w:t>
      </w:r>
    </w:p>
    <w:p w14:paraId="75DEA229">
      <w:pPr>
        <w:pStyle w:val="5"/>
        <w:snapToGrid w:val="0"/>
      </w:pPr>
      <w:bookmarkStart w:id="220" w:name="_Toc489214176"/>
      <w:bookmarkStart w:id="221" w:name="_Toc27031"/>
      <w:bookmarkStart w:id="222" w:name="_Toc31615"/>
      <w:bookmarkStart w:id="223" w:name="_Toc321405393"/>
      <w:bookmarkStart w:id="224" w:name="_Toc32580"/>
      <w:r>
        <w:rPr>
          <w:rFonts w:hint="eastAsia"/>
        </w:rPr>
        <w:t>14．编制</w:t>
      </w:r>
      <w:r>
        <w:t>评标报告</w:t>
      </w:r>
      <w:bookmarkEnd w:id="220"/>
      <w:bookmarkEnd w:id="221"/>
      <w:bookmarkEnd w:id="222"/>
      <w:bookmarkEnd w:id="223"/>
      <w:bookmarkEnd w:id="224"/>
    </w:p>
    <w:p w14:paraId="655C83CE">
      <w:pPr>
        <w:snapToGrid w:val="0"/>
        <w:ind w:firstLine="480" w:firstLineChars="200"/>
        <w:rPr>
          <w:rFonts w:ascii="宋体" w:hAnsi="宋体"/>
        </w:rPr>
      </w:pPr>
      <w:r>
        <w:rPr>
          <w:rFonts w:hint="eastAsia" w:ascii="宋体" w:hAnsi="宋体"/>
        </w:rPr>
        <w:t>14.1</w:t>
      </w:r>
      <w:r>
        <w:rPr>
          <w:rFonts w:ascii="宋体" w:hAnsi="宋体"/>
        </w:rPr>
        <w:t>评标委员会完成上述评审和推荐中标候选人工作后，应及时整理评审成果，</w:t>
      </w:r>
      <w:r>
        <w:rPr>
          <w:rFonts w:hint="eastAsia" w:ascii="宋体" w:hAnsi="宋体"/>
        </w:rPr>
        <w:t>形成</w:t>
      </w:r>
      <w:r>
        <w:rPr>
          <w:rFonts w:ascii="宋体" w:hAnsi="宋体"/>
        </w:rPr>
        <w:t>评标报告</w:t>
      </w:r>
      <w:bookmarkStart w:id="225" w:name="_Toc321405395"/>
      <w:r>
        <w:rPr>
          <w:rFonts w:hint="eastAsia" w:ascii="宋体" w:hAnsi="宋体"/>
        </w:rPr>
        <w:t xml:space="preserve">。评标报告（格式见本章附件6）应当包括如下内容： </w:t>
      </w:r>
    </w:p>
    <w:p w14:paraId="0B6CC27B">
      <w:pPr>
        <w:snapToGrid w:val="0"/>
        <w:ind w:firstLine="480" w:firstLineChars="200"/>
        <w:rPr>
          <w:rFonts w:ascii="宋体" w:hAnsi="宋体"/>
        </w:rPr>
      </w:pPr>
      <w:r>
        <w:rPr>
          <w:rFonts w:hint="eastAsia" w:ascii="宋体" w:hAnsi="宋体"/>
        </w:rPr>
        <w:t xml:space="preserve">（1）开标记录汇总表；  </w:t>
      </w:r>
    </w:p>
    <w:p w14:paraId="3DFA4E87">
      <w:pPr>
        <w:snapToGrid w:val="0"/>
        <w:ind w:firstLine="480" w:firstLineChars="200"/>
        <w:rPr>
          <w:rFonts w:ascii="宋体" w:hAnsi="宋体"/>
        </w:rPr>
      </w:pPr>
      <w:r>
        <w:rPr>
          <w:rFonts w:hint="eastAsia" w:ascii="宋体" w:hAnsi="宋体"/>
        </w:rPr>
        <w:t xml:space="preserve">（2）评标委员会成员名单及签到表； </w:t>
      </w:r>
    </w:p>
    <w:p w14:paraId="6791B266">
      <w:pPr>
        <w:snapToGrid w:val="0"/>
        <w:ind w:firstLine="480" w:firstLineChars="200"/>
        <w:rPr>
          <w:rFonts w:ascii="宋体" w:hAnsi="宋体"/>
        </w:rPr>
      </w:pPr>
      <w:r>
        <w:rPr>
          <w:rFonts w:hint="eastAsia" w:ascii="宋体" w:hAnsi="宋体"/>
        </w:rPr>
        <w:t xml:space="preserve">（3）评标委员会声明书； </w:t>
      </w:r>
    </w:p>
    <w:p w14:paraId="7BF2F993">
      <w:pPr>
        <w:snapToGrid w:val="0"/>
        <w:ind w:firstLine="480" w:firstLineChars="200"/>
        <w:rPr>
          <w:rFonts w:ascii="宋体" w:hAnsi="宋体"/>
        </w:rPr>
      </w:pPr>
      <w:r>
        <w:rPr>
          <w:rFonts w:hint="eastAsia" w:ascii="宋体" w:hAnsi="宋体"/>
        </w:rPr>
        <w:t xml:space="preserve">（4）初步评审标准及记录表； </w:t>
      </w:r>
    </w:p>
    <w:p w14:paraId="2FBFDD4A">
      <w:pPr>
        <w:snapToGrid w:val="0"/>
        <w:ind w:firstLine="480" w:firstLineChars="200"/>
        <w:rPr>
          <w:rFonts w:ascii="宋体" w:hAnsi="宋体"/>
        </w:rPr>
      </w:pPr>
      <w:r>
        <w:rPr>
          <w:rFonts w:hint="eastAsia" w:ascii="宋体" w:hAnsi="宋体"/>
        </w:rPr>
        <w:t xml:space="preserve">（5）未通过初步评审等情况汇总表； </w:t>
      </w:r>
    </w:p>
    <w:p w14:paraId="01692B70">
      <w:pPr>
        <w:snapToGrid w:val="0"/>
        <w:ind w:firstLine="480" w:firstLineChars="200"/>
        <w:rPr>
          <w:rFonts w:ascii="宋体" w:hAnsi="宋体"/>
        </w:rPr>
      </w:pPr>
      <w:r>
        <w:rPr>
          <w:rFonts w:hint="eastAsia" w:ascii="宋体" w:hAnsi="宋体"/>
        </w:rPr>
        <w:t>（6）详细评审标准及计分表；</w:t>
      </w:r>
    </w:p>
    <w:p w14:paraId="6856E938">
      <w:pPr>
        <w:snapToGrid w:val="0"/>
        <w:ind w:firstLine="480" w:firstLineChars="200"/>
        <w:rPr>
          <w:rFonts w:ascii="宋体" w:hAnsi="宋体"/>
        </w:rPr>
      </w:pPr>
      <w:r>
        <w:rPr>
          <w:rFonts w:hint="eastAsia" w:ascii="宋体" w:hAnsi="宋体"/>
        </w:rPr>
        <w:t xml:space="preserve">（7）评分汇总及得分记录表； </w:t>
      </w:r>
    </w:p>
    <w:p w14:paraId="521512A3">
      <w:pPr>
        <w:snapToGrid w:val="0"/>
        <w:ind w:firstLine="480" w:firstLineChars="200"/>
        <w:rPr>
          <w:rFonts w:ascii="宋体" w:hAnsi="宋体"/>
        </w:rPr>
      </w:pPr>
      <w:r>
        <w:rPr>
          <w:rFonts w:hint="eastAsia" w:ascii="宋体" w:hAnsi="宋体"/>
        </w:rPr>
        <w:t xml:space="preserve">（8）投标人排序表； </w:t>
      </w:r>
    </w:p>
    <w:p w14:paraId="7A49C49E">
      <w:pPr>
        <w:snapToGrid w:val="0"/>
        <w:ind w:firstLine="480" w:firstLineChars="200"/>
        <w:rPr>
          <w:rFonts w:ascii="宋体" w:hAnsi="宋体"/>
        </w:rPr>
      </w:pPr>
      <w:r>
        <w:rPr>
          <w:rFonts w:hint="eastAsia" w:ascii="宋体" w:hAnsi="宋体"/>
        </w:rPr>
        <w:t xml:space="preserve">（9）问题澄清通知（如有）； </w:t>
      </w:r>
    </w:p>
    <w:p w14:paraId="0CCF507E">
      <w:pPr>
        <w:snapToGrid w:val="0"/>
        <w:ind w:firstLine="480" w:firstLineChars="200"/>
        <w:rPr>
          <w:rFonts w:ascii="宋体" w:hAnsi="宋体"/>
        </w:rPr>
      </w:pPr>
      <w:r>
        <w:rPr>
          <w:rFonts w:hint="eastAsia" w:ascii="宋体" w:hAnsi="宋体"/>
        </w:rPr>
        <w:t xml:space="preserve">（10）问题的澄清（如有）； </w:t>
      </w:r>
    </w:p>
    <w:p w14:paraId="77404DA3">
      <w:pPr>
        <w:snapToGrid w:val="0"/>
        <w:ind w:firstLine="480" w:firstLineChars="200"/>
        <w:rPr>
          <w:rFonts w:ascii="宋体" w:hAnsi="宋体"/>
        </w:rPr>
      </w:pPr>
      <w:r>
        <w:rPr>
          <w:rFonts w:hint="eastAsia" w:ascii="宋体" w:hAnsi="宋体"/>
        </w:rPr>
        <w:t xml:space="preserve">（11）中标候选人推荐； </w:t>
      </w:r>
    </w:p>
    <w:p w14:paraId="23E89248">
      <w:pPr>
        <w:snapToGrid w:val="0"/>
        <w:ind w:firstLine="480" w:firstLineChars="200"/>
        <w:rPr>
          <w:rFonts w:ascii="宋体" w:hAnsi="宋体"/>
        </w:rPr>
      </w:pPr>
      <w:r>
        <w:rPr>
          <w:rFonts w:hint="eastAsia" w:ascii="宋体" w:hAnsi="宋体"/>
        </w:rPr>
        <w:t xml:space="preserve">（12）其他需要说明的事项等。 </w:t>
      </w:r>
    </w:p>
    <w:p w14:paraId="2541D230">
      <w:pPr>
        <w:snapToGrid w:val="0"/>
        <w:ind w:firstLine="480" w:firstLineChars="200"/>
        <w:rPr>
          <w:rFonts w:ascii="宋体" w:hAnsi="宋体"/>
        </w:rPr>
      </w:pPr>
      <w:r>
        <w:rPr>
          <w:rFonts w:hint="eastAsia" w:ascii="宋体" w:hAnsi="宋体"/>
        </w:rPr>
        <w:t>14.2评标报告应由评标委员会全体成员签署予以确认。</w:t>
      </w:r>
    </w:p>
    <w:p w14:paraId="13AF9671">
      <w:pPr>
        <w:snapToGrid w:val="0"/>
        <w:ind w:firstLine="480" w:firstLineChars="200"/>
        <w:rPr>
          <w:rFonts w:ascii="宋体" w:hAnsi="宋体"/>
        </w:rPr>
      </w:pPr>
      <w:r>
        <w:rPr>
          <w:rFonts w:hint="eastAsia" w:ascii="宋体" w:hAnsi="宋体"/>
        </w:rPr>
        <w:t>14.3对评标结论持有异议的评标委员会成员可以在评标报告中阐述其不同意见和理由。评标委员会成员拒绝在评标报告上签名且不陈述其不同意见和理由的，视为同意评标结论。评标委员会应当在评标报告中对此作出说明并予以记录</w:t>
      </w:r>
      <w:r>
        <w:rPr>
          <w:rFonts w:ascii="宋体" w:hAnsi="宋体"/>
        </w:rPr>
        <w:t>。</w:t>
      </w:r>
      <w:bookmarkEnd w:id="225"/>
    </w:p>
    <w:p w14:paraId="6AA489FA">
      <w:pPr>
        <w:pStyle w:val="5"/>
        <w:snapToGrid w:val="0"/>
      </w:pPr>
      <w:bookmarkStart w:id="226" w:name="_Toc27552"/>
      <w:bookmarkStart w:id="227" w:name="_Toc489214177"/>
      <w:bookmarkStart w:id="228" w:name="_Toc9213"/>
      <w:bookmarkStart w:id="229" w:name="_Toc8392"/>
      <w:r>
        <w:rPr>
          <w:rFonts w:hint="eastAsia"/>
        </w:rPr>
        <w:t>15．关于评标活动暂停</w:t>
      </w:r>
      <w:bookmarkEnd w:id="226"/>
      <w:bookmarkEnd w:id="227"/>
      <w:bookmarkEnd w:id="228"/>
      <w:bookmarkEnd w:id="229"/>
    </w:p>
    <w:p w14:paraId="04A95787">
      <w:pPr>
        <w:snapToGrid w:val="0"/>
        <w:ind w:firstLine="480" w:firstLineChars="200"/>
        <w:rPr>
          <w:rFonts w:ascii="宋体" w:hAnsi="宋体"/>
        </w:rPr>
      </w:pPr>
      <w:r>
        <w:rPr>
          <w:rFonts w:hint="eastAsia" w:ascii="宋体" w:hAnsi="宋体"/>
        </w:rPr>
        <w:t xml:space="preserve">15.1评标委员会应当遵循连续评标的原则，按照评标办法中规定的程序和方法、内容和标准完成全部评标工作。只有发生不可抗力导致评标工作无法继续时，评标活动方可暂停。 </w:t>
      </w:r>
    </w:p>
    <w:p w14:paraId="652F5AB3">
      <w:pPr>
        <w:snapToGrid w:val="0"/>
        <w:ind w:firstLine="480" w:firstLineChars="200"/>
        <w:rPr>
          <w:rFonts w:ascii="宋体" w:hAnsi="宋体"/>
        </w:rPr>
      </w:pPr>
      <w:r>
        <w:rPr>
          <w:rFonts w:hint="eastAsia" w:ascii="宋体" w:hAnsi="宋体"/>
        </w:rPr>
        <w:t>15.2评标活动暂停时，评标委员会应当封存全部投标文件和评标记录，待不可抗力的影响结束且具备评标条件时继续评标。</w:t>
      </w:r>
    </w:p>
    <w:p w14:paraId="274551B8">
      <w:pPr>
        <w:pStyle w:val="5"/>
        <w:snapToGrid w:val="0"/>
      </w:pPr>
      <w:bookmarkStart w:id="230" w:name="_Toc11762"/>
      <w:bookmarkStart w:id="231" w:name="_Toc489214178"/>
      <w:bookmarkStart w:id="232" w:name="_Toc1562"/>
      <w:bookmarkStart w:id="233" w:name="_Toc5327"/>
      <w:r>
        <w:rPr>
          <w:rFonts w:hint="eastAsia"/>
        </w:rPr>
        <w:t>16．关于评标中途更换评委</w:t>
      </w:r>
      <w:bookmarkEnd w:id="230"/>
      <w:bookmarkEnd w:id="231"/>
      <w:bookmarkEnd w:id="232"/>
      <w:bookmarkEnd w:id="233"/>
    </w:p>
    <w:p w14:paraId="09EDC2BA">
      <w:pPr>
        <w:snapToGrid w:val="0"/>
        <w:ind w:firstLine="480" w:firstLineChars="200"/>
        <w:rPr>
          <w:rFonts w:ascii="宋体" w:hAnsi="宋体"/>
        </w:rPr>
      </w:pPr>
      <w:r>
        <w:rPr>
          <w:rFonts w:hint="eastAsia" w:ascii="宋体" w:hAnsi="宋体"/>
        </w:rPr>
        <w:t>16.1除非发生下列情况之一，评标委员会成员不得在评标中途更换：</w:t>
      </w:r>
    </w:p>
    <w:p w14:paraId="4EC7FECF">
      <w:pPr>
        <w:snapToGrid w:val="0"/>
        <w:ind w:firstLine="480" w:firstLineChars="200"/>
        <w:rPr>
          <w:rFonts w:ascii="宋体" w:hAnsi="宋体"/>
        </w:rPr>
      </w:pPr>
      <w:r>
        <w:rPr>
          <w:rFonts w:hint="eastAsia" w:ascii="宋体" w:hAnsi="宋体"/>
        </w:rPr>
        <w:t>（1）因不可抗拒的客观原因，不能到场或需在评标中途退出评标活动。</w:t>
      </w:r>
    </w:p>
    <w:p w14:paraId="5FB32D55">
      <w:pPr>
        <w:snapToGrid w:val="0"/>
        <w:ind w:firstLine="480" w:firstLineChars="200"/>
        <w:rPr>
          <w:rFonts w:ascii="宋体" w:hAnsi="宋体"/>
        </w:rPr>
      </w:pPr>
      <w:r>
        <w:rPr>
          <w:rFonts w:hint="eastAsia" w:ascii="宋体" w:hAnsi="宋体"/>
        </w:rPr>
        <w:t>（2）根据法律法规规定，某个或某几个评标委员会成员需要回避。</w:t>
      </w:r>
    </w:p>
    <w:p w14:paraId="624CAD6D">
      <w:pPr>
        <w:snapToGrid w:val="0"/>
        <w:ind w:firstLine="480" w:firstLineChars="200"/>
        <w:rPr>
          <w:rFonts w:ascii="宋体" w:hAnsi="宋体"/>
        </w:rPr>
      </w:pPr>
      <w:r>
        <w:rPr>
          <w:rFonts w:hint="eastAsia" w:ascii="宋体" w:hAnsi="宋体"/>
        </w:rPr>
        <w:t>16.2退出评标的评标委员会成员，其已完成的评标行为无效。由招标人根据本招标文件规定的评标委员会成员产生方式另行确定替代者进行评标。</w:t>
      </w:r>
    </w:p>
    <w:p w14:paraId="1CF4B6D2">
      <w:pPr>
        <w:pStyle w:val="5"/>
        <w:snapToGrid w:val="0"/>
      </w:pPr>
      <w:bookmarkStart w:id="234" w:name="_Toc26493"/>
      <w:bookmarkStart w:id="235" w:name="_Toc196"/>
      <w:bookmarkStart w:id="236" w:name="_Toc19131"/>
      <w:bookmarkStart w:id="237" w:name="_Toc489214179"/>
      <w:r>
        <w:rPr>
          <w:rFonts w:hint="eastAsia"/>
        </w:rPr>
        <w:t>17．重新评审</w:t>
      </w:r>
      <w:bookmarkEnd w:id="234"/>
      <w:bookmarkEnd w:id="235"/>
      <w:bookmarkEnd w:id="236"/>
      <w:bookmarkEnd w:id="237"/>
    </w:p>
    <w:p w14:paraId="69A70543">
      <w:pPr>
        <w:snapToGrid w:val="0"/>
        <w:ind w:firstLine="480" w:firstLineChars="200"/>
        <w:rPr>
          <w:rFonts w:ascii="宋体" w:hAnsi="宋体"/>
          <w:bCs/>
        </w:rPr>
      </w:pPr>
      <w:r>
        <w:rPr>
          <w:rFonts w:hint="eastAsia" w:ascii="宋体" w:hAnsi="宋体"/>
          <w:bCs/>
        </w:rPr>
        <w:t>投标人、招标人或者其他利害关系人对依法必须进行招标的项目的评标结果有异议的，经监督部门认定需重新评审的，应当在发出中标通知书前由原评标委员会按照招标文件规定的标准和方法重新评审。</w:t>
      </w:r>
    </w:p>
    <w:p w14:paraId="74916B8C">
      <w:pPr>
        <w:pStyle w:val="5"/>
        <w:snapToGrid w:val="0"/>
      </w:pPr>
      <w:bookmarkStart w:id="238" w:name="_Toc31224"/>
      <w:bookmarkStart w:id="239" w:name="_Toc13620"/>
      <w:bookmarkStart w:id="240" w:name="_Toc28410"/>
      <w:bookmarkStart w:id="241" w:name="_Toc489214180"/>
      <w:r>
        <w:rPr>
          <w:rFonts w:hint="eastAsia"/>
        </w:rPr>
        <w:t>18．</w:t>
      </w:r>
      <w:r>
        <w:t>评标委员会建议重新招标</w:t>
      </w:r>
      <w:bookmarkEnd w:id="238"/>
      <w:bookmarkEnd w:id="239"/>
      <w:bookmarkEnd w:id="240"/>
      <w:bookmarkEnd w:id="241"/>
    </w:p>
    <w:p w14:paraId="7F30FE47">
      <w:pPr>
        <w:pStyle w:val="36"/>
        <w:tabs>
          <w:tab w:val="left" w:pos="720"/>
        </w:tabs>
        <w:snapToGrid w:val="0"/>
        <w:ind w:firstLine="480" w:firstLineChars="200"/>
        <w:rPr>
          <w:rFonts w:ascii="宋体" w:hAnsi="宋体"/>
          <w:kern w:val="2"/>
          <w:szCs w:val="24"/>
        </w:rPr>
      </w:pPr>
      <w:r>
        <w:rPr>
          <w:rFonts w:hint="eastAsia" w:ascii="宋体" w:hAnsi="宋体"/>
          <w:kern w:val="2"/>
          <w:szCs w:val="24"/>
        </w:rPr>
        <w:t xml:space="preserve">评标委员会经评审，确认存在下列情形之一的，应当建议招标人依法重新组织招标： </w:t>
      </w:r>
    </w:p>
    <w:p w14:paraId="0B769A90">
      <w:pPr>
        <w:pStyle w:val="36"/>
        <w:tabs>
          <w:tab w:val="left" w:pos="720"/>
        </w:tabs>
        <w:snapToGrid w:val="0"/>
        <w:ind w:firstLine="480" w:firstLineChars="200"/>
        <w:rPr>
          <w:rFonts w:ascii="宋体" w:hAnsi="宋体"/>
          <w:kern w:val="2"/>
          <w:szCs w:val="24"/>
        </w:rPr>
      </w:pPr>
      <w:r>
        <w:rPr>
          <w:rFonts w:hint="eastAsia" w:ascii="宋体" w:hAnsi="宋体"/>
          <w:kern w:val="2"/>
          <w:szCs w:val="24"/>
        </w:rPr>
        <w:t>（1）所有投标被否决的；</w:t>
      </w:r>
    </w:p>
    <w:p w14:paraId="1C098EEC">
      <w:pPr>
        <w:pStyle w:val="36"/>
        <w:tabs>
          <w:tab w:val="left" w:pos="720"/>
        </w:tabs>
        <w:snapToGrid w:val="0"/>
        <w:ind w:firstLine="480" w:firstLineChars="200"/>
        <w:rPr>
          <w:rFonts w:ascii="宋体" w:hAnsi="宋体"/>
          <w:kern w:val="2"/>
          <w:szCs w:val="24"/>
        </w:rPr>
      </w:pPr>
      <w:r>
        <w:rPr>
          <w:rFonts w:hint="eastAsia" w:ascii="宋体" w:hAnsi="宋体"/>
          <w:kern w:val="2"/>
          <w:szCs w:val="24"/>
        </w:rPr>
        <w:t xml:space="preserve">（2）评标委员会否决不合格投标后，因有效投标不足三个，经评审后认为有效投标均不符合招标文件的实质性要求和条件或者明显缺乏竞争的，应当否决全部投标，并阐述否决的判定依据和理由（在评标报告中予以记录）； </w:t>
      </w:r>
    </w:p>
    <w:p w14:paraId="7A8C3788">
      <w:pPr>
        <w:pStyle w:val="36"/>
        <w:tabs>
          <w:tab w:val="left" w:pos="720"/>
        </w:tabs>
        <w:snapToGrid w:val="0"/>
        <w:ind w:firstLine="480" w:firstLineChars="200"/>
        <w:rPr>
          <w:rFonts w:ascii="宋体" w:hAnsi="宋体"/>
          <w:kern w:val="2"/>
          <w:szCs w:val="24"/>
        </w:rPr>
      </w:pPr>
      <w:r>
        <w:rPr>
          <w:rFonts w:hint="eastAsia" w:ascii="宋体" w:hAnsi="宋体"/>
          <w:kern w:val="2"/>
          <w:szCs w:val="24"/>
        </w:rPr>
        <w:t xml:space="preserve">（3）招标文件其他组成内容与评标办法之间或者评标办法内容中出现矛盾性规定，又没有规定其优先解释顺序，不具有可操作性，以致评标活动无法进行的； </w:t>
      </w:r>
    </w:p>
    <w:p w14:paraId="293CCF32">
      <w:pPr>
        <w:pStyle w:val="36"/>
        <w:tabs>
          <w:tab w:val="left" w:pos="720"/>
        </w:tabs>
        <w:snapToGrid w:val="0"/>
        <w:ind w:firstLine="480" w:firstLineChars="200"/>
        <w:rPr>
          <w:rFonts w:ascii="宋体" w:hAnsi="宋体"/>
          <w:kern w:val="2"/>
          <w:szCs w:val="24"/>
        </w:rPr>
      </w:pPr>
      <w:r>
        <w:rPr>
          <w:rFonts w:hint="eastAsia" w:ascii="宋体" w:hAnsi="宋体"/>
          <w:kern w:val="2"/>
          <w:szCs w:val="24"/>
        </w:rPr>
        <w:t>（4）评标条件和标准明显背离科学性原则，不符合招标投标有关法律、法规规定，致使继续评标将严重损害招标人或投标人的合法权益的</w:t>
      </w:r>
      <w:r>
        <w:rPr>
          <w:rFonts w:ascii="宋体" w:hAnsi="宋体"/>
          <w:kern w:val="2"/>
          <w:szCs w:val="24"/>
        </w:rPr>
        <w:t>。</w:t>
      </w:r>
    </w:p>
    <w:p w14:paraId="63CDA8EA">
      <w:pPr>
        <w:pStyle w:val="5"/>
        <w:snapToGrid w:val="0"/>
      </w:pPr>
      <w:bookmarkStart w:id="242" w:name="_Toc17596"/>
      <w:bookmarkStart w:id="243" w:name="_Toc1577"/>
      <w:bookmarkStart w:id="244" w:name="_Toc489214181"/>
      <w:bookmarkStart w:id="245" w:name="_Toc2291"/>
      <w:r>
        <w:rPr>
          <w:rFonts w:hint="eastAsia"/>
        </w:rPr>
        <w:t>19．记名投票</w:t>
      </w:r>
      <w:bookmarkEnd w:id="242"/>
      <w:bookmarkEnd w:id="243"/>
      <w:bookmarkEnd w:id="244"/>
      <w:bookmarkEnd w:id="245"/>
    </w:p>
    <w:p w14:paraId="4CE9676A">
      <w:pPr>
        <w:snapToGrid w:val="0"/>
        <w:ind w:firstLine="480" w:firstLineChars="200"/>
        <w:rPr>
          <w:rFonts w:ascii="宋体" w:hAnsi="宋体"/>
        </w:rPr>
      </w:pPr>
      <w:r>
        <w:rPr>
          <w:rFonts w:hint="eastAsia" w:ascii="宋体" w:hAnsi="宋体"/>
        </w:rPr>
        <w:t>在任何评标环节中，需评标委员会就某项定性的评审结论做出表决的，由评标委员会全体成员按照少数服从多数的原则，以记名投票方式表决。该表决情况及结果应在评标报告中予以记录。</w:t>
      </w:r>
    </w:p>
    <w:p w14:paraId="57A2D894">
      <w:pPr>
        <w:pStyle w:val="5"/>
        <w:snapToGrid w:val="0"/>
      </w:pPr>
      <w:bookmarkStart w:id="246" w:name="_Toc5858"/>
      <w:bookmarkStart w:id="247" w:name="_Toc489214182"/>
      <w:bookmarkStart w:id="248" w:name="_Toc26067"/>
      <w:bookmarkStart w:id="249" w:name="_Toc13578"/>
      <w:r>
        <w:rPr>
          <w:rFonts w:hint="eastAsia"/>
        </w:rPr>
        <w:t>20．其他</w:t>
      </w:r>
      <w:bookmarkEnd w:id="246"/>
      <w:bookmarkEnd w:id="247"/>
      <w:bookmarkEnd w:id="248"/>
      <w:bookmarkEnd w:id="249"/>
    </w:p>
    <w:p w14:paraId="1F7FE6BF">
      <w:pPr>
        <w:snapToGrid w:val="0"/>
        <w:ind w:firstLine="480" w:firstLineChars="200"/>
        <w:rPr>
          <w:rFonts w:ascii="宋体" w:hAnsi="宋体"/>
          <w:bCs/>
        </w:rPr>
      </w:pPr>
      <w:r>
        <w:rPr>
          <w:rFonts w:hint="eastAsia" w:ascii="宋体" w:hAnsi="宋体"/>
          <w:bCs/>
        </w:rPr>
        <w:t>20.1有效投标是指没有被评标委员会根据本办法的规定否决的投标。</w:t>
      </w:r>
    </w:p>
    <w:p w14:paraId="1D02C4F7">
      <w:pPr>
        <w:snapToGrid w:val="0"/>
        <w:ind w:firstLine="480"/>
        <w:rPr>
          <w:rFonts w:ascii="宋体" w:hAnsi="宋体"/>
          <w:bCs/>
        </w:rPr>
      </w:pPr>
      <w:r>
        <w:rPr>
          <w:rFonts w:hint="eastAsia" w:ascii="宋体" w:hAnsi="宋体"/>
          <w:bCs/>
        </w:rPr>
        <w:t>20.2</w:t>
      </w:r>
      <w:r>
        <w:rPr>
          <w:rFonts w:ascii="宋体" w:hAnsi="宋体"/>
          <w:bCs/>
        </w:rPr>
        <w:t>量化分值小数点后有效位数确定：</w:t>
      </w:r>
      <w:bookmarkStart w:id="250" w:name="_Toc321405396"/>
      <w:r>
        <w:rPr>
          <w:rFonts w:ascii="宋体" w:hAnsi="宋体"/>
          <w:bCs/>
        </w:rPr>
        <w:t>本办法中量化评分分值</w:t>
      </w:r>
      <w:r>
        <w:rPr>
          <w:rFonts w:hint="eastAsia" w:ascii="宋体" w:hAnsi="宋体"/>
          <w:bCs/>
        </w:rPr>
        <w:t>在</w:t>
      </w:r>
      <w:r>
        <w:rPr>
          <w:rFonts w:ascii="宋体" w:hAnsi="宋体"/>
          <w:bCs/>
        </w:rPr>
        <w:t>计算</w:t>
      </w:r>
      <w:r>
        <w:rPr>
          <w:rFonts w:hint="eastAsia" w:ascii="宋体" w:hAnsi="宋体"/>
          <w:bCs/>
        </w:rPr>
        <w:t>过程中和计算结果均</w:t>
      </w:r>
      <w:r>
        <w:rPr>
          <w:rFonts w:ascii="宋体" w:hAnsi="宋体"/>
          <w:bCs/>
        </w:rPr>
        <w:t>保留小数点后两位，第三位四舍五入。</w:t>
      </w:r>
      <w:bookmarkEnd w:id="250"/>
    </w:p>
    <w:p w14:paraId="31BF0426">
      <w:pPr>
        <w:snapToGrid w:val="0"/>
        <w:ind w:firstLine="480"/>
        <w:rPr>
          <w:rFonts w:ascii="宋体" w:hAnsi="宋体"/>
          <w:bCs/>
        </w:rPr>
      </w:pPr>
      <w:r>
        <w:rPr>
          <w:rFonts w:hint="eastAsia" w:ascii="宋体" w:hAnsi="宋体"/>
          <w:bCs/>
        </w:rPr>
        <w:t>20.3若评标分设定为区间值，得分含上限不含下限。</w:t>
      </w:r>
    </w:p>
    <w:p w14:paraId="4F37EAFE">
      <w:pPr>
        <w:snapToGrid w:val="0"/>
        <w:ind w:firstLine="480"/>
        <w:rPr>
          <w:rFonts w:ascii="宋体" w:hAnsi="宋体"/>
          <w:bCs/>
        </w:rPr>
      </w:pPr>
      <w:r>
        <w:rPr>
          <w:rFonts w:hint="eastAsia" w:ascii="宋体" w:hAnsi="宋体"/>
          <w:bCs/>
        </w:rPr>
        <w:t>20.4评标委员会各成员对本人评审意见的真实性和准确性负责并签字确认。</w:t>
      </w:r>
    </w:p>
    <w:p w14:paraId="23DBE1A1">
      <w:pPr>
        <w:pStyle w:val="5"/>
      </w:pPr>
      <w:r>
        <w:rPr>
          <w:rFonts w:hint="eastAsia"/>
        </w:rPr>
        <w:t>21．本章附件</w:t>
      </w:r>
    </w:p>
    <w:p w14:paraId="03CF0C70">
      <w:pPr>
        <w:snapToGrid w:val="0"/>
        <w:ind w:firstLine="480"/>
        <w:rPr>
          <w:rFonts w:ascii="宋体" w:hAnsi="宋体"/>
          <w:bCs/>
        </w:rPr>
      </w:pPr>
      <w:r>
        <w:rPr>
          <w:rFonts w:hint="eastAsia" w:ascii="宋体" w:hAnsi="宋体"/>
          <w:bCs/>
        </w:rPr>
        <w:t xml:space="preserve">附件1：否决投标的情形； </w:t>
      </w:r>
    </w:p>
    <w:p w14:paraId="5178183E">
      <w:pPr>
        <w:snapToGrid w:val="0"/>
        <w:ind w:firstLine="480"/>
        <w:rPr>
          <w:rFonts w:ascii="宋体" w:hAnsi="宋体"/>
          <w:bCs/>
        </w:rPr>
      </w:pPr>
      <w:r>
        <w:rPr>
          <w:rFonts w:hint="eastAsia" w:ascii="宋体" w:hAnsi="宋体"/>
          <w:bCs/>
        </w:rPr>
        <w:t xml:space="preserve">附件2-1：初步评审标准及记录表； </w:t>
      </w:r>
    </w:p>
    <w:p w14:paraId="66D95721">
      <w:pPr>
        <w:snapToGrid w:val="0"/>
        <w:ind w:firstLine="480"/>
        <w:rPr>
          <w:rFonts w:ascii="宋体" w:hAnsi="宋体"/>
          <w:bCs/>
        </w:rPr>
      </w:pPr>
      <w:r>
        <w:rPr>
          <w:rFonts w:hint="eastAsia" w:ascii="宋体" w:hAnsi="宋体"/>
          <w:bCs/>
        </w:rPr>
        <w:t xml:space="preserve">附件2-2：初步评审标准及记录表（其他情形）； </w:t>
      </w:r>
    </w:p>
    <w:p w14:paraId="293A26CC">
      <w:pPr>
        <w:snapToGrid w:val="0"/>
        <w:ind w:firstLine="480"/>
        <w:rPr>
          <w:rFonts w:ascii="宋体" w:hAnsi="宋体"/>
          <w:bCs/>
        </w:rPr>
      </w:pPr>
      <w:r>
        <w:rPr>
          <w:rFonts w:hint="eastAsia" w:ascii="宋体" w:hAnsi="宋体"/>
          <w:bCs/>
        </w:rPr>
        <w:t xml:space="preserve">附件2-3：未通过初步评审等情况汇总表； </w:t>
      </w:r>
    </w:p>
    <w:p w14:paraId="6349A092">
      <w:pPr>
        <w:snapToGrid w:val="0"/>
        <w:ind w:firstLine="480"/>
        <w:rPr>
          <w:rFonts w:ascii="宋体" w:hAnsi="宋体"/>
          <w:bCs/>
        </w:rPr>
      </w:pPr>
      <w:r>
        <w:rPr>
          <w:rFonts w:hint="eastAsia" w:ascii="宋体" w:hAnsi="宋体"/>
          <w:bCs/>
        </w:rPr>
        <w:t xml:space="preserve">附件3-1：详细评审标准及计分表； </w:t>
      </w:r>
    </w:p>
    <w:p w14:paraId="00E50F65">
      <w:pPr>
        <w:snapToGrid w:val="0"/>
        <w:ind w:firstLine="480"/>
        <w:rPr>
          <w:rFonts w:ascii="宋体" w:hAnsi="宋体"/>
          <w:bCs/>
        </w:rPr>
      </w:pPr>
      <w:r>
        <w:rPr>
          <w:rFonts w:hint="eastAsia" w:ascii="宋体" w:hAnsi="宋体"/>
          <w:bCs/>
        </w:rPr>
        <w:t xml:space="preserve">附件3-2：评分汇总及得分记录表； </w:t>
      </w:r>
    </w:p>
    <w:p w14:paraId="0FDE157A">
      <w:pPr>
        <w:snapToGrid w:val="0"/>
        <w:ind w:firstLine="480"/>
        <w:rPr>
          <w:rFonts w:ascii="宋体" w:hAnsi="宋体"/>
          <w:bCs/>
        </w:rPr>
      </w:pPr>
      <w:r>
        <w:rPr>
          <w:rFonts w:hint="eastAsia" w:ascii="宋体" w:hAnsi="宋体"/>
          <w:bCs/>
        </w:rPr>
        <w:t xml:space="preserve">附件4：投标人排序表； </w:t>
      </w:r>
    </w:p>
    <w:p w14:paraId="5790A565">
      <w:pPr>
        <w:snapToGrid w:val="0"/>
        <w:ind w:firstLine="480"/>
        <w:rPr>
          <w:rFonts w:ascii="宋体" w:hAnsi="宋体"/>
          <w:bCs/>
        </w:rPr>
      </w:pPr>
      <w:r>
        <w:rPr>
          <w:rFonts w:hint="eastAsia" w:ascii="宋体" w:hAnsi="宋体"/>
          <w:bCs/>
        </w:rPr>
        <w:t xml:space="preserve">附件5-1：问题澄清通知； </w:t>
      </w:r>
    </w:p>
    <w:p w14:paraId="2A79A75C">
      <w:pPr>
        <w:snapToGrid w:val="0"/>
        <w:ind w:firstLine="480"/>
        <w:rPr>
          <w:rFonts w:ascii="宋体" w:hAnsi="宋体"/>
          <w:bCs/>
        </w:rPr>
      </w:pPr>
      <w:r>
        <w:rPr>
          <w:rFonts w:hint="eastAsia" w:ascii="宋体" w:hAnsi="宋体"/>
          <w:bCs/>
        </w:rPr>
        <w:t xml:space="preserve">附件5-2：问题的澄清； </w:t>
      </w:r>
    </w:p>
    <w:p w14:paraId="1860DC88">
      <w:pPr>
        <w:snapToGrid w:val="0"/>
        <w:ind w:firstLine="480"/>
        <w:rPr>
          <w:rFonts w:ascii="宋体" w:hAnsi="宋体"/>
          <w:bCs/>
        </w:rPr>
      </w:pPr>
      <w:r>
        <w:rPr>
          <w:rFonts w:hint="eastAsia" w:ascii="宋体" w:hAnsi="宋体"/>
          <w:bCs/>
        </w:rPr>
        <w:t>附件6：评标报告。</w:t>
      </w:r>
    </w:p>
    <w:p w14:paraId="31458DA0">
      <w:pPr>
        <w:tabs>
          <w:tab w:val="left" w:pos="4680"/>
        </w:tabs>
        <w:snapToGrid w:val="0"/>
        <w:ind w:firstLine="480" w:firstLineChars="200"/>
        <w:jc w:val="left"/>
        <w:rPr>
          <w:rFonts w:ascii="宋体" w:hAnsi="宋体"/>
        </w:rPr>
        <w:sectPr>
          <w:footerReference r:id="rId8" w:type="default"/>
          <w:pgSz w:w="11906" w:h="16838"/>
          <w:pgMar w:top="1440" w:right="1080" w:bottom="1440" w:left="1080" w:header="851" w:footer="992" w:gutter="0"/>
          <w:cols w:space="720" w:num="1"/>
          <w:docGrid w:type="lines" w:linePitch="286" w:charSpace="0"/>
        </w:sectPr>
      </w:pPr>
      <w:bookmarkStart w:id="251" w:name="_Toc321405354"/>
      <w:r>
        <w:rPr>
          <w:rFonts w:hint="eastAsia" w:ascii="宋体" w:hAnsi="宋体"/>
        </w:rPr>
        <w:t xml:space="preserve"> </w:t>
      </w:r>
    </w:p>
    <w:bookmarkEnd w:id="251"/>
    <w:p w14:paraId="13080F31">
      <w:pPr>
        <w:spacing w:after="240" w:afterLines="100"/>
        <w:outlineLvl w:val="1"/>
        <w:rPr>
          <w:rFonts w:ascii="宋体" w:hAnsi="宋体"/>
          <w:bCs/>
        </w:rPr>
      </w:pPr>
      <w:bookmarkStart w:id="252" w:name="_Toc489214184"/>
      <w:bookmarkStart w:id="253" w:name="_Toc4748"/>
      <w:bookmarkStart w:id="254" w:name="_Toc13367"/>
      <w:bookmarkStart w:id="255" w:name="_Toc15598"/>
      <w:r>
        <w:rPr>
          <w:rFonts w:hint="eastAsia" w:ascii="宋体" w:hAnsi="宋体"/>
          <w:b/>
        </w:rPr>
        <w:t>附件1</w:t>
      </w:r>
      <w:bookmarkEnd w:id="252"/>
      <w:bookmarkEnd w:id="253"/>
      <w:bookmarkEnd w:id="254"/>
      <w:bookmarkEnd w:id="255"/>
      <w:bookmarkStart w:id="256" w:name="_Toc25244"/>
      <w:bookmarkStart w:id="257" w:name="_Toc26712"/>
      <w:bookmarkStart w:id="258" w:name="_Toc29122"/>
      <w:bookmarkStart w:id="259" w:name="_Toc489214187"/>
      <w:r>
        <w:rPr>
          <w:rFonts w:hint="eastAsia" w:ascii="宋体" w:hAnsi="宋体"/>
          <w:b/>
        </w:rPr>
        <w:t>：否决投标的情形</w:t>
      </w:r>
      <w:bookmarkEnd w:id="256"/>
      <w:bookmarkEnd w:id="257"/>
      <w:bookmarkEnd w:id="258"/>
      <w:bookmarkEnd w:id="259"/>
    </w:p>
    <w:p w14:paraId="727FD8A1">
      <w:pPr>
        <w:tabs>
          <w:tab w:val="left" w:pos="4680"/>
        </w:tabs>
        <w:snapToGrid w:val="0"/>
        <w:spacing w:after="360" w:afterLines="150" w:line="240" w:lineRule="auto"/>
        <w:jc w:val="center"/>
        <w:rPr>
          <w:rFonts w:ascii="宋体" w:hAnsi="宋体"/>
          <w:b/>
          <w:bCs/>
          <w:sz w:val="30"/>
          <w:szCs w:val="30"/>
        </w:rPr>
      </w:pPr>
      <w:r>
        <w:rPr>
          <w:rFonts w:hint="eastAsia" w:ascii="宋体" w:hAnsi="宋体"/>
          <w:b/>
          <w:bCs/>
          <w:sz w:val="30"/>
          <w:szCs w:val="30"/>
        </w:rPr>
        <w:t>否决投标的情形</w:t>
      </w:r>
    </w:p>
    <w:p w14:paraId="1CFE032B">
      <w:pPr>
        <w:adjustRightInd w:val="0"/>
        <w:snapToGrid w:val="0"/>
        <w:ind w:firstLine="480" w:firstLineChars="200"/>
        <w:rPr>
          <w:rFonts w:ascii="宋体" w:hAnsi="宋体"/>
        </w:rPr>
      </w:pPr>
      <w:r>
        <w:rPr>
          <w:rFonts w:hint="eastAsia" w:ascii="宋体" w:hAnsi="宋体"/>
        </w:rPr>
        <w:t>投标人或其投标文件有下列情形之一的，</w:t>
      </w:r>
      <w:r>
        <w:rPr>
          <w:rFonts w:hint="eastAsia" w:ascii="宋体" w:hAnsi="宋体"/>
          <w:kern w:val="0"/>
        </w:rPr>
        <w:t>其投标将被否决</w:t>
      </w:r>
      <w:r>
        <w:rPr>
          <w:rFonts w:hint="eastAsia" w:ascii="宋体" w:hAnsi="宋体"/>
        </w:rPr>
        <w:t>：</w:t>
      </w:r>
    </w:p>
    <w:p w14:paraId="19E866C9">
      <w:pPr>
        <w:adjustRightInd w:val="0"/>
        <w:snapToGrid w:val="0"/>
        <w:ind w:firstLine="480" w:firstLineChars="200"/>
        <w:rPr>
          <w:rFonts w:ascii="楷体" w:hAnsi="楷体" w:eastAsia="楷体"/>
          <w:b/>
        </w:rPr>
      </w:pPr>
      <w:r>
        <w:rPr>
          <w:rFonts w:hint="eastAsia" w:ascii="宋体" w:hAnsi="宋体"/>
        </w:rPr>
        <w:t>1.有下列任何一种情形的：</w:t>
      </w:r>
    </w:p>
    <w:p w14:paraId="69566137">
      <w:pPr>
        <w:snapToGrid w:val="0"/>
        <w:ind w:firstLine="480" w:firstLineChars="200"/>
        <w:rPr>
          <w:rFonts w:ascii="宋体" w:hAnsi="宋体" w:cs="宋体"/>
          <w:kern w:val="0"/>
        </w:rPr>
      </w:pPr>
      <w:r>
        <w:rPr>
          <w:rFonts w:hint="eastAsia" w:ascii="宋体" w:hAnsi="宋体" w:cs="宋体"/>
          <w:kern w:val="0"/>
        </w:rPr>
        <w:t>（1）为招标人不具有独立法人资格的附属机构（单位）；</w:t>
      </w:r>
    </w:p>
    <w:p w14:paraId="3F8663DA">
      <w:pPr>
        <w:snapToGrid w:val="0"/>
        <w:ind w:firstLine="480" w:firstLineChars="200"/>
        <w:rPr>
          <w:rFonts w:ascii="宋体" w:hAnsi="宋体" w:cs="宋体"/>
          <w:kern w:val="0"/>
        </w:rPr>
      </w:pPr>
      <w:r>
        <w:rPr>
          <w:rFonts w:hint="eastAsia" w:ascii="宋体" w:hAnsi="宋体" w:cs="宋体"/>
          <w:kern w:val="0"/>
        </w:rPr>
        <w:t>（2）与招标人存在利害关系且可能影响招标公正性；</w:t>
      </w:r>
    </w:p>
    <w:p w14:paraId="57EB1A9B">
      <w:pPr>
        <w:snapToGrid w:val="0"/>
        <w:ind w:firstLine="480" w:firstLineChars="200"/>
        <w:rPr>
          <w:rFonts w:ascii="宋体" w:hAnsi="宋体" w:cs="宋体"/>
          <w:kern w:val="0"/>
        </w:rPr>
      </w:pPr>
      <w:r>
        <w:rPr>
          <w:rFonts w:hint="eastAsia" w:ascii="宋体" w:hAnsi="宋体" w:cs="宋体"/>
          <w:kern w:val="0"/>
        </w:rPr>
        <w:t>（3）与本标段的其他投标人为同一个单位负责人；</w:t>
      </w:r>
    </w:p>
    <w:p w14:paraId="0DCA24E4">
      <w:pPr>
        <w:snapToGrid w:val="0"/>
        <w:ind w:firstLine="480" w:firstLineChars="200"/>
        <w:rPr>
          <w:rFonts w:ascii="宋体" w:hAnsi="宋体" w:cs="宋体"/>
          <w:kern w:val="0"/>
        </w:rPr>
      </w:pPr>
      <w:r>
        <w:rPr>
          <w:rFonts w:hint="eastAsia" w:ascii="宋体" w:hAnsi="宋体" w:cs="宋体"/>
          <w:kern w:val="0"/>
        </w:rPr>
        <w:t>（4）与本标段的其他投标人存在控股、管理关系；</w:t>
      </w:r>
    </w:p>
    <w:p w14:paraId="47D7FF1B">
      <w:pPr>
        <w:snapToGrid w:val="0"/>
        <w:ind w:firstLine="480" w:firstLineChars="200"/>
        <w:rPr>
          <w:rFonts w:ascii="宋体" w:hAnsi="宋体" w:cs="宋体"/>
          <w:kern w:val="0"/>
        </w:rPr>
      </w:pPr>
      <w:r>
        <w:rPr>
          <w:rFonts w:hint="eastAsia" w:ascii="宋体" w:hAnsi="宋体" w:cs="宋体"/>
          <w:kern w:val="0"/>
        </w:rPr>
        <w:t>（5）为本标段的监理人或代建人或项目管理人或造价咨询人或招标代理机构；</w:t>
      </w:r>
    </w:p>
    <w:p w14:paraId="33D5212B">
      <w:pPr>
        <w:snapToGrid w:val="0"/>
        <w:ind w:firstLine="480" w:firstLineChars="200"/>
        <w:rPr>
          <w:rFonts w:ascii="宋体" w:hAnsi="宋体" w:cs="宋体"/>
          <w:kern w:val="0"/>
        </w:rPr>
      </w:pPr>
      <w:r>
        <w:rPr>
          <w:rFonts w:hint="eastAsia" w:ascii="宋体" w:hAnsi="宋体" w:cs="宋体"/>
          <w:kern w:val="0"/>
        </w:rPr>
        <w:t>（6）与本标段监理人或代建人或项目管理人或造价咨询人或招标代理机构同为一个法定代表人；</w:t>
      </w:r>
    </w:p>
    <w:p w14:paraId="08E6F887">
      <w:pPr>
        <w:snapToGrid w:val="0"/>
        <w:ind w:firstLine="480" w:firstLineChars="200"/>
        <w:rPr>
          <w:rFonts w:ascii="宋体" w:hAnsi="宋体" w:cs="宋体"/>
          <w:kern w:val="0"/>
        </w:rPr>
      </w:pPr>
      <w:r>
        <w:rPr>
          <w:rFonts w:hint="eastAsia" w:ascii="宋体" w:hAnsi="宋体" w:cs="宋体"/>
          <w:kern w:val="0"/>
        </w:rPr>
        <w:t>（7）与本标段监理人或代建人或项目管理人或造价咨询人或招标代理机构存在控股或参股关系；</w:t>
      </w:r>
    </w:p>
    <w:p w14:paraId="643A05AC">
      <w:pPr>
        <w:snapToGrid w:val="0"/>
        <w:ind w:firstLine="480" w:firstLineChars="200"/>
        <w:rPr>
          <w:rFonts w:ascii="宋体" w:hAnsi="宋体" w:cs="宋体"/>
          <w:kern w:val="0"/>
        </w:rPr>
      </w:pPr>
      <w:r>
        <w:rPr>
          <w:rFonts w:hint="eastAsia" w:ascii="宋体" w:hAnsi="宋体" w:cs="宋体"/>
          <w:kern w:val="0"/>
        </w:rPr>
        <w:t xml:space="preserve">（8）为本标段前期准备提供设计或咨询服务； </w:t>
      </w:r>
    </w:p>
    <w:p w14:paraId="1064649B">
      <w:pPr>
        <w:snapToGrid w:val="0"/>
        <w:ind w:firstLine="480" w:firstLineChars="200"/>
        <w:rPr>
          <w:rFonts w:ascii="宋体" w:hAnsi="宋体" w:cs="宋体"/>
          <w:kern w:val="0"/>
        </w:rPr>
      </w:pPr>
      <w:r>
        <w:rPr>
          <w:rFonts w:hint="eastAsia" w:ascii="宋体" w:hAnsi="宋体" w:cs="宋体"/>
          <w:kern w:val="0"/>
        </w:rPr>
        <w:t>（9）被依法暂停或者取消投标资格；</w:t>
      </w:r>
      <w:r>
        <w:rPr>
          <w:rFonts w:hint="eastAsia" w:ascii="宋体" w:hAnsi="宋体" w:cs="宋体"/>
          <w:kern w:val="0"/>
        </w:rPr>
        <w:tab/>
      </w:r>
    </w:p>
    <w:p w14:paraId="60B78CA4">
      <w:pPr>
        <w:snapToGrid w:val="0"/>
        <w:ind w:firstLine="480" w:firstLineChars="200"/>
        <w:rPr>
          <w:rFonts w:ascii="宋体" w:hAnsi="宋体" w:cs="宋体"/>
          <w:kern w:val="0"/>
        </w:rPr>
      </w:pPr>
      <w:r>
        <w:rPr>
          <w:rFonts w:hint="eastAsia" w:ascii="宋体" w:hAnsi="宋体" w:cs="宋体"/>
          <w:kern w:val="0"/>
        </w:rPr>
        <w:t>（10）被责令停产停业、暂扣或者吊销许可证、暂扣或者吊销执照；</w:t>
      </w:r>
    </w:p>
    <w:p w14:paraId="7C213EA0">
      <w:pPr>
        <w:snapToGrid w:val="0"/>
        <w:ind w:firstLine="480" w:firstLineChars="200"/>
        <w:rPr>
          <w:rFonts w:ascii="宋体" w:hAnsi="宋体" w:cs="宋体"/>
          <w:kern w:val="0"/>
        </w:rPr>
      </w:pPr>
      <w:r>
        <w:rPr>
          <w:rFonts w:hint="eastAsia" w:ascii="宋体" w:hAnsi="宋体" w:cs="宋体"/>
          <w:kern w:val="0"/>
        </w:rPr>
        <w:t>（11）进入清算程序，或被宣告破产，或其他丧失履约能力的情形；</w:t>
      </w:r>
    </w:p>
    <w:p w14:paraId="728A20C9">
      <w:pPr>
        <w:snapToGrid w:val="0"/>
        <w:ind w:firstLine="480" w:firstLineChars="200"/>
        <w:rPr>
          <w:rFonts w:ascii="宋体" w:hAnsi="宋体" w:cs="宋体"/>
          <w:kern w:val="0"/>
        </w:rPr>
      </w:pPr>
      <w:r>
        <w:rPr>
          <w:rFonts w:hint="eastAsia" w:ascii="宋体" w:hAnsi="宋体" w:cs="宋体"/>
          <w:kern w:val="0"/>
        </w:rPr>
        <w:t>（12）在最近三年内（按投标截止时间推算）发生重大工程质量问题（以相关行业主管部门的行政处罚决定或司法机关出具的有关法律文书为准）；</w:t>
      </w:r>
    </w:p>
    <w:p w14:paraId="04EF3F81">
      <w:pPr>
        <w:snapToGrid w:val="0"/>
        <w:ind w:firstLine="480" w:firstLineChars="200"/>
        <w:rPr>
          <w:rFonts w:ascii="宋体" w:hAnsi="宋体" w:cs="宋体"/>
          <w:kern w:val="0"/>
        </w:rPr>
      </w:pPr>
      <w:r>
        <w:rPr>
          <w:rFonts w:hint="eastAsia" w:ascii="宋体" w:hAnsi="宋体" w:cs="宋体"/>
          <w:kern w:val="0"/>
        </w:rPr>
        <w:t>（13）在最近三年内（按投标截止时间推算）发生重大工程安全事故（以相关行业主管部门的行政处罚决定或司法机关出具的有关法律文书为准）；</w:t>
      </w:r>
    </w:p>
    <w:p w14:paraId="1052289C">
      <w:pPr>
        <w:snapToGrid w:val="0"/>
        <w:ind w:firstLine="480" w:firstLineChars="200"/>
        <w:rPr>
          <w:rFonts w:ascii="宋体" w:hAnsi="宋体" w:cs="宋体"/>
          <w:kern w:val="0"/>
        </w:rPr>
      </w:pPr>
      <w:r>
        <w:rPr>
          <w:rFonts w:hint="eastAsia" w:ascii="宋体" w:hAnsi="宋体" w:cs="宋体"/>
          <w:kern w:val="0"/>
        </w:rPr>
        <w:t>（14）被最高人民法院在“信用中国”网站（www.creditchina.gov.cn）中列入失信被执行人名单；</w:t>
      </w:r>
    </w:p>
    <w:p w14:paraId="372DDCC3">
      <w:pPr>
        <w:snapToGrid w:val="0"/>
        <w:ind w:firstLine="480" w:firstLineChars="200"/>
        <w:rPr>
          <w:rFonts w:ascii="宋体" w:hAnsi="宋体" w:cs="宋体"/>
          <w:kern w:val="0"/>
        </w:rPr>
      </w:pPr>
      <w:r>
        <w:rPr>
          <w:rFonts w:hint="eastAsia" w:ascii="宋体" w:hAnsi="宋体" w:cs="宋体"/>
          <w:kern w:val="0"/>
        </w:rPr>
        <w:t>（15）在最近三年内（按投标截止时间推算）投标人或其法定代表人、拟委任的项目经理有行贿犯罪判决或裁定记录的（以中国裁判文书网http://wenshu.court.gov.cn查询结果为准）；</w:t>
      </w:r>
    </w:p>
    <w:p w14:paraId="719101F8">
      <w:pPr>
        <w:snapToGrid w:val="0"/>
        <w:ind w:firstLine="480" w:firstLineChars="200"/>
        <w:rPr>
          <w:rFonts w:ascii="宋体" w:hAnsi="宋体" w:cs="宋体"/>
          <w:kern w:val="0"/>
        </w:rPr>
      </w:pPr>
      <w:r>
        <w:rPr>
          <w:rFonts w:hint="eastAsia" w:ascii="宋体" w:hAnsi="宋体" w:cs="宋体"/>
          <w:kern w:val="0"/>
        </w:rPr>
        <w:t>（16）在最近三年内（按投标截止时间推算）投标人因环境违法违规行为造成较大社会影响或被政府部门列入“黑名单”；</w:t>
      </w:r>
    </w:p>
    <w:p w14:paraId="66FDBAC2">
      <w:pPr>
        <w:snapToGrid w:val="0"/>
        <w:ind w:firstLine="480" w:firstLineChars="200"/>
        <w:rPr>
          <w:rFonts w:ascii="宋体" w:hAnsi="宋体"/>
        </w:rPr>
      </w:pPr>
      <w:r>
        <w:rPr>
          <w:rFonts w:hint="eastAsia"/>
        </w:rPr>
        <w:t>（17）</w:t>
      </w:r>
      <w:r>
        <w:rPr>
          <w:rFonts w:hint="eastAsia" w:ascii="宋体" w:hAnsi="宋体" w:cs="宋体"/>
          <w:kern w:val="0"/>
        </w:rPr>
        <w:t>法律法规规定的其他情形。</w:t>
      </w:r>
    </w:p>
    <w:p w14:paraId="496877FA">
      <w:pPr>
        <w:adjustRightInd w:val="0"/>
        <w:snapToGrid w:val="0"/>
        <w:ind w:firstLine="480" w:firstLineChars="200"/>
        <w:rPr>
          <w:rFonts w:ascii="宋体" w:hAnsi="宋体"/>
        </w:rPr>
      </w:pPr>
      <w:r>
        <w:rPr>
          <w:rFonts w:hint="eastAsia" w:ascii="宋体" w:hAnsi="宋体"/>
        </w:rPr>
        <w:t>2.有串通投标行为的，包括：</w:t>
      </w:r>
    </w:p>
    <w:p w14:paraId="0A95E7B5">
      <w:pPr>
        <w:adjustRightInd w:val="0"/>
        <w:snapToGrid w:val="0"/>
        <w:ind w:firstLine="480" w:firstLineChars="200"/>
        <w:rPr>
          <w:rFonts w:ascii="宋体" w:hAnsi="宋体"/>
        </w:rPr>
      </w:pPr>
      <w:r>
        <w:rPr>
          <w:rFonts w:hint="eastAsia" w:ascii="宋体" w:hAnsi="宋体"/>
        </w:rPr>
        <w:t>（1）不同投标人的投标文件由同一单位或者个人编制的；</w:t>
      </w:r>
    </w:p>
    <w:p w14:paraId="531A7C18">
      <w:pPr>
        <w:adjustRightInd w:val="0"/>
        <w:snapToGrid w:val="0"/>
        <w:ind w:firstLine="480" w:firstLineChars="200"/>
        <w:rPr>
          <w:rFonts w:ascii="宋体" w:hAnsi="宋体"/>
        </w:rPr>
      </w:pPr>
      <w:r>
        <w:rPr>
          <w:rFonts w:hint="eastAsia" w:ascii="宋体" w:hAnsi="宋体"/>
        </w:rPr>
        <w:t>（2）不同投标人委托同一单位或者个人办理投标事宜的；</w:t>
      </w:r>
    </w:p>
    <w:p w14:paraId="7FC1A2CD">
      <w:pPr>
        <w:adjustRightInd w:val="0"/>
        <w:snapToGrid w:val="0"/>
        <w:ind w:firstLine="480" w:firstLineChars="200"/>
        <w:rPr>
          <w:rFonts w:ascii="宋体" w:hAnsi="宋体"/>
        </w:rPr>
      </w:pPr>
      <w:r>
        <w:rPr>
          <w:rFonts w:hint="eastAsia" w:ascii="宋体" w:hAnsi="宋体"/>
        </w:rPr>
        <w:t>（3）不同投标人的投标文件载明的项目管理机构成员出现同一人的；</w:t>
      </w:r>
    </w:p>
    <w:p w14:paraId="7BA4AF30">
      <w:pPr>
        <w:adjustRightInd w:val="0"/>
        <w:snapToGrid w:val="0"/>
        <w:ind w:firstLine="480" w:firstLineChars="200"/>
        <w:rPr>
          <w:rFonts w:ascii="宋体" w:hAnsi="宋体"/>
        </w:rPr>
      </w:pPr>
      <w:r>
        <w:rPr>
          <w:rFonts w:hint="eastAsia" w:ascii="宋体" w:hAnsi="宋体"/>
        </w:rPr>
        <w:t>（4）不同投标人的投标文件异常一致或者投标报价呈规律性差异；</w:t>
      </w:r>
    </w:p>
    <w:p w14:paraId="351094B7">
      <w:pPr>
        <w:adjustRightInd w:val="0"/>
        <w:snapToGrid w:val="0"/>
        <w:ind w:firstLine="480" w:firstLineChars="200"/>
        <w:rPr>
          <w:rFonts w:ascii="宋体" w:hAnsi="宋体"/>
        </w:rPr>
      </w:pPr>
      <w:r>
        <w:rPr>
          <w:rFonts w:hint="eastAsia" w:ascii="宋体" w:hAnsi="宋体"/>
        </w:rPr>
        <w:t>（5）不同投标人的投标文件相互混装的；</w:t>
      </w:r>
    </w:p>
    <w:p w14:paraId="5EA31A3A">
      <w:pPr>
        <w:adjustRightInd w:val="0"/>
        <w:snapToGrid w:val="0"/>
        <w:ind w:firstLine="480" w:firstLineChars="200"/>
        <w:rPr>
          <w:rFonts w:ascii="宋体" w:hAnsi="宋体"/>
        </w:rPr>
      </w:pPr>
      <w:r>
        <w:rPr>
          <w:rFonts w:hint="eastAsia" w:ascii="宋体" w:hAnsi="宋体"/>
        </w:rPr>
        <w:t>（6）不同投标人的投标保证金从同一单位或者个人的账户转出的；</w:t>
      </w:r>
    </w:p>
    <w:p w14:paraId="7DBC53CA">
      <w:pPr>
        <w:adjustRightInd w:val="0"/>
        <w:snapToGrid w:val="0"/>
        <w:ind w:firstLine="480" w:firstLineChars="200"/>
        <w:rPr>
          <w:rFonts w:ascii="宋体" w:hAnsi="宋体"/>
        </w:rPr>
      </w:pPr>
      <w:r>
        <w:rPr>
          <w:rFonts w:hint="eastAsia" w:ascii="宋体" w:hAnsi="宋体"/>
        </w:rPr>
        <w:t>（7）法律、法规、规章和规范性文件规定的其他串通投标的情形。</w:t>
      </w:r>
    </w:p>
    <w:p w14:paraId="03C8E18C">
      <w:pPr>
        <w:adjustRightInd w:val="0"/>
        <w:snapToGrid w:val="0"/>
        <w:ind w:firstLine="480" w:firstLineChars="200"/>
        <w:rPr>
          <w:rFonts w:ascii="宋体" w:hAnsi="宋体"/>
        </w:rPr>
      </w:pPr>
      <w:r>
        <w:rPr>
          <w:rFonts w:hint="eastAsia" w:ascii="宋体" w:hAnsi="宋体"/>
        </w:rPr>
        <w:t>3.使用通过受让或者租借等方式获取的资质、资格证书投标，或伪造资质、资格、业绩、财务等证件资料投标。</w:t>
      </w:r>
    </w:p>
    <w:p w14:paraId="650D2B92">
      <w:pPr>
        <w:adjustRightInd w:val="0"/>
        <w:snapToGrid w:val="0"/>
        <w:ind w:firstLine="480" w:firstLineChars="200"/>
        <w:rPr>
          <w:rFonts w:ascii="宋体" w:hAnsi="宋体"/>
        </w:rPr>
      </w:pPr>
      <w:r>
        <w:rPr>
          <w:rFonts w:hint="eastAsia" w:ascii="宋体" w:hAnsi="宋体"/>
        </w:rPr>
        <w:t>4.在初步评审的形式评审、资格评审、响应性评审中，评标委员会认定投标人的投标不符合初步评审标准中规定的任何一项评审标准的。</w:t>
      </w:r>
    </w:p>
    <w:p w14:paraId="1EAC42CD">
      <w:pPr>
        <w:adjustRightInd w:val="0"/>
        <w:snapToGrid w:val="0"/>
        <w:ind w:firstLine="480" w:firstLineChars="200"/>
        <w:rPr>
          <w:rFonts w:ascii="宋体" w:hAnsi="宋体"/>
        </w:rPr>
      </w:pPr>
      <w:r>
        <w:rPr>
          <w:rFonts w:hint="eastAsia" w:ascii="宋体" w:hAnsi="宋体"/>
        </w:rPr>
        <w:t>5.未披露或未真实披露投标人与其关联单位的关系及相关情况的。</w:t>
      </w:r>
    </w:p>
    <w:p w14:paraId="3C4E6C40">
      <w:pPr>
        <w:adjustRightInd w:val="0"/>
        <w:snapToGrid w:val="0"/>
        <w:ind w:firstLine="480" w:firstLineChars="200"/>
        <w:rPr>
          <w:rFonts w:ascii="宋体" w:hAnsi="宋体"/>
        </w:rPr>
      </w:pPr>
      <w:r>
        <w:rPr>
          <w:rFonts w:hint="eastAsia" w:ascii="宋体" w:hAnsi="宋体"/>
        </w:rPr>
        <w:t>6.投标文件内容不全，造成实质性内容无法评审的。</w:t>
      </w:r>
    </w:p>
    <w:p w14:paraId="1F1A700E">
      <w:pPr>
        <w:adjustRightInd w:val="0"/>
        <w:snapToGrid w:val="0"/>
        <w:ind w:firstLine="480" w:firstLineChars="200"/>
        <w:rPr>
          <w:rFonts w:hAnsi="宋体"/>
        </w:rPr>
      </w:pPr>
      <w:r>
        <w:rPr>
          <w:rFonts w:hint="eastAsia" w:hAnsi="宋体"/>
        </w:rPr>
        <w:t>7.投标文件封面、投标函未加盖投标人公章。</w:t>
      </w:r>
    </w:p>
    <w:p w14:paraId="444A81A4">
      <w:pPr>
        <w:adjustRightInd w:val="0"/>
        <w:snapToGrid w:val="0"/>
        <w:ind w:firstLine="480" w:firstLineChars="200"/>
        <w:rPr>
          <w:rFonts w:hAnsi="宋体"/>
        </w:rPr>
      </w:pPr>
      <w:r>
        <w:rPr>
          <w:rFonts w:hint="eastAsia" w:hAnsi="宋体"/>
        </w:rPr>
        <w:t>8.与初步评审有关的复印件字迹无法辨认（属于详细评审内容的，不计分）。</w:t>
      </w:r>
    </w:p>
    <w:p w14:paraId="799818A5">
      <w:pPr>
        <w:adjustRightInd w:val="0"/>
        <w:snapToGrid w:val="0"/>
        <w:ind w:firstLine="480" w:firstLineChars="200"/>
        <w:rPr>
          <w:rFonts w:hAnsi="宋体"/>
        </w:rPr>
      </w:pPr>
      <w:r>
        <w:rPr>
          <w:rFonts w:hint="eastAsia" w:hAnsi="宋体"/>
        </w:rPr>
        <w:t>9.低于成本报价。</w:t>
      </w:r>
    </w:p>
    <w:p w14:paraId="04529E05">
      <w:pPr>
        <w:adjustRightInd w:val="0"/>
        <w:snapToGrid w:val="0"/>
        <w:ind w:firstLine="480" w:firstLineChars="200"/>
        <w:rPr>
          <w:rFonts w:hAnsi="宋体"/>
        </w:rPr>
      </w:pPr>
      <w:r>
        <w:rPr>
          <w:rFonts w:hint="eastAsia" w:hAnsi="宋体"/>
        </w:rPr>
        <w:t>10.投标人与本标段的其他投标人或招标人，同时委托同一家工程造价咨询企业开展本标段工程造价咨询工作。</w:t>
      </w:r>
    </w:p>
    <w:p w14:paraId="2CA249A9">
      <w:pPr>
        <w:adjustRightInd w:val="0"/>
        <w:snapToGrid w:val="0"/>
        <w:ind w:firstLine="480" w:firstLineChars="200"/>
        <w:rPr>
          <w:rFonts w:hAnsi="宋体"/>
        </w:rPr>
      </w:pPr>
      <w:r>
        <w:rPr>
          <w:rFonts w:hint="eastAsia" w:hAnsi="宋体"/>
        </w:rPr>
        <w:t>11.存在招标文件其他章节明确规定应否决投标的其他情形。</w:t>
      </w:r>
    </w:p>
    <w:p w14:paraId="2AB14E5A">
      <w:pPr>
        <w:adjustRightInd w:val="0"/>
        <w:snapToGrid w:val="0"/>
        <w:ind w:firstLine="480" w:firstLineChars="200"/>
        <w:rPr>
          <w:rFonts w:hAnsi="宋体"/>
        </w:rPr>
      </w:pPr>
      <w:r>
        <w:rPr>
          <w:rFonts w:hint="eastAsia" w:hAnsi="宋体"/>
        </w:rPr>
        <w:t>12.其他违反国家、地方相关法律、法规和行业相关规定。</w:t>
      </w:r>
    </w:p>
    <w:p w14:paraId="755EBDC3">
      <w:pPr>
        <w:adjustRightInd w:val="0"/>
        <w:snapToGrid w:val="0"/>
        <w:ind w:firstLine="480" w:firstLineChars="200"/>
        <w:rPr>
          <w:rFonts w:hAnsi="宋体"/>
        </w:rPr>
      </w:pPr>
      <w:r>
        <w:rPr>
          <w:rFonts w:hint="eastAsia" w:hAnsi="宋体"/>
        </w:rPr>
        <w:t>13.</w:t>
      </w:r>
      <w:r>
        <w:rPr>
          <w:rFonts w:hint="eastAsia" w:ascii="宋体" w:hAnsi="宋体"/>
        </w:rPr>
        <w:t>参与初步评审的人员未提交身份证、</w:t>
      </w:r>
      <w:r>
        <w:rPr>
          <w:rFonts w:ascii="宋体" w:hAnsi="宋体"/>
        </w:rPr>
        <w:t>社保缴费证明</w:t>
      </w:r>
      <w:r>
        <w:rPr>
          <w:rFonts w:hint="eastAsia" w:ascii="宋体" w:hAnsi="宋体"/>
        </w:rPr>
        <w:t>。</w:t>
      </w:r>
    </w:p>
    <w:p w14:paraId="6FA7AB83">
      <w:pPr>
        <w:adjustRightInd w:val="0"/>
        <w:snapToGrid w:val="0"/>
        <w:ind w:firstLine="480" w:firstLineChars="200"/>
        <w:rPr>
          <w:rFonts w:hAnsi="宋体"/>
        </w:rPr>
      </w:pPr>
      <w:r>
        <w:rPr>
          <w:rFonts w:hint="eastAsia" w:hAnsi="宋体"/>
        </w:rPr>
        <w:t>14.未按照招标文件规定要求提交投标保证金或者所提供的投标保证金有瑕疵的。其中，瑕疵是指以下情形：</w:t>
      </w:r>
    </w:p>
    <w:p w14:paraId="20A1EF43">
      <w:pPr>
        <w:adjustRightInd w:val="0"/>
        <w:snapToGrid w:val="0"/>
        <w:ind w:firstLine="480" w:firstLineChars="200"/>
        <w:rPr>
          <w:rFonts w:hAnsi="宋体"/>
        </w:rPr>
      </w:pPr>
      <w:r>
        <w:rPr>
          <w:rFonts w:hint="eastAsia" w:hAnsi="宋体"/>
        </w:rPr>
        <w:t>（1）投标保证金金额小于招标文件规定的金额；</w:t>
      </w:r>
    </w:p>
    <w:p w14:paraId="1D031FF3">
      <w:pPr>
        <w:adjustRightInd w:val="0"/>
        <w:snapToGrid w:val="0"/>
        <w:ind w:firstLine="480" w:firstLineChars="200"/>
        <w:rPr>
          <w:rFonts w:hAnsi="宋体"/>
        </w:rPr>
      </w:pPr>
      <w:r>
        <w:rPr>
          <w:rFonts w:hint="eastAsia" w:hAnsi="宋体"/>
        </w:rPr>
        <w:t>（2）投标保证金金额的有效期不符合招标文件规定（由于招标人推迟开标20天以内，使得投标人已经开具的符合原投标有效期的银行保函不再满足新的投标有效期的情形除外，但中标人需根据合同签订情况重新开具满足新的投标有效期的银行保函）；</w:t>
      </w:r>
    </w:p>
    <w:p w14:paraId="4A2E3D33">
      <w:pPr>
        <w:adjustRightInd w:val="0"/>
        <w:snapToGrid w:val="0"/>
        <w:ind w:firstLine="480" w:firstLineChars="200"/>
        <w:rPr>
          <w:rFonts w:hAnsi="宋体"/>
        </w:rPr>
      </w:pPr>
      <w:r>
        <w:rPr>
          <w:rFonts w:hint="eastAsia" w:hAnsi="宋体"/>
        </w:rPr>
        <w:t>（3）以银行保函/保险形式出具时：</w:t>
      </w:r>
    </w:p>
    <w:p w14:paraId="2E64C566">
      <w:pPr>
        <w:adjustRightInd w:val="0"/>
        <w:snapToGrid w:val="0"/>
        <w:ind w:firstLine="480" w:firstLineChars="200"/>
        <w:rPr>
          <w:rFonts w:hAnsi="宋体"/>
        </w:rPr>
      </w:pPr>
      <w:r>
        <w:rPr>
          <w:rFonts w:hint="eastAsia" w:hAnsi="宋体"/>
        </w:rPr>
        <w:t>①被保证人与该投标人名称不一致；</w:t>
      </w:r>
    </w:p>
    <w:p w14:paraId="62AB78B1">
      <w:pPr>
        <w:adjustRightInd w:val="0"/>
        <w:snapToGrid w:val="0"/>
        <w:ind w:firstLine="480" w:firstLineChars="200"/>
        <w:rPr>
          <w:rFonts w:hAnsi="宋体"/>
        </w:rPr>
      </w:pPr>
      <w:r>
        <w:rPr>
          <w:rFonts w:hint="eastAsia" w:hAnsi="宋体"/>
        </w:rPr>
        <w:t>②未按照招标文件规定提交银行保函/保险原件和复印件；</w:t>
      </w:r>
    </w:p>
    <w:p w14:paraId="05312DB3">
      <w:pPr>
        <w:adjustRightInd w:val="0"/>
        <w:snapToGrid w:val="0"/>
        <w:ind w:firstLine="480" w:firstLineChars="200"/>
        <w:rPr>
          <w:rFonts w:hAnsi="宋体"/>
        </w:rPr>
      </w:pPr>
      <w:r>
        <w:rPr>
          <w:rFonts w:hint="eastAsia" w:hAnsi="宋体"/>
        </w:rPr>
        <w:t>③实质性条款不符合招标文件规定。</w:t>
      </w:r>
    </w:p>
    <w:p w14:paraId="1759BE36">
      <w:pPr>
        <w:adjustRightInd w:val="0"/>
        <w:snapToGrid w:val="0"/>
        <w:ind w:firstLine="480" w:firstLineChars="200"/>
        <w:rPr>
          <w:rFonts w:hAnsi="宋体"/>
        </w:rPr>
      </w:pPr>
      <w:r>
        <w:rPr>
          <w:rFonts w:hint="eastAsia" w:hAnsi="宋体"/>
        </w:rPr>
        <w:t>（4）以银行电汇形式提交的投标保证金：</w:t>
      </w:r>
    </w:p>
    <w:p w14:paraId="6F13A20F">
      <w:pPr>
        <w:adjustRightInd w:val="0"/>
        <w:snapToGrid w:val="0"/>
        <w:ind w:firstLine="480" w:firstLineChars="200"/>
        <w:rPr>
          <w:rFonts w:hAnsi="宋体"/>
        </w:rPr>
      </w:pPr>
      <w:r>
        <w:rPr>
          <w:rFonts w:hint="eastAsia" w:hAnsi="宋体"/>
        </w:rPr>
        <w:t>①不是从投标人的基本账户转出；</w:t>
      </w:r>
    </w:p>
    <w:p w14:paraId="71E97976">
      <w:pPr>
        <w:adjustRightInd w:val="0"/>
        <w:snapToGrid w:val="0"/>
        <w:ind w:firstLine="480" w:firstLineChars="200"/>
        <w:rPr>
          <w:rFonts w:hAnsi="宋体"/>
        </w:rPr>
      </w:pPr>
      <w:r>
        <w:rPr>
          <w:rFonts w:hint="eastAsia" w:hAnsi="宋体"/>
        </w:rPr>
        <w:t>②提供的汇款凭证上无法显示是为本项目缴纳投标保证金的。</w:t>
      </w:r>
    </w:p>
    <w:p w14:paraId="08679196">
      <w:pPr>
        <w:adjustRightInd w:val="0"/>
        <w:snapToGrid w:val="0"/>
        <w:ind w:firstLine="480" w:firstLineChars="200"/>
        <w:rPr>
          <w:rFonts w:hAnsi="宋体"/>
        </w:rPr>
      </w:pPr>
      <w:r>
        <w:rPr>
          <w:rFonts w:hint="eastAsia" w:hAnsi="宋体"/>
        </w:rPr>
        <w:t>15.投标人对算术性错误修正结果拒不澄清确认。</w:t>
      </w:r>
    </w:p>
    <w:p w14:paraId="15FC0DF7">
      <w:pPr>
        <w:adjustRightInd w:val="0"/>
        <w:snapToGrid w:val="0"/>
        <w:ind w:firstLine="480" w:firstLineChars="200"/>
        <w:rPr>
          <w:rFonts w:hAnsi="宋体"/>
        </w:rPr>
      </w:pPr>
      <w:r>
        <w:rPr>
          <w:rFonts w:hint="eastAsia" w:hAnsi="宋体"/>
        </w:rPr>
        <w:t>16.投标报价中的整项暂估价或材料和工程设备暂估单价或暂列金额与招标文件中给定的不一致。</w:t>
      </w:r>
    </w:p>
    <w:p w14:paraId="2B0D7DD5">
      <w:pPr>
        <w:adjustRightInd w:val="0"/>
        <w:snapToGrid w:val="0"/>
        <w:ind w:firstLine="480" w:firstLineChars="200"/>
        <w:rPr>
          <w:rFonts w:hAnsi="宋体"/>
        </w:rPr>
      </w:pPr>
      <w:r>
        <w:rPr>
          <w:rFonts w:hint="eastAsia" w:hAnsi="宋体"/>
        </w:rPr>
        <w:t>17.</w:t>
      </w:r>
      <w:r>
        <w:rPr>
          <w:rFonts w:hint="eastAsia" w:ascii="宋体" w:hAnsi="宋体"/>
        </w:rPr>
        <w:t>未按照招标文件的要求对安全文明施工费单独列项计价，或其报价低于招标文件有关规定和要求。</w:t>
      </w:r>
    </w:p>
    <w:p w14:paraId="1143EB2E">
      <w:pPr>
        <w:adjustRightInd w:val="0"/>
        <w:snapToGrid w:val="0"/>
        <w:ind w:firstLine="480" w:firstLineChars="200"/>
        <w:rPr>
          <w:rFonts w:hAnsi="宋体"/>
        </w:rPr>
      </w:pPr>
      <w:r>
        <w:rPr>
          <w:rFonts w:hint="eastAsia" w:hAnsi="宋体"/>
        </w:rPr>
        <w:t>18</w:t>
      </w:r>
      <w:r>
        <w:rPr>
          <w:rFonts w:hAnsi="宋体"/>
        </w:rPr>
        <w:t>.</w:t>
      </w:r>
      <w:r>
        <w:rPr>
          <w:rFonts w:hint="eastAsia" w:hAnsi="宋体"/>
        </w:rPr>
        <w:t>采用工程量清单计价、固定综合单价合同时，擅自修改招标人给定的分部分项工程量清单计价表中的子目编码、子目名称、子目特征描述、计量单位、工程量的，或者擅自增减报价子目。</w:t>
      </w:r>
    </w:p>
    <w:p w14:paraId="1D9F3F1D">
      <w:pPr>
        <w:adjustRightInd w:val="0"/>
        <w:snapToGrid w:val="0"/>
        <w:ind w:firstLine="480" w:firstLineChars="200"/>
        <w:rPr>
          <w:rFonts w:hAnsi="宋体"/>
        </w:rPr>
      </w:pPr>
      <w:r>
        <w:rPr>
          <w:rFonts w:hint="eastAsia" w:hAnsi="宋体"/>
        </w:rPr>
        <w:t>19.投标报价文件编制单位或编制人员或审核人员与其他投标人相同。</w:t>
      </w:r>
    </w:p>
    <w:p w14:paraId="44AD62D8">
      <w:pPr>
        <w:widowControl/>
        <w:adjustRightInd w:val="0"/>
        <w:snapToGrid w:val="0"/>
        <w:spacing w:before="120" w:beforeLines="50" w:after="240" w:afterLines="100" w:line="240" w:lineRule="auto"/>
        <w:jc w:val="left"/>
        <w:rPr>
          <w:rFonts w:ascii="宋体" w:hAnsi="宋体"/>
          <w:b/>
        </w:rPr>
      </w:pPr>
      <w:bookmarkStart w:id="260" w:name="_Toc20552"/>
      <w:bookmarkStart w:id="261" w:name="_Toc8539"/>
      <w:bookmarkStart w:id="262" w:name="_Toc6838"/>
      <w:bookmarkStart w:id="263" w:name="_Toc489214189"/>
      <w:r>
        <w:rPr>
          <w:rFonts w:hint="eastAsia" w:ascii="宋体" w:hAnsi="宋体"/>
          <w:b/>
        </w:rPr>
        <w:br w:type="page"/>
      </w:r>
      <w:r>
        <w:rPr>
          <w:rFonts w:hint="eastAsia" w:ascii="宋体" w:hAnsi="宋体"/>
          <w:b/>
        </w:rPr>
        <w:t>附件2-1：初步评审标准及记录表</w:t>
      </w:r>
      <w:bookmarkEnd w:id="260"/>
      <w:bookmarkEnd w:id="261"/>
      <w:bookmarkEnd w:id="262"/>
      <w:bookmarkEnd w:id="263"/>
    </w:p>
    <w:p w14:paraId="0149EE9F">
      <w:pPr>
        <w:tabs>
          <w:tab w:val="left" w:pos="4680"/>
        </w:tabs>
        <w:snapToGrid w:val="0"/>
        <w:spacing w:after="120" w:afterLines="50" w:line="240" w:lineRule="auto"/>
        <w:jc w:val="center"/>
        <w:rPr>
          <w:rFonts w:ascii="宋体" w:hAnsi="宋体"/>
          <w:b/>
          <w:bCs/>
          <w:sz w:val="28"/>
          <w:szCs w:val="28"/>
        </w:rPr>
      </w:pPr>
      <w:r>
        <w:rPr>
          <w:rFonts w:hint="eastAsia" w:ascii="宋体" w:hAnsi="宋体"/>
          <w:b/>
          <w:bCs/>
          <w:sz w:val="30"/>
          <w:szCs w:val="30"/>
        </w:rPr>
        <w:t>初步评审标准及记录表</w:t>
      </w:r>
    </w:p>
    <w:p w14:paraId="74580ED1">
      <w:pPr>
        <w:pStyle w:val="6"/>
        <w:snapToGrid w:val="0"/>
        <w:spacing w:before="0" w:after="0" w:line="240" w:lineRule="auto"/>
        <w:rPr>
          <w:rFonts w:ascii="宋体" w:hAnsi="宋体" w:cs="宋体"/>
          <w:b w:val="0"/>
          <w:bCs w:val="0"/>
          <w:kern w:val="2"/>
          <w:sz w:val="21"/>
          <w:szCs w:val="21"/>
        </w:rPr>
      </w:pPr>
      <w:r>
        <w:rPr>
          <w:rFonts w:hint="eastAsia" w:ascii="宋体" w:hAnsi="宋体" w:cs="宋体"/>
          <w:b w:val="0"/>
          <w:bCs w:val="0"/>
          <w:kern w:val="2"/>
          <w:sz w:val="21"/>
          <w:szCs w:val="21"/>
        </w:rPr>
        <w:t xml:space="preserve">招标项目名称：                             </w:t>
      </w:r>
    </w:p>
    <w:p w14:paraId="574F9E1A">
      <w:pPr>
        <w:pStyle w:val="6"/>
        <w:snapToGrid w:val="0"/>
        <w:spacing w:before="0" w:after="0" w:line="240" w:lineRule="auto"/>
        <w:rPr>
          <w:rFonts w:ascii="宋体" w:hAnsi="宋体" w:cs="宋体"/>
          <w:kern w:val="2"/>
          <w:sz w:val="21"/>
          <w:szCs w:val="21"/>
        </w:rPr>
      </w:pPr>
      <w:r>
        <w:rPr>
          <w:rFonts w:hint="eastAsia" w:ascii="宋体" w:hAnsi="宋体" w:cs="宋体"/>
          <w:b w:val="0"/>
          <w:bCs w:val="0"/>
          <w:kern w:val="2"/>
          <w:sz w:val="21"/>
          <w:szCs w:val="21"/>
        </w:rPr>
        <w:t xml:space="preserve">招标项目编号：                              </w:t>
      </w:r>
    </w:p>
    <w:tbl>
      <w:tblPr>
        <w:tblStyle w:val="63"/>
        <w:tblW w:w="10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58"/>
        <w:gridCol w:w="6702"/>
        <w:gridCol w:w="1313"/>
      </w:tblGrid>
      <w:tr w14:paraId="77D8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Merge w:val="restart"/>
            <w:vAlign w:val="center"/>
          </w:tcPr>
          <w:p w14:paraId="60EA5DAE">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内容</w:t>
            </w:r>
          </w:p>
        </w:tc>
        <w:tc>
          <w:tcPr>
            <w:tcW w:w="1458" w:type="dxa"/>
            <w:vMerge w:val="restart"/>
            <w:tcMar>
              <w:left w:w="28" w:type="dxa"/>
              <w:right w:w="28" w:type="dxa"/>
            </w:tcMar>
            <w:vAlign w:val="center"/>
          </w:tcPr>
          <w:p w14:paraId="304384CF">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评审因素</w:t>
            </w:r>
          </w:p>
        </w:tc>
        <w:tc>
          <w:tcPr>
            <w:tcW w:w="6702" w:type="dxa"/>
            <w:vMerge w:val="restart"/>
            <w:vAlign w:val="center"/>
          </w:tcPr>
          <w:p w14:paraId="6A24141A">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评审标准</w:t>
            </w:r>
          </w:p>
        </w:tc>
        <w:tc>
          <w:tcPr>
            <w:tcW w:w="1313" w:type="dxa"/>
            <w:vAlign w:val="center"/>
          </w:tcPr>
          <w:p w14:paraId="1EC06480">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投标人名称及评审结论</w:t>
            </w:r>
          </w:p>
        </w:tc>
      </w:tr>
      <w:tr w14:paraId="2854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5" w:type="dxa"/>
            <w:vMerge w:val="continue"/>
            <w:vAlign w:val="center"/>
          </w:tcPr>
          <w:p w14:paraId="0071A99D">
            <w:pPr>
              <w:widowControl/>
              <w:adjustRightInd w:val="0"/>
              <w:snapToGrid w:val="0"/>
              <w:spacing w:line="276" w:lineRule="auto"/>
              <w:jc w:val="center"/>
              <w:rPr>
                <w:rFonts w:ascii="宋体" w:hAnsi="宋体" w:cs="宋体"/>
                <w:kern w:val="0"/>
                <w:sz w:val="21"/>
                <w:szCs w:val="21"/>
              </w:rPr>
            </w:pPr>
          </w:p>
        </w:tc>
        <w:tc>
          <w:tcPr>
            <w:tcW w:w="1458" w:type="dxa"/>
            <w:vMerge w:val="continue"/>
            <w:tcMar>
              <w:left w:w="28" w:type="dxa"/>
              <w:right w:w="28" w:type="dxa"/>
            </w:tcMar>
            <w:vAlign w:val="center"/>
          </w:tcPr>
          <w:p w14:paraId="6A263ED3">
            <w:pPr>
              <w:widowControl/>
              <w:adjustRightInd w:val="0"/>
              <w:snapToGrid w:val="0"/>
              <w:spacing w:line="276" w:lineRule="auto"/>
              <w:jc w:val="center"/>
              <w:rPr>
                <w:rFonts w:ascii="宋体" w:hAnsi="宋体" w:cs="宋体"/>
                <w:kern w:val="0"/>
                <w:sz w:val="21"/>
                <w:szCs w:val="21"/>
              </w:rPr>
            </w:pPr>
          </w:p>
        </w:tc>
        <w:tc>
          <w:tcPr>
            <w:tcW w:w="6702" w:type="dxa"/>
            <w:vMerge w:val="continue"/>
            <w:vAlign w:val="center"/>
          </w:tcPr>
          <w:p w14:paraId="7551E5F0">
            <w:pPr>
              <w:widowControl/>
              <w:adjustRightInd w:val="0"/>
              <w:snapToGrid w:val="0"/>
              <w:spacing w:line="276" w:lineRule="auto"/>
              <w:jc w:val="center"/>
              <w:rPr>
                <w:rFonts w:ascii="宋体" w:hAnsi="宋体" w:cs="宋体"/>
                <w:kern w:val="0"/>
                <w:sz w:val="21"/>
                <w:szCs w:val="21"/>
              </w:rPr>
            </w:pPr>
          </w:p>
        </w:tc>
        <w:tc>
          <w:tcPr>
            <w:tcW w:w="1313" w:type="dxa"/>
            <w:vAlign w:val="center"/>
          </w:tcPr>
          <w:p w14:paraId="0A40C63B">
            <w:pPr>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投标人</w:t>
            </w:r>
          </w:p>
        </w:tc>
      </w:tr>
      <w:tr w14:paraId="7BCE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75" w:type="dxa"/>
            <w:vMerge w:val="restart"/>
            <w:vAlign w:val="center"/>
          </w:tcPr>
          <w:p w14:paraId="00078778">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形式评审</w:t>
            </w:r>
          </w:p>
        </w:tc>
        <w:tc>
          <w:tcPr>
            <w:tcW w:w="1458" w:type="dxa"/>
            <w:tcMar>
              <w:left w:w="28" w:type="dxa"/>
              <w:right w:w="28" w:type="dxa"/>
            </w:tcMar>
            <w:vAlign w:val="center"/>
          </w:tcPr>
          <w:p w14:paraId="44983340">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投标人名称</w:t>
            </w:r>
          </w:p>
        </w:tc>
        <w:tc>
          <w:tcPr>
            <w:tcW w:w="6702" w:type="dxa"/>
            <w:vAlign w:val="center"/>
          </w:tcPr>
          <w:p w14:paraId="24426E35">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与营业执照、资质证书、安全生产许可证一致。</w:t>
            </w:r>
          </w:p>
        </w:tc>
        <w:tc>
          <w:tcPr>
            <w:tcW w:w="1313" w:type="dxa"/>
            <w:vAlign w:val="center"/>
          </w:tcPr>
          <w:p w14:paraId="41770D56">
            <w:pPr>
              <w:widowControl/>
              <w:adjustRightInd w:val="0"/>
              <w:snapToGrid w:val="0"/>
              <w:spacing w:line="276" w:lineRule="auto"/>
              <w:jc w:val="center"/>
              <w:rPr>
                <w:rFonts w:ascii="宋体" w:hAnsi="宋体" w:cs="宋体"/>
                <w:b/>
                <w:bCs/>
                <w:kern w:val="0"/>
                <w:sz w:val="21"/>
                <w:szCs w:val="21"/>
              </w:rPr>
            </w:pPr>
          </w:p>
        </w:tc>
      </w:tr>
      <w:tr w14:paraId="6F3F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0F8158C3">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514CA57E">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投标文件签字盖章</w:t>
            </w:r>
          </w:p>
        </w:tc>
        <w:tc>
          <w:tcPr>
            <w:tcW w:w="6702" w:type="dxa"/>
            <w:vAlign w:val="center"/>
          </w:tcPr>
          <w:p w14:paraId="73A7D3E4">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封面、投标函要求需盖章的：盖投标人公章。</w:t>
            </w:r>
          </w:p>
        </w:tc>
        <w:tc>
          <w:tcPr>
            <w:tcW w:w="1313" w:type="dxa"/>
            <w:vAlign w:val="center"/>
          </w:tcPr>
          <w:p w14:paraId="536BCC65">
            <w:pPr>
              <w:widowControl/>
              <w:adjustRightInd w:val="0"/>
              <w:snapToGrid w:val="0"/>
              <w:spacing w:line="276" w:lineRule="auto"/>
              <w:rPr>
                <w:rFonts w:ascii="宋体" w:hAnsi="宋体" w:cs="宋体"/>
                <w:kern w:val="0"/>
                <w:sz w:val="21"/>
                <w:szCs w:val="21"/>
              </w:rPr>
            </w:pPr>
          </w:p>
        </w:tc>
      </w:tr>
      <w:tr w14:paraId="4775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2383D02E">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3B853FF1">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投标文件格式</w:t>
            </w:r>
          </w:p>
        </w:tc>
        <w:tc>
          <w:tcPr>
            <w:tcW w:w="6702" w:type="dxa"/>
            <w:vAlign w:val="center"/>
          </w:tcPr>
          <w:p w14:paraId="6F5E141B">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符合第七章“投标文件格式”的基本框架格式要求。</w:t>
            </w:r>
          </w:p>
        </w:tc>
        <w:tc>
          <w:tcPr>
            <w:tcW w:w="1313" w:type="dxa"/>
            <w:vAlign w:val="center"/>
          </w:tcPr>
          <w:p w14:paraId="26C7CA46">
            <w:pPr>
              <w:widowControl/>
              <w:adjustRightInd w:val="0"/>
              <w:snapToGrid w:val="0"/>
              <w:spacing w:line="276" w:lineRule="auto"/>
              <w:rPr>
                <w:rFonts w:ascii="宋体" w:hAnsi="宋体" w:cs="宋体"/>
                <w:kern w:val="0"/>
                <w:sz w:val="21"/>
                <w:szCs w:val="21"/>
              </w:rPr>
            </w:pPr>
          </w:p>
        </w:tc>
      </w:tr>
      <w:tr w14:paraId="013E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40DC6E41">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48565D18">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报价唯一性</w:t>
            </w:r>
          </w:p>
        </w:tc>
        <w:tc>
          <w:tcPr>
            <w:tcW w:w="6702" w:type="dxa"/>
            <w:vAlign w:val="center"/>
          </w:tcPr>
          <w:p w14:paraId="01446B9F">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只能有一个有效报价。</w:t>
            </w:r>
          </w:p>
        </w:tc>
        <w:tc>
          <w:tcPr>
            <w:tcW w:w="1313" w:type="dxa"/>
            <w:vAlign w:val="center"/>
          </w:tcPr>
          <w:p w14:paraId="65205EF9">
            <w:pPr>
              <w:widowControl/>
              <w:adjustRightInd w:val="0"/>
              <w:snapToGrid w:val="0"/>
              <w:spacing w:line="276" w:lineRule="auto"/>
              <w:rPr>
                <w:rFonts w:ascii="宋体" w:hAnsi="宋体" w:cs="宋体"/>
                <w:kern w:val="0"/>
                <w:sz w:val="21"/>
                <w:szCs w:val="21"/>
              </w:rPr>
            </w:pPr>
          </w:p>
        </w:tc>
      </w:tr>
      <w:tr w14:paraId="5095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75" w:type="dxa"/>
            <w:vMerge w:val="restart"/>
            <w:vAlign w:val="center"/>
          </w:tcPr>
          <w:p w14:paraId="252F66CA">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资格评审</w:t>
            </w:r>
          </w:p>
        </w:tc>
        <w:tc>
          <w:tcPr>
            <w:tcW w:w="1458" w:type="dxa"/>
            <w:shd w:val="clear" w:color="auto" w:fill="auto"/>
            <w:tcMar>
              <w:left w:w="28" w:type="dxa"/>
              <w:right w:w="28" w:type="dxa"/>
            </w:tcMar>
            <w:vAlign w:val="center"/>
          </w:tcPr>
          <w:p w14:paraId="23F26436">
            <w:pPr>
              <w:widowControl/>
              <w:adjustRightInd w:val="0"/>
              <w:snapToGrid w:val="0"/>
              <w:spacing w:line="276" w:lineRule="auto"/>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rPr>
              <w:t>投标人参加投标的意思表达清楚，投标人代表被授权有效。投标文件中有法定代表人证明书，如投标文件为委托代理人签署应同时附上法定代表人证明书和法定代表人授权书。</w:t>
            </w:r>
          </w:p>
        </w:tc>
        <w:tc>
          <w:tcPr>
            <w:tcW w:w="6702" w:type="dxa"/>
            <w:shd w:val="clear" w:color="auto" w:fill="auto"/>
            <w:vAlign w:val="center"/>
          </w:tcPr>
          <w:p w14:paraId="2E5C17CB">
            <w:pPr>
              <w:widowControl/>
              <w:adjustRightInd w:val="0"/>
              <w:snapToGrid w:val="0"/>
              <w:spacing w:line="276" w:lineRule="auto"/>
              <w:rPr>
                <w:rFonts w:hint="eastAsia" w:ascii="宋体" w:hAnsi="宋体" w:eastAsia="宋体" w:cs="宋体"/>
                <w:kern w:val="0"/>
                <w:sz w:val="21"/>
                <w:szCs w:val="21"/>
                <w:lang w:val="en-US" w:eastAsia="zh-CN" w:bidi="ar-SA"/>
              </w:rPr>
            </w:pPr>
            <w:r>
              <w:rPr>
                <w:rFonts w:hint="eastAsia" w:ascii="宋体" w:hAnsi="宋体" w:cs="宋体"/>
                <w:kern w:val="0"/>
                <w:sz w:val="21"/>
                <w:szCs w:val="21"/>
              </w:rPr>
              <w:t>投标人参加投标的意思表达清楚，投标人代表被授权有效。投标文件中有法定代表人证明书，如投标文件为委托代理人签署应同时附上法定代表人证明书和法定代表人授权书。</w:t>
            </w:r>
          </w:p>
        </w:tc>
        <w:tc>
          <w:tcPr>
            <w:tcW w:w="1313" w:type="dxa"/>
            <w:vAlign w:val="center"/>
          </w:tcPr>
          <w:p w14:paraId="581AEEE1">
            <w:pPr>
              <w:widowControl/>
              <w:adjustRightInd w:val="0"/>
              <w:snapToGrid w:val="0"/>
              <w:spacing w:line="276" w:lineRule="auto"/>
              <w:rPr>
                <w:rFonts w:ascii="宋体" w:hAnsi="宋体" w:cs="宋体"/>
                <w:kern w:val="0"/>
                <w:sz w:val="21"/>
                <w:szCs w:val="21"/>
              </w:rPr>
            </w:pPr>
          </w:p>
        </w:tc>
      </w:tr>
      <w:tr w14:paraId="7CB0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75" w:type="dxa"/>
            <w:vMerge w:val="continue"/>
            <w:vAlign w:val="center"/>
          </w:tcPr>
          <w:p w14:paraId="6D938165">
            <w:pPr>
              <w:widowControl/>
              <w:adjustRightInd w:val="0"/>
              <w:snapToGrid w:val="0"/>
              <w:spacing w:line="276" w:lineRule="auto"/>
              <w:jc w:val="center"/>
              <w:rPr>
                <w:rFonts w:hint="eastAsia" w:ascii="宋体" w:hAnsi="宋体" w:cs="宋体"/>
                <w:kern w:val="0"/>
                <w:sz w:val="21"/>
                <w:szCs w:val="21"/>
              </w:rPr>
            </w:pPr>
          </w:p>
        </w:tc>
        <w:tc>
          <w:tcPr>
            <w:tcW w:w="1458" w:type="dxa"/>
            <w:shd w:val="clear" w:color="auto" w:fill="auto"/>
            <w:tcMar>
              <w:left w:w="28" w:type="dxa"/>
              <w:right w:w="28" w:type="dxa"/>
            </w:tcMar>
            <w:vAlign w:val="center"/>
          </w:tcPr>
          <w:p w14:paraId="1A79CEAA">
            <w:pPr>
              <w:widowControl/>
              <w:adjustRightInd w:val="0"/>
              <w:snapToGrid w:val="0"/>
              <w:spacing w:line="276" w:lineRule="auto"/>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rPr>
              <w:t>营业执照</w:t>
            </w:r>
          </w:p>
        </w:tc>
        <w:tc>
          <w:tcPr>
            <w:tcW w:w="6702" w:type="dxa"/>
            <w:shd w:val="clear" w:color="auto" w:fill="auto"/>
            <w:vAlign w:val="center"/>
          </w:tcPr>
          <w:p w14:paraId="5292DC0C">
            <w:pPr>
              <w:widowControl/>
              <w:adjustRightInd w:val="0"/>
              <w:snapToGrid w:val="0"/>
              <w:spacing w:line="276" w:lineRule="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在中华人民共和国境内注册的独立法人，持有合法有效的法人营业执照</w:t>
            </w:r>
          </w:p>
        </w:tc>
        <w:tc>
          <w:tcPr>
            <w:tcW w:w="1313" w:type="dxa"/>
            <w:vAlign w:val="center"/>
          </w:tcPr>
          <w:p w14:paraId="0AF640BD">
            <w:pPr>
              <w:widowControl/>
              <w:adjustRightInd w:val="0"/>
              <w:snapToGrid w:val="0"/>
              <w:spacing w:line="276" w:lineRule="auto"/>
              <w:rPr>
                <w:rFonts w:ascii="宋体" w:hAnsi="宋体" w:cs="宋体"/>
                <w:kern w:val="0"/>
                <w:sz w:val="21"/>
                <w:szCs w:val="21"/>
              </w:rPr>
            </w:pPr>
          </w:p>
        </w:tc>
      </w:tr>
      <w:tr w14:paraId="5FCC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33A51FD1">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6837E231">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资质证书</w:t>
            </w:r>
          </w:p>
        </w:tc>
        <w:tc>
          <w:tcPr>
            <w:tcW w:w="6702" w:type="dxa"/>
            <w:vAlign w:val="center"/>
          </w:tcPr>
          <w:p w14:paraId="5BB68E76">
            <w:pPr>
              <w:widowControl/>
              <w:adjustRightInd w:val="0"/>
              <w:snapToGrid w:val="0"/>
              <w:spacing w:line="276" w:lineRule="auto"/>
              <w:rPr>
                <w:sz w:val="21"/>
                <w:szCs w:val="21"/>
              </w:rPr>
            </w:pPr>
            <w:r>
              <w:rPr>
                <w:rFonts w:hint="eastAsia"/>
                <w:sz w:val="21"/>
                <w:szCs w:val="21"/>
              </w:rPr>
              <w:t>持有建设行政主管部门核发的建筑工程施工总承包三级（或以上）资质证书。</w:t>
            </w:r>
          </w:p>
          <w:p w14:paraId="435833ED">
            <w:pPr>
              <w:pStyle w:val="6"/>
              <w:adjustRightInd w:val="0"/>
              <w:snapToGrid w:val="0"/>
              <w:spacing w:before="0" w:after="0" w:line="276" w:lineRule="auto"/>
              <w:rPr>
                <w:rFonts w:ascii="楷体" w:hAnsi="楷体" w:eastAsia="楷体" w:cs="楷体"/>
                <w:b w:val="0"/>
                <w:sz w:val="21"/>
                <w:szCs w:val="21"/>
              </w:rPr>
            </w:pPr>
            <w:r>
              <w:rPr>
                <w:rFonts w:hint="eastAsia" w:ascii="楷体" w:hAnsi="楷体" w:eastAsia="楷体" w:cs="楷体"/>
                <w:b w:val="0"/>
                <w:sz w:val="21"/>
                <w:szCs w:val="21"/>
              </w:rPr>
              <w:t>注：【①投标人还应当符合《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住房城乡建设部建筑市场监管司关于建设工程企业资质延续有关事项的通知》（建司局函市〔2023〕116号）、《住建部做好企业资质证书换领和延续工作的通知》（建办市〔2023〕47号）、《广东省住房和城乡建设厅关于建设工程企业资质延续有关事项的通知》（粤建许函〔2023〕820号）等相关规定。根据上述文件的要求，投标人需办理企业资质有效期延续的，应当按照相关规定及时办理。</w:t>
            </w:r>
          </w:p>
          <w:p w14:paraId="4812D228">
            <w:pPr>
              <w:pStyle w:val="6"/>
              <w:adjustRightInd w:val="0"/>
              <w:snapToGrid w:val="0"/>
              <w:spacing w:before="0" w:after="0" w:line="276" w:lineRule="auto"/>
              <w:rPr>
                <w:sz w:val="21"/>
                <w:szCs w:val="21"/>
              </w:rPr>
            </w:pPr>
            <w:r>
              <w:rPr>
                <w:rFonts w:hint="eastAsia" w:ascii="楷体" w:hAnsi="楷体" w:eastAsia="楷体" w:cs="楷体"/>
                <w:b w:val="0"/>
                <w:sz w:val="21"/>
                <w:szCs w:val="21"/>
              </w:rPr>
              <w:t>②如投标人的企业资质是根据 2020年11月30日发布的《住房和城乡建设部关于印发建设工程企业资质管理制度改革方案的通知》（建市〔2020〕94号）办理的，则资质相应要求如下：投标人具有承接本工程所需的施工综合资质或建筑工程施工总承包乙级（或以上）资质】。</w:t>
            </w:r>
          </w:p>
        </w:tc>
        <w:tc>
          <w:tcPr>
            <w:tcW w:w="1313" w:type="dxa"/>
            <w:vAlign w:val="center"/>
          </w:tcPr>
          <w:p w14:paraId="7D5B305C">
            <w:pPr>
              <w:widowControl/>
              <w:adjustRightInd w:val="0"/>
              <w:snapToGrid w:val="0"/>
              <w:spacing w:line="276" w:lineRule="auto"/>
              <w:rPr>
                <w:rFonts w:ascii="宋体" w:hAnsi="宋体" w:cs="宋体"/>
                <w:kern w:val="0"/>
                <w:sz w:val="21"/>
                <w:szCs w:val="21"/>
              </w:rPr>
            </w:pPr>
          </w:p>
        </w:tc>
      </w:tr>
      <w:tr w14:paraId="4383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497386A3">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444C40E0">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安全生产许可证</w:t>
            </w:r>
          </w:p>
        </w:tc>
        <w:tc>
          <w:tcPr>
            <w:tcW w:w="6702" w:type="dxa"/>
            <w:vAlign w:val="center"/>
          </w:tcPr>
          <w:p w14:paraId="5B45190D">
            <w:pPr>
              <w:widowControl/>
              <w:adjustRightInd w:val="0"/>
              <w:snapToGrid w:val="0"/>
              <w:spacing w:line="276" w:lineRule="auto"/>
              <w:rPr>
                <w:rFonts w:ascii="宋体" w:hAnsi="宋体" w:cs="宋体"/>
                <w:bCs/>
                <w:sz w:val="21"/>
                <w:szCs w:val="21"/>
              </w:rPr>
            </w:pPr>
            <w:r>
              <w:rPr>
                <w:rFonts w:hint="eastAsia" w:ascii="宋体" w:hAnsi="宋体" w:cs="宋体"/>
                <w:bCs/>
                <w:sz w:val="21"/>
                <w:szCs w:val="21"/>
              </w:rPr>
              <w:t>持有建设行政主管部门颁发的有效期内的安全生产许可证书。</w:t>
            </w:r>
          </w:p>
        </w:tc>
        <w:tc>
          <w:tcPr>
            <w:tcW w:w="1313" w:type="dxa"/>
            <w:vAlign w:val="center"/>
          </w:tcPr>
          <w:p w14:paraId="021C77F4">
            <w:pPr>
              <w:widowControl/>
              <w:adjustRightInd w:val="0"/>
              <w:snapToGrid w:val="0"/>
              <w:spacing w:line="276" w:lineRule="auto"/>
              <w:rPr>
                <w:rFonts w:ascii="宋体" w:hAnsi="宋体" w:cs="宋体"/>
                <w:kern w:val="0"/>
                <w:sz w:val="21"/>
                <w:szCs w:val="21"/>
              </w:rPr>
            </w:pPr>
          </w:p>
        </w:tc>
      </w:tr>
      <w:tr w14:paraId="7625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74273345">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663722BB">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认证证书</w:t>
            </w:r>
          </w:p>
        </w:tc>
        <w:tc>
          <w:tcPr>
            <w:tcW w:w="6702" w:type="dxa"/>
            <w:vAlign w:val="center"/>
          </w:tcPr>
          <w:p w14:paraId="5C200FA2">
            <w:pPr>
              <w:widowControl/>
              <w:adjustRightInd w:val="0"/>
              <w:snapToGrid w:val="0"/>
              <w:spacing w:line="276" w:lineRule="auto"/>
              <w:rPr>
                <w:rFonts w:ascii="宋体" w:hAnsi="宋体" w:cs="宋体"/>
                <w:bCs/>
                <w:sz w:val="21"/>
                <w:szCs w:val="21"/>
              </w:rPr>
            </w:pPr>
            <w:r>
              <w:rPr>
                <w:rFonts w:hint="eastAsia" w:ascii="宋体" w:hAnsi="宋体" w:cs="宋体"/>
                <w:bCs/>
                <w:sz w:val="21"/>
                <w:szCs w:val="21"/>
              </w:rPr>
              <w:t>持有有效的质量管理、环境管理、职业健康安全管理体系认证证书。</w:t>
            </w:r>
          </w:p>
        </w:tc>
        <w:tc>
          <w:tcPr>
            <w:tcW w:w="1313" w:type="dxa"/>
            <w:vAlign w:val="center"/>
          </w:tcPr>
          <w:p w14:paraId="2E54C0A4">
            <w:pPr>
              <w:widowControl/>
              <w:adjustRightInd w:val="0"/>
              <w:snapToGrid w:val="0"/>
              <w:spacing w:line="276" w:lineRule="auto"/>
              <w:rPr>
                <w:rFonts w:ascii="宋体" w:hAnsi="宋体" w:cs="宋体"/>
                <w:kern w:val="0"/>
                <w:sz w:val="21"/>
                <w:szCs w:val="21"/>
              </w:rPr>
            </w:pPr>
          </w:p>
        </w:tc>
      </w:tr>
      <w:tr w14:paraId="211D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44E566D7">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6BC05C38">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财务状况</w:t>
            </w:r>
          </w:p>
        </w:tc>
        <w:tc>
          <w:tcPr>
            <w:tcW w:w="6702" w:type="dxa"/>
            <w:vAlign w:val="center"/>
          </w:tcPr>
          <w:p w14:paraId="6B84757A">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投标人财务状况良好，具有足够资产及能力并有效地履行合同。</w:t>
            </w:r>
          </w:p>
          <w:p w14:paraId="72462670">
            <w:pPr>
              <w:widowControl/>
              <w:adjustRightInd w:val="0"/>
              <w:snapToGrid w:val="0"/>
              <w:spacing w:line="276" w:lineRule="auto"/>
              <w:rPr>
                <w:rFonts w:ascii="楷体" w:hAnsi="楷体" w:eastAsia="楷体" w:cs="楷体"/>
                <w:sz w:val="21"/>
                <w:szCs w:val="21"/>
              </w:rPr>
            </w:pPr>
            <w:r>
              <w:rPr>
                <w:rFonts w:hint="eastAsia" w:ascii="楷体" w:hAnsi="楷体" w:eastAsia="楷体" w:cs="楷体"/>
                <w:sz w:val="21"/>
                <w:szCs w:val="21"/>
              </w:rPr>
              <w:t>注：【①提供2024年度经会计师事务所或者审计机构审计的财务会计报表，包括资产负债表、现金流量表、利润表的扫描件；②若公司成立未满一年无法提供符合本项评审标准的证明材料，应提供其他相关证明材料，由评标委员会根据其证明材料内容、可信度等确定其财务状况是否良好、是否具有足够资产及能力并有效地履行合同】</w:t>
            </w:r>
            <w:r>
              <w:rPr>
                <w:rFonts w:hint="eastAsia" w:ascii="宋体" w:hAnsi="宋体" w:cs="宋体"/>
                <w:kern w:val="0"/>
                <w:sz w:val="21"/>
                <w:szCs w:val="21"/>
              </w:rPr>
              <w:t>。</w:t>
            </w:r>
          </w:p>
        </w:tc>
        <w:tc>
          <w:tcPr>
            <w:tcW w:w="1313" w:type="dxa"/>
            <w:vAlign w:val="center"/>
          </w:tcPr>
          <w:p w14:paraId="271D0EFA">
            <w:pPr>
              <w:widowControl/>
              <w:adjustRightInd w:val="0"/>
              <w:snapToGrid w:val="0"/>
              <w:spacing w:line="276" w:lineRule="auto"/>
              <w:rPr>
                <w:rFonts w:ascii="宋体" w:hAnsi="宋体" w:cs="宋体"/>
                <w:kern w:val="0"/>
                <w:sz w:val="21"/>
                <w:szCs w:val="21"/>
              </w:rPr>
            </w:pPr>
          </w:p>
        </w:tc>
      </w:tr>
      <w:tr w14:paraId="04D7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1990693B">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3B3E6051">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项目经理资格</w:t>
            </w:r>
          </w:p>
        </w:tc>
        <w:tc>
          <w:tcPr>
            <w:tcW w:w="6702" w:type="dxa"/>
            <w:vAlign w:val="center"/>
          </w:tcPr>
          <w:p w14:paraId="5CE61B29">
            <w:pPr>
              <w:widowControl/>
              <w:adjustRightInd w:val="0"/>
              <w:snapToGrid w:val="0"/>
              <w:spacing w:line="276" w:lineRule="auto"/>
              <w:rPr>
                <w:rFonts w:ascii="宋体" w:hAnsi="宋体" w:cs="宋体"/>
                <w:kern w:val="0"/>
                <w:sz w:val="21"/>
                <w:szCs w:val="21"/>
              </w:rPr>
            </w:pPr>
            <w:r>
              <w:rPr>
                <w:rFonts w:hint="eastAsia" w:ascii="宋体" w:hAnsi="宋体" w:cs="宋体"/>
                <w:sz w:val="21"/>
                <w:szCs w:val="21"/>
              </w:rPr>
              <w:t>项目经理持有建筑工程专业二级（或以上）注册建造师注册证书（注册于投标人单位），持有有效期内的建筑施工企业项目负责人安全生产考核合格证书（B证）。</w:t>
            </w:r>
          </w:p>
          <w:p w14:paraId="7DAF5AA2">
            <w:pPr>
              <w:widowControl/>
              <w:adjustRightInd w:val="0"/>
              <w:snapToGrid w:val="0"/>
              <w:spacing w:line="276" w:lineRule="auto"/>
              <w:rPr>
                <w:rFonts w:ascii="楷体" w:hAnsi="楷体" w:eastAsia="楷体" w:cs="楷体"/>
                <w:sz w:val="21"/>
                <w:szCs w:val="21"/>
              </w:rPr>
            </w:pPr>
            <w:r>
              <w:rPr>
                <w:rFonts w:hint="eastAsia" w:ascii="楷体" w:hAnsi="楷体" w:eastAsia="楷体" w:cs="楷体"/>
                <w:kern w:val="0"/>
                <w:sz w:val="21"/>
                <w:szCs w:val="21"/>
              </w:rPr>
              <w:t>注：</w:t>
            </w:r>
            <w:r>
              <w:rPr>
                <w:rFonts w:hint="eastAsia" w:ascii="楷体" w:hAnsi="楷体" w:eastAsia="楷体" w:cs="楷体"/>
                <w:sz w:val="21"/>
                <w:szCs w:val="21"/>
              </w:rPr>
              <w:t>【(1) 见证书复印件，包含“有效期”“注册单位”“注册专业”(注册单位和专业满足招标要求的)等与评审有关的内容；</w:t>
            </w:r>
          </w:p>
          <w:p w14:paraId="730B895D">
            <w:pPr>
              <w:widowControl/>
              <w:adjustRightInd w:val="0"/>
              <w:snapToGrid w:val="0"/>
              <w:spacing w:line="276" w:lineRule="auto"/>
              <w:rPr>
                <w:rFonts w:ascii="楷体" w:hAnsi="楷体" w:eastAsia="楷体" w:cs="楷体"/>
                <w:sz w:val="21"/>
                <w:szCs w:val="21"/>
              </w:rPr>
            </w:pPr>
            <w:r>
              <w:rPr>
                <w:rFonts w:hint="eastAsia" w:ascii="楷体" w:hAnsi="楷体" w:eastAsia="楷体" w:cs="楷体"/>
                <w:sz w:val="21"/>
                <w:szCs w:val="21"/>
              </w:rPr>
              <w:t>(2)若证件复印件不能直接体现“注册单位”或“注册专业”等与评审有关的内容，应提供相关证明材料(如政府相关行政主管部门:官网截图或证明材料等)，其有效性由评标委员会评审确定；</w:t>
            </w:r>
          </w:p>
          <w:p w14:paraId="121FB32A">
            <w:pPr>
              <w:widowControl/>
              <w:adjustRightInd w:val="0"/>
              <w:snapToGrid w:val="0"/>
              <w:spacing w:line="276" w:lineRule="auto"/>
              <w:rPr>
                <w:rFonts w:ascii="楷体" w:hAnsi="楷体" w:eastAsia="楷体" w:cs="楷体"/>
                <w:sz w:val="21"/>
                <w:szCs w:val="21"/>
              </w:rPr>
            </w:pPr>
            <w:r>
              <w:rPr>
                <w:rFonts w:hint="eastAsia" w:ascii="楷体" w:hAnsi="楷体" w:eastAsia="楷体" w:cs="楷体"/>
                <w:sz w:val="21"/>
                <w:szCs w:val="21"/>
              </w:rPr>
              <w:t>(3)一级建造师注册证书:应提供电子注册证书，投标人提供的电子证书应体现使用有效期，超出使用时限的电子证书无效；电子证书应在个人签名处手写本人签名，未手写签名或与签名图像笔迹不一致的，该电子证书无效；</w:t>
            </w:r>
          </w:p>
          <w:p w14:paraId="447E4344">
            <w:pPr>
              <w:widowControl/>
              <w:adjustRightInd w:val="0"/>
              <w:snapToGrid w:val="0"/>
              <w:spacing w:line="276" w:lineRule="auto"/>
              <w:rPr>
                <w:rFonts w:ascii="楷体" w:hAnsi="楷体" w:eastAsia="楷体" w:cs="楷体"/>
                <w:sz w:val="21"/>
                <w:szCs w:val="21"/>
              </w:rPr>
            </w:pPr>
            <w:r>
              <w:rPr>
                <w:rFonts w:hint="eastAsia" w:ascii="楷体" w:hAnsi="楷体" w:eastAsia="楷体" w:cs="楷体"/>
                <w:sz w:val="21"/>
                <w:szCs w:val="21"/>
              </w:rPr>
              <w:t>(4)二级建造师注册证书:按照建设行政主管部门的要求:</w:t>
            </w:r>
          </w:p>
          <w:p w14:paraId="3C69460E">
            <w:pPr>
              <w:widowControl/>
              <w:adjustRightInd w:val="0"/>
              <w:snapToGrid w:val="0"/>
              <w:spacing w:line="276" w:lineRule="auto"/>
              <w:rPr>
                <w:rFonts w:ascii="楷体" w:hAnsi="楷体" w:eastAsia="楷体" w:cs="楷体"/>
                <w:sz w:val="21"/>
                <w:szCs w:val="21"/>
              </w:rPr>
            </w:pPr>
            <w:r>
              <w:rPr>
                <w:rFonts w:hint="eastAsia" w:ascii="楷体" w:hAnsi="楷体" w:eastAsia="楷体" w:cs="楷体"/>
                <w:sz w:val="21"/>
                <w:szCs w:val="21"/>
              </w:rPr>
              <w:t>①广东、北京、福建、四川等地二级建造师已实行电子注册证书，电子证书下载、签字等具体操作流程按相关文件实行；</w:t>
            </w:r>
          </w:p>
          <w:p w14:paraId="022EA602">
            <w:pPr>
              <w:widowControl/>
              <w:adjustRightInd w:val="0"/>
              <w:snapToGrid w:val="0"/>
              <w:spacing w:line="276" w:lineRule="auto"/>
              <w:rPr>
                <w:rFonts w:ascii="楷体" w:hAnsi="楷体" w:eastAsia="楷体" w:cs="楷体"/>
                <w:sz w:val="21"/>
                <w:szCs w:val="21"/>
              </w:rPr>
            </w:pPr>
            <w:r>
              <w:rPr>
                <w:rFonts w:hint="eastAsia" w:ascii="楷体" w:hAnsi="楷体" w:eastAsia="楷体" w:cs="楷体"/>
                <w:sz w:val="21"/>
                <w:szCs w:val="21"/>
              </w:rPr>
              <w:t>②未实行电子注册证书的，提供纸质注册证书(若“有效期”非个人原因过期，且建设行政主管部门有新规定等，应提供其相关规定等证明材料，其有效性由评标委员会评审确定)；</w:t>
            </w:r>
          </w:p>
          <w:p w14:paraId="47D68BB1">
            <w:pPr>
              <w:widowControl/>
              <w:adjustRightInd w:val="0"/>
              <w:snapToGrid w:val="0"/>
              <w:spacing w:line="276" w:lineRule="auto"/>
              <w:rPr>
                <w:rFonts w:ascii="宋体" w:hAnsi="宋体" w:cs="宋体"/>
                <w:kern w:val="0"/>
                <w:sz w:val="21"/>
                <w:szCs w:val="21"/>
              </w:rPr>
            </w:pPr>
            <w:r>
              <w:rPr>
                <w:rFonts w:hint="eastAsia" w:ascii="楷体" w:hAnsi="楷体" w:eastAsia="楷体" w:cs="楷体"/>
                <w:sz w:val="21"/>
                <w:szCs w:val="21"/>
              </w:rPr>
              <w:t>③过渡期实行电子注册证书和纸质版注册证书同时使用的，提供电子注册证书(签名、签章等符合相关文件要求)，或纸质注册证书(若“有效期”非个人原因过期，且建设行政主管部门有新规定等，应提供其相关规定等证明材料，其有效性由评标委员会评审确定)。】</w:t>
            </w:r>
          </w:p>
        </w:tc>
        <w:tc>
          <w:tcPr>
            <w:tcW w:w="1313" w:type="dxa"/>
            <w:vAlign w:val="center"/>
          </w:tcPr>
          <w:p w14:paraId="7F49653F">
            <w:pPr>
              <w:widowControl/>
              <w:adjustRightInd w:val="0"/>
              <w:snapToGrid w:val="0"/>
              <w:spacing w:line="276" w:lineRule="auto"/>
              <w:rPr>
                <w:rFonts w:ascii="宋体" w:hAnsi="宋体" w:cs="宋体"/>
                <w:kern w:val="0"/>
                <w:sz w:val="21"/>
                <w:szCs w:val="21"/>
              </w:rPr>
            </w:pPr>
          </w:p>
        </w:tc>
      </w:tr>
      <w:tr w14:paraId="5DE1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6031971E">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3DFAB2FD">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技术负责人资格</w:t>
            </w:r>
          </w:p>
        </w:tc>
        <w:tc>
          <w:tcPr>
            <w:tcW w:w="6702" w:type="dxa"/>
            <w:vAlign w:val="center"/>
          </w:tcPr>
          <w:p w14:paraId="7AD1184C">
            <w:pPr>
              <w:widowControl/>
              <w:adjustRightInd w:val="0"/>
              <w:snapToGrid w:val="0"/>
              <w:spacing w:line="276" w:lineRule="auto"/>
              <w:rPr>
                <w:rFonts w:ascii="宋体" w:hAnsi="宋体" w:cs="宋体"/>
                <w:kern w:val="0"/>
                <w:sz w:val="21"/>
                <w:szCs w:val="21"/>
              </w:rPr>
            </w:pPr>
            <w:r>
              <w:rPr>
                <w:rFonts w:hint="eastAsia" w:ascii="宋体" w:hAnsi="宋体" w:cs="宋体"/>
                <w:bCs/>
                <w:kern w:val="0"/>
                <w:sz w:val="21"/>
                <w:szCs w:val="21"/>
              </w:rPr>
              <w:t>技术负责人持有工程类中级（或以上）技术职称证书，技术负责人和项目负责人不为同一人。</w:t>
            </w:r>
          </w:p>
        </w:tc>
        <w:tc>
          <w:tcPr>
            <w:tcW w:w="1313" w:type="dxa"/>
            <w:vAlign w:val="center"/>
          </w:tcPr>
          <w:p w14:paraId="7649A8EB">
            <w:pPr>
              <w:widowControl/>
              <w:adjustRightInd w:val="0"/>
              <w:snapToGrid w:val="0"/>
              <w:spacing w:line="276" w:lineRule="auto"/>
              <w:rPr>
                <w:rFonts w:ascii="宋体" w:hAnsi="宋体" w:cs="宋体"/>
                <w:kern w:val="0"/>
                <w:sz w:val="21"/>
                <w:szCs w:val="21"/>
              </w:rPr>
            </w:pPr>
          </w:p>
        </w:tc>
      </w:tr>
      <w:tr w14:paraId="1E653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2FB7E97B">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5D98C45D">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安全负责人资格</w:t>
            </w:r>
          </w:p>
        </w:tc>
        <w:tc>
          <w:tcPr>
            <w:tcW w:w="6702" w:type="dxa"/>
            <w:vAlign w:val="center"/>
          </w:tcPr>
          <w:p w14:paraId="589C94A7">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安全负责人持有中级（或以上）注册安全工程师注册证书（注册于投标人单位），或者持有建筑施工企业专职安全生产管理人员安全生产考核合格证书（C类或C3类）。</w:t>
            </w:r>
          </w:p>
        </w:tc>
        <w:tc>
          <w:tcPr>
            <w:tcW w:w="1313" w:type="dxa"/>
            <w:vAlign w:val="center"/>
          </w:tcPr>
          <w:p w14:paraId="699F6810">
            <w:pPr>
              <w:widowControl/>
              <w:adjustRightInd w:val="0"/>
              <w:snapToGrid w:val="0"/>
              <w:spacing w:line="276" w:lineRule="auto"/>
              <w:rPr>
                <w:rFonts w:ascii="宋体" w:hAnsi="宋体" w:cs="宋体"/>
                <w:kern w:val="0"/>
                <w:sz w:val="21"/>
                <w:szCs w:val="21"/>
              </w:rPr>
            </w:pPr>
          </w:p>
        </w:tc>
      </w:tr>
      <w:tr w14:paraId="6052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jc w:val="center"/>
        </w:trPr>
        <w:tc>
          <w:tcPr>
            <w:tcW w:w="675" w:type="dxa"/>
            <w:vMerge w:val="continue"/>
            <w:vAlign w:val="center"/>
          </w:tcPr>
          <w:p w14:paraId="6D161A54">
            <w:pPr>
              <w:widowControl/>
              <w:adjustRightInd w:val="0"/>
              <w:snapToGrid w:val="0"/>
              <w:spacing w:line="276" w:lineRule="auto"/>
              <w:jc w:val="left"/>
              <w:rPr>
                <w:rFonts w:ascii="宋体" w:hAnsi="宋体" w:cs="宋体"/>
                <w:kern w:val="0"/>
                <w:sz w:val="21"/>
                <w:szCs w:val="21"/>
              </w:rPr>
            </w:pPr>
          </w:p>
        </w:tc>
        <w:tc>
          <w:tcPr>
            <w:tcW w:w="145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E7F8A27">
            <w:pPr>
              <w:widowControl/>
              <w:adjustRightInd w:val="0"/>
              <w:snapToGrid w:val="0"/>
              <w:spacing w:line="276" w:lineRule="auto"/>
              <w:jc w:val="center"/>
              <w:rPr>
                <w:rFonts w:ascii="宋体" w:hAnsi="宋体" w:cs="宋体"/>
                <w:sz w:val="21"/>
                <w:szCs w:val="21"/>
              </w:rPr>
            </w:pPr>
            <w:r>
              <w:rPr>
                <w:rFonts w:hint="eastAsia" w:ascii="宋体" w:hAnsi="宋体" w:cs="宋体"/>
                <w:kern w:val="0"/>
                <w:sz w:val="21"/>
                <w:szCs w:val="21"/>
              </w:rPr>
              <w:t>提交身份证和社保文件的要求</w:t>
            </w:r>
          </w:p>
        </w:tc>
        <w:tc>
          <w:tcPr>
            <w:tcW w:w="6702" w:type="dxa"/>
            <w:tcBorders>
              <w:top w:val="single" w:color="auto" w:sz="4" w:space="0"/>
              <w:left w:val="single" w:color="auto" w:sz="4" w:space="0"/>
              <w:bottom w:val="single" w:color="auto" w:sz="4" w:space="0"/>
              <w:right w:val="single" w:color="auto" w:sz="4" w:space="0"/>
            </w:tcBorders>
            <w:vAlign w:val="center"/>
          </w:tcPr>
          <w:p w14:paraId="3D1A0A4E">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投标人投入本项目的项目经理、安全负责人、技术负责人必须提供身份证和在本单位交纳的社保证明文件，以投标人（或其分支机构）所属当地社保管理部门出具的证明原件为准（社保时间要求为投标文件递交截止时间前90天（含）内，任意时间（不少于一个月））。</w:t>
            </w:r>
          </w:p>
          <w:p w14:paraId="597D3476">
            <w:pPr>
              <w:widowControl/>
              <w:adjustRightInd w:val="0"/>
              <w:snapToGrid w:val="0"/>
              <w:spacing w:line="276" w:lineRule="auto"/>
              <w:rPr>
                <w:rFonts w:ascii="宋体" w:hAnsi="宋体" w:cs="宋体"/>
                <w:kern w:val="0"/>
                <w:sz w:val="21"/>
                <w:szCs w:val="21"/>
              </w:rPr>
            </w:pPr>
            <w:r>
              <w:rPr>
                <w:rFonts w:hint="eastAsia" w:ascii="楷体" w:hAnsi="楷体" w:eastAsia="楷体" w:cs="楷体"/>
                <w:sz w:val="21"/>
                <w:szCs w:val="21"/>
              </w:rPr>
              <w:t>注：【项目经理和安全负责人、技术负责人不为同一人。离退休返聘人员不得成为本评审项的人员】。</w:t>
            </w:r>
          </w:p>
        </w:tc>
        <w:tc>
          <w:tcPr>
            <w:tcW w:w="1313" w:type="dxa"/>
            <w:tcBorders>
              <w:top w:val="single" w:color="auto" w:sz="4" w:space="0"/>
              <w:left w:val="single" w:color="auto" w:sz="4" w:space="0"/>
              <w:bottom w:val="single" w:color="auto" w:sz="4" w:space="0"/>
              <w:right w:val="single" w:color="auto" w:sz="4" w:space="0"/>
            </w:tcBorders>
            <w:vAlign w:val="center"/>
          </w:tcPr>
          <w:p w14:paraId="43FF02C4">
            <w:pPr>
              <w:widowControl/>
              <w:adjustRightInd w:val="0"/>
              <w:snapToGrid w:val="0"/>
              <w:spacing w:line="276" w:lineRule="auto"/>
              <w:rPr>
                <w:rFonts w:ascii="宋体" w:hAnsi="宋体" w:cs="宋体"/>
                <w:kern w:val="0"/>
                <w:sz w:val="21"/>
                <w:szCs w:val="21"/>
              </w:rPr>
            </w:pPr>
          </w:p>
        </w:tc>
      </w:tr>
      <w:tr w14:paraId="56BF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0E6C5560">
            <w:pPr>
              <w:widowControl/>
              <w:adjustRightInd w:val="0"/>
              <w:snapToGrid w:val="0"/>
              <w:spacing w:line="276" w:lineRule="auto"/>
              <w:jc w:val="left"/>
              <w:rPr>
                <w:rFonts w:ascii="宋体" w:hAnsi="宋体" w:cs="宋体"/>
                <w:kern w:val="0"/>
                <w:sz w:val="21"/>
                <w:szCs w:val="21"/>
              </w:rPr>
            </w:pPr>
          </w:p>
        </w:tc>
        <w:tc>
          <w:tcPr>
            <w:tcW w:w="145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D41B0D9">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联合体投标人</w:t>
            </w:r>
          </w:p>
        </w:tc>
        <w:tc>
          <w:tcPr>
            <w:tcW w:w="6702" w:type="dxa"/>
            <w:tcBorders>
              <w:top w:val="single" w:color="auto" w:sz="4" w:space="0"/>
              <w:left w:val="single" w:color="auto" w:sz="4" w:space="0"/>
              <w:bottom w:val="single" w:color="auto" w:sz="4" w:space="0"/>
              <w:right w:val="single" w:color="auto" w:sz="4" w:space="0"/>
            </w:tcBorders>
            <w:vAlign w:val="center"/>
          </w:tcPr>
          <w:p w14:paraId="728DF98A">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非联合体投标。</w:t>
            </w:r>
          </w:p>
        </w:tc>
        <w:tc>
          <w:tcPr>
            <w:tcW w:w="1313" w:type="dxa"/>
            <w:tcBorders>
              <w:top w:val="single" w:color="auto" w:sz="4" w:space="0"/>
              <w:left w:val="single" w:color="auto" w:sz="4" w:space="0"/>
              <w:bottom w:val="single" w:color="auto" w:sz="4" w:space="0"/>
              <w:right w:val="single" w:color="auto" w:sz="4" w:space="0"/>
            </w:tcBorders>
            <w:vAlign w:val="center"/>
          </w:tcPr>
          <w:p w14:paraId="091F5C8D">
            <w:pPr>
              <w:widowControl/>
              <w:adjustRightInd w:val="0"/>
              <w:snapToGrid w:val="0"/>
              <w:spacing w:line="276" w:lineRule="auto"/>
              <w:rPr>
                <w:rFonts w:ascii="宋体" w:hAnsi="宋体" w:cs="宋体"/>
                <w:kern w:val="0"/>
                <w:sz w:val="21"/>
                <w:szCs w:val="21"/>
              </w:rPr>
            </w:pPr>
          </w:p>
        </w:tc>
      </w:tr>
      <w:tr w14:paraId="3922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restart"/>
            <w:vAlign w:val="center"/>
          </w:tcPr>
          <w:p w14:paraId="7F1A1665">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响应性评审</w:t>
            </w:r>
          </w:p>
        </w:tc>
        <w:tc>
          <w:tcPr>
            <w:tcW w:w="1458" w:type="dxa"/>
            <w:tcMar>
              <w:left w:w="28" w:type="dxa"/>
              <w:right w:w="28" w:type="dxa"/>
            </w:tcMar>
            <w:vAlign w:val="center"/>
          </w:tcPr>
          <w:p w14:paraId="0818B1FF">
            <w:pPr>
              <w:widowControl/>
              <w:adjustRightInd w:val="0"/>
              <w:spacing w:line="240" w:lineRule="atLeast"/>
              <w:jc w:val="center"/>
              <w:rPr>
                <w:rFonts w:ascii="宋体" w:hAnsi="宋体" w:cs="宋体"/>
                <w:kern w:val="0"/>
                <w:sz w:val="21"/>
                <w:szCs w:val="21"/>
              </w:rPr>
            </w:pPr>
            <w:r>
              <w:rPr>
                <w:rFonts w:hint="eastAsia" w:ascii="宋体" w:hAnsi="宋体" w:cs="宋体"/>
                <w:kern w:val="0"/>
                <w:sz w:val="21"/>
                <w:szCs w:val="21"/>
              </w:rPr>
              <w:t>投标有效期</w:t>
            </w:r>
          </w:p>
        </w:tc>
        <w:tc>
          <w:tcPr>
            <w:tcW w:w="6702" w:type="dxa"/>
            <w:vAlign w:val="center"/>
          </w:tcPr>
          <w:p w14:paraId="757A40B0">
            <w:pPr>
              <w:widowControl/>
              <w:adjustRightInd w:val="0"/>
              <w:spacing w:line="240" w:lineRule="atLeast"/>
              <w:rPr>
                <w:rFonts w:ascii="宋体" w:hAnsi="宋体" w:cs="宋体"/>
                <w:kern w:val="0"/>
                <w:sz w:val="21"/>
                <w:szCs w:val="21"/>
              </w:rPr>
            </w:pPr>
            <w:r>
              <w:rPr>
                <w:rFonts w:hint="eastAsia" w:ascii="宋体" w:hAnsi="宋体" w:cs="宋体"/>
                <w:kern w:val="0"/>
                <w:sz w:val="21"/>
                <w:szCs w:val="21"/>
              </w:rPr>
              <w:t>符合招标文件要求</w:t>
            </w:r>
            <w:r>
              <w:rPr>
                <w:rFonts w:hint="eastAsia" w:ascii="华文楷体" w:hAnsi="华文楷体" w:eastAsia="华文楷体"/>
                <w:sz w:val="21"/>
                <w:szCs w:val="21"/>
              </w:rPr>
              <w:t>【见投标函及</w:t>
            </w:r>
            <w:r>
              <w:rPr>
                <w:rFonts w:ascii="华文楷体" w:hAnsi="华文楷体" w:eastAsia="华文楷体"/>
                <w:sz w:val="21"/>
                <w:szCs w:val="21"/>
              </w:rPr>
              <w:t>投标函附录</w:t>
            </w:r>
            <w:r>
              <w:rPr>
                <w:rFonts w:hint="eastAsia" w:ascii="华文楷体" w:hAnsi="华文楷体" w:eastAsia="华文楷体"/>
                <w:sz w:val="21"/>
                <w:szCs w:val="21"/>
              </w:rPr>
              <w:t>】</w:t>
            </w:r>
            <w:r>
              <w:rPr>
                <w:rFonts w:hint="eastAsia" w:ascii="宋体" w:hAnsi="宋体" w:cs="宋体"/>
                <w:sz w:val="21"/>
                <w:szCs w:val="21"/>
              </w:rPr>
              <w:t>。</w:t>
            </w:r>
          </w:p>
        </w:tc>
        <w:tc>
          <w:tcPr>
            <w:tcW w:w="1313" w:type="dxa"/>
            <w:vAlign w:val="center"/>
          </w:tcPr>
          <w:p w14:paraId="1C966C63">
            <w:pPr>
              <w:widowControl/>
              <w:adjustRightInd w:val="0"/>
              <w:spacing w:line="240" w:lineRule="atLeast"/>
              <w:rPr>
                <w:rFonts w:ascii="宋体" w:hAnsi="宋体" w:cs="宋体"/>
                <w:kern w:val="0"/>
                <w:sz w:val="21"/>
                <w:szCs w:val="21"/>
              </w:rPr>
            </w:pPr>
          </w:p>
        </w:tc>
      </w:tr>
      <w:tr w14:paraId="0EF8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7BC327E2">
            <w:pPr>
              <w:widowControl/>
              <w:adjustRightInd w:val="0"/>
              <w:snapToGrid w:val="0"/>
              <w:spacing w:line="276" w:lineRule="auto"/>
              <w:jc w:val="center"/>
              <w:rPr>
                <w:rFonts w:ascii="宋体" w:hAnsi="宋体" w:cs="宋体"/>
                <w:kern w:val="0"/>
                <w:sz w:val="21"/>
                <w:szCs w:val="21"/>
              </w:rPr>
            </w:pPr>
          </w:p>
        </w:tc>
        <w:tc>
          <w:tcPr>
            <w:tcW w:w="1458" w:type="dxa"/>
            <w:tcMar>
              <w:left w:w="28" w:type="dxa"/>
              <w:right w:w="28" w:type="dxa"/>
            </w:tcMar>
            <w:vAlign w:val="center"/>
          </w:tcPr>
          <w:p w14:paraId="29148485">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工期</w:t>
            </w:r>
          </w:p>
        </w:tc>
        <w:tc>
          <w:tcPr>
            <w:tcW w:w="6702" w:type="dxa"/>
            <w:vAlign w:val="center"/>
          </w:tcPr>
          <w:p w14:paraId="00C454CA">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符合招标文件要求</w:t>
            </w:r>
            <w:r>
              <w:rPr>
                <w:rFonts w:hint="eastAsia" w:ascii="华文楷体" w:hAnsi="华文楷体" w:eastAsia="华文楷体"/>
                <w:sz w:val="21"/>
                <w:szCs w:val="21"/>
              </w:rPr>
              <w:t>【见投标函及</w:t>
            </w:r>
            <w:r>
              <w:rPr>
                <w:rFonts w:ascii="华文楷体" w:hAnsi="华文楷体" w:eastAsia="华文楷体"/>
                <w:sz w:val="21"/>
                <w:szCs w:val="21"/>
              </w:rPr>
              <w:t>投标函附录</w:t>
            </w:r>
            <w:r>
              <w:rPr>
                <w:rFonts w:hint="eastAsia" w:ascii="华文楷体" w:hAnsi="华文楷体" w:eastAsia="华文楷体"/>
                <w:sz w:val="21"/>
                <w:szCs w:val="21"/>
              </w:rPr>
              <w:t>】</w:t>
            </w:r>
            <w:r>
              <w:rPr>
                <w:rFonts w:hint="eastAsia" w:ascii="宋体" w:hAnsi="宋体" w:cs="宋体"/>
                <w:sz w:val="21"/>
                <w:szCs w:val="21"/>
              </w:rPr>
              <w:t>。</w:t>
            </w:r>
          </w:p>
        </w:tc>
        <w:tc>
          <w:tcPr>
            <w:tcW w:w="1313" w:type="dxa"/>
            <w:vAlign w:val="center"/>
          </w:tcPr>
          <w:p w14:paraId="5A800C3A">
            <w:pPr>
              <w:widowControl/>
              <w:adjustRightInd w:val="0"/>
              <w:snapToGrid w:val="0"/>
              <w:spacing w:line="276" w:lineRule="auto"/>
              <w:rPr>
                <w:rFonts w:ascii="宋体" w:hAnsi="宋体" w:cs="宋体"/>
                <w:kern w:val="0"/>
                <w:sz w:val="21"/>
                <w:szCs w:val="21"/>
              </w:rPr>
            </w:pPr>
          </w:p>
        </w:tc>
      </w:tr>
      <w:tr w14:paraId="5823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18F24614">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05BCF6FB">
            <w:pPr>
              <w:widowControl/>
              <w:adjustRightInd w:val="0"/>
              <w:snapToGrid w:val="0"/>
              <w:spacing w:line="276" w:lineRule="auto"/>
              <w:jc w:val="center"/>
              <w:rPr>
                <w:rFonts w:ascii="宋体" w:hAnsi="宋体" w:cs="宋体"/>
                <w:kern w:val="0"/>
                <w:sz w:val="21"/>
                <w:szCs w:val="21"/>
              </w:rPr>
            </w:pPr>
            <w:r>
              <w:rPr>
                <w:rFonts w:hint="eastAsia" w:hAnsi="宋体" w:cs="宋体"/>
                <w:kern w:val="0"/>
                <w:sz w:val="21"/>
                <w:szCs w:val="21"/>
              </w:rPr>
              <w:t>质量</w:t>
            </w:r>
            <w:r>
              <w:rPr>
                <w:rFonts w:hAnsi="宋体" w:cs="宋体"/>
                <w:kern w:val="0"/>
                <w:sz w:val="21"/>
                <w:szCs w:val="21"/>
              </w:rPr>
              <w:t>标准</w:t>
            </w:r>
          </w:p>
        </w:tc>
        <w:tc>
          <w:tcPr>
            <w:tcW w:w="6702" w:type="dxa"/>
            <w:vAlign w:val="center"/>
          </w:tcPr>
          <w:p w14:paraId="4060E39A">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符合招标文件要求</w:t>
            </w:r>
            <w:r>
              <w:rPr>
                <w:rFonts w:hint="eastAsia" w:ascii="华文楷体" w:hAnsi="华文楷体" w:eastAsia="华文楷体"/>
                <w:sz w:val="21"/>
                <w:szCs w:val="21"/>
              </w:rPr>
              <w:t>【见投标函及</w:t>
            </w:r>
            <w:r>
              <w:rPr>
                <w:rFonts w:ascii="华文楷体" w:hAnsi="华文楷体" w:eastAsia="华文楷体"/>
                <w:sz w:val="21"/>
                <w:szCs w:val="21"/>
              </w:rPr>
              <w:t>投标函附录</w:t>
            </w:r>
            <w:r>
              <w:rPr>
                <w:rFonts w:hint="eastAsia" w:ascii="华文楷体" w:hAnsi="华文楷体" w:eastAsia="华文楷体"/>
                <w:sz w:val="21"/>
                <w:szCs w:val="21"/>
              </w:rPr>
              <w:t>】</w:t>
            </w:r>
            <w:r>
              <w:rPr>
                <w:rFonts w:hint="eastAsia" w:ascii="宋体" w:hAnsi="宋体" w:cs="宋体"/>
                <w:sz w:val="21"/>
                <w:szCs w:val="21"/>
              </w:rPr>
              <w:t>。</w:t>
            </w:r>
          </w:p>
        </w:tc>
        <w:tc>
          <w:tcPr>
            <w:tcW w:w="1313" w:type="dxa"/>
            <w:vAlign w:val="center"/>
          </w:tcPr>
          <w:p w14:paraId="08066754">
            <w:pPr>
              <w:widowControl/>
              <w:adjustRightInd w:val="0"/>
              <w:snapToGrid w:val="0"/>
              <w:spacing w:line="276" w:lineRule="auto"/>
              <w:rPr>
                <w:rFonts w:ascii="宋体" w:hAnsi="宋体" w:cs="宋体"/>
                <w:kern w:val="0"/>
                <w:sz w:val="21"/>
                <w:szCs w:val="21"/>
              </w:rPr>
            </w:pPr>
          </w:p>
        </w:tc>
      </w:tr>
      <w:tr w14:paraId="1C09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continue"/>
            <w:vAlign w:val="center"/>
          </w:tcPr>
          <w:p w14:paraId="10F8125E">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4BB19D96">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投标保证金</w:t>
            </w:r>
          </w:p>
        </w:tc>
        <w:tc>
          <w:tcPr>
            <w:tcW w:w="6702" w:type="dxa"/>
            <w:vAlign w:val="center"/>
          </w:tcPr>
          <w:p w14:paraId="7F59E514">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（1）</w:t>
            </w:r>
            <w:r>
              <w:rPr>
                <w:rFonts w:hint="eastAsia" w:ascii="宋体" w:hAnsi="宋体" w:cs="宋体"/>
                <w:kern w:val="0"/>
                <w:sz w:val="21"/>
                <w:szCs w:val="21"/>
                <w:lang w:val="en-US" w:eastAsia="zh-CN"/>
              </w:rPr>
              <w:t>投标</w:t>
            </w:r>
            <w:r>
              <w:rPr>
                <w:rFonts w:hint="eastAsia" w:ascii="宋体" w:hAnsi="宋体" w:cs="宋体"/>
                <w:kern w:val="0"/>
                <w:sz w:val="21"/>
                <w:szCs w:val="21"/>
              </w:rPr>
              <w:t>保证金金额：10万元；</w:t>
            </w:r>
          </w:p>
          <w:p w14:paraId="7BE921DA">
            <w:pPr>
              <w:widowControl/>
              <w:adjustRightInd w:val="0"/>
              <w:snapToGrid w:val="0"/>
              <w:spacing w:line="276" w:lineRule="auto"/>
              <w:rPr>
                <w:rFonts w:ascii="华文楷体" w:eastAsia="华文楷体"/>
                <w:sz w:val="21"/>
                <w:szCs w:val="21"/>
              </w:rPr>
            </w:pPr>
            <w:r>
              <w:rPr>
                <w:rFonts w:hint="eastAsia" w:ascii="宋体" w:hAnsi="宋体" w:cs="宋体"/>
                <w:kern w:val="0"/>
                <w:sz w:val="21"/>
                <w:szCs w:val="21"/>
              </w:rPr>
              <w:t>（2）投标保证金的有效期符合招标文件规定；</w:t>
            </w:r>
            <w:r>
              <w:rPr>
                <w:rFonts w:hint="eastAsia" w:ascii="华文楷体" w:eastAsia="华文楷体"/>
                <w:sz w:val="21"/>
                <w:szCs w:val="21"/>
              </w:rPr>
              <w:t>（例外情形见本章附件 1“否决投标的情形”相关规定）</w:t>
            </w:r>
          </w:p>
          <w:p w14:paraId="035DBF6C">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 xml:space="preserve">（3）以银行保函/保险形式出具时： </w:t>
            </w:r>
          </w:p>
          <w:p w14:paraId="6A1DD7CE">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 xml:space="preserve">①被保证人与该投标人名称不一致； </w:t>
            </w:r>
          </w:p>
          <w:p w14:paraId="0818FA29">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 xml:space="preserve">②未按照招标文件规定提交银行保函/保险原件和复印件； </w:t>
            </w:r>
          </w:p>
          <w:p w14:paraId="0E1587DC">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 xml:space="preserve">③实质性条款不符合招标文件规定。 </w:t>
            </w:r>
          </w:p>
          <w:p w14:paraId="3E6E5C48">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 xml:space="preserve">（4）以银行电汇形式提交的投标保证金： </w:t>
            </w:r>
          </w:p>
          <w:p w14:paraId="1F247E87">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 xml:space="preserve">①不是从投标人的基本账户转出； </w:t>
            </w:r>
          </w:p>
          <w:p w14:paraId="6127E68D">
            <w:pPr>
              <w:widowControl/>
              <w:adjustRightInd w:val="0"/>
              <w:snapToGrid w:val="0"/>
              <w:spacing w:line="276" w:lineRule="auto"/>
              <w:rPr>
                <w:rFonts w:ascii="宋体" w:hAnsi="宋体" w:cs="宋体"/>
                <w:kern w:val="0"/>
                <w:sz w:val="21"/>
                <w:szCs w:val="21"/>
              </w:rPr>
            </w:pPr>
            <w:r>
              <w:rPr>
                <w:rFonts w:hint="eastAsia" w:ascii="华文楷体" w:hAnsi="华文楷体" w:eastAsia="华文楷体"/>
                <w:sz w:val="21"/>
                <w:szCs w:val="21"/>
              </w:rPr>
              <w:t>注：【见广州公共资源交易中心系统下载的《项目保证金确认回执》及基本账户开户银行许可证（或银行开具的基本账户证明材料）复印件】。</w:t>
            </w:r>
          </w:p>
        </w:tc>
        <w:tc>
          <w:tcPr>
            <w:tcW w:w="1313" w:type="dxa"/>
            <w:vAlign w:val="center"/>
          </w:tcPr>
          <w:p w14:paraId="10F29876">
            <w:pPr>
              <w:widowControl/>
              <w:adjustRightInd w:val="0"/>
              <w:snapToGrid w:val="0"/>
              <w:spacing w:line="276" w:lineRule="auto"/>
              <w:rPr>
                <w:rFonts w:ascii="宋体" w:hAnsi="宋体" w:cs="宋体"/>
                <w:kern w:val="0"/>
                <w:sz w:val="21"/>
                <w:szCs w:val="21"/>
              </w:rPr>
            </w:pPr>
          </w:p>
        </w:tc>
      </w:tr>
      <w:tr w14:paraId="18B1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09F9F35C">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2EAE690B">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投标报价</w:t>
            </w:r>
          </w:p>
        </w:tc>
        <w:tc>
          <w:tcPr>
            <w:tcW w:w="6702" w:type="dxa"/>
            <w:vAlign w:val="center"/>
          </w:tcPr>
          <w:p w14:paraId="794492C1">
            <w:pPr>
              <w:adjustRightInd w:val="0"/>
              <w:snapToGrid w:val="0"/>
              <w:spacing w:line="276" w:lineRule="auto"/>
              <w:rPr>
                <w:rFonts w:ascii="宋体" w:hAnsi="宋体" w:cs="宋体"/>
                <w:sz w:val="21"/>
                <w:szCs w:val="21"/>
              </w:rPr>
            </w:pPr>
            <w:r>
              <w:rPr>
                <w:rFonts w:hint="eastAsia" w:ascii="宋体" w:hAnsi="宋体" w:cs="宋体"/>
                <w:sz w:val="21"/>
                <w:szCs w:val="21"/>
              </w:rPr>
              <w:t>投标总价是唯一的固定价，</w:t>
            </w:r>
            <w:r>
              <w:rPr>
                <w:rFonts w:hint="eastAsia" w:ascii="宋体" w:hAnsi="宋体" w:cs="宋体"/>
                <w:kern w:val="0"/>
                <w:sz w:val="21"/>
                <w:szCs w:val="21"/>
              </w:rPr>
              <w:t>投标总报价不高于最高投标限价</w:t>
            </w:r>
            <w:r>
              <w:rPr>
                <w:rFonts w:hint="eastAsia" w:ascii="宋体" w:hAnsi="宋体" w:cs="宋体"/>
                <w:sz w:val="21"/>
                <w:szCs w:val="21"/>
              </w:rPr>
              <w:t>；其中：绿色施工安全防护措施费、暂列金额、暂估价（如有）按招标文件要求填报。</w:t>
            </w:r>
          </w:p>
          <w:p w14:paraId="743A804F">
            <w:pPr>
              <w:adjustRightInd w:val="0"/>
              <w:snapToGrid w:val="0"/>
              <w:spacing w:line="276" w:lineRule="auto"/>
              <w:rPr>
                <w:rFonts w:ascii="宋体" w:hAnsi="宋体" w:cs="宋体"/>
                <w:kern w:val="0"/>
                <w:sz w:val="21"/>
                <w:szCs w:val="21"/>
              </w:rPr>
            </w:pPr>
            <w:r>
              <w:rPr>
                <w:rFonts w:hint="eastAsia" w:ascii="宋体" w:hAnsi="宋体" w:cs="宋体"/>
                <w:sz w:val="21"/>
                <w:szCs w:val="21"/>
              </w:rPr>
              <w:t>接受评委会修正，且修正后投标总价未超过招标人给出的最高投标限价，否则作无效报价处理。</w:t>
            </w:r>
          </w:p>
        </w:tc>
        <w:tc>
          <w:tcPr>
            <w:tcW w:w="1313" w:type="dxa"/>
            <w:vAlign w:val="center"/>
          </w:tcPr>
          <w:p w14:paraId="27407F87">
            <w:pPr>
              <w:widowControl/>
              <w:adjustRightInd w:val="0"/>
              <w:snapToGrid w:val="0"/>
              <w:spacing w:line="276" w:lineRule="auto"/>
              <w:rPr>
                <w:rFonts w:ascii="宋体" w:hAnsi="宋体" w:cs="宋体"/>
                <w:kern w:val="0"/>
                <w:sz w:val="21"/>
                <w:szCs w:val="21"/>
              </w:rPr>
            </w:pPr>
          </w:p>
        </w:tc>
      </w:tr>
      <w:tr w14:paraId="1119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5" w:type="dxa"/>
            <w:vMerge w:val="continue"/>
            <w:vAlign w:val="center"/>
          </w:tcPr>
          <w:p w14:paraId="54C98550">
            <w:pPr>
              <w:widowControl/>
              <w:adjustRightInd w:val="0"/>
              <w:snapToGrid w:val="0"/>
              <w:spacing w:line="276" w:lineRule="auto"/>
              <w:jc w:val="left"/>
              <w:rPr>
                <w:rFonts w:ascii="宋体" w:hAnsi="宋体" w:cs="宋体"/>
                <w:kern w:val="0"/>
                <w:sz w:val="21"/>
                <w:szCs w:val="21"/>
              </w:rPr>
            </w:pPr>
          </w:p>
        </w:tc>
        <w:tc>
          <w:tcPr>
            <w:tcW w:w="1458" w:type="dxa"/>
            <w:tcMar>
              <w:left w:w="28" w:type="dxa"/>
              <w:right w:w="28" w:type="dxa"/>
            </w:tcMar>
            <w:vAlign w:val="center"/>
          </w:tcPr>
          <w:p w14:paraId="29E838F2">
            <w:pPr>
              <w:widowControl/>
              <w:adjustRightInd w:val="0"/>
              <w:snapToGrid w:val="0"/>
              <w:spacing w:line="276" w:lineRule="auto"/>
              <w:jc w:val="center"/>
              <w:rPr>
                <w:rFonts w:ascii="宋体" w:hAnsi="宋体" w:cs="宋体"/>
                <w:kern w:val="0"/>
                <w:sz w:val="21"/>
                <w:szCs w:val="21"/>
              </w:rPr>
            </w:pPr>
            <w:r>
              <w:rPr>
                <w:rFonts w:hint="eastAsia" w:ascii="宋体" w:hAnsi="宋体" w:cs="宋体"/>
                <w:kern w:val="0"/>
                <w:sz w:val="21"/>
                <w:szCs w:val="21"/>
              </w:rPr>
              <w:t>其他</w:t>
            </w:r>
          </w:p>
        </w:tc>
        <w:tc>
          <w:tcPr>
            <w:tcW w:w="6702" w:type="dxa"/>
            <w:vAlign w:val="center"/>
          </w:tcPr>
          <w:p w14:paraId="787782AC">
            <w:pPr>
              <w:widowControl/>
              <w:adjustRightInd w:val="0"/>
              <w:snapToGrid w:val="0"/>
              <w:spacing w:line="276" w:lineRule="auto"/>
              <w:rPr>
                <w:rFonts w:ascii="宋体" w:hAnsi="宋体" w:cs="宋体"/>
                <w:kern w:val="0"/>
                <w:sz w:val="21"/>
                <w:szCs w:val="21"/>
              </w:rPr>
            </w:pPr>
            <w:r>
              <w:rPr>
                <w:rFonts w:hint="eastAsia" w:ascii="宋体" w:hAnsi="宋体" w:cs="宋体"/>
                <w:kern w:val="0"/>
                <w:sz w:val="21"/>
                <w:szCs w:val="21"/>
              </w:rPr>
              <w:t>不存在招标文件其他章节明确规定应否决投标的其他情形</w:t>
            </w:r>
            <w:r>
              <w:rPr>
                <w:rFonts w:hint="eastAsia" w:ascii="华文楷体" w:eastAsia="华文楷体"/>
                <w:sz w:val="21"/>
                <w:szCs w:val="21"/>
              </w:rPr>
              <w:t>（本章附件2-2的情形不在此评审）</w:t>
            </w:r>
            <w:r>
              <w:rPr>
                <w:rFonts w:hint="eastAsia" w:ascii="宋体" w:hAnsi="宋体" w:cs="宋体"/>
                <w:kern w:val="0"/>
                <w:sz w:val="21"/>
                <w:szCs w:val="21"/>
              </w:rPr>
              <w:t>。</w:t>
            </w:r>
          </w:p>
        </w:tc>
        <w:tc>
          <w:tcPr>
            <w:tcW w:w="1313" w:type="dxa"/>
            <w:vAlign w:val="center"/>
          </w:tcPr>
          <w:p w14:paraId="21FCD85F">
            <w:pPr>
              <w:widowControl/>
              <w:adjustRightInd w:val="0"/>
              <w:snapToGrid w:val="0"/>
              <w:spacing w:line="276" w:lineRule="auto"/>
              <w:rPr>
                <w:rFonts w:ascii="宋体" w:hAnsi="宋体" w:cs="宋体"/>
                <w:kern w:val="0"/>
                <w:sz w:val="21"/>
                <w:szCs w:val="21"/>
              </w:rPr>
            </w:pPr>
          </w:p>
        </w:tc>
      </w:tr>
      <w:tr w14:paraId="3A05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835" w:type="dxa"/>
            <w:gridSpan w:val="3"/>
            <w:tcMar>
              <w:left w:w="28" w:type="dxa"/>
              <w:right w:w="28" w:type="dxa"/>
            </w:tcMar>
            <w:vAlign w:val="center"/>
          </w:tcPr>
          <w:p w14:paraId="467B4C29">
            <w:pPr>
              <w:widowControl/>
              <w:adjustRightInd w:val="0"/>
              <w:snapToGrid w:val="0"/>
              <w:spacing w:line="276" w:lineRule="auto"/>
              <w:jc w:val="left"/>
              <w:rPr>
                <w:rFonts w:ascii="宋体" w:hAnsi="宋体" w:cs="宋体"/>
                <w:b/>
                <w:bCs/>
                <w:kern w:val="0"/>
                <w:sz w:val="21"/>
                <w:szCs w:val="21"/>
              </w:rPr>
            </w:pPr>
            <w:r>
              <w:rPr>
                <w:rFonts w:hint="eastAsia" w:ascii="宋体" w:hAnsi="宋体" w:cs="宋体"/>
                <w:b/>
                <w:bCs/>
                <w:kern w:val="0"/>
                <w:sz w:val="21"/>
                <w:szCs w:val="21"/>
              </w:rPr>
              <w:t>初步评审结论</w:t>
            </w:r>
            <w:r>
              <w:rPr>
                <w:rFonts w:hint="eastAsia" w:ascii="楷体" w:hAnsi="楷体" w:eastAsia="楷体" w:cs="楷体"/>
                <w:b/>
                <w:bCs/>
                <w:sz w:val="21"/>
                <w:szCs w:val="21"/>
              </w:rPr>
              <w:t>（为“通过”，或“不通过”，只要有一项不符合，即不通过）</w:t>
            </w:r>
          </w:p>
        </w:tc>
        <w:tc>
          <w:tcPr>
            <w:tcW w:w="1313" w:type="dxa"/>
            <w:vAlign w:val="center"/>
          </w:tcPr>
          <w:p w14:paraId="379851EC">
            <w:pPr>
              <w:widowControl/>
              <w:adjustRightInd w:val="0"/>
              <w:snapToGrid w:val="0"/>
              <w:spacing w:line="276" w:lineRule="auto"/>
              <w:jc w:val="left"/>
              <w:rPr>
                <w:rFonts w:ascii="宋体" w:hAnsi="宋体" w:cs="宋体"/>
                <w:b/>
                <w:bCs/>
                <w:kern w:val="0"/>
                <w:sz w:val="21"/>
                <w:szCs w:val="21"/>
              </w:rPr>
            </w:pPr>
          </w:p>
        </w:tc>
      </w:tr>
      <w:tr w14:paraId="4E0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148" w:type="dxa"/>
            <w:gridSpan w:val="4"/>
            <w:tcMar>
              <w:left w:w="28" w:type="dxa"/>
              <w:right w:w="28" w:type="dxa"/>
            </w:tcMar>
            <w:vAlign w:val="center"/>
          </w:tcPr>
          <w:p w14:paraId="18ED1550">
            <w:pPr>
              <w:adjustRightInd w:val="0"/>
              <w:snapToGrid w:val="0"/>
              <w:spacing w:line="276" w:lineRule="auto"/>
              <w:jc w:val="left"/>
              <w:rPr>
                <w:rFonts w:ascii="宋体" w:hAnsi="宋体" w:cs="宋体"/>
                <w:b/>
                <w:bCs/>
                <w:sz w:val="21"/>
                <w:szCs w:val="21"/>
              </w:rPr>
            </w:pPr>
            <w:r>
              <w:rPr>
                <w:rFonts w:hint="eastAsia" w:ascii="宋体" w:hAnsi="宋体" w:cs="宋体"/>
                <w:b/>
                <w:bCs/>
                <w:kern w:val="0"/>
                <w:sz w:val="21"/>
                <w:szCs w:val="21"/>
                <w:lang w:val="zh-CN"/>
              </w:rPr>
              <w:t>评标委员会成员签名</w:t>
            </w:r>
            <w:r>
              <w:rPr>
                <w:rFonts w:hint="eastAsia" w:ascii="宋体" w:hAnsi="宋体" w:cs="宋体"/>
                <w:b/>
                <w:bCs/>
                <w:kern w:val="0"/>
                <w:sz w:val="21"/>
                <w:szCs w:val="21"/>
              </w:rPr>
              <w:t>：</w:t>
            </w:r>
          </w:p>
          <w:p w14:paraId="403DB265">
            <w:pPr>
              <w:adjustRightInd w:val="0"/>
              <w:snapToGrid w:val="0"/>
              <w:spacing w:line="276" w:lineRule="auto"/>
              <w:jc w:val="left"/>
              <w:rPr>
                <w:rFonts w:ascii="宋体" w:hAnsi="宋体" w:cs="宋体"/>
                <w:b/>
                <w:bCs/>
                <w:sz w:val="21"/>
                <w:szCs w:val="21"/>
              </w:rPr>
            </w:pPr>
          </w:p>
          <w:p w14:paraId="2991BA9D">
            <w:pPr>
              <w:adjustRightInd w:val="0"/>
              <w:snapToGrid w:val="0"/>
              <w:spacing w:line="276" w:lineRule="auto"/>
              <w:jc w:val="right"/>
              <w:rPr>
                <w:rFonts w:ascii="宋体" w:hAnsi="宋体" w:cs="宋体"/>
                <w:b/>
                <w:bCs/>
                <w:kern w:val="0"/>
                <w:sz w:val="21"/>
                <w:szCs w:val="21"/>
              </w:rPr>
            </w:pPr>
            <w:r>
              <w:rPr>
                <w:rFonts w:hint="eastAsia" w:ascii="宋体" w:hAnsi="宋体" w:cs="宋体"/>
                <w:b/>
                <w:bCs/>
                <w:sz w:val="21"/>
                <w:szCs w:val="21"/>
              </w:rPr>
              <w:t>年  月  日</w:t>
            </w:r>
          </w:p>
        </w:tc>
      </w:tr>
    </w:tbl>
    <w:p w14:paraId="6392CD73">
      <w:pPr>
        <w:widowControl/>
        <w:adjustRightInd w:val="0"/>
        <w:snapToGrid w:val="0"/>
        <w:spacing w:line="240" w:lineRule="auto"/>
        <w:jc w:val="left"/>
        <w:rPr>
          <w:rFonts w:ascii="宋体" w:hAnsi="宋体"/>
          <w:sz w:val="21"/>
          <w:szCs w:val="18"/>
        </w:rPr>
      </w:pPr>
      <w:r>
        <w:rPr>
          <w:rFonts w:hint="eastAsia" w:ascii="宋体" w:hAnsi="宋体"/>
          <w:sz w:val="21"/>
          <w:szCs w:val="18"/>
        </w:rPr>
        <w:t>说明：</w:t>
      </w:r>
    </w:p>
    <w:p w14:paraId="37EEF2A4">
      <w:pPr>
        <w:widowControl/>
        <w:adjustRightInd w:val="0"/>
        <w:snapToGrid w:val="0"/>
        <w:spacing w:line="240" w:lineRule="auto"/>
        <w:jc w:val="left"/>
        <w:rPr>
          <w:rFonts w:ascii="宋体" w:hAnsi="宋体"/>
          <w:sz w:val="21"/>
          <w:szCs w:val="18"/>
        </w:rPr>
      </w:pPr>
      <w:r>
        <w:rPr>
          <w:rFonts w:hint="eastAsia" w:ascii="宋体" w:hAnsi="宋体"/>
          <w:sz w:val="21"/>
          <w:szCs w:val="18"/>
        </w:rPr>
        <w:t>1．评审时符合上述情况标记为“○”，不符合标记为“×”；评审结论栏统一填写为“通过”或“不通过”；</w:t>
      </w:r>
    </w:p>
    <w:p w14:paraId="35F36EE2">
      <w:pPr>
        <w:widowControl/>
        <w:adjustRightInd w:val="0"/>
        <w:snapToGrid w:val="0"/>
        <w:spacing w:before="120" w:beforeLines="50" w:after="240" w:afterLines="100" w:line="240" w:lineRule="auto"/>
        <w:jc w:val="left"/>
        <w:rPr>
          <w:rFonts w:ascii="华文楷体" w:hAnsi="华文楷体" w:eastAsia="华文楷体"/>
          <w:b/>
          <w:bCs/>
          <w:sz w:val="30"/>
          <w:szCs w:val="30"/>
        </w:rPr>
      </w:pPr>
      <w:r>
        <w:rPr>
          <w:rFonts w:hint="eastAsia" w:ascii="宋体" w:hAnsi="宋体"/>
          <w:sz w:val="21"/>
          <w:szCs w:val="18"/>
        </w:rPr>
        <w:t>2．若评委意见不一致时，按照本章第19条“记名投票”的规定决定该投标人是否通过初步评审， 进入下一阶段评审。</w:t>
      </w:r>
      <w:r>
        <w:rPr>
          <w:rFonts w:hint="eastAsia" w:ascii="宋体" w:hAnsi="宋体"/>
          <w:sz w:val="21"/>
          <w:szCs w:val="18"/>
        </w:rPr>
        <w:br w:type="page"/>
      </w:r>
      <w:bookmarkStart w:id="264" w:name="_Toc475792102"/>
      <w:bookmarkStart w:id="265" w:name="_Toc26725"/>
      <w:bookmarkStart w:id="266" w:name="_Toc26976"/>
      <w:bookmarkStart w:id="267" w:name="_Toc1490"/>
      <w:bookmarkStart w:id="268" w:name="_Toc489214190"/>
      <w:r>
        <w:rPr>
          <w:rFonts w:hint="eastAsia" w:ascii="宋体" w:hAnsi="宋体"/>
          <w:b/>
        </w:rPr>
        <w:t>附件2-1：初步评审标准及记录表（其他情形）</w:t>
      </w:r>
      <w:bookmarkEnd w:id="264"/>
      <w:bookmarkEnd w:id="265"/>
      <w:bookmarkEnd w:id="266"/>
      <w:bookmarkEnd w:id="267"/>
      <w:bookmarkEnd w:id="268"/>
    </w:p>
    <w:p w14:paraId="15D07D87">
      <w:pPr>
        <w:tabs>
          <w:tab w:val="left" w:pos="4680"/>
        </w:tabs>
        <w:snapToGrid w:val="0"/>
        <w:spacing w:after="120" w:afterLines="50" w:line="240" w:lineRule="auto"/>
        <w:jc w:val="center"/>
        <w:rPr>
          <w:rFonts w:ascii="宋体" w:hAnsi="宋体"/>
          <w:b/>
          <w:bCs/>
          <w:sz w:val="30"/>
          <w:szCs w:val="30"/>
        </w:rPr>
      </w:pPr>
      <w:r>
        <w:rPr>
          <w:rFonts w:hint="eastAsia" w:ascii="宋体" w:hAnsi="宋体"/>
          <w:b/>
          <w:bCs/>
          <w:sz w:val="30"/>
          <w:szCs w:val="30"/>
        </w:rPr>
        <w:t>初步评审标准及记录表（其他情形）</w:t>
      </w:r>
    </w:p>
    <w:p w14:paraId="66B8428F">
      <w:pPr>
        <w:pStyle w:val="6"/>
        <w:snapToGrid w:val="0"/>
        <w:spacing w:before="0" w:after="0" w:line="240" w:lineRule="auto"/>
        <w:rPr>
          <w:rFonts w:ascii="宋体" w:hAnsi="宋体" w:cs="宋体"/>
          <w:b w:val="0"/>
          <w:bCs w:val="0"/>
          <w:kern w:val="2"/>
          <w:sz w:val="21"/>
          <w:szCs w:val="21"/>
        </w:rPr>
      </w:pPr>
      <w:r>
        <w:rPr>
          <w:rFonts w:hint="eastAsia" w:ascii="宋体" w:hAnsi="宋体" w:cs="宋体"/>
          <w:b w:val="0"/>
          <w:bCs w:val="0"/>
          <w:kern w:val="2"/>
          <w:sz w:val="21"/>
          <w:szCs w:val="21"/>
        </w:rPr>
        <w:t xml:space="preserve">招标项目名称：                             </w:t>
      </w:r>
    </w:p>
    <w:p w14:paraId="678B6D00">
      <w:pPr>
        <w:pStyle w:val="6"/>
        <w:snapToGrid w:val="0"/>
        <w:spacing w:before="0" w:after="0" w:line="240" w:lineRule="auto"/>
        <w:rPr>
          <w:rFonts w:ascii="宋体" w:hAnsi="宋体" w:cs="宋体"/>
          <w:kern w:val="2"/>
          <w:sz w:val="21"/>
          <w:szCs w:val="21"/>
        </w:rPr>
      </w:pPr>
      <w:r>
        <w:rPr>
          <w:rFonts w:hint="eastAsia" w:ascii="宋体" w:hAnsi="宋体" w:cs="宋体"/>
          <w:b w:val="0"/>
          <w:bCs w:val="0"/>
          <w:kern w:val="2"/>
          <w:sz w:val="21"/>
          <w:szCs w:val="21"/>
        </w:rPr>
        <w:t xml:space="preserve">招标项目编号：                              </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391"/>
        <w:gridCol w:w="6614"/>
        <w:gridCol w:w="1291"/>
      </w:tblGrid>
      <w:tr w14:paraId="2F29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59" w:type="dxa"/>
            <w:vMerge w:val="restart"/>
            <w:tcMar>
              <w:left w:w="28" w:type="dxa"/>
              <w:right w:w="28" w:type="dxa"/>
            </w:tcMar>
            <w:vAlign w:val="center"/>
          </w:tcPr>
          <w:p w14:paraId="50BAA111">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序号</w:t>
            </w:r>
          </w:p>
        </w:tc>
        <w:tc>
          <w:tcPr>
            <w:tcW w:w="1391" w:type="dxa"/>
            <w:vMerge w:val="restart"/>
            <w:vAlign w:val="center"/>
          </w:tcPr>
          <w:p w14:paraId="7FD58FAA">
            <w:pPr>
              <w:snapToGrid w:val="0"/>
              <w:spacing w:line="240" w:lineRule="auto"/>
              <w:jc w:val="center"/>
              <w:rPr>
                <w:rFonts w:ascii="宋体" w:hAnsi="宋体" w:cs="宋体"/>
                <w:kern w:val="0"/>
                <w:sz w:val="21"/>
                <w:szCs w:val="21"/>
              </w:rPr>
            </w:pPr>
            <w:r>
              <w:rPr>
                <w:rFonts w:hint="eastAsia" w:ascii="宋体" w:hAnsi="宋体" w:cs="宋体"/>
                <w:kern w:val="0"/>
                <w:sz w:val="21"/>
                <w:szCs w:val="21"/>
              </w:rPr>
              <w:t>审查因素</w:t>
            </w:r>
          </w:p>
        </w:tc>
        <w:tc>
          <w:tcPr>
            <w:tcW w:w="6614" w:type="dxa"/>
            <w:vMerge w:val="restart"/>
            <w:vAlign w:val="center"/>
          </w:tcPr>
          <w:p w14:paraId="027C1FEF">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审查标准</w:t>
            </w:r>
          </w:p>
        </w:tc>
        <w:tc>
          <w:tcPr>
            <w:tcW w:w="1291" w:type="dxa"/>
            <w:vAlign w:val="center"/>
          </w:tcPr>
          <w:p w14:paraId="30CAC509">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投标人名称及评审结论</w:t>
            </w:r>
          </w:p>
        </w:tc>
      </w:tr>
      <w:tr w14:paraId="4A8E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9" w:type="dxa"/>
            <w:vMerge w:val="continue"/>
            <w:tcMar>
              <w:left w:w="28" w:type="dxa"/>
              <w:right w:w="28" w:type="dxa"/>
            </w:tcMar>
            <w:vAlign w:val="center"/>
          </w:tcPr>
          <w:p w14:paraId="07525E1B">
            <w:pPr>
              <w:widowControl/>
              <w:snapToGrid w:val="0"/>
              <w:spacing w:line="240" w:lineRule="auto"/>
              <w:jc w:val="center"/>
              <w:rPr>
                <w:rFonts w:ascii="宋体" w:hAnsi="宋体" w:cs="宋体"/>
                <w:kern w:val="0"/>
                <w:sz w:val="21"/>
                <w:szCs w:val="21"/>
              </w:rPr>
            </w:pPr>
          </w:p>
        </w:tc>
        <w:tc>
          <w:tcPr>
            <w:tcW w:w="1391" w:type="dxa"/>
            <w:vMerge w:val="continue"/>
            <w:vAlign w:val="center"/>
          </w:tcPr>
          <w:p w14:paraId="40C561C3">
            <w:pPr>
              <w:widowControl/>
              <w:snapToGrid w:val="0"/>
              <w:spacing w:line="240" w:lineRule="auto"/>
              <w:jc w:val="center"/>
              <w:rPr>
                <w:rFonts w:ascii="宋体" w:hAnsi="宋体" w:cs="宋体"/>
                <w:kern w:val="0"/>
                <w:sz w:val="21"/>
                <w:szCs w:val="21"/>
              </w:rPr>
            </w:pPr>
          </w:p>
        </w:tc>
        <w:tc>
          <w:tcPr>
            <w:tcW w:w="6614" w:type="dxa"/>
            <w:vMerge w:val="continue"/>
            <w:vAlign w:val="center"/>
          </w:tcPr>
          <w:p w14:paraId="7C356BB7">
            <w:pPr>
              <w:widowControl/>
              <w:snapToGrid w:val="0"/>
              <w:spacing w:line="240" w:lineRule="auto"/>
              <w:jc w:val="center"/>
              <w:rPr>
                <w:rFonts w:ascii="宋体" w:hAnsi="宋体" w:cs="宋体"/>
                <w:kern w:val="0"/>
                <w:sz w:val="21"/>
                <w:szCs w:val="21"/>
              </w:rPr>
            </w:pPr>
          </w:p>
        </w:tc>
        <w:tc>
          <w:tcPr>
            <w:tcW w:w="1291" w:type="dxa"/>
            <w:vAlign w:val="center"/>
          </w:tcPr>
          <w:p w14:paraId="0DD9BDFC">
            <w:pPr>
              <w:spacing w:line="240" w:lineRule="auto"/>
              <w:jc w:val="center"/>
              <w:rPr>
                <w:rFonts w:ascii="宋体" w:hAnsi="宋体" w:cs="宋体"/>
                <w:kern w:val="0"/>
                <w:sz w:val="21"/>
                <w:szCs w:val="21"/>
              </w:rPr>
            </w:pPr>
            <w:r>
              <w:rPr>
                <w:rFonts w:hint="eastAsia" w:ascii="宋体" w:hAnsi="宋体" w:cs="宋体"/>
                <w:kern w:val="0"/>
                <w:sz w:val="21"/>
                <w:szCs w:val="21"/>
              </w:rPr>
              <w:t>投标人</w:t>
            </w:r>
          </w:p>
        </w:tc>
      </w:tr>
      <w:tr w14:paraId="3625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639C1169">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w:t>
            </w:r>
          </w:p>
        </w:tc>
        <w:tc>
          <w:tcPr>
            <w:tcW w:w="1391" w:type="dxa"/>
            <w:vAlign w:val="center"/>
          </w:tcPr>
          <w:p w14:paraId="4C6D9FE5">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独立法人资格</w:t>
            </w:r>
          </w:p>
        </w:tc>
        <w:tc>
          <w:tcPr>
            <w:tcW w:w="6614" w:type="dxa"/>
            <w:vAlign w:val="center"/>
          </w:tcPr>
          <w:p w14:paraId="2A98A676">
            <w:pPr>
              <w:snapToGrid w:val="0"/>
              <w:spacing w:line="288" w:lineRule="auto"/>
              <w:rPr>
                <w:rFonts w:ascii="宋体" w:hAnsi="宋体" w:eastAsia="Times New Roman" w:cs="宋体"/>
                <w:b/>
                <w:kern w:val="0"/>
                <w:sz w:val="21"/>
                <w:szCs w:val="21"/>
              </w:rPr>
            </w:pPr>
            <w:r>
              <w:rPr>
                <w:rFonts w:hint="eastAsia" w:ascii="宋体" w:hAnsi="宋体" w:cs="宋体"/>
                <w:kern w:val="0"/>
                <w:sz w:val="21"/>
                <w:szCs w:val="21"/>
              </w:rPr>
              <w:t>不是招标人不具有独立法人资格的附属机构（单位）</w:t>
            </w:r>
            <w:r>
              <w:rPr>
                <w:rFonts w:hint="eastAsia" w:ascii="华文楷体" w:hAnsi="华文楷体" w:eastAsia="华文楷体"/>
                <w:sz w:val="21"/>
                <w:szCs w:val="21"/>
              </w:rPr>
              <w:t>（见投标人承诺书）</w:t>
            </w:r>
          </w:p>
        </w:tc>
        <w:tc>
          <w:tcPr>
            <w:tcW w:w="1291" w:type="dxa"/>
            <w:vAlign w:val="center"/>
          </w:tcPr>
          <w:p w14:paraId="3DC03CFE">
            <w:pPr>
              <w:widowControl/>
              <w:snapToGrid w:val="0"/>
              <w:spacing w:line="240" w:lineRule="auto"/>
              <w:rPr>
                <w:rFonts w:ascii="宋体" w:hAnsi="宋体" w:cs="宋体"/>
                <w:kern w:val="0"/>
                <w:sz w:val="21"/>
                <w:szCs w:val="21"/>
              </w:rPr>
            </w:pPr>
          </w:p>
        </w:tc>
      </w:tr>
      <w:tr w14:paraId="19CF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50494395">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2</w:t>
            </w:r>
          </w:p>
        </w:tc>
        <w:tc>
          <w:tcPr>
            <w:tcW w:w="1391" w:type="dxa"/>
            <w:vAlign w:val="center"/>
          </w:tcPr>
          <w:p w14:paraId="1719AF1F">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与招标人关系</w:t>
            </w:r>
          </w:p>
        </w:tc>
        <w:tc>
          <w:tcPr>
            <w:tcW w:w="6614" w:type="dxa"/>
            <w:vAlign w:val="center"/>
          </w:tcPr>
          <w:p w14:paraId="357731B4">
            <w:pPr>
              <w:snapToGrid w:val="0"/>
              <w:spacing w:line="288" w:lineRule="auto"/>
              <w:rPr>
                <w:rFonts w:ascii="宋体" w:hAnsi="宋体" w:cs="宋体"/>
                <w:kern w:val="0"/>
                <w:sz w:val="21"/>
                <w:szCs w:val="21"/>
              </w:rPr>
            </w:pPr>
            <w:r>
              <w:rPr>
                <w:rFonts w:hint="eastAsia" w:ascii="宋体" w:hAnsi="宋体"/>
                <w:sz w:val="21"/>
                <w:szCs w:val="21"/>
              </w:rPr>
              <w:t>与招标人不存在利害关系、不影响招标公正性</w:t>
            </w:r>
            <w:r>
              <w:rPr>
                <w:rFonts w:hint="eastAsia" w:ascii="华文楷体" w:hAnsi="华文楷体" w:eastAsia="华文楷体"/>
                <w:sz w:val="21"/>
                <w:szCs w:val="21"/>
              </w:rPr>
              <w:t>（见投标人承诺书）</w:t>
            </w:r>
          </w:p>
        </w:tc>
        <w:tc>
          <w:tcPr>
            <w:tcW w:w="1291" w:type="dxa"/>
            <w:vAlign w:val="center"/>
          </w:tcPr>
          <w:p w14:paraId="69D2B575">
            <w:pPr>
              <w:widowControl/>
              <w:snapToGrid w:val="0"/>
              <w:spacing w:line="240" w:lineRule="auto"/>
              <w:rPr>
                <w:rFonts w:ascii="宋体" w:hAnsi="宋体" w:cs="宋体"/>
                <w:kern w:val="0"/>
                <w:sz w:val="21"/>
                <w:szCs w:val="21"/>
              </w:rPr>
            </w:pPr>
          </w:p>
        </w:tc>
      </w:tr>
      <w:tr w14:paraId="46BF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75831E3E">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3</w:t>
            </w:r>
          </w:p>
        </w:tc>
        <w:tc>
          <w:tcPr>
            <w:tcW w:w="1391" w:type="dxa"/>
            <w:vAlign w:val="center"/>
          </w:tcPr>
          <w:p w14:paraId="5CE6E59E">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与</w:t>
            </w:r>
            <w:r>
              <w:rPr>
                <w:rFonts w:ascii="宋体" w:hAnsi="宋体" w:cs="宋体"/>
                <w:kern w:val="0"/>
                <w:sz w:val="21"/>
                <w:szCs w:val="21"/>
              </w:rPr>
              <w:t>其他投标人</w:t>
            </w:r>
            <w:r>
              <w:rPr>
                <w:rFonts w:hint="eastAsia" w:ascii="宋体" w:hAnsi="宋体" w:cs="宋体"/>
                <w:kern w:val="0"/>
                <w:sz w:val="21"/>
                <w:szCs w:val="21"/>
              </w:rPr>
              <w:t>的</w:t>
            </w:r>
            <w:r>
              <w:rPr>
                <w:rFonts w:ascii="宋体" w:hAnsi="宋体" w:cs="宋体"/>
                <w:kern w:val="0"/>
                <w:sz w:val="21"/>
                <w:szCs w:val="21"/>
              </w:rPr>
              <w:t>关系</w:t>
            </w:r>
          </w:p>
        </w:tc>
        <w:tc>
          <w:tcPr>
            <w:tcW w:w="6614" w:type="dxa"/>
            <w:vAlign w:val="center"/>
          </w:tcPr>
          <w:p w14:paraId="62F1E671">
            <w:pPr>
              <w:snapToGrid w:val="0"/>
              <w:spacing w:line="288" w:lineRule="auto"/>
              <w:rPr>
                <w:rFonts w:ascii="宋体" w:hAnsi="宋体" w:cs="宋体"/>
                <w:kern w:val="0"/>
                <w:sz w:val="21"/>
                <w:szCs w:val="21"/>
              </w:rPr>
            </w:pPr>
            <w:r>
              <w:rPr>
                <w:rFonts w:hint="eastAsia" w:ascii="宋体" w:hAnsi="宋体"/>
                <w:sz w:val="21"/>
                <w:szCs w:val="21"/>
              </w:rPr>
              <w:t>与本标段的其他投标人：单位负责人不是</w:t>
            </w:r>
            <w:r>
              <w:rPr>
                <w:rFonts w:ascii="宋体" w:hAnsi="宋体"/>
                <w:sz w:val="21"/>
                <w:szCs w:val="21"/>
              </w:rPr>
              <w:t>同一人</w:t>
            </w:r>
            <w:r>
              <w:rPr>
                <w:rFonts w:hint="eastAsia" w:ascii="宋体" w:hAnsi="宋体"/>
                <w:sz w:val="21"/>
                <w:szCs w:val="21"/>
              </w:rPr>
              <w:t>，不存在控股、管理关系</w:t>
            </w:r>
            <w:r>
              <w:rPr>
                <w:rFonts w:hint="eastAsia" w:ascii="华文楷体" w:hAnsi="华文楷体" w:eastAsia="华文楷体"/>
                <w:sz w:val="21"/>
                <w:szCs w:val="21"/>
              </w:rPr>
              <w:t>（见相关情况说明及投标人承诺书）</w:t>
            </w:r>
          </w:p>
        </w:tc>
        <w:tc>
          <w:tcPr>
            <w:tcW w:w="1291" w:type="dxa"/>
            <w:vAlign w:val="center"/>
          </w:tcPr>
          <w:p w14:paraId="7640EFDE">
            <w:pPr>
              <w:widowControl/>
              <w:snapToGrid w:val="0"/>
              <w:spacing w:line="240" w:lineRule="auto"/>
              <w:rPr>
                <w:rFonts w:ascii="宋体" w:hAnsi="宋体" w:cs="宋体"/>
                <w:kern w:val="0"/>
                <w:sz w:val="21"/>
                <w:szCs w:val="21"/>
              </w:rPr>
            </w:pPr>
          </w:p>
        </w:tc>
      </w:tr>
      <w:tr w14:paraId="6709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restart"/>
            <w:tcMar>
              <w:left w:w="28" w:type="dxa"/>
              <w:right w:w="28" w:type="dxa"/>
            </w:tcMar>
            <w:vAlign w:val="center"/>
          </w:tcPr>
          <w:p w14:paraId="34D806FF">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4</w:t>
            </w:r>
          </w:p>
        </w:tc>
        <w:tc>
          <w:tcPr>
            <w:tcW w:w="1391" w:type="dxa"/>
            <w:vMerge w:val="restart"/>
            <w:vAlign w:val="center"/>
          </w:tcPr>
          <w:p w14:paraId="4067260C">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与监理人、代建人、项目管理人、造价咨询人、招标代理机构的关系</w:t>
            </w:r>
          </w:p>
        </w:tc>
        <w:tc>
          <w:tcPr>
            <w:tcW w:w="6614" w:type="dxa"/>
            <w:vAlign w:val="center"/>
          </w:tcPr>
          <w:p w14:paraId="1B7CB574">
            <w:pPr>
              <w:snapToGrid w:val="0"/>
              <w:spacing w:line="288" w:lineRule="auto"/>
              <w:rPr>
                <w:rFonts w:ascii="宋体" w:hAnsi="宋体" w:cs="宋体"/>
                <w:kern w:val="0"/>
                <w:sz w:val="21"/>
                <w:szCs w:val="21"/>
              </w:rPr>
            </w:pPr>
            <w:r>
              <w:rPr>
                <w:rFonts w:hint="eastAsia" w:ascii="宋体" w:hAnsi="宋体"/>
                <w:sz w:val="21"/>
                <w:szCs w:val="21"/>
              </w:rPr>
              <w:t>不是本标段监理人或代建人或项目管理人或造价咨询人或招标代理机构</w:t>
            </w:r>
            <w:r>
              <w:rPr>
                <w:rFonts w:hint="eastAsia" w:ascii="华文楷体" w:hAnsi="华文楷体" w:eastAsia="华文楷体"/>
                <w:sz w:val="21"/>
                <w:szCs w:val="21"/>
              </w:rPr>
              <w:t>（①见投标人承诺书②监理人：含工程监理人、安全监理人、环境保护监理人、水土保持监理人）</w:t>
            </w:r>
          </w:p>
        </w:tc>
        <w:tc>
          <w:tcPr>
            <w:tcW w:w="1291" w:type="dxa"/>
            <w:vAlign w:val="center"/>
          </w:tcPr>
          <w:p w14:paraId="4BAA7234">
            <w:pPr>
              <w:widowControl/>
              <w:snapToGrid w:val="0"/>
              <w:spacing w:line="240" w:lineRule="auto"/>
              <w:rPr>
                <w:rFonts w:ascii="宋体" w:hAnsi="宋体" w:cs="宋体"/>
                <w:kern w:val="0"/>
                <w:sz w:val="21"/>
                <w:szCs w:val="21"/>
              </w:rPr>
            </w:pPr>
          </w:p>
        </w:tc>
      </w:tr>
      <w:tr w14:paraId="14F3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continue"/>
            <w:tcMar>
              <w:left w:w="28" w:type="dxa"/>
              <w:right w:w="28" w:type="dxa"/>
            </w:tcMar>
            <w:vAlign w:val="center"/>
          </w:tcPr>
          <w:p w14:paraId="7DAAAF16">
            <w:pPr>
              <w:widowControl/>
              <w:snapToGrid w:val="0"/>
              <w:spacing w:line="240" w:lineRule="auto"/>
              <w:jc w:val="center"/>
              <w:rPr>
                <w:rFonts w:ascii="宋体" w:hAnsi="宋体" w:cs="宋体"/>
                <w:kern w:val="0"/>
                <w:sz w:val="21"/>
                <w:szCs w:val="21"/>
              </w:rPr>
            </w:pPr>
          </w:p>
        </w:tc>
        <w:tc>
          <w:tcPr>
            <w:tcW w:w="1391" w:type="dxa"/>
            <w:vMerge w:val="continue"/>
            <w:vAlign w:val="center"/>
          </w:tcPr>
          <w:p w14:paraId="442A6A5A">
            <w:pPr>
              <w:widowControl/>
              <w:snapToGrid w:val="0"/>
              <w:spacing w:line="240" w:lineRule="auto"/>
              <w:jc w:val="center"/>
              <w:rPr>
                <w:rFonts w:ascii="宋体" w:hAnsi="宋体" w:cs="宋体"/>
                <w:kern w:val="0"/>
                <w:sz w:val="21"/>
                <w:szCs w:val="21"/>
              </w:rPr>
            </w:pPr>
          </w:p>
        </w:tc>
        <w:tc>
          <w:tcPr>
            <w:tcW w:w="6614" w:type="dxa"/>
            <w:vAlign w:val="center"/>
          </w:tcPr>
          <w:p w14:paraId="081F80CD">
            <w:pPr>
              <w:snapToGrid w:val="0"/>
              <w:spacing w:line="288" w:lineRule="auto"/>
              <w:rPr>
                <w:rFonts w:ascii="宋体" w:hAnsi="宋体" w:cs="宋体"/>
                <w:kern w:val="0"/>
                <w:sz w:val="21"/>
                <w:szCs w:val="21"/>
              </w:rPr>
            </w:pPr>
            <w:r>
              <w:rPr>
                <w:rFonts w:hint="eastAsia" w:ascii="宋体" w:hAnsi="宋体" w:cs="宋体"/>
                <w:kern w:val="0"/>
                <w:sz w:val="21"/>
                <w:szCs w:val="21"/>
              </w:rPr>
              <w:t>与本标段</w:t>
            </w:r>
            <w:r>
              <w:rPr>
                <w:rFonts w:hint="eastAsia" w:ascii="宋体" w:hAnsi="宋体"/>
                <w:sz w:val="21"/>
                <w:szCs w:val="21"/>
              </w:rPr>
              <w:t>监理人</w:t>
            </w:r>
            <w:r>
              <w:rPr>
                <w:rFonts w:hint="eastAsia" w:ascii="宋体" w:hAnsi="宋体" w:cs="宋体"/>
                <w:kern w:val="0"/>
                <w:sz w:val="21"/>
                <w:szCs w:val="21"/>
              </w:rPr>
              <w:t>或代建人</w:t>
            </w:r>
            <w:r>
              <w:rPr>
                <w:rFonts w:hint="eastAsia" w:ascii="宋体" w:hAnsi="宋体"/>
                <w:sz w:val="21"/>
                <w:szCs w:val="21"/>
              </w:rPr>
              <w:t>或项目管理人或造价咨询人或</w:t>
            </w:r>
            <w:r>
              <w:rPr>
                <w:rFonts w:hint="eastAsia" w:ascii="宋体" w:hAnsi="宋体" w:cs="宋体"/>
                <w:kern w:val="0"/>
                <w:sz w:val="21"/>
                <w:szCs w:val="21"/>
              </w:rPr>
              <w:t>招标代理机构不是同一法定代表人，不存在控股或参股关系</w:t>
            </w:r>
            <w:r>
              <w:rPr>
                <w:rFonts w:hint="eastAsia" w:ascii="华文楷体" w:hAnsi="华文楷体" w:eastAsia="华文楷体"/>
                <w:sz w:val="21"/>
                <w:szCs w:val="21"/>
              </w:rPr>
              <w:t>（①见投标人承诺书②监理人：含工程监理人、安全监理人、环境保护监理人、水土保持监理人）</w:t>
            </w:r>
          </w:p>
        </w:tc>
        <w:tc>
          <w:tcPr>
            <w:tcW w:w="1291" w:type="dxa"/>
            <w:vAlign w:val="center"/>
          </w:tcPr>
          <w:p w14:paraId="0032DD5E">
            <w:pPr>
              <w:widowControl/>
              <w:snapToGrid w:val="0"/>
              <w:spacing w:line="240" w:lineRule="auto"/>
              <w:rPr>
                <w:rFonts w:ascii="宋体" w:hAnsi="宋体" w:cs="宋体"/>
                <w:kern w:val="0"/>
                <w:sz w:val="21"/>
                <w:szCs w:val="21"/>
              </w:rPr>
            </w:pPr>
          </w:p>
        </w:tc>
      </w:tr>
      <w:tr w14:paraId="48F9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41D5E6CD">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5</w:t>
            </w:r>
          </w:p>
        </w:tc>
        <w:tc>
          <w:tcPr>
            <w:tcW w:w="1391" w:type="dxa"/>
            <w:vAlign w:val="center"/>
          </w:tcPr>
          <w:p w14:paraId="7E733DB9">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设计或咨询服务</w:t>
            </w:r>
          </w:p>
        </w:tc>
        <w:tc>
          <w:tcPr>
            <w:tcW w:w="6614" w:type="dxa"/>
            <w:vAlign w:val="center"/>
          </w:tcPr>
          <w:p w14:paraId="13B96756">
            <w:pPr>
              <w:snapToGrid w:val="0"/>
              <w:spacing w:line="288" w:lineRule="auto"/>
              <w:rPr>
                <w:rFonts w:ascii="宋体" w:hAnsi="宋体"/>
                <w:sz w:val="21"/>
                <w:szCs w:val="21"/>
              </w:rPr>
            </w:pPr>
            <w:r>
              <w:rPr>
                <w:rFonts w:hint="eastAsia" w:ascii="宋体" w:hAnsi="宋体"/>
                <w:sz w:val="21"/>
                <w:szCs w:val="21"/>
              </w:rPr>
              <w:t>没有为本标段前期准备提供设计或咨询服务</w:t>
            </w:r>
          </w:p>
          <w:p w14:paraId="06C53860">
            <w:pPr>
              <w:snapToGrid w:val="0"/>
              <w:spacing w:line="288" w:lineRule="auto"/>
              <w:rPr>
                <w:rFonts w:ascii="宋体" w:hAnsi="宋体" w:cs="宋体"/>
                <w:kern w:val="0"/>
                <w:sz w:val="21"/>
                <w:szCs w:val="21"/>
              </w:rPr>
            </w:pPr>
            <w:r>
              <w:rPr>
                <w:rFonts w:hint="eastAsia" w:ascii="华文楷体" w:hAnsi="华文楷体" w:eastAsia="华文楷体"/>
                <w:sz w:val="21"/>
                <w:szCs w:val="21"/>
              </w:rPr>
              <w:t>（见投标人承诺书）</w:t>
            </w:r>
          </w:p>
        </w:tc>
        <w:tc>
          <w:tcPr>
            <w:tcW w:w="1291" w:type="dxa"/>
            <w:vAlign w:val="center"/>
          </w:tcPr>
          <w:p w14:paraId="472C42B4">
            <w:pPr>
              <w:widowControl/>
              <w:snapToGrid w:val="0"/>
              <w:spacing w:line="240" w:lineRule="auto"/>
              <w:rPr>
                <w:rFonts w:ascii="宋体" w:hAnsi="宋体" w:cs="宋体"/>
                <w:kern w:val="0"/>
                <w:sz w:val="21"/>
                <w:szCs w:val="21"/>
              </w:rPr>
            </w:pPr>
          </w:p>
        </w:tc>
      </w:tr>
      <w:tr w14:paraId="65BE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46EAF61F">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1391" w:type="dxa"/>
            <w:vAlign w:val="center"/>
          </w:tcPr>
          <w:p w14:paraId="4025AC16">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投标资格</w:t>
            </w:r>
          </w:p>
        </w:tc>
        <w:tc>
          <w:tcPr>
            <w:tcW w:w="6614" w:type="dxa"/>
            <w:vAlign w:val="center"/>
          </w:tcPr>
          <w:p w14:paraId="6818CED1">
            <w:pPr>
              <w:snapToGrid w:val="0"/>
              <w:spacing w:line="288" w:lineRule="auto"/>
              <w:rPr>
                <w:rFonts w:ascii="Calibri" w:hAnsi="Calibri"/>
                <w:sz w:val="21"/>
                <w:szCs w:val="21"/>
              </w:rPr>
            </w:pPr>
            <w:r>
              <w:rPr>
                <w:rFonts w:hint="eastAsia" w:ascii="宋体" w:hAnsi="宋体" w:cs="宋体"/>
                <w:kern w:val="0"/>
                <w:sz w:val="21"/>
                <w:szCs w:val="21"/>
              </w:rPr>
              <w:t>没有被依法暂停或者取消投标资格；没有被责令停产停业、暂扣或者吊销许可证、暂扣或者吊销执照；没有进入清算程序，或被宣告破产，或其他丧失履约能力的情形</w:t>
            </w:r>
          </w:p>
          <w:p w14:paraId="529A377B">
            <w:pPr>
              <w:snapToGrid w:val="0"/>
              <w:spacing w:line="288" w:lineRule="auto"/>
              <w:rPr>
                <w:rFonts w:ascii="宋体" w:hAnsi="宋体"/>
                <w:sz w:val="21"/>
                <w:szCs w:val="21"/>
              </w:rPr>
            </w:pPr>
            <w:r>
              <w:rPr>
                <w:rFonts w:hint="eastAsia" w:ascii="华文楷体" w:hAnsi="华文楷体" w:eastAsia="华文楷体"/>
                <w:sz w:val="21"/>
                <w:szCs w:val="21"/>
              </w:rPr>
              <w:t>（见投标人承诺书）</w:t>
            </w:r>
          </w:p>
        </w:tc>
        <w:tc>
          <w:tcPr>
            <w:tcW w:w="1291" w:type="dxa"/>
            <w:vAlign w:val="center"/>
          </w:tcPr>
          <w:p w14:paraId="7910073F">
            <w:pPr>
              <w:widowControl/>
              <w:snapToGrid w:val="0"/>
              <w:spacing w:line="240" w:lineRule="auto"/>
              <w:rPr>
                <w:rFonts w:ascii="宋体" w:hAnsi="宋体" w:cs="宋体"/>
                <w:kern w:val="0"/>
                <w:sz w:val="21"/>
                <w:szCs w:val="21"/>
              </w:rPr>
            </w:pPr>
          </w:p>
        </w:tc>
      </w:tr>
      <w:tr w14:paraId="002B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7CFA3EA6">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7</w:t>
            </w:r>
          </w:p>
        </w:tc>
        <w:tc>
          <w:tcPr>
            <w:tcW w:w="1391" w:type="dxa"/>
            <w:vAlign w:val="center"/>
          </w:tcPr>
          <w:p w14:paraId="2F694742">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质量问题</w:t>
            </w:r>
          </w:p>
        </w:tc>
        <w:tc>
          <w:tcPr>
            <w:tcW w:w="6614" w:type="dxa"/>
            <w:vAlign w:val="center"/>
          </w:tcPr>
          <w:p w14:paraId="077672AD">
            <w:pPr>
              <w:snapToGrid w:val="0"/>
              <w:spacing w:line="288" w:lineRule="auto"/>
              <w:rPr>
                <w:rFonts w:ascii="宋体" w:hAnsi="宋体" w:cs="宋体"/>
                <w:kern w:val="0"/>
                <w:sz w:val="21"/>
                <w:szCs w:val="21"/>
              </w:rPr>
            </w:pPr>
            <w:r>
              <w:rPr>
                <w:rFonts w:hint="eastAsia" w:ascii="宋体" w:hAnsi="宋体" w:cs="宋体"/>
                <w:kern w:val="0"/>
                <w:sz w:val="21"/>
                <w:szCs w:val="21"/>
              </w:rPr>
              <w:t>最近三年内（按投标截止时间推算）没有</w:t>
            </w:r>
            <w:r>
              <w:rPr>
                <w:rFonts w:hint="eastAsia" w:ascii="宋体" w:hAnsi="宋体"/>
                <w:b/>
                <w:sz w:val="21"/>
                <w:szCs w:val="21"/>
              </w:rPr>
              <w:t>发生重大工程质量问题</w:t>
            </w:r>
            <w:r>
              <w:rPr>
                <w:rFonts w:hint="eastAsia" w:ascii="宋体" w:hAnsi="宋体"/>
                <w:sz w:val="21"/>
                <w:szCs w:val="21"/>
              </w:rPr>
              <w:t>（以相关行业主管部门的行政处罚决定或司法机关出具的有关法律文书为准）</w:t>
            </w:r>
            <w:r>
              <w:rPr>
                <w:rFonts w:hint="eastAsia" w:ascii="华文楷体" w:hAnsi="华文楷体" w:eastAsia="华文楷体"/>
                <w:sz w:val="21"/>
                <w:szCs w:val="21"/>
              </w:rPr>
              <w:t>（见投标人承诺书）</w:t>
            </w:r>
          </w:p>
        </w:tc>
        <w:tc>
          <w:tcPr>
            <w:tcW w:w="1291" w:type="dxa"/>
            <w:vAlign w:val="center"/>
          </w:tcPr>
          <w:p w14:paraId="6EC5D060">
            <w:pPr>
              <w:widowControl/>
              <w:snapToGrid w:val="0"/>
              <w:spacing w:line="240" w:lineRule="auto"/>
              <w:rPr>
                <w:rFonts w:ascii="宋体" w:hAnsi="宋体" w:cs="宋体"/>
                <w:kern w:val="0"/>
                <w:sz w:val="21"/>
                <w:szCs w:val="21"/>
              </w:rPr>
            </w:pPr>
          </w:p>
        </w:tc>
      </w:tr>
      <w:tr w14:paraId="2B22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6F02CA43">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8</w:t>
            </w:r>
          </w:p>
        </w:tc>
        <w:tc>
          <w:tcPr>
            <w:tcW w:w="1391" w:type="dxa"/>
            <w:vAlign w:val="center"/>
          </w:tcPr>
          <w:p w14:paraId="215F931F">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安全事故</w:t>
            </w:r>
          </w:p>
        </w:tc>
        <w:tc>
          <w:tcPr>
            <w:tcW w:w="6614" w:type="dxa"/>
            <w:vAlign w:val="center"/>
          </w:tcPr>
          <w:p w14:paraId="600F185E">
            <w:pPr>
              <w:snapToGrid w:val="0"/>
              <w:spacing w:line="288" w:lineRule="auto"/>
              <w:rPr>
                <w:rFonts w:ascii="宋体" w:hAnsi="宋体"/>
                <w:sz w:val="21"/>
                <w:szCs w:val="21"/>
              </w:rPr>
            </w:pPr>
            <w:r>
              <w:rPr>
                <w:rFonts w:hint="eastAsia" w:ascii="宋体" w:hAnsi="宋体" w:cs="宋体"/>
                <w:kern w:val="0"/>
                <w:sz w:val="21"/>
                <w:szCs w:val="21"/>
              </w:rPr>
              <w:t>最近三年内（按投标截止时间推算）没有</w:t>
            </w:r>
            <w:r>
              <w:rPr>
                <w:rFonts w:hint="eastAsia" w:ascii="宋体" w:hAnsi="宋体"/>
                <w:b/>
                <w:sz w:val="21"/>
                <w:szCs w:val="21"/>
              </w:rPr>
              <w:t>发生重大工程安全事故</w:t>
            </w:r>
            <w:r>
              <w:rPr>
                <w:rFonts w:hint="eastAsia" w:ascii="宋体" w:hAnsi="宋体"/>
                <w:sz w:val="21"/>
                <w:szCs w:val="21"/>
              </w:rPr>
              <w:t>（以相关行业主管部门的行政处罚决定或司法机关出具的有关法律文书为准）</w:t>
            </w:r>
            <w:r>
              <w:rPr>
                <w:rFonts w:hint="eastAsia" w:ascii="华文楷体" w:hAnsi="华文楷体" w:eastAsia="华文楷体"/>
                <w:sz w:val="21"/>
                <w:szCs w:val="21"/>
              </w:rPr>
              <w:t>（见投标人承诺书）</w:t>
            </w:r>
          </w:p>
        </w:tc>
        <w:tc>
          <w:tcPr>
            <w:tcW w:w="1291" w:type="dxa"/>
            <w:vAlign w:val="center"/>
          </w:tcPr>
          <w:p w14:paraId="29213B0C">
            <w:pPr>
              <w:widowControl/>
              <w:snapToGrid w:val="0"/>
              <w:spacing w:line="240" w:lineRule="auto"/>
              <w:rPr>
                <w:rFonts w:ascii="宋体" w:hAnsi="宋体" w:cs="宋体"/>
                <w:kern w:val="0"/>
                <w:sz w:val="21"/>
                <w:szCs w:val="21"/>
              </w:rPr>
            </w:pPr>
          </w:p>
        </w:tc>
      </w:tr>
      <w:tr w14:paraId="1CF4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30C4247E">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9</w:t>
            </w:r>
          </w:p>
        </w:tc>
        <w:tc>
          <w:tcPr>
            <w:tcW w:w="1391" w:type="dxa"/>
            <w:vAlign w:val="center"/>
          </w:tcPr>
          <w:p w14:paraId="50AAF990">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失信情况</w:t>
            </w:r>
          </w:p>
        </w:tc>
        <w:tc>
          <w:tcPr>
            <w:tcW w:w="6614" w:type="dxa"/>
            <w:vAlign w:val="center"/>
          </w:tcPr>
          <w:p w14:paraId="01DCB575">
            <w:pPr>
              <w:widowControl/>
              <w:snapToGrid w:val="0"/>
              <w:spacing w:line="240" w:lineRule="auto"/>
              <w:rPr>
                <w:rFonts w:ascii="宋体" w:hAnsi="宋体" w:cs="宋体"/>
                <w:kern w:val="0"/>
                <w:sz w:val="21"/>
                <w:szCs w:val="21"/>
              </w:rPr>
            </w:pPr>
            <w:r>
              <w:rPr>
                <w:rFonts w:hint="eastAsia" w:ascii="宋体" w:hAnsi="宋体"/>
                <w:sz w:val="21"/>
                <w:szCs w:val="21"/>
              </w:rPr>
              <w:t>没有被最高人民法院在“信用中国”网站（www.creditchina.gov.cn）中列入失信被执行人名单。</w:t>
            </w:r>
            <w:r>
              <w:rPr>
                <w:rFonts w:hint="eastAsia" w:ascii="华文楷体" w:hAnsi="华文楷体" w:eastAsia="华文楷体"/>
                <w:sz w:val="21"/>
                <w:szCs w:val="21"/>
              </w:rPr>
              <w:t>（见投标人承诺书）</w:t>
            </w:r>
          </w:p>
        </w:tc>
        <w:tc>
          <w:tcPr>
            <w:tcW w:w="1291" w:type="dxa"/>
            <w:vAlign w:val="center"/>
          </w:tcPr>
          <w:p w14:paraId="5F20A10E">
            <w:pPr>
              <w:widowControl/>
              <w:snapToGrid w:val="0"/>
              <w:spacing w:line="240" w:lineRule="auto"/>
              <w:rPr>
                <w:rFonts w:ascii="宋体" w:hAnsi="宋体" w:cs="宋体"/>
                <w:kern w:val="0"/>
                <w:sz w:val="21"/>
                <w:szCs w:val="21"/>
              </w:rPr>
            </w:pPr>
          </w:p>
        </w:tc>
      </w:tr>
      <w:tr w14:paraId="3B89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76055F1D">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10</w:t>
            </w:r>
          </w:p>
        </w:tc>
        <w:tc>
          <w:tcPr>
            <w:tcW w:w="1391" w:type="dxa"/>
            <w:vAlign w:val="center"/>
          </w:tcPr>
          <w:p w14:paraId="26373A9C">
            <w:pPr>
              <w:widowControl/>
              <w:snapToGrid w:val="0"/>
              <w:spacing w:line="240" w:lineRule="auto"/>
              <w:jc w:val="center"/>
              <w:rPr>
                <w:rFonts w:ascii="宋体" w:hAnsi="宋体" w:cs="宋体"/>
                <w:kern w:val="0"/>
                <w:sz w:val="21"/>
                <w:szCs w:val="21"/>
              </w:rPr>
            </w:pPr>
            <w:r>
              <w:rPr>
                <w:rFonts w:hint="eastAsia" w:ascii="宋体" w:hAnsi="宋体"/>
                <w:sz w:val="21"/>
                <w:szCs w:val="21"/>
              </w:rPr>
              <w:t>突发环境事件</w:t>
            </w:r>
          </w:p>
        </w:tc>
        <w:tc>
          <w:tcPr>
            <w:tcW w:w="6614" w:type="dxa"/>
            <w:vAlign w:val="center"/>
          </w:tcPr>
          <w:p w14:paraId="6C489F3E">
            <w:pPr>
              <w:snapToGrid w:val="0"/>
              <w:spacing w:line="288" w:lineRule="auto"/>
              <w:rPr>
                <w:rFonts w:ascii="宋体" w:hAnsi="宋体"/>
                <w:sz w:val="21"/>
                <w:szCs w:val="21"/>
              </w:rPr>
            </w:pPr>
            <w:r>
              <w:rPr>
                <w:rFonts w:hint="eastAsia" w:ascii="宋体" w:hAnsi="宋体"/>
                <w:sz w:val="21"/>
                <w:szCs w:val="21"/>
              </w:rPr>
              <w:t>在最近三年内</w:t>
            </w:r>
            <w:r>
              <w:rPr>
                <w:rFonts w:hint="eastAsia" w:ascii="宋体" w:hAnsi="宋体" w:cs="宋体"/>
                <w:kern w:val="0"/>
                <w:sz w:val="21"/>
                <w:szCs w:val="21"/>
              </w:rPr>
              <w:t>（按投标截止时间推算）</w:t>
            </w:r>
            <w:r>
              <w:rPr>
                <w:rFonts w:hint="eastAsia" w:ascii="宋体" w:hAnsi="宋体"/>
                <w:sz w:val="21"/>
                <w:szCs w:val="21"/>
              </w:rPr>
              <w:t>投标人未因环境违法违规行为造成较大社会影响或被政府部门列入“黑名单”</w:t>
            </w:r>
            <w:r>
              <w:rPr>
                <w:rFonts w:hint="eastAsia" w:ascii="华文楷体" w:hAnsi="华文楷体" w:eastAsia="华文楷体"/>
                <w:sz w:val="21"/>
                <w:szCs w:val="21"/>
              </w:rPr>
              <w:t>（见投标人承诺书）</w:t>
            </w:r>
          </w:p>
        </w:tc>
        <w:tc>
          <w:tcPr>
            <w:tcW w:w="1291" w:type="dxa"/>
            <w:vAlign w:val="center"/>
          </w:tcPr>
          <w:p w14:paraId="784C334C">
            <w:pPr>
              <w:widowControl/>
              <w:snapToGrid w:val="0"/>
              <w:spacing w:line="240" w:lineRule="auto"/>
              <w:rPr>
                <w:rFonts w:ascii="宋体" w:hAnsi="宋体" w:cs="宋体"/>
                <w:kern w:val="0"/>
                <w:sz w:val="21"/>
                <w:szCs w:val="21"/>
              </w:rPr>
            </w:pPr>
          </w:p>
        </w:tc>
      </w:tr>
      <w:tr w14:paraId="78A2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tcMar>
              <w:left w:w="28" w:type="dxa"/>
              <w:right w:w="28" w:type="dxa"/>
            </w:tcMar>
            <w:vAlign w:val="center"/>
          </w:tcPr>
          <w:p w14:paraId="671B79C9">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11</w:t>
            </w:r>
          </w:p>
        </w:tc>
        <w:tc>
          <w:tcPr>
            <w:tcW w:w="1391" w:type="dxa"/>
            <w:vAlign w:val="center"/>
          </w:tcPr>
          <w:p w14:paraId="67F16860">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行贿犯罪</w:t>
            </w:r>
          </w:p>
        </w:tc>
        <w:tc>
          <w:tcPr>
            <w:tcW w:w="6614" w:type="dxa"/>
            <w:vAlign w:val="center"/>
          </w:tcPr>
          <w:p w14:paraId="4BCD3F6D">
            <w:pPr>
              <w:snapToGrid w:val="0"/>
              <w:spacing w:line="288" w:lineRule="auto"/>
              <w:rPr>
                <w:rFonts w:ascii="宋体" w:hAnsi="宋体" w:cs="宋体"/>
                <w:kern w:val="0"/>
                <w:sz w:val="21"/>
                <w:szCs w:val="21"/>
              </w:rPr>
            </w:pPr>
            <w:r>
              <w:rPr>
                <w:rFonts w:hint="eastAsia" w:ascii="宋体" w:hAnsi="宋体" w:cs="宋体"/>
                <w:kern w:val="0"/>
                <w:sz w:val="21"/>
                <w:szCs w:val="21"/>
              </w:rPr>
              <w:t>最近三年内（按投标截止时间推算）</w:t>
            </w:r>
            <w:r>
              <w:rPr>
                <w:rFonts w:hint="eastAsia" w:ascii="宋体" w:hAnsi="宋体"/>
                <w:sz w:val="21"/>
                <w:szCs w:val="21"/>
              </w:rPr>
              <w:t>投标人或其法定代表人、拟委任的项目经理没有行贿犯罪判决或裁定记录（以中国裁判文书网http://wenshu.court.gov.cn查询结果为准）</w:t>
            </w:r>
            <w:r>
              <w:rPr>
                <w:rFonts w:hint="eastAsia" w:ascii="华文楷体" w:hAnsi="华文楷体" w:eastAsia="华文楷体"/>
                <w:sz w:val="21"/>
                <w:szCs w:val="21"/>
              </w:rPr>
              <w:t>（见投标人承诺书）</w:t>
            </w:r>
          </w:p>
        </w:tc>
        <w:tc>
          <w:tcPr>
            <w:tcW w:w="1291" w:type="dxa"/>
            <w:vAlign w:val="center"/>
          </w:tcPr>
          <w:p w14:paraId="5AFF846B">
            <w:pPr>
              <w:widowControl/>
              <w:snapToGrid w:val="0"/>
              <w:spacing w:line="240" w:lineRule="auto"/>
              <w:rPr>
                <w:rFonts w:ascii="宋体" w:hAnsi="宋体" w:cs="宋体"/>
                <w:kern w:val="0"/>
                <w:sz w:val="21"/>
                <w:szCs w:val="21"/>
              </w:rPr>
            </w:pPr>
          </w:p>
        </w:tc>
      </w:tr>
      <w:tr w14:paraId="4C49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restart"/>
            <w:tcMar>
              <w:left w:w="28" w:type="dxa"/>
              <w:right w:w="28" w:type="dxa"/>
            </w:tcMar>
            <w:vAlign w:val="center"/>
          </w:tcPr>
          <w:p w14:paraId="138D34A9">
            <w:pPr>
              <w:snapToGrid w:val="0"/>
              <w:spacing w:line="240" w:lineRule="auto"/>
              <w:jc w:val="center"/>
              <w:rPr>
                <w:rFonts w:ascii="宋体" w:hAnsi="宋体" w:cs="宋体"/>
                <w:kern w:val="0"/>
                <w:sz w:val="21"/>
                <w:szCs w:val="21"/>
              </w:rPr>
            </w:pPr>
            <w:r>
              <w:rPr>
                <w:rFonts w:hint="eastAsia" w:ascii="宋体" w:hAnsi="宋体" w:cs="宋体"/>
                <w:kern w:val="0"/>
                <w:sz w:val="21"/>
                <w:szCs w:val="21"/>
              </w:rPr>
              <w:t>12</w:t>
            </w:r>
          </w:p>
        </w:tc>
        <w:tc>
          <w:tcPr>
            <w:tcW w:w="1391" w:type="dxa"/>
            <w:vMerge w:val="restart"/>
            <w:vAlign w:val="center"/>
          </w:tcPr>
          <w:p w14:paraId="57960BCE">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投标人在本次投标过程中遵纪守法</w:t>
            </w:r>
          </w:p>
        </w:tc>
        <w:tc>
          <w:tcPr>
            <w:tcW w:w="6614" w:type="dxa"/>
            <w:vAlign w:val="center"/>
          </w:tcPr>
          <w:p w14:paraId="682144B8">
            <w:pPr>
              <w:snapToGrid w:val="0"/>
              <w:spacing w:line="288" w:lineRule="auto"/>
              <w:rPr>
                <w:rFonts w:ascii="宋体" w:hAnsi="宋体" w:eastAsia="Times New Roman" w:cs="宋体"/>
                <w:b/>
                <w:kern w:val="0"/>
                <w:sz w:val="21"/>
                <w:szCs w:val="21"/>
              </w:rPr>
            </w:pPr>
            <w:r>
              <w:rPr>
                <w:rFonts w:hint="eastAsia" w:ascii="宋体" w:hAnsi="宋体" w:cs="宋体"/>
                <w:kern w:val="0"/>
                <w:sz w:val="21"/>
                <w:szCs w:val="21"/>
              </w:rPr>
              <w:t>未发生</w:t>
            </w:r>
            <w:r>
              <w:rPr>
                <w:rFonts w:ascii="宋体" w:hAnsi="宋体" w:eastAsia="Times New Roman" w:cs="宋体"/>
                <w:kern w:val="0"/>
                <w:sz w:val="21"/>
                <w:szCs w:val="21"/>
              </w:rPr>
              <w:t>不同投标人的投标文件由同一单位或者个人编制</w:t>
            </w:r>
            <w:r>
              <w:rPr>
                <w:rFonts w:hint="eastAsia" w:ascii="宋体" w:hAnsi="宋体" w:cs="宋体"/>
                <w:kern w:val="0"/>
                <w:sz w:val="21"/>
                <w:szCs w:val="21"/>
              </w:rPr>
              <w:t>的</w:t>
            </w:r>
            <w:r>
              <w:rPr>
                <w:rFonts w:ascii="宋体" w:hAnsi="宋体" w:cs="宋体"/>
                <w:kern w:val="0"/>
                <w:sz w:val="21"/>
                <w:szCs w:val="21"/>
              </w:rPr>
              <w:t>情形</w:t>
            </w:r>
            <w:r>
              <w:rPr>
                <w:rFonts w:hint="eastAsia" w:ascii="华文楷体" w:hAnsi="华文楷体" w:eastAsia="华文楷体"/>
                <w:sz w:val="21"/>
                <w:szCs w:val="21"/>
              </w:rPr>
              <w:t>（见</w:t>
            </w:r>
            <w:r>
              <w:rPr>
                <w:rFonts w:ascii="华文楷体" w:hAnsi="华文楷体" w:eastAsia="华文楷体"/>
                <w:sz w:val="21"/>
                <w:szCs w:val="21"/>
              </w:rPr>
              <w:t>各投标人投标文件</w:t>
            </w:r>
            <w:r>
              <w:rPr>
                <w:rFonts w:hint="eastAsia" w:ascii="华文楷体" w:hAnsi="华文楷体" w:eastAsia="华文楷体"/>
                <w:sz w:val="21"/>
                <w:szCs w:val="21"/>
              </w:rPr>
              <w:t>相关</w:t>
            </w:r>
            <w:r>
              <w:rPr>
                <w:rFonts w:ascii="华文楷体" w:hAnsi="华文楷体" w:eastAsia="华文楷体"/>
                <w:sz w:val="21"/>
                <w:szCs w:val="21"/>
              </w:rPr>
              <w:t>内容</w:t>
            </w:r>
            <w:r>
              <w:rPr>
                <w:rFonts w:hint="eastAsia" w:ascii="华文楷体" w:hAnsi="华文楷体" w:eastAsia="华文楷体"/>
                <w:sz w:val="21"/>
                <w:szCs w:val="21"/>
              </w:rPr>
              <w:t>）</w:t>
            </w:r>
          </w:p>
        </w:tc>
        <w:tc>
          <w:tcPr>
            <w:tcW w:w="1291" w:type="dxa"/>
            <w:vAlign w:val="center"/>
          </w:tcPr>
          <w:p w14:paraId="223C4C75">
            <w:pPr>
              <w:widowControl/>
              <w:snapToGrid w:val="0"/>
              <w:spacing w:line="240" w:lineRule="auto"/>
              <w:rPr>
                <w:rFonts w:ascii="宋体" w:hAnsi="宋体" w:cs="宋体"/>
                <w:kern w:val="0"/>
                <w:sz w:val="21"/>
                <w:szCs w:val="21"/>
              </w:rPr>
            </w:pPr>
          </w:p>
        </w:tc>
      </w:tr>
      <w:tr w14:paraId="2C1C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continue"/>
            <w:tcMar>
              <w:left w:w="28" w:type="dxa"/>
              <w:right w:w="28" w:type="dxa"/>
            </w:tcMar>
            <w:vAlign w:val="center"/>
          </w:tcPr>
          <w:p w14:paraId="6527E73A">
            <w:pPr>
              <w:snapToGrid w:val="0"/>
              <w:spacing w:line="240" w:lineRule="auto"/>
              <w:jc w:val="center"/>
              <w:rPr>
                <w:rFonts w:ascii="宋体" w:hAnsi="宋体" w:cs="宋体"/>
                <w:kern w:val="0"/>
                <w:sz w:val="21"/>
                <w:szCs w:val="21"/>
              </w:rPr>
            </w:pPr>
          </w:p>
        </w:tc>
        <w:tc>
          <w:tcPr>
            <w:tcW w:w="1391" w:type="dxa"/>
            <w:vMerge w:val="continue"/>
            <w:vAlign w:val="center"/>
          </w:tcPr>
          <w:p w14:paraId="29A1E558">
            <w:pPr>
              <w:widowControl/>
              <w:snapToGrid w:val="0"/>
              <w:spacing w:line="240" w:lineRule="auto"/>
              <w:rPr>
                <w:rFonts w:ascii="宋体" w:hAnsi="宋体" w:cs="宋体"/>
                <w:i/>
                <w:kern w:val="0"/>
                <w:sz w:val="21"/>
                <w:szCs w:val="21"/>
              </w:rPr>
            </w:pPr>
          </w:p>
        </w:tc>
        <w:tc>
          <w:tcPr>
            <w:tcW w:w="6614" w:type="dxa"/>
            <w:vAlign w:val="center"/>
          </w:tcPr>
          <w:p w14:paraId="1F9A86D7">
            <w:pPr>
              <w:widowControl/>
              <w:snapToGrid w:val="0"/>
              <w:spacing w:line="240" w:lineRule="auto"/>
              <w:rPr>
                <w:rFonts w:ascii="宋体" w:hAnsi="宋体" w:eastAsia="Times New Roman" w:cs="宋体"/>
                <w:b/>
                <w:kern w:val="0"/>
                <w:sz w:val="21"/>
                <w:szCs w:val="21"/>
              </w:rPr>
            </w:pPr>
            <w:r>
              <w:rPr>
                <w:rFonts w:hint="eastAsia" w:ascii="宋体" w:hAnsi="宋体" w:cs="宋体"/>
                <w:kern w:val="0"/>
                <w:sz w:val="21"/>
                <w:szCs w:val="21"/>
              </w:rPr>
              <w:t>未发生不同投标人委托同一单位或者个人办理投标事宜的情形</w:t>
            </w:r>
            <w:r>
              <w:rPr>
                <w:rFonts w:ascii="华文楷体" w:hAnsi="华文楷体" w:eastAsia="华文楷体"/>
                <w:sz w:val="21"/>
                <w:szCs w:val="21"/>
              </w:rPr>
              <w:t>[不同投标人的</w:t>
            </w:r>
            <w:r>
              <w:rPr>
                <w:rFonts w:hint="eastAsia" w:ascii="华文楷体" w:hAnsi="华文楷体" w:eastAsia="华文楷体"/>
                <w:sz w:val="21"/>
                <w:szCs w:val="21"/>
              </w:rPr>
              <w:t>投标文件中，其法定代表人授权委托书中的授权委托人为同一人的。</w:t>
            </w:r>
            <w:r>
              <w:rPr>
                <w:rFonts w:ascii="华文楷体" w:hAnsi="华文楷体" w:eastAsia="华文楷体"/>
                <w:sz w:val="21"/>
                <w:szCs w:val="21"/>
              </w:rPr>
              <w:t>]</w:t>
            </w:r>
          </w:p>
        </w:tc>
        <w:tc>
          <w:tcPr>
            <w:tcW w:w="1291" w:type="dxa"/>
            <w:vAlign w:val="center"/>
          </w:tcPr>
          <w:p w14:paraId="301A52F2">
            <w:pPr>
              <w:widowControl/>
              <w:snapToGrid w:val="0"/>
              <w:spacing w:line="240" w:lineRule="auto"/>
              <w:rPr>
                <w:rFonts w:ascii="宋体" w:hAnsi="宋体" w:cs="宋体"/>
                <w:kern w:val="0"/>
                <w:sz w:val="21"/>
                <w:szCs w:val="21"/>
              </w:rPr>
            </w:pPr>
          </w:p>
        </w:tc>
      </w:tr>
      <w:tr w14:paraId="1EB8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continue"/>
            <w:tcMar>
              <w:left w:w="28" w:type="dxa"/>
              <w:right w:w="28" w:type="dxa"/>
            </w:tcMar>
            <w:vAlign w:val="center"/>
          </w:tcPr>
          <w:p w14:paraId="156CF438">
            <w:pPr>
              <w:snapToGrid w:val="0"/>
              <w:spacing w:line="240" w:lineRule="auto"/>
              <w:jc w:val="center"/>
              <w:rPr>
                <w:rFonts w:ascii="宋体" w:hAnsi="宋体" w:cs="宋体"/>
                <w:kern w:val="0"/>
                <w:sz w:val="21"/>
                <w:szCs w:val="21"/>
              </w:rPr>
            </w:pPr>
          </w:p>
        </w:tc>
        <w:tc>
          <w:tcPr>
            <w:tcW w:w="1391" w:type="dxa"/>
            <w:vMerge w:val="continue"/>
            <w:vAlign w:val="center"/>
          </w:tcPr>
          <w:p w14:paraId="6942CDE1">
            <w:pPr>
              <w:widowControl/>
              <w:snapToGrid w:val="0"/>
              <w:spacing w:line="240" w:lineRule="auto"/>
              <w:rPr>
                <w:rFonts w:ascii="宋体" w:hAnsi="宋体" w:cs="宋体"/>
                <w:kern w:val="0"/>
                <w:sz w:val="21"/>
                <w:szCs w:val="21"/>
              </w:rPr>
            </w:pPr>
          </w:p>
        </w:tc>
        <w:tc>
          <w:tcPr>
            <w:tcW w:w="6614" w:type="dxa"/>
            <w:vAlign w:val="center"/>
          </w:tcPr>
          <w:p w14:paraId="3A936EAD">
            <w:pPr>
              <w:widowControl/>
              <w:snapToGrid w:val="0"/>
              <w:spacing w:line="240" w:lineRule="auto"/>
              <w:rPr>
                <w:rFonts w:ascii="宋体" w:hAnsi="宋体" w:eastAsia="Times New Roman" w:cs="宋体"/>
                <w:b/>
                <w:kern w:val="0"/>
                <w:sz w:val="21"/>
                <w:szCs w:val="21"/>
              </w:rPr>
            </w:pPr>
            <w:r>
              <w:rPr>
                <w:rFonts w:hint="eastAsia" w:ascii="宋体" w:hAnsi="宋体" w:cs="宋体"/>
                <w:kern w:val="0"/>
                <w:sz w:val="21"/>
                <w:szCs w:val="21"/>
              </w:rPr>
              <w:t>未发生不同投标人的投标文件载明的项目管理机构成员出现同一人的情形</w:t>
            </w:r>
            <w:r>
              <w:rPr>
                <w:rFonts w:hint="eastAsia" w:ascii="华文楷体" w:hAnsi="华文楷体" w:eastAsia="华文楷体"/>
                <w:sz w:val="21"/>
                <w:szCs w:val="21"/>
              </w:rPr>
              <w:t>（见</w:t>
            </w:r>
            <w:r>
              <w:rPr>
                <w:rFonts w:ascii="华文楷体" w:hAnsi="华文楷体" w:eastAsia="华文楷体"/>
                <w:sz w:val="21"/>
                <w:szCs w:val="21"/>
              </w:rPr>
              <w:t>各投标人投标文件</w:t>
            </w:r>
            <w:r>
              <w:rPr>
                <w:rFonts w:hint="eastAsia" w:ascii="华文楷体" w:hAnsi="华文楷体" w:eastAsia="华文楷体"/>
                <w:sz w:val="21"/>
                <w:szCs w:val="21"/>
              </w:rPr>
              <w:t>相关</w:t>
            </w:r>
            <w:r>
              <w:rPr>
                <w:rFonts w:ascii="华文楷体" w:hAnsi="华文楷体" w:eastAsia="华文楷体"/>
                <w:sz w:val="21"/>
                <w:szCs w:val="21"/>
              </w:rPr>
              <w:t>内容</w:t>
            </w:r>
            <w:r>
              <w:rPr>
                <w:rFonts w:hint="eastAsia" w:ascii="华文楷体" w:hAnsi="华文楷体" w:eastAsia="华文楷体"/>
                <w:sz w:val="21"/>
                <w:szCs w:val="21"/>
              </w:rPr>
              <w:t>）</w:t>
            </w:r>
          </w:p>
        </w:tc>
        <w:tc>
          <w:tcPr>
            <w:tcW w:w="1291" w:type="dxa"/>
            <w:vAlign w:val="center"/>
          </w:tcPr>
          <w:p w14:paraId="5093D43C">
            <w:pPr>
              <w:widowControl/>
              <w:snapToGrid w:val="0"/>
              <w:spacing w:line="240" w:lineRule="auto"/>
              <w:rPr>
                <w:rFonts w:ascii="宋体" w:hAnsi="宋体" w:cs="宋体"/>
                <w:kern w:val="0"/>
                <w:sz w:val="21"/>
                <w:szCs w:val="21"/>
              </w:rPr>
            </w:pPr>
          </w:p>
        </w:tc>
      </w:tr>
      <w:tr w14:paraId="3448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continue"/>
            <w:tcMar>
              <w:left w:w="28" w:type="dxa"/>
              <w:right w:w="28" w:type="dxa"/>
            </w:tcMar>
            <w:vAlign w:val="center"/>
          </w:tcPr>
          <w:p w14:paraId="18B9C993">
            <w:pPr>
              <w:snapToGrid w:val="0"/>
              <w:spacing w:line="240" w:lineRule="auto"/>
              <w:jc w:val="center"/>
              <w:rPr>
                <w:rFonts w:ascii="宋体" w:hAnsi="宋体" w:cs="宋体"/>
                <w:kern w:val="0"/>
                <w:sz w:val="21"/>
                <w:szCs w:val="21"/>
              </w:rPr>
            </w:pPr>
          </w:p>
        </w:tc>
        <w:tc>
          <w:tcPr>
            <w:tcW w:w="1391" w:type="dxa"/>
            <w:vMerge w:val="continue"/>
            <w:vAlign w:val="center"/>
          </w:tcPr>
          <w:p w14:paraId="59EAA57E">
            <w:pPr>
              <w:widowControl/>
              <w:snapToGrid w:val="0"/>
              <w:spacing w:line="240" w:lineRule="auto"/>
              <w:rPr>
                <w:rFonts w:ascii="宋体" w:hAnsi="宋体" w:cs="宋体"/>
                <w:kern w:val="0"/>
                <w:sz w:val="21"/>
                <w:szCs w:val="21"/>
              </w:rPr>
            </w:pPr>
          </w:p>
        </w:tc>
        <w:tc>
          <w:tcPr>
            <w:tcW w:w="6614" w:type="dxa"/>
            <w:vAlign w:val="center"/>
          </w:tcPr>
          <w:p w14:paraId="655D36BA">
            <w:pPr>
              <w:widowControl/>
              <w:snapToGrid w:val="0"/>
              <w:spacing w:line="240" w:lineRule="auto"/>
              <w:rPr>
                <w:rFonts w:ascii="宋体" w:hAnsi="宋体" w:eastAsia="Times New Roman" w:cs="宋体"/>
                <w:b/>
                <w:kern w:val="0"/>
                <w:sz w:val="21"/>
                <w:szCs w:val="21"/>
              </w:rPr>
            </w:pPr>
            <w:r>
              <w:rPr>
                <w:rFonts w:hint="eastAsia" w:ascii="宋体" w:hAnsi="宋体" w:cs="宋体"/>
                <w:kern w:val="0"/>
                <w:sz w:val="21"/>
                <w:szCs w:val="21"/>
              </w:rPr>
              <w:t>未发生不同投标人的投标文件异常一致或者投标报价呈规律性差异的情形</w:t>
            </w:r>
            <w:r>
              <w:rPr>
                <w:rFonts w:hint="eastAsia" w:ascii="华文楷体" w:hAnsi="华文楷体" w:eastAsia="华文楷体"/>
                <w:sz w:val="21"/>
                <w:szCs w:val="21"/>
              </w:rPr>
              <w:t>（见</w:t>
            </w:r>
            <w:r>
              <w:rPr>
                <w:rFonts w:ascii="华文楷体" w:hAnsi="华文楷体" w:eastAsia="华文楷体"/>
                <w:sz w:val="21"/>
                <w:szCs w:val="21"/>
              </w:rPr>
              <w:t>各投标人投标文件</w:t>
            </w:r>
            <w:r>
              <w:rPr>
                <w:rFonts w:hint="eastAsia" w:ascii="华文楷体" w:hAnsi="华文楷体" w:eastAsia="华文楷体"/>
                <w:sz w:val="21"/>
                <w:szCs w:val="21"/>
              </w:rPr>
              <w:t>相关</w:t>
            </w:r>
            <w:r>
              <w:rPr>
                <w:rFonts w:ascii="华文楷体" w:hAnsi="华文楷体" w:eastAsia="华文楷体"/>
                <w:sz w:val="21"/>
                <w:szCs w:val="21"/>
              </w:rPr>
              <w:t>内容</w:t>
            </w:r>
            <w:r>
              <w:rPr>
                <w:rFonts w:hint="eastAsia" w:ascii="华文楷体" w:hAnsi="华文楷体" w:eastAsia="华文楷体"/>
                <w:sz w:val="21"/>
                <w:szCs w:val="21"/>
              </w:rPr>
              <w:t>）</w:t>
            </w:r>
          </w:p>
        </w:tc>
        <w:tc>
          <w:tcPr>
            <w:tcW w:w="1291" w:type="dxa"/>
            <w:vAlign w:val="center"/>
          </w:tcPr>
          <w:p w14:paraId="1D98951E">
            <w:pPr>
              <w:widowControl/>
              <w:snapToGrid w:val="0"/>
              <w:spacing w:line="240" w:lineRule="auto"/>
              <w:rPr>
                <w:rFonts w:ascii="宋体" w:hAnsi="宋体" w:cs="宋体"/>
                <w:kern w:val="0"/>
                <w:sz w:val="21"/>
                <w:szCs w:val="21"/>
              </w:rPr>
            </w:pPr>
          </w:p>
        </w:tc>
      </w:tr>
      <w:tr w14:paraId="5CD3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continue"/>
            <w:tcMar>
              <w:left w:w="28" w:type="dxa"/>
              <w:right w:w="28" w:type="dxa"/>
            </w:tcMar>
            <w:vAlign w:val="center"/>
          </w:tcPr>
          <w:p w14:paraId="56A4AFA3">
            <w:pPr>
              <w:snapToGrid w:val="0"/>
              <w:spacing w:line="240" w:lineRule="auto"/>
              <w:jc w:val="center"/>
              <w:rPr>
                <w:rFonts w:ascii="宋体" w:hAnsi="宋体" w:cs="宋体"/>
                <w:kern w:val="0"/>
                <w:sz w:val="21"/>
                <w:szCs w:val="21"/>
              </w:rPr>
            </w:pPr>
          </w:p>
        </w:tc>
        <w:tc>
          <w:tcPr>
            <w:tcW w:w="1391" w:type="dxa"/>
            <w:vMerge w:val="continue"/>
            <w:vAlign w:val="center"/>
          </w:tcPr>
          <w:p w14:paraId="5253D296">
            <w:pPr>
              <w:widowControl/>
              <w:snapToGrid w:val="0"/>
              <w:spacing w:line="240" w:lineRule="auto"/>
              <w:rPr>
                <w:rFonts w:ascii="宋体" w:hAnsi="宋体" w:cs="宋体"/>
                <w:kern w:val="0"/>
                <w:sz w:val="21"/>
                <w:szCs w:val="21"/>
              </w:rPr>
            </w:pPr>
          </w:p>
        </w:tc>
        <w:tc>
          <w:tcPr>
            <w:tcW w:w="6614" w:type="dxa"/>
            <w:vAlign w:val="center"/>
          </w:tcPr>
          <w:p w14:paraId="471238A6">
            <w:pPr>
              <w:widowControl/>
              <w:snapToGrid w:val="0"/>
              <w:spacing w:line="240" w:lineRule="auto"/>
              <w:rPr>
                <w:rFonts w:ascii="宋体" w:hAnsi="宋体" w:cs="宋体"/>
                <w:kern w:val="0"/>
                <w:sz w:val="21"/>
                <w:szCs w:val="21"/>
              </w:rPr>
            </w:pPr>
            <w:r>
              <w:rPr>
                <w:rFonts w:hint="eastAsia" w:ascii="宋体" w:hAnsi="宋体" w:cs="宋体"/>
                <w:kern w:val="0"/>
                <w:sz w:val="21"/>
                <w:szCs w:val="21"/>
              </w:rPr>
              <w:t>未发生不同投标人的投标文件相互混装的情形</w:t>
            </w:r>
            <w:r>
              <w:rPr>
                <w:rFonts w:hint="eastAsia" w:ascii="华文楷体" w:hAnsi="华文楷体" w:eastAsia="华文楷体"/>
                <w:sz w:val="21"/>
                <w:szCs w:val="21"/>
              </w:rPr>
              <w:t>（适用于</w:t>
            </w:r>
            <w:r>
              <w:rPr>
                <w:rFonts w:ascii="华文楷体" w:hAnsi="华文楷体" w:eastAsia="华文楷体"/>
                <w:sz w:val="21"/>
                <w:szCs w:val="21"/>
              </w:rPr>
              <w:t>递交纸质版文件</w:t>
            </w:r>
            <w:r>
              <w:rPr>
                <w:rFonts w:hint="eastAsia" w:ascii="华文楷体" w:hAnsi="华文楷体" w:eastAsia="华文楷体"/>
                <w:sz w:val="21"/>
                <w:szCs w:val="21"/>
              </w:rPr>
              <w:t>的</w:t>
            </w:r>
            <w:r>
              <w:rPr>
                <w:rFonts w:ascii="华文楷体" w:hAnsi="华文楷体" w:eastAsia="华文楷体"/>
                <w:sz w:val="21"/>
                <w:szCs w:val="21"/>
              </w:rPr>
              <w:t>情形</w:t>
            </w:r>
            <w:r>
              <w:rPr>
                <w:rFonts w:hint="eastAsia" w:ascii="华文楷体" w:hAnsi="华文楷体" w:eastAsia="华文楷体"/>
                <w:sz w:val="21"/>
                <w:szCs w:val="21"/>
              </w:rPr>
              <w:t>：在</w:t>
            </w:r>
            <w:r>
              <w:rPr>
                <w:rFonts w:ascii="华文楷体" w:hAnsi="华文楷体" w:eastAsia="华文楷体"/>
                <w:sz w:val="21"/>
                <w:szCs w:val="21"/>
              </w:rPr>
              <w:t>开标</w:t>
            </w:r>
            <w:r>
              <w:rPr>
                <w:rFonts w:hint="eastAsia" w:ascii="华文楷体" w:hAnsi="华文楷体" w:eastAsia="华文楷体"/>
                <w:sz w:val="21"/>
                <w:szCs w:val="21"/>
              </w:rPr>
              <w:t>或</w:t>
            </w:r>
            <w:r>
              <w:rPr>
                <w:rFonts w:ascii="华文楷体" w:hAnsi="华文楷体" w:eastAsia="华文楷体"/>
                <w:sz w:val="21"/>
                <w:szCs w:val="21"/>
              </w:rPr>
              <w:t>拆封文件</w:t>
            </w:r>
            <w:r>
              <w:rPr>
                <w:rFonts w:hint="eastAsia" w:ascii="华文楷体" w:hAnsi="华文楷体" w:eastAsia="华文楷体"/>
                <w:sz w:val="21"/>
                <w:szCs w:val="21"/>
              </w:rPr>
              <w:t>时</w:t>
            </w:r>
            <w:r>
              <w:rPr>
                <w:rFonts w:ascii="华文楷体" w:hAnsi="华文楷体" w:eastAsia="华文楷体"/>
                <w:sz w:val="21"/>
                <w:szCs w:val="21"/>
              </w:rPr>
              <w:t>，</w:t>
            </w:r>
            <w:r>
              <w:rPr>
                <w:rFonts w:hint="eastAsia" w:ascii="华文楷体" w:hAnsi="华文楷体" w:eastAsia="华文楷体"/>
                <w:sz w:val="21"/>
                <w:szCs w:val="21"/>
              </w:rPr>
              <w:t>若</w:t>
            </w:r>
            <w:r>
              <w:rPr>
                <w:rFonts w:ascii="华文楷体" w:hAnsi="华文楷体" w:eastAsia="华文楷体"/>
                <w:sz w:val="21"/>
                <w:szCs w:val="21"/>
              </w:rPr>
              <w:t>出现该情形，招标人或招标代理机构应</w:t>
            </w:r>
            <w:r>
              <w:rPr>
                <w:rFonts w:hint="eastAsia" w:ascii="华文楷体" w:hAnsi="华文楷体" w:eastAsia="华文楷体"/>
                <w:sz w:val="21"/>
                <w:szCs w:val="21"/>
              </w:rPr>
              <w:t>书面如实记录，</w:t>
            </w:r>
            <w:r>
              <w:rPr>
                <w:rFonts w:ascii="华文楷体" w:hAnsi="华文楷体" w:eastAsia="华文楷体"/>
                <w:sz w:val="21"/>
                <w:szCs w:val="21"/>
              </w:rPr>
              <w:t>评标时</w:t>
            </w:r>
            <w:r>
              <w:rPr>
                <w:rFonts w:hint="eastAsia" w:ascii="华文楷体" w:hAnsi="华文楷体" w:eastAsia="华文楷体"/>
                <w:sz w:val="21"/>
                <w:szCs w:val="21"/>
              </w:rPr>
              <w:t>将</w:t>
            </w:r>
            <w:r>
              <w:rPr>
                <w:rFonts w:ascii="华文楷体" w:hAnsi="华文楷体" w:eastAsia="华文楷体"/>
                <w:sz w:val="21"/>
                <w:szCs w:val="21"/>
              </w:rPr>
              <w:t>书面记录</w:t>
            </w:r>
            <w:r>
              <w:rPr>
                <w:rFonts w:hint="eastAsia" w:ascii="华文楷体" w:hAnsi="华文楷体" w:eastAsia="华文楷体"/>
                <w:sz w:val="21"/>
                <w:szCs w:val="21"/>
              </w:rPr>
              <w:t>作为</w:t>
            </w:r>
            <w:r>
              <w:rPr>
                <w:rFonts w:ascii="华文楷体" w:hAnsi="华文楷体" w:eastAsia="华文楷体"/>
                <w:sz w:val="21"/>
                <w:szCs w:val="21"/>
              </w:rPr>
              <w:t>评审依据提交评标委员会</w:t>
            </w:r>
            <w:r>
              <w:rPr>
                <w:rFonts w:hint="eastAsia" w:ascii="华文楷体" w:hAnsi="华文楷体" w:eastAsia="华文楷体"/>
                <w:sz w:val="21"/>
                <w:szCs w:val="21"/>
              </w:rPr>
              <w:t>评审）</w:t>
            </w:r>
          </w:p>
        </w:tc>
        <w:tc>
          <w:tcPr>
            <w:tcW w:w="1291" w:type="dxa"/>
            <w:vAlign w:val="center"/>
          </w:tcPr>
          <w:p w14:paraId="2637797D">
            <w:pPr>
              <w:widowControl/>
              <w:snapToGrid w:val="0"/>
              <w:spacing w:line="240" w:lineRule="auto"/>
              <w:rPr>
                <w:rFonts w:ascii="宋体" w:hAnsi="宋体" w:cs="宋体"/>
                <w:kern w:val="0"/>
                <w:sz w:val="21"/>
                <w:szCs w:val="21"/>
              </w:rPr>
            </w:pPr>
          </w:p>
        </w:tc>
      </w:tr>
      <w:tr w14:paraId="52E0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continue"/>
            <w:tcMar>
              <w:left w:w="28" w:type="dxa"/>
              <w:right w:w="28" w:type="dxa"/>
            </w:tcMar>
            <w:vAlign w:val="center"/>
          </w:tcPr>
          <w:p w14:paraId="7769E63C">
            <w:pPr>
              <w:snapToGrid w:val="0"/>
              <w:spacing w:line="240" w:lineRule="auto"/>
              <w:jc w:val="center"/>
              <w:rPr>
                <w:rFonts w:ascii="宋体" w:hAnsi="宋体" w:cs="宋体"/>
                <w:kern w:val="0"/>
                <w:sz w:val="21"/>
                <w:szCs w:val="21"/>
              </w:rPr>
            </w:pPr>
          </w:p>
        </w:tc>
        <w:tc>
          <w:tcPr>
            <w:tcW w:w="1391" w:type="dxa"/>
            <w:vMerge w:val="continue"/>
            <w:vAlign w:val="center"/>
          </w:tcPr>
          <w:p w14:paraId="22236668">
            <w:pPr>
              <w:widowControl/>
              <w:snapToGrid w:val="0"/>
              <w:spacing w:line="240" w:lineRule="auto"/>
              <w:rPr>
                <w:rFonts w:ascii="宋体" w:hAnsi="宋体" w:cs="宋体"/>
                <w:kern w:val="0"/>
                <w:sz w:val="21"/>
                <w:szCs w:val="21"/>
              </w:rPr>
            </w:pPr>
          </w:p>
        </w:tc>
        <w:tc>
          <w:tcPr>
            <w:tcW w:w="6614" w:type="dxa"/>
            <w:vAlign w:val="center"/>
          </w:tcPr>
          <w:p w14:paraId="66B58919">
            <w:pPr>
              <w:widowControl/>
              <w:snapToGrid w:val="0"/>
              <w:spacing w:line="240" w:lineRule="auto"/>
              <w:rPr>
                <w:rFonts w:ascii="宋体" w:hAnsi="宋体" w:cs="宋体"/>
                <w:kern w:val="0"/>
                <w:sz w:val="21"/>
                <w:szCs w:val="21"/>
              </w:rPr>
            </w:pPr>
            <w:r>
              <w:rPr>
                <w:rFonts w:hint="eastAsia" w:ascii="宋体" w:hAnsi="宋体" w:cs="宋体"/>
                <w:kern w:val="0"/>
                <w:sz w:val="21"/>
                <w:szCs w:val="21"/>
              </w:rPr>
              <w:t>未发生不同投标人的投标保证金从同一单位或者个人的账户转出的情形</w:t>
            </w:r>
            <w:r>
              <w:rPr>
                <w:rFonts w:hint="eastAsia" w:ascii="华文楷体" w:hAnsi="华文楷体" w:eastAsia="华文楷体"/>
                <w:sz w:val="21"/>
                <w:szCs w:val="21"/>
              </w:rPr>
              <w:t>（见各投标人投标文件的投标保证金银行电汇凭证及基本账户开户银行许可证（或银行开具的基本账户证明材料）</w:t>
            </w:r>
          </w:p>
        </w:tc>
        <w:tc>
          <w:tcPr>
            <w:tcW w:w="1291" w:type="dxa"/>
            <w:vAlign w:val="center"/>
          </w:tcPr>
          <w:p w14:paraId="08427472">
            <w:pPr>
              <w:widowControl/>
              <w:snapToGrid w:val="0"/>
              <w:spacing w:line="240" w:lineRule="auto"/>
              <w:rPr>
                <w:rFonts w:ascii="宋体" w:hAnsi="宋体" w:cs="宋体"/>
                <w:kern w:val="0"/>
                <w:sz w:val="21"/>
                <w:szCs w:val="21"/>
              </w:rPr>
            </w:pPr>
          </w:p>
        </w:tc>
      </w:tr>
      <w:tr w14:paraId="12B0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continue"/>
            <w:tcMar>
              <w:left w:w="28" w:type="dxa"/>
              <w:right w:w="28" w:type="dxa"/>
            </w:tcMar>
            <w:vAlign w:val="center"/>
          </w:tcPr>
          <w:p w14:paraId="2BE2EEBF">
            <w:pPr>
              <w:snapToGrid w:val="0"/>
              <w:spacing w:line="240" w:lineRule="auto"/>
              <w:jc w:val="center"/>
              <w:rPr>
                <w:rFonts w:ascii="宋体" w:hAnsi="宋体" w:cs="宋体"/>
                <w:kern w:val="0"/>
                <w:sz w:val="21"/>
                <w:szCs w:val="21"/>
              </w:rPr>
            </w:pPr>
          </w:p>
        </w:tc>
        <w:tc>
          <w:tcPr>
            <w:tcW w:w="1391" w:type="dxa"/>
            <w:vMerge w:val="continue"/>
            <w:vAlign w:val="center"/>
          </w:tcPr>
          <w:p w14:paraId="2841B494">
            <w:pPr>
              <w:widowControl/>
              <w:snapToGrid w:val="0"/>
              <w:spacing w:line="240" w:lineRule="auto"/>
              <w:rPr>
                <w:rFonts w:ascii="宋体" w:hAnsi="宋体" w:cs="宋体"/>
                <w:kern w:val="0"/>
                <w:sz w:val="21"/>
                <w:szCs w:val="21"/>
              </w:rPr>
            </w:pPr>
          </w:p>
        </w:tc>
        <w:tc>
          <w:tcPr>
            <w:tcW w:w="6614" w:type="dxa"/>
            <w:vAlign w:val="center"/>
          </w:tcPr>
          <w:p w14:paraId="109CAF27">
            <w:pPr>
              <w:widowControl/>
              <w:snapToGrid w:val="0"/>
              <w:spacing w:line="240" w:lineRule="auto"/>
              <w:rPr>
                <w:rFonts w:ascii="宋体" w:hAnsi="宋体" w:cs="宋体"/>
                <w:kern w:val="0"/>
                <w:sz w:val="21"/>
                <w:szCs w:val="21"/>
              </w:rPr>
            </w:pPr>
            <w:r>
              <w:rPr>
                <w:rFonts w:hint="eastAsia" w:ascii="宋体" w:hAnsi="宋体" w:cs="宋体"/>
                <w:kern w:val="0"/>
                <w:sz w:val="21"/>
                <w:szCs w:val="21"/>
              </w:rPr>
              <w:t>未发生使用通过受让或者租借等方式获取的资质、资格证书投标，或伪造资质、资格、业绩、财务等证件资料投标的情形</w:t>
            </w:r>
            <w:r>
              <w:rPr>
                <w:rFonts w:hint="eastAsia" w:ascii="华文楷体" w:hAnsi="华文楷体" w:eastAsia="华文楷体"/>
                <w:sz w:val="21"/>
                <w:szCs w:val="21"/>
              </w:rPr>
              <w:t>（见</w:t>
            </w:r>
            <w:r>
              <w:rPr>
                <w:rFonts w:ascii="华文楷体" w:hAnsi="华文楷体" w:eastAsia="华文楷体"/>
                <w:sz w:val="21"/>
                <w:szCs w:val="21"/>
              </w:rPr>
              <w:t>各投标人投标文件</w:t>
            </w:r>
            <w:r>
              <w:rPr>
                <w:rFonts w:hint="eastAsia" w:ascii="华文楷体" w:hAnsi="华文楷体" w:eastAsia="华文楷体"/>
                <w:sz w:val="21"/>
                <w:szCs w:val="21"/>
              </w:rPr>
              <w:t>相关</w:t>
            </w:r>
            <w:r>
              <w:rPr>
                <w:rFonts w:ascii="华文楷体" w:hAnsi="华文楷体" w:eastAsia="华文楷体"/>
                <w:sz w:val="21"/>
                <w:szCs w:val="21"/>
              </w:rPr>
              <w:t>内容</w:t>
            </w:r>
            <w:r>
              <w:rPr>
                <w:rFonts w:hint="eastAsia" w:ascii="华文楷体" w:hAnsi="华文楷体" w:eastAsia="华文楷体"/>
                <w:sz w:val="21"/>
                <w:szCs w:val="21"/>
              </w:rPr>
              <w:t>）</w:t>
            </w:r>
          </w:p>
        </w:tc>
        <w:tc>
          <w:tcPr>
            <w:tcW w:w="1291" w:type="dxa"/>
            <w:vAlign w:val="center"/>
          </w:tcPr>
          <w:p w14:paraId="0C284904">
            <w:pPr>
              <w:widowControl/>
              <w:snapToGrid w:val="0"/>
              <w:spacing w:line="240" w:lineRule="auto"/>
              <w:rPr>
                <w:rFonts w:ascii="宋体" w:hAnsi="宋体" w:cs="宋体"/>
                <w:kern w:val="0"/>
                <w:sz w:val="21"/>
                <w:szCs w:val="21"/>
              </w:rPr>
            </w:pPr>
          </w:p>
        </w:tc>
      </w:tr>
      <w:tr w14:paraId="2648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dxa"/>
            <w:vMerge w:val="continue"/>
            <w:tcMar>
              <w:left w:w="28" w:type="dxa"/>
              <w:right w:w="28" w:type="dxa"/>
            </w:tcMar>
            <w:vAlign w:val="center"/>
          </w:tcPr>
          <w:p w14:paraId="10F09527">
            <w:pPr>
              <w:widowControl/>
              <w:snapToGrid w:val="0"/>
              <w:spacing w:line="240" w:lineRule="auto"/>
              <w:jc w:val="center"/>
              <w:rPr>
                <w:rFonts w:ascii="宋体" w:hAnsi="宋体" w:cs="宋体"/>
                <w:kern w:val="0"/>
                <w:sz w:val="21"/>
                <w:szCs w:val="21"/>
              </w:rPr>
            </w:pPr>
          </w:p>
        </w:tc>
        <w:tc>
          <w:tcPr>
            <w:tcW w:w="1391" w:type="dxa"/>
            <w:vMerge w:val="continue"/>
            <w:vAlign w:val="center"/>
          </w:tcPr>
          <w:p w14:paraId="6216A52B">
            <w:pPr>
              <w:widowControl/>
              <w:snapToGrid w:val="0"/>
              <w:spacing w:line="240" w:lineRule="auto"/>
              <w:rPr>
                <w:rFonts w:ascii="宋体" w:hAnsi="宋体" w:cs="宋体"/>
                <w:kern w:val="0"/>
                <w:sz w:val="21"/>
                <w:szCs w:val="21"/>
              </w:rPr>
            </w:pPr>
          </w:p>
        </w:tc>
        <w:tc>
          <w:tcPr>
            <w:tcW w:w="6614" w:type="dxa"/>
            <w:vAlign w:val="center"/>
          </w:tcPr>
          <w:p w14:paraId="50C92702">
            <w:pPr>
              <w:widowControl/>
              <w:snapToGrid w:val="0"/>
              <w:spacing w:line="240" w:lineRule="auto"/>
              <w:rPr>
                <w:rFonts w:ascii="宋体" w:hAnsi="宋体" w:cs="宋体"/>
                <w:kern w:val="0"/>
                <w:sz w:val="21"/>
                <w:szCs w:val="21"/>
              </w:rPr>
            </w:pPr>
            <w:r>
              <w:rPr>
                <w:rFonts w:hint="eastAsia" w:ascii="宋体" w:hAnsi="宋体" w:cs="宋体"/>
                <w:kern w:val="0"/>
                <w:sz w:val="21"/>
                <w:szCs w:val="21"/>
              </w:rPr>
              <w:t>不存在法律、法规、规章和规范性文件规定应当列入的其他情形：</w:t>
            </w:r>
            <w:r>
              <w:rPr>
                <w:rFonts w:hint="eastAsia" w:ascii="华文楷体" w:hAnsi="华文楷体" w:eastAsia="华文楷体"/>
                <w:sz w:val="21"/>
                <w:szCs w:val="21"/>
              </w:rPr>
              <w:t>（应当与法律、法规规定的串通投标、弄虚作假等违法行为具有可比性的其他情形）</w:t>
            </w:r>
          </w:p>
        </w:tc>
        <w:tc>
          <w:tcPr>
            <w:tcW w:w="1291" w:type="dxa"/>
            <w:vAlign w:val="center"/>
          </w:tcPr>
          <w:p w14:paraId="2AC711B1">
            <w:pPr>
              <w:widowControl/>
              <w:snapToGrid w:val="0"/>
              <w:spacing w:line="240" w:lineRule="auto"/>
              <w:rPr>
                <w:rFonts w:ascii="宋体" w:hAnsi="宋体" w:cs="宋体"/>
                <w:kern w:val="0"/>
                <w:sz w:val="21"/>
                <w:szCs w:val="21"/>
              </w:rPr>
            </w:pPr>
          </w:p>
        </w:tc>
      </w:tr>
      <w:tr w14:paraId="1E7B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jc w:val="center"/>
        </w:trPr>
        <w:tc>
          <w:tcPr>
            <w:tcW w:w="8464" w:type="dxa"/>
            <w:gridSpan w:val="3"/>
            <w:tcMar>
              <w:left w:w="28" w:type="dxa"/>
              <w:right w:w="28" w:type="dxa"/>
            </w:tcMar>
            <w:vAlign w:val="bottom"/>
          </w:tcPr>
          <w:p w14:paraId="0DB92A2E">
            <w:pPr>
              <w:widowControl/>
              <w:snapToGrid w:val="0"/>
              <w:jc w:val="left"/>
              <w:rPr>
                <w:rFonts w:ascii="宋体" w:hAnsi="宋体" w:cs="宋体"/>
                <w:b/>
                <w:bCs/>
                <w:kern w:val="0"/>
                <w:sz w:val="21"/>
                <w:szCs w:val="21"/>
              </w:rPr>
            </w:pPr>
            <w:r>
              <w:rPr>
                <w:rFonts w:hint="eastAsia" w:ascii="宋体" w:hAnsi="宋体" w:cs="宋体"/>
                <w:b/>
                <w:bCs/>
                <w:kern w:val="0"/>
                <w:sz w:val="21"/>
                <w:szCs w:val="21"/>
              </w:rPr>
              <w:t>初步审查结论</w:t>
            </w:r>
            <w:r>
              <w:rPr>
                <w:rFonts w:hint="eastAsia" w:ascii="华文楷体" w:hAnsi="华文楷体" w:eastAsia="华文楷体"/>
                <w:b/>
                <w:bCs/>
                <w:sz w:val="21"/>
                <w:szCs w:val="21"/>
              </w:rPr>
              <w:t>（为“通过”，或“不通过”，只要有一项不符合，即不通过）</w:t>
            </w:r>
          </w:p>
        </w:tc>
        <w:tc>
          <w:tcPr>
            <w:tcW w:w="1291" w:type="dxa"/>
            <w:vAlign w:val="center"/>
          </w:tcPr>
          <w:p w14:paraId="259E3591">
            <w:pPr>
              <w:widowControl/>
              <w:snapToGrid w:val="0"/>
              <w:jc w:val="left"/>
              <w:rPr>
                <w:rFonts w:ascii="宋体" w:hAnsi="宋体" w:cs="宋体"/>
                <w:b/>
                <w:bCs/>
                <w:kern w:val="0"/>
                <w:sz w:val="21"/>
                <w:szCs w:val="21"/>
              </w:rPr>
            </w:pPr>
          </w:p>
        </w:tc>
      </w:tr>
      <w:tr w14:paraId="32D7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exact"/>
          <w:jc w:val="center"/>
        </w:trPr>
        <w:tc>
          <w:tcPr>
            <w:tcW w:w="9755" w:type="dxa"/>
            <w:gridSpan w:val="4"/>
            <w:tcMar>
              <w:left w:w="28" w:type="dxa"/>
              <w:right w:w="28" w:type="dxa"/>
            </w:tcMar>
            <w:vAlign w:val="center"/>
          </w:tcPr>
          <w:p w14:paraId="07005F0B">
            <w:pPr>
              <w:widowControl/>
              <w:snapToGrid w:val="0"/>
              <w:spacing w:before="72" w:beforeLines="30"/>
              <w:jc w:val="left"/>
              <w:rPr>
                <w:rFonts w:ascii="宋体" w:hAnsi="宋体" w:cs="宋体"/>
                <w:b/>
                <w:bCs/>
                <w:kern w:val="0"/>
                <w:sz w:val="21"/>
                <w:szCs w:val="21"/>
              </w:rPr>
            </w:pPr>
            <w:r>
              <w:rPr>
                <w:rFonts w:hint="eastAsia" w:ascii="宋体" w:hAnsi="宋体" w:cs="宋体"/>
                <w:b/>
                <w:bCs/>
                <w:kern w:val="0"/>
                <w:sz w:val="21"/>
                <w:szCs w:val="21"/>
              </w:rPr>
              <w:t>评标委员会成员签名：</w:t>
            </w:r>
          </w:p>
          <w:p w14:paraId="22154819">
            <w:pPr>
              <w:widowControl/>
              <w:snapToGrid w:val="0"/>
              <w:spacing w:before="72" w:beforeLines="30"/>
              <w:jc w:val="right"/>
              <w:rPr>
                <w:rFonts w:ascii="宋体" w:hAnsi="宋体" w:cs="宋体"/>
                <w:b/>
                <w:bCs/>
                <w:kern w:val="0"/>
                <w:sz w:val="21"/>
                <w:szCs w:val="21"/>
              </w:rPr>
            </w:pPr>
            <w:r>
              <w:rPr>
                <w:rFonts w:hint="eastAsia" w:ascii="宋体" w:hAnsi="宋体" w:cs="宋体"/>
                <w:b/>
                <w:bCs/>
                <w:kern w:val="0"/>
                <w:sz w:val="21"/>
                <w:szCs w:val="21"/>
              </w:rPr>
              <w:t>年   月   日</w:t>
            </w:r>
          </w:p>
          <w:p w14:paraId="60119872">
            <w:pPr>
              <w:widowControl/>
              <w:snapToGrid w:val="0"/>
              <w:jc w:val="left"/>
              <w:rPr>
                <w:rFonts w:ascii="宋体" w:hAnsi="宋体" w:cs="宋体"/>
                <w:b/>
                <w:bCs/>
                <w:kern w:val="0"/>
                <w:sz w:val="21"/>
                <w:szCs w:val="21"/>
              </w:rPr>
            </w:pPr>
          </w:p>
        </w:tc>
      </w:tr>
    </w:tbl>
    <w:p w14:paraId="6AB5AD8C">
      <w:pPr>
        <w:widowControl/>
        <w:adjustRightInd w:val="0"/>
        <w:snapToGrid w:val="0"/>
        <w:spacing w:line="240" w:lineRule="auto"/>
        <w:ind w:left="420" w:hanging="420" w:hangingChars="200"/>
        <w:jc w:val="left"/>
        <w:rPr>
          <w:rFonts w:ascii="宋体" w:hAnsi="宋体"/>
          <w:sz w:val="21"/>
          <w:szCs w:val="18"/>
        </w:rPr>
      </w:pPr>
      <w:r>
        <w:rPr>
          <w:rFonts w:hint="eastAsia" w:ascii="宋体" w:hAnsi="宋体"/>
          <w:sz w:val="21"/>
          <w:szCs w:val="18"/>
        </w:rPr>
        <w:t>说明：</w:t>
      </w:r>
    </w:p>
    <w:p w14:paraId="189B47E6">
      <w:pPr>
        <w:widowControl/>
        <w:adjustRightInd w:val="0"/>
        <w:snapToGrid w:val="0"/>
        <w:spacing w:line="240" w:lineRule="auto"/>
        <w:jc w:val="left"/>
        <w:rPr>
          <w:rFonts w:ascii="宋体" w:hAnsi="宋体"/>
          <w:sz w:val="21"/>
          <w:szCs w:val="18"/>
        </w:rPr>
      </w:pPr>
      <w:r>
        <w:rPr>
          <w:rFonts w:hint="eastAsia" w:ascii="宋体" w:hAnsi="宋体"/>
          <w:sz w:val="21"/>
          <w:szCs w:val="18"/>
        </w:rPr>
        <w:t>1．评审时符合上述情况标记为“○”，不符合标记为“×”；评审结论栏统一填写为“通过”或“不通过”；</w:t>
      </w:r>
    </w:p>
    <w:p w14:paraId="5A13189A">
      <w:pPr>
        <w:widowControl/>
        <w:adjustRightInd w:val="0"/>
        <w:snapToGrid w:val="0"/>
        <w:spacing w:line="240" w:lineRule="auto"/>
        <w:jc w:val="left"/>
        <w:rPr>
          <w:rFonts w:ascii="宋体" w:hAnsi="宋体"/>
          <w:sz w:val="21"/>
          <w:szCs w:val="18"/>
        </w:rPr>
      </w:pPr>
      <w:r>
        <w:rPr>
          <w:rFonts w:hint="eastAsia" w:ascii="宋体" w:hAnsi="宋体"/>
          <w:sz w:val="21"/>
          <w:szCs w:val="18"/>
        </w:rPr>
        <w:t>2．若评委意见不一致时，按照本章第19条“记名投票”的规定决定该投标人是否通过初步评审（其他情形）， 进入下一阶段评审。</w:t>
      </w:r>
    </w:p>
    <w:p w14:paraId="24CE8B7F">
      <w:pPr>
        <w:jc w:val="left"/>
        <w:rPr>
          <w:rFonts w:ascii="宋体" w:hAnsi="宋体" w:cs="宋体"/>
          <w:sz w:val="30"/>
        </w:rPr>
      </w:pPr>
      <w:r>
        <w:rPr>
          <w:rFonts w:ascii="宋体" w:hAnsi="宋体" w:cs="宋体"/>
          <w:szCs w:val="21"/>
        </w:rPr>
        <w:br w:type="page"/>
      </w:r>
      <w:bookmarkStart w:id="269" w:name="_Toc4099"/>
      <w:bookmarkStart w:id="270" w:name="_Toc489214196"/>
      <w:bookmarkStart w:id="271" w:name="_Toc14045"/>
      <w:r>
        <w:rPr>
          <w:rFonts w:hint="eastAsia" w:ascii="宋体" w:hAnsi="宋体"/>
          <w:b/>
        </w:rPr>
        <w:t>附件</w:t>
      </w:r>
      <w:bookmarkStart w:id="272" w:name="_Toc30274"/>
      <w:r>
        <w:rPr>
          <w:rFonts w:hint="eastAsia" w:ascii="宋体" w:hAnsi="宋体"/>
          <w:b/>
        </w:rPr>
        <w:t>2-3：未通过初步评审等情况汇总表</w:t>
      </w:r>
      <w:bookmarkEnd w:id="272"/>
    </w:p>
    <w:p w14:paraId="53C1270D">
      <w:pPr>
        <w:jc w:val="center"/>
        <w:rPr>
          <w:rFonts w:ascii="宋体" w:hAnsi="宋体" w:cs="宋体"/>
          <w:b/>
          <w:sz w:val="30"/>
        </w:rPr>
      </w:pPr>
      <w:r>
        <w:rPr>
          <w:rFonts w:hint="eastAsia" w:ascii="宋体" w:hAnsi="宋体" w:cs="宋体"/>
          <w:b/>
          <w:sz w:val="30"/>
        </w:rPr>
        <w:t>未通过初步评审等情况汇总表</w:t>
      </w:r>
    </w:p>
    <w:p w14:paraId="4AF12C68">
      <w:pPr>
        <w:tabs>
          <w:tab w:val="left" w:pos="4680"/>
        </w:tabs>
        <w:spacing w:line="240" w:lineRule="auto"/>
        <w:rPr>
          <w:rFonts w:ascii="宋体" w:hAnsi="宋体"/>
          <w:bCs/>
          <w:sz w:val="21"/>
          <w:szCs w:val="21"/>
        </w:rPr>
      </w:pPr>
      <w:r>
        <w:rPr>
          <w:rFonts w:hint="eastAsia" w:ascii="宋体" w:hAnsi="宋体"/>
          <w:bCs/>
          <w:sz w:val="21"/>
          <w:szCs w:val="21"/>
        </w:rPr>
        <w:t xml:space="preserve">招标项目名称：                                        </w:t>
      </w:r>
    </w:p>
    <w:p w14:paraId="0077622E">
      <w:pPr>
        <w:tabs>
          <w:tab w:val="left" w:pos="4680"/>
        </w:tabs>
        <w:spacing w:line="240" w:lineRule="auto"/>
        <w:rPr>
          <w:rFonts w:ascii="宋体" w:hAnsi="宋体"/>
          <w:bCs/>
          <w:sz w:val="21"/>
          <w:szCs w:val="21"/>
        </w:rPr>
      </w:pPr>
      <w:r>
        <w:rPr>
          <w:rFonts w:hint="eastAsia" w:ascii="宋体" w:hAnsi="宋体"/>
          <w:bCs/>
          <w:sz w:val="21"/>
          <w:szCs w:val="21"/>
        </w:rPr>
        <w:t xml:space="preserve">招标项目编号：                         </w:t>
      </w:r>
    </w:p>
    <w:tbl>
      <w:tblPr>
        <w:tblStyle w:val="63"/>
        <w:tblW w:w="0" w:type="auto"/>
        <w:jc w:val="center"/>
        <w:tblLayout w:type="fixed"/>
        <w:tblCellMar>
          <w:top w:w="0" w:type="dxa"/>
          <w:left w:w="108" w:type="dxa"/>
          <w:bottom w:w="0" w:type="dxa"/>
          <w:right w:w="108" w:type="dxa"/>
        </w:tblCellMar>
      </w:tblPr>
      <w:tblGrid>
        <w:gridCol w:w="894"/>
        <w:gridCol w:w="3463"/>
        <w:gridCol w:w="3923"/>
        <w:gridCol w:w="1450"/>
      </w:tblGrid>
      <w:tr w14:paraId="1CD61B12">
        <w:tblPrEx>
          <w:tblCellMar>
            <w:top w:w="0" w:type="dxa"/>
            <w:left w:w="108" w:type="dxa"/>
            <w:bottom w:w="0" w:type="dxa"/>
            <w:right w:w="108" w:type="dxa"/>
          </w:tblCellMar>
        </w:tblPrEx>
        <w:trPr>
          <w:trHeight w:val="567"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14:paraId="0235F343">
            <w:pPr>
              <w:jc w:val="center"/>
              <w:rPr>
                <w:rFonts w:ascii="宋体" w:hAnsi="宋体" w:cs="宋体"/>
                <w:sz w:val="21"/>
                <w:szCs w:val="21"/>
              </w:rPr>
            </w:pPr>
            <w:r>
              <w:rPr>
                <w:rFonts w:hint="eastAsia" w:ascii="宋体" w:hAnsi="宋体" w:cs="宋体"/>
                <w:sz w:val="21"/>
                <w:szCs w:val="21"/>
              </w:rPr>
              <w:t>序号</w:t>
            </w:r>
          </w:p>
        </w:tc>
        <w:tc>
          <w:tcPr>
            <w:tcW w:w="3463" w:type="dxa"/>
            <w:tcBorders>
              <w:top w:val="single" w:color="auto" w:sz="4" w:space="0"/>
              <w:left w:val="single" w:color="auto" w:sz="4" w:space="0"/>
              <w:bottom w:val="single" w:color="auto" w:sz="4" w:space="0"/>
              <w:right w:val="single" w:color="auto" w:sz="4" w:space="0"/>
            </w:tcBorders>
            <w:vAlign w:val="center"/>
          </w:tcPr>
          <w:p w14:paraId="39C62009">
            <w:pPr>
              <w:jc w:val="center"/>
              <w:rPr>
                <w:rFonts w:ascii="宋体" w:hAnsi="宋体" w:cs="宋体"/>
                <w:sz w:val="21"/>
                <w:szCs w:val="21"/>
              </w:rPr>
            </w:pPr>
            <w:r>
              <w:rPr>
                <w:rFonts w:hint="eastAsia" w:ascii="宋体" w:hAnsi="宋体" w:cs="宋体"/>
                <w:sz w:val="21"/>
                <w:szCs w:val="21"/>
              </w:rPr>
              <w:t>投标人名称</w:t>
            </w:r>
          </w:p>
        </w:tc>
        <w:tc>
          <w:tcPr>
            <w:tcW w:w="3923" w:type="dxa"/>
            <w:tcBorders>
              <w:top w:val="single" w:color="auto" w:sz="4" w:space="0"/>
              <w:left w:val="single" w:color="auto" w:sz="4" w:space="0"/>
              <w:bottom w:val="single" w:color="auto" w:sz="4" w:space="0"/>
              <w:right w:val="single" w:color="auto" w:sz="4" w:space="0"/>
            </w:tcBorders>
            <w:vAlign w:val="center"/>
          </w:tcPr>
          <w:p w14:paraId="226F3AD0">
            <w:pPr>
              <w:jc w:val="center"/>
              <w:rPr>
                <w:rFonts w:ascii="宋体" w:hAnsi="宋体" w:cs="宋体"/>
                <w:sz w:val="21"/>
                <w:szCs w:val="21"/>
              </w:rPr>
            </w:pPr>
            <w:r>
              <w:rPr>
                <w:rFonts w:hint="eastAsia" w:ascii="宋体" w:hAnsi="宋体" w:cs="宋体"/>
                <w:sz w:val="21"/>
                <w:szCs w:val="21"/>
              </w:rPr>
              <w:t>情况汇总</w:t>
            </w:r>
          </w:p>
        </w:tc>
        <w:tc>
          <w:tcPr>
            <w:tcW w:w="1450" w:type="dxa"/>
            <w:tcBorders>
              <w:top w:val="single" w:color="auto" w:sz="4" w:space="0"/>
              <w:left w:val="single" w:color="auto" w:sz="4" w:space="0"/>
              <w:bottom w:val="single" w:color="auto" w:sz="4" w:space="0"/>
              <w:right w:val="single" w:color="auto" w:sz="4" w:space="0"/>
            </w:tcBorders>
            <w:vAlign w:val="center"/>
          </w:tcPr>
          <w:p w14:paraId="57DDA2D3">
            <w:pPr>
              <w:jc w:val="center"/>
              <w:rPr>
                <w:rFonts w:ascii="宋体" w:hAnsi="宋体" w:cs="宋体"/>
                <w:sz w:val="21"/>
                <w:szCs w:val="21"/>
              </w:rPr>
            </w:pPr>
            <w:r>
              <w:rPr>
                <w:rFonts w:hint="eastAsia" w:ascii="宋体" w:hAnsi="宋体" w:cs="宋体"/>
                <w:sz w:val="21"/>
                <w:szCs w:val="21"/>
              </w:rPr>
              <w:t>备注</w:t>
            </w:r>
          </w:p>
        </w:tc>
      </w:tr>
      <w:tr w14:paraId="6E183917">
        <w:tblPrEx>
          <w:tblCellMar>
            <w:top w:w="0" w:type="dxa"/>
            <w:left w:w="108" w:type="dxa"/>
            <w:bottom w:w="0" w:type="dxa"/>
            <w:right w:w="108" w:type="dxa"/>
          </w:tblCellMar>
        </w:tblPrEx>
        <w:trPr>
          <w:trHeight w:val="567"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14:paraId="0EB73FD5">
            <w:pPr>
              <w:keepNext/>
              <w:keepLines/>
              <w:spacing w:line="576" w:lineRule="auto"/>
              <w:jc w:val="center"/>
              <w:outlineLvl w:val="0"/>
              <w:rPr>
                <w:rFonts w:ascii="宋体" w:hAnsi="宋体" w:cs="宋体"/>
                <w:sz w:val="21"/>
                <w:szCs w:val="21"/>
              </w:rPr>
            </w:pPr>
          </w:p>
        </w:tc>
        <w:tc>
          <w:tcPr>
            <w:tcW w:w="3463" w:type="dxa"/>
            <w:tcBorders>
              <w:top w:val="single" w:color="auto" w:sz="4" w:space="0"/>
              <w:left w:val="single" w:color="auto" w:sz="4" w:space="0"/>
              <w:bottom w:val="single" w:color="auto" w:sz="4" w:space="0"/>
              <w:right w:val="single" w:color="auto" w:sz="4" w:space="0"/>
            </w:tcBorders>
            <w:vAlign w:val="center"/>
          </w:tcPr>
          <w:p w14:paraId="2A49D745">
            <w:pPr>
              <w:keepNext/>
              <w:keepLines/>
              <w:spacing w:line="576" w:lineRule="auto"/>
              <w:jc w:val="center"/>
              <w:outlineLvl w:val="0"/>
              <w:rPr>
                <w:rFonts w:ascii="宋体" w:hAnsi="宋体" w:cs="宋体"/>
                <w:sz w:val="21"/>
                <w:szCs w:val="21"/>
              </w:rPr>
            </w:pPr>
          </w:p>
        </w:tc>
        <w:tc>
          <w:tcPr>
            <w:tcW w:w="3923" w:type="dxa"/>
            <w:tcBorders>
              <w:top w:val="single" w:color="auto" w:sz="4" w:space="0"/>
              <w:left w:val="single" w:color="auto" w:sz="4" w:space="0"/>
              <w:bottom w:val="single" w:color="auto" w:sz="4" w:space="0"/>
              <w:right w:val="single" w:color="auto" w:sz="4" w:space="0"/>
            </w:tcBorders>
            <w:vAlign w:val="center"/>
          </w:tcPr>
          <w:p w14:paraId="60464D84">
            <w:pPr>
              <w:keepNext/>
              <w:keepLines/>
              <w:spacing w:line="576" w:lineRule="auto"/>
              <w:jc w:val="center"/>
              <w:outlineLvl w:val="0"/>
              <w:rPr>
                <w:rFonts w:ascii="宋体" w:hAnsi="宋体" w:cs="宋体"/>
                <w:sz w:val="21"/>
                <w:szCs w:val="21"/>
              </w:rPr>
            </w:pPr>
          </w:p>
        </w:tc>
        <w:tc>
          <w:tcPr>
            <w:tcW w:w="1450" w:type="dxa"/>
            <w:tcBorders>
              <w:top w:val="single" w:color="auto" w:sz="4" w:space="0"/>
              <w:left w:val="single" w:color="auto" w:sz="4" w:space="0"/>
              <w:bottom w:val="single" w:color="auto" w:sz="4" w:space="0"/>
              <w:right w:val="single" w:color="auto" w:sz="4" w:space="0"/>
            </w:tcBorders>
            <w:vAlign w:val="center"/>
          </w:tcPr>
          <w:p w14:paraId="3780A224">
            <w:pPr>
              <w:keepNext/>
              <w:keepLines/>
              <w:spacing w:line="576" w:lineRule="auto"/>
              <w:jc w:val="center"/>
              <w:outlineLvl w:val="0"/>
              <w:rPr>
                <w:rFonts w:ascii="宋体" w:hAnsi="宋体" w:cs="宋体"/>
                <w:sz w:val="21"/>
                <w:szCs w:val="21"/>
              </w:rPr>
            </w:pPr>
          </w:p>
        </w:tc>
      </w:tr>
      <w:tr w14:paraId="173E970F">
        <w:tblPrEx>
          <w:tblCellMar>
            <w:top w:w="0" w:type="dxa"/>
            <w:left w:w="108" w:type="dxa"/>
            <w:bottom w:w="0" w:type="dxa"/>
            <w:right w:w="108" w:type="dxa"/>
          </w:tblCellMar>
        </w:tblPrEx>
        <w:trPr>
          <w:trHeight w:val="567"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14:paraId="75DD5D7A">
            <w:pPr>
              <w:keepNext/>
              <w:keepLines/>
              <w:spacing w:line="576" w:lineRule="auto"/>
              <w:jc w:val="center"/>
              <w:outlineLvl w:val="0"/>
              <w:rPr>
                <w:rFonts w:ascii="宋体" w:hAnsi="宋体" w:cs="宋体"/>
                <w:sz w:val="21"/>
                <w:szCs w:val="21"/>
              </w:rPr>
            </w:pPr>
          </w:p>
        </w:tc>
        <w:tc>
          <w:tcPr>
            <w:tcW w:w="3463" w:type="dxa"/>
            <w:tcBorders>
              <w:top w:val="single" w:color="auto" w:sz="4" w:space="0"/>
              <w:left w:val="single" w:color="auto" w:sz="4" w:space="0"/>
              <w:bottom w:val="single" w:color="auto" w:sz="4" w:space="0"/>
              <w:right w:val="single" w:color="auto" w:sz="4" w:space="0"/>
            </w:tcBorders>
            <w:vAlign w:val="center"/>
          </w:tcPr>
          <w:p w14:paraId="1838AE79">
            <w:pPr>
              <w:keepNext/>
              <w:keepLines/>
              <w:spacing w:line="576" w:lineRule="auto"/>
              <w:jc w:val="center"/>
              <w:outlineLvl w:val="0"/>
              <w:rPr>
                <w:rFonts w:ascii="宋体" w:hAnsi="宋体" w:cs="宋体"/>
                <w:sz w:val="21"/>
                <w:szCs w:val="21"/>
              </w:rPr>
            </w:pPr>
          </w:p>
        </w:tc>
        <w:tc>
          <w:tcPr>
            <w:tcW w:w="3923" w:type="dxa"/>
            <w:tcBorders>
              <w:top w:val="single" w:color="auto" w:sz="4" w:space="0"/>
              <w:left w:val="single" w:color="auto" w:sz="4" w:space="0"/>
              <w:bottom w:val="single" w:color="auto" w:sz="4" w:space="0"/>
              <w:right w:val="single" w:color="auto" w:sz="4" w:space="0"/>
            </w:tcBorders>
            <w:vAlign w:val="center"/>
          </w:tcPr>
          <w:p w14:paraId="43107416">
            <w:pPr>
              <w:keepNext/>
              <w:keepLines/>
              <w:spacing w:line="576" w:lineRule="auto"/>
              <w:jc w:val="center"/>
              <w:outlineLvl w:val="0"/>
              <w:rPr>
                <w:rFonts w:ascii="宋体" w:hAnsi="宋体" w:cs="宋体"/>
                <w:sz w:val="21"/>
                <w:szCs w:val="21"/>
              </w:rPr>
            </w:pPr>
          </w:p>
        </w:tc>
        <w:tc>
          <w:tcPr>
            <w:tcW w:w="1450" w:type="dxa"/>
            <w:tcBorders>
              <w:top w:val="single" w:color="auto" w:sz="4" w:space="0"/>
              <w:left w:val="single" w:color="auto" w:sz="4" w:space="0"/>
              <w:bottom w:val="single" w:color="auto" w:sz="4" w:space="0"/>
              <w:right w:val="single" w:color="auto" w:sz="4" w:space="0"/>
            </w:tcBorders>
            <w:vAlign w:val="center"/>
          </w:tcPr>
          <w:p w14:paraId="220888A6">
            <w:pPr>
              <w:keepNext/>
              <w:keepLines/>
              <w:spacing w:line="576" w:lineRule="auto"/>
              <w:jc w:val="center"/>
              <w:outlineLvl w:val="0"/>
              <w:rPr>
                <w:rFonts w:ascii="宋体" w:hAnsi="宋体" w:cs="宋体"/>
                <w:sz w:val="21"/>
                <w:szCs w:val="21"/>
              </w:rPr>
            </w:pPr>
          </w:p>
        </w:tc>
      </w:tr>
      <w:tr w14:paraId="3C4A230A">
        <w:tblPrEx>
          <w:tblCellMar>
            <w:top w:w="0" w:type="dxa"/>
            <w:left w:w="108" w:type="dxa"/>
            <w:bottom w:w="0" w:type="dxa"/>
            <w:right w:w="108" w:type="dxa"/>
          </w:tblCellMar>
        </w:tblPrEx>
        <w:trPr>
          <w:trHeight w:val="567"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14:paraId="01526066">
            <w:pPr>
              <w:keepNext/>
              <w:keepLines/>
              <w:spacing w:line="576" w:lineRule="auto"/>
              <w:jc w:val="center"/>
              <w:outlineLvl w:val="0"/>
              <w:rPr>
                <w:rFonts w:ascii="宋体" w:hAnsi="宋体" w:cs="宋体"/>
                <w:sz w:val="21"/>
                <w:szCs w:val="21"/>
              </w:rPr>
            </w:pPr>
          </w:p>
        </w:tc>
        <w:tc>
          <w:tcPr>
            <w:tcW w:w="3463" w:type="dxa"/>
            <w:tcBorders>
              <w:top w:val="single" w:color="auto" w:sz="4" w:space="0"/>
              <w:left w:val="single" w:color="auto" w:sz="4" w:space="0"/>
              <w:bottom w:val="single" w:color="auto" w:sz="4" w:space="0"/>
              <w:right w:val="single" w:color="auto" w:sz="4" w:space="0"/>
            </w:tcBorders>
            <w:vAlign w:val="center"/>
          </w:tcPr>
          <w:p w14:paraId="7D86B99B">
            <w:pPr>
              <w:keepNext/>
              <w:keepLines/>
              <w:spacing w:line="576" w:lineRule="auto"/>
              <w:jc w:val="center"/>
              <w:outlineLvl w:val="0"/>
              <w:rPr>
                <w:rFonts w:ascii="宋体" w:hAnsi="宋体" w:cs="宋体"/>
                <w:sz w:val="21"/>
                <w:szCs w:val="21"/>
              </w:rPr>
            </w:pPr>
          </w:p>
        </w:tc>
        <w:tc>
          <w:tcPr>
            <w:tcW w:w="3923" w:type="dxa"/>
            <w:tcBorders>
              <w:top w:val="single" w:color="auto" w:sz="4" w:space="0"/>
              <w:left w:val="single" w:color="auto" w:sz="4" w:space="0"/>
              <w:bottom w:val="single" w:color="auto" w:sz="4" w:space="0"/>
              <w:right w:val="single" w:color="auto" w:sz="4" w:space="0"/>
            </w:tcBorders>
            <w:vAlign w:val="center"/>
          </w:tcPr>
          <w:p w14:paraId="3AEDDBD4">
            <w:pPr>
              <w:keepNext/>
              <w:keepLines/>
              <w:spacing w:line="576" w:lineRule="auto"/>
              <w:jc w:val="center"/>
              <w:outlineLvl w:val="0"/>
              <w:rPr>
                <w:rFonts w:ascii="宋体" w:hAnsi="宋体" w:cs="宋体"/>
                <w:sz w:val="21"/>
                <w:szCs w:val="21"/>
              </w:rPr>
            </w:pPr>
          </w:p>
        </w:tc>
        <w:tc>
          <w:tcPr>
            <w:tcW w:w="1450" w:type="dxa"/>
            <w:tcBorders>
              <w:top w:val="single" w:color="auto" w:sz="4" w:space="0"/>
              <w:left w:val="single" w:color="auto" w:sz="4" w:space="0"/>
              <w:bottom w:val="single" w:color="auto" w:sz="4" w:space="0"/>
              <w:right w:val="single" w:color="auto" w:sz="4" w:space="0"/>
            </w:tcBorders>
            <w:vAlign w:val="center"/>
          </w:tcPr>
          <w:p w14:paraId="608FC3FA">
            <w:pPr>
              <w:keepNext/>
              <w:keepLines/>
              <w:spacing w:line="576" w:lineRule="auto"/>
              <w:jc w:val="center"/>
              <w:outlineLvl w:val="0"/>
              <w:rPr>
                <w:rFonts w:ascii="宋体" w:hAnsi="宋体" w:cs="宋体"/>
                <w:sz w:val="21"/>
                <w:szCs w:val="21"/>
              </w:rPr>
            </w:pPr>
          </w:p>
        </w:tc>
      </w:tr>
      <w:tr w14:paraId="10C5A1E5">
        <w:tblPrEx>
          <w:tblCellMar>
            <w:top w:w="0" w:type="dxa"/>
            <w:left w:w="108" w:type="dxa"/>
            <w:bottom w:w="0" w:type="dxa"/>
            <w:right w:w="108" w:type="dxa"/>
          </w:tblCellMar>
        </w:tblPrEx>
        <w:trPr>
          <w:trHeight w:val="567"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14:paraId="2E8F7B6F">
            <w:pPr>
              <w:keepNext/>
              <w:keepLines/>
              <w:spacing w:line="576" w:lineRule="auto"/>
              <w:jc w:val="center"/>
              <w:outlineLvl w:val="0"/>
              <w:rPr>
                <w:rFonts w:ascii="宋体" w:hAnsi="宋体" w:cs="宋体"/>
                <w:sz w:val="21"/>
                <w:szCs w:val="21"/>
              </w:rPr>
            </w:pPr>
          </w:p>
        </w:tc>
        <w:tc>
          <w:tcPr>
            <w:tcW w:w="3463" w:type="dxa"/>
            <w:tcBorders>
              <w:top w:val="single" w:color="auto" w:sz="4" w:space="0"/>
              <w:left w:val="single" w:color="auto" w:sz="4" w:space="0"/>
              <w:bottom w:val="single" w:color="auto" w:sz="4" w:space="0"/>
              <w:right w:val="single" w:color="auto" w:sz="4" w:space="0"/>
            </w:tcBorders>
            <w:vAlign w:val="center"/>
          </w:tcPr>
          <w:p w14:paraId="7262101E">
            <w:pPr>
              <w:keepNext/>
              <w:keepLines/>
              <w:spacing w:line="576" w:lineRule="auto"/>
              <w:jc w:val="center"/>
              <w:outlineLvl w:val="0"/>
              <w:rPr>
                <w:rFonts w:ascii="宋体" w:hAnsi="宋体" w:cs="宋体"/>
                <w:sz w:val="21"/>
                <w:szCs w:val="21"/>
              </w:rPr>
            </w:pPr>
          </w:p>
        </w:tc>
        <w:tc>
          <w:tcPr>
            <w:tcW w:w="3923" w:type="dxa"/>
            <w:tcBorders>
              <w:top w:val="single" w:color="auto" w:sz="4" w:space="0"/>
              <w:left w:val="single" w:color="auto" w:sz="4" w:space="0"/>
              <w:bottom w:val="single" w:color="auto" w:sz="4" w:space="0"/>
              <w:right w:val="single" w:color="auto" w:sz="4" w:space="0"/>
            </w:tcBorders>
            <w:vAlign w:val="center"/>
          </w:tcPr>
          <w:p w14:paraId="636F738B">
            <w:pPr>
              <w:keepNext/>
              <w:keepLines/>
              <w:spacing w:line="576" w:lineRule="auto"/>
              <w:jc w:val="center"/>
              <w:outlineLvl w:val="0"/>
              <w:rPr>
                <w:rFonts w:ascii="宋体" w:hAnsi="宋体" w:cs="宋体"/>
                <w:sz w:val="21"/>
                <w:szCs w:val="21"/>
              </w:rPr>
            </w:pPr>
          </w:p>
        </w:tc>
        <w:tc>
          <w:tcPr>
            <w:tcW w:w="1450" w:type="dxa"/>
            <w:tcBorders>
              <w:top w:val="single" w:color="auto" w:sz="4" w:space="0"/>
              <w:left w:val="single" w:color="auto" w:sz="4" w:space="0"/>
              <w:bottom w:val="single" w:color="auto" w:sz="4" w:space="0"/>
              <w:right w:val="single" w:color="auto" w:sz="4" w:space="0"/>
            </w:tcBorders>
            <w:vAlign w:val="center"/>
          </w:tcPr>
          <w:p w14:paraId="15D249B5">
            <w:pPr>
              <w:keepNext/>
              <w:keepLines/>
              <w:spacing w:line="576" w:lineRule="auto"/>
              <w:jc w:val="center"/>
              <w:outlineLvl w:val="0"/>
              <w:rPr>
                <w:rFonts w:ascii="宋体" w:hAnsi="宋体" w:cs="宋体"/>
                <w:sz w:val="21"/>
                <w:szCs w:val="21"/>
              </w:rPr>
            </w:pPr>
          </w:p>
        </w:tc>
      </w:tr>
      <w:tr w14:paraId="3A0B4AB4">
        <w:tblPrEx>
          <w:tblCellMar>
            <w:top w:w="0" w:type="dxa"/>
            <w:left w:w="108" w:type="dxa"/>
            <w:bottom w:w="0" w:type="dxa"/>
            <w:right w:w="108" w:type="dxa"/>
          </w:tblCellMar>
        </w:tblPrEx>
        <w:trPr>
          <w:trHeight w:val="567"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14:paraId="2BC43C98">
            <w:pPr>
              <w:keepNext/>
              <w:keepLines/>
              <w:spacing w:line="576" w:lineRule="auto"/>
              <w:jc w:val="center"/>
              <w:outlineLvl w:val="0"/>
              <w:rPr>
                <w:rFonts w:ascii="宋体" w:hAnsi="宋体" w:cs="宋体"/>
                <w:sz w:val="21"/>
                <w:szCs w:val="21"/>
              </w:rPr>
            </w:pPr>
          </w:p>
        </w:tc>
        <w:tc>
          <w:tcPr>
            <w:tcW w:w="3463" w:type="dxa"/>
            <w:tcBorders>
              <w:top w:val="single" w:color="auto" w:sz="4" w:space="0"/>
              <w:left w:val="single" w:color="auto" w:sz="4" w:space="0"/>
              <w:bottom w:val="single" w:color="auto" w:sz="4" w:space="0"/>
              <w:right w:val="single" w:color="auto" w:sz="4" w:space="0"/>
            </w:tcBorders>
            <w:vAlign w:val="center"/>
          </w:tcPr>
          <w:p w14:paraId="5B75917D">
            <w:pPr>
              <w:keepNext/>
              <w:keepLines/>
              <w:spacing w:line="576" w:lineRule="auto"/>
              <w:jc w:val="center"/>
              <w:outlineLvl w:val="0"/>
              <w:rPr>
                <w:rFonts w:ascii="宋体" w:hAnsi="宋体" w:cs="宋体"/>
                <w:sz w:val="21"/>
                <w:szCs w:val="21"/>
              </w:rPr>
            </w:pPr>
          </w:p>
        </w:tc>
        <w:tc>
          <w:tcPr>
            <w:tcW w:w="3923" w:type="dxa"/>
            <w:tcBorders>
              <w:top w:val="single" w:color="auto" w:sz="4" w:space="0"/>
              <w:left w:val="single" w:color="auto" w:sz="4" w:space="0"/>
              <w:bottom w:val="single" w:color="auto" w:sz="4" w:space="0"/>
              <w:right w:val="single" w:color="auto" w:sz="4" w:space="0"/>
            </w:tcBorders>
            <w:vAlign w:val="center"/>
          </w:tcPr>
          <w:p w14:paraId="511E6547">
            <w:pPr>
              <w:keepNext/>
              <w:keepLines/>
              <w:spacing w:line="576" w:lineRule="auto"/>
              <w:jc w:val="center"/>
              <w:outlineLvl w:val="0"/>
              <w:rPr>
                <w:rFonts w:ascii="宋体" w:hAnsi="宋体" w:cs="宋体"/>
                <w:sz w:val="21"/>
                <w:szCs w:val="21"/>
              </w:rPr>
            </w:pPr>
          </w:p>
        </w:tc>
        <w:tc>
          <w:tcPr>
            <w:tcW w:w="1450" w:type="dxa"/>
            <w:tcBorders>
              <w:top w:val="single" w:color="auto" w:sz="4" w:space="0"/>
              <w:left w:val="single" w:color="auto" w:sz="4" w:space="0"/>
              <w:bottom w:val="single" w:color="auto" w:sz="4" w:space="0"/>
              <w:right w:val="single" w:color="auto" w:sz="4" w:space="0"/>
            </w:tcBorders>
            <w:vAlign w:val="center"/>
          </w:tcPr>
          <w:p w14:paraId="2F2B009E">
            <w:pPr>
              <w:keepNext/>
              <w:keepLines/>
              <w:spacing w:line="576" w:lineRule="auto"/>
              <w:jc w:val="center"/>
              <w:outlineLvl w:val="0"/>
              <w:rPr>
                <w:rFonts w:ascii="宋体" w:hAnsi="宋体" w:cs="宋体"/>
                <w:sz w:val="21"/>
                <w:szCs w:val="21"/>
              </w:rPr>
            </w:pPr>
          </w:p>
        </w:tc>
      </w:tr>
      <w:tr w14:paraId="108580B7">
        <w:tblPrEx>
          <w:tblCellMar>
            <w:top w:w="0" w:type="dxa"/>
            <w:left w:w="108" w:type="dxa"/>
            <w:bottom w:w="0" w:type="dxa"/>
            <w:right w:w="108" w:type="dxa"/>
          </w:tblCellMar>
        </w:tblPrEx>
        <w:trPr>
          <w:trHeight w:val="567" w:hRule="atLeast"/>
          <w:jc w:val="center"/>
        </w:trPr>
        <w:tc>
          <w:tcPr>
            <w:tcW w:w="894" w:type="dxa"/>
            <w:tcBorders>
              <w:top w:val="single" w:color="auto" w:sz="4" w:space="0"/>
              <w:left w:val="single" w:color="auto" w:sz="4" w:space="0"/>
              <w:bottom w:val="single" w:color="auto" w:sz="4" w:space="0"/>
              <w:right w:val="single" w:color="auto" w:sz="4" w:space="0"/>
            </w:tcBorders>
            <w:vAlign w:val="center"/>
          </w:tcPr>
          <w:p w14:paraId="1C32D655">
            <w:pPr>
              <w:keepNext/>
              <w:keepLines/>
              <w:spacing w:line="576" w:lineRule="auto"/>
              <w:jc w:val="center"/>
              <w:outlineLvl w:val="0"/>
              <w:rPr>
                <w:rFonts w:ascii="宋体" w:hAnsi="宋体" w:cs="宋体"/>
                <w:sz w:val="21"/>
                <w:szCs w:val="21"/>
              </w:rPr>
            </w:pPr>
          </w:p>
        </w:tc>
        <w:tc>
          <w:tcPr>
            <w:tcW w:w="3463" w:type="dxa"/>
            <w:tcBorders>
              <w:top w:val="single" w:color="auto" w:sz="4" w:space="0"/>
              <w:left w:val="single" w:color="auto" w:sz="4" w:space="0"/>
              <w:bottom w:val="single" w:color="auto" w:sz="4" w:space="0"/>
              <w:right w:val="single" w:color="auto" w:sz="4" w:space="0"/>
            </w:tcBorders>
            <w:vAlign w:val="center"/>
          </w:tcPr>
          <w:p w14:paraId="452DF86C">
            <w:pPr>
              <w:keepNext/>
              <w:keepLines/>
              <w:spacing w:line="576" w:lineRule="auto"/>
              <w:jc w:val="center"/>
              <w:outlineLvl w:val="0"/>
              <w:rPr>
                <w:rFonts w:ascii="宋体" w:hAnsi="宋体" w:cs="宋体"/>
                <w:sz w:val="21"/>
                <w:szCs w:val="21"/>
              </w:rPr>
            </w:pPr>
          </w:p>
        </w:tc>
        <w:tc>
          <w:tcPr>
            <w:tcW w:w="3923" w:type="dxa"/>
            <w:tcBorders>
              <w:top w:val="single" w:color="auto" w:sz="4" w:space="0"/>
              <w:left w:val="single" w:color="auto" w:sz="4" w:space="0"/>
              <w:bottom w:val="single" w:color="auto" w:sz="4" w:space="0"/>
              <w:right w:val="single" w:color="auto" w:sz="4" w:space="0"/>
            </w:tcBorders>
            <w:vAlign w:val="center"/>
          </w:tcPr>
          <w:p w14:paraId="2AAA6C85">
            <w:pPr>
              <w:keepNext/>
              <w:keepLines/>
              <w:spacing w:line="576" w:lineRule="auto"/>
              <w:jc w:val="center"/>
              <w:outlineLvl w:val="0"/>
              <w:rPr>
                <w:rFonts w:ascii="宋体" w:hAnsi="宋体" w:cs="宋体"/>
                <w:sz w:val="21"/>
                <w:szCs w:val="21"/>
              </w:rPr>
            </w:pPr>
          </w:p>
        </w:tc>
        <w:tc>
          <w:tcPr>
            <w:tcW w:w="1450" w:type="dxa"/>
            <w:tcBorders>
              <w:top w:val="single" w:color="auto" w:sz="4" w:space="0"/>
              <w:left w:val="single" w:color="auto" w:sz="4" w:space="0"/>
              <w:bottom w:val="single" w:color="auto" w:sz="4" w:space="0"/>
              <w:right w:val="single" w:color="auto" w:sz="4" w:space="0"/>
            </w:tcBorders>
            <w:vAlign w:val="center"/>
          </w:tcPr>
          <w:p w14:paraId="5C3AB146">
            <w:pPr>
              <w:keepNext/>
              <w:keepLines/>
              <w:spacing w:line="576" w:lineRule="auto"/>
              <w:jc w:val="center"/>
              <w:outlineLvl w:val="0"/>
              <w:rPr>
                <w:rFonts w:ascii="宋体" w:hAnsi="宋体" w:cs="宋体"/>
                <w:sz w:val="21"/>
                <w:szCs w:val="21"/>
              </w:rPr>
            </w:pPr>
          </w:p>
        </w:tc>
      </w:tr>
      <w:tr w14:paraId="63031437">
        <w:tblPrEx>
          <w:tblCellMar>
            <w:top w:w="0" w:type="dxa"/>
            <w:left w:w="108" w:type="dxa"/>
            <w:bottom w:w="0" w:type="dxa"/>
            <w:right w:w="108" w:type="dxa"/>
          </w:tblCellMar>
        </w:tblPrEx>
        <w:trPr>
          <w:trHeight w:val="500" w:hRule="atLeast"/>
          <w:jc w:val="center"/>
        </w:trPr>
        <w:tc>
          <w:tcPr>
            <w:tcW w:w="9730" w:type="dxa"/>
            <w:gridSpan w:val="4"/>
            <w:tcBorders>
              <w:top w:val="single" w:color="auto" w:sz="4" w:space="0"/>
              <w:left w:val="single" w:color="auto" w:sz="4" w:space="0"/>
              <w:bottom w:val="single" w:color="auto" w:sz="4" w:space="0"/>
              <w:right w:val="single" w:color="auto" w:sz="4" w:space="0"/>
            </w:tcBorders>
            <w:vAlign w:val="center"/>
          </w:tcPr>
          <w:p w14:paraId="2DE61A00">
            <w:pPr>
              <w:rPr>
                <w:rFonts w:ascii="宋体" w:hAnsi="宋体" w:cs="宋体"/>
                <w:sz w:val="21"/>
                <w:szCs w:val="21"/>
              </w:rPr>
            </w:pPr>
            <w:r>
              <w:rPr>
                <w:rFonts w:hint="eastAsia" w:ascii="宋体" w:hAnsi="宋体" w:cs="宋体"/>
                <w:sz w:val="21"/>
                <w:szCs w:val="21"/>
              </w:rPr>
              <w:t>评标委员会全体成员签名：</w:t>
            </w:r>
          </w:p>
          <w:p w14:paraId="2E60E66A">
            <w:pPr>
              <w:rPr>
                <w:rFonts w:ascii="宋体" w:hAnsi="宋体" w:cs="宋体"/>
                <w:sz w:val="21"/>
                <w:szCs w:val="21"/>
              </w:rPr>
            </w:pPr>
          </w:p>
          <w:p w14:paraId="21E61F63">
            <w:pPr>
              <w:jc w:val="right"/>
              <w:rPr>
                <w:rFonts w:ascii="宋体" w:hAnsi="宋体" w:cs="宋体"/>
                <w:sz w:val="21"/>
                <w:szCs w:val="21"/>
              </w:rPr>
            </w:pPr>
            <w:r>
              <w:rPr>
                <w:rFonts w:ascii="宋体" w:hAnsi="宋体" w:cs="宋体"/>
                <w:sz w:val="21"/>
                <w:szCs w:val="21"/>
              </w:rPr>
              <w:t>年</w:t>
            </w:r>
            <w:r>
              <w:rPr>
                <w:rFonts w:hint="eastAsia" w:ascii="宋体" w:hAnsi="宋体" w:cs="宋体"/>
                <w:sz w:val="21"/>
                <w:szCs w:val="21"/>
              </w:rPr>
              <w:t xml:space="preserve">   </w:t>
            </w:r>
            <w:r>
              <w:rPr>
                <w:rFonts w:ascii="宋体" w:hAnsi="宋体" w:cs="宋体"/>
                <w:sz w:val="21"/>
                <w:szCs w:val="21"/>
              </w:rPr>
              <w:t>月</w:t>
            </w:r>
            <w:r>
              <w:rPr>
                <w:rFonts w:hint="eastAsia" w:ascii="宋体" w:hAnsi="宋体" w:cs="宋体"/>
                <w:sz w:val="21"/>
                <w:szCs w:val="21"/>
              </w:rPr>
              <w:t xml:space="preserve">   </w:t>
            </w:r>
            <w:r>
              <w:rPr>
                <w:rFonts w:ascii="宋体" w:hAnsi="宋体" w:cs="宋体"/>
                <w:sz w:val="21"/>
                <w:szCs w:val="21"/>
              </w:rPr>
              <w:t>日</w:t>
            </w:r>
          </w:p>
        </w:tc>
      </w:tr>
    </w:tbl>
    <w:p w14:paraId="7188B0C4">
      <w:pPr>
        <w:widowControl/>
        <w:snapToGrid w:val="0"/>
        <w:spacing w:before="120" w:beforeLines="50" w:after="240" w:afterLines="100" w:line="240" w:lineRule="auto"/>
        <w:jc w:val="left"/>
        <w:rPr>
          <w:rFonts w:ascii="宋体" w:hAnsi="宋体"/>
          <w:b/>
        </w:rPr>
      </w:pPr>
      <w:r>
        <w:rPr>
          <w:rFonts w:hint="eastAsia" w:ascii="宋体" w:hAnsi="宋体" w:cs="宋体"/>
          <w:sz w:val="21"/>
          <w:szCs w:val="21"/>
        </w:rPr>
        <w:br w:type="page"/>
      </w:r>
      <w:r>
        <w:rPr>
          <w:rFonts w:hint="eastAsia" w:ascii="宋体" w:hAnsi="宋体"/>
          <w:b/>
        </w:rPr>
        <w:t>附件3-1：详细评审标准及计分表：</w:t>
      </w:r>
    </w:p>
    <w:p w14:paraId="4B6E1A38">
      <w:pPr>
        <w:jc w:val="center"/>
        <w:rPr>
          <w:rFonts w:ascii="宋体" w:hAnsi="宋体" w:cs="宋体"/>
          <w:b/>
          <w:sz w:val="30"/>
        </w:rPr>
      </w:pPr>
      <w:r>
        <w:rPr>
          <w:rFonts w:hint="eastAsia" w:ascii="宋体" w:hAnsi="宋体" w:cs="宋体"/>
          <w:b/>
          <w:sz w:val="30"/>
        </w:rPr>
        <w:t>详细评审标准及计分表</w:t>
      </w:r>
    </w:p>
    <w:p w14:paraId="100B20A2">
      <w:pPr>
        <w:tabs>
          <w:tab w:val="left" w:pos="4680"/>
        </w:tabs>
        <w:snapToGrid w:val="0"/>
        <w:spacing w:line="240" w:lineRule="auto"/>
        <w:rPr>
          <w:rFonts w:ascii="宋体" w:hAnsi="宋体"/>
          <w:bCs/>
          <w:sz w:val="21"/>
          <w:szCs w:val="21"/>
        </w:rPr>
      </w:pPr>
      <w:r>
        <w:rPr>
          <w:rFonts w:hint="eastAsia" w:ascii="宋体" w:hAnsi="宋体"/>
          <w:bCs/>
          <w:sz w:val="21"/>
          <w:szCs w:val="21"/>
        </w:rPr>
        <w:t xml:space="preserve">招标项目名称：                           </w:t>
      </w:r>
      <w:r>
        <w:rPr>
          <w:rFonts w:ascii="宋体" w:hAnsi="宋体"/>
          <w:bCs/>
          <w:sz w:val="21"/>
          <w:szCs w:val="21"/>
        </w:rPr>
        <w:t xml:space="preserve">                    </w:t>
      </w:r>
    </w:p>
    <w:p w14:paraId="21502729">
      <w:pPr>
        <w:tabs>
          <w:tab w:val="left" w:pos="4680"/>
        </w:tabs>
        <w:snapToGrid w:val="0"/>
        <w:spacing w:line="240" w:lineRule="auto"/>
        <w:rPr>
          <w:rFonts w:ascii="宋体" w:hAnsi="宋体"/>
          <w:b/>
          <w:bCs/>
          <w:sz w:val="21"/>
          <w:szCs w:val="21"/>
        </w:rPr>
      </w:pPr>
      <w:r>
        <w:rPr>
          <w:rFonts w:hint="eastAsia" w:ascii="宋体" w:hAnsi="宋体"/>
          <w:bCs/>
          <w:sz w:val="21"/>
          <w:szCs w:val="21"/>
        </w:rPr>
        <w:t xml:space="preserve">招标项目编号：                           </w:t>
      </w:r>
      <w:r>
        <w:rPr>
          <w:rFonts w:ascii="宋体" w:hAnsi="宋体"/>
          <w:bCs/>
          <w:sz w:val="21"/>
          <w:szCs w:val="21"/>
        </w:rPr>
        <w:t xml:space="preserve">                   </w:t>
      </w:r>
    </w:p>
    <w:tbl>
      <w:tblPr>
        <w:tblStyle w:val="63"/>
        <w:tblW w:w="10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106"/>
        <w:gridCol w:w="6642"/>
        <w:gridCol w:w="651"/>
        <w:gridCol w:w="682"/>
        <w:gridCol w:w="682"/>
        <w:gridCol w:w="423"/>
      </w:tblGrid>
      <w:tr w14:paraId="33A3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55" w:type="dxa"/>
            <w:gridSpan w:val="7"/>
            <w:vAlign w:val="center"/>
          </w:tcPr>
          <w:p w14:paraId="266F5404">
            <w:pPr>
              <w:widowControl/>
              <w:snapToGrid w:val="0"/>
              <w:spacing w:line="240" w:lineRule="auto"/>
              <w:jc w:val="left"/>
              <w:rPr>
                <w:rFonts w:ascii="宋体" w:hAnsi="宋体" w:cs="宋体"/>
                <w:kern w:val="0"/>
                <w:sz w:val="21"/>
                <w:szCs w:val="21"/>
              </w:rPr>
            </w:pPr>
            <w:r>
              <w:rPr>
                <w:rFonts w:hint="eastAsia" w:ascii="宋体" w:hAnsi="宋体"/>
                <w:b/>
                <w:bCs/>
                <w:sz w:val="21"/>
                <w:szCs w:val="21"/>
              </w:rPr>
              <w:t>（一）报价部分</w:t>
            </w:r>
          </w:p>
        </w:tc>
      </w:tr>
      <w:tr w14:paraId="7FD0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Merge w:val="restart"/>
            <w:vAlign w:val="center"/>
          </w:tcPr>
          <w:p w14:paraId="16A683F0">
            <w:pPr>
              <w:widowControl/>
              <w:snapToGrid w:val="0"/>
              <w:spacing w:line="240" w:lineRule="auto"/>
              <w:jc w:val="center"/>
              <w:rPr>
                <w:rFonts w:ascii="宋体" w:hAnsi="宋体" w:cs="宋体"/>
                <w:kern w:val="0"/>
                <w:sz w:val="21"/>
                <w:szCs w:val="21"/>
              </w:rPr>
            </w:pPr>
            <w:r>
              <w:rPr>
                <w:rFonts w:ascii="宋体" w:hAnsi="宋体"/>
                <w:b/>
                <w:bCs/>
                <w:szCs w:val="21"/>
              </w:rPr>
              <w:br w:type="page"/>
            </w:r>
            <w:r>
              <w:rPr>
                <w:rFonts w:hint="eastAsia" w:ascii="宋体" w:hAnsi="宋体" w:cs="宋体"/>
                <w:kern w:val="0"/>
                <w:sz w:val="21"/>
                <w:szCs w:val="21"/>
              </w:rPr>
              <w:t>序号</w:t>
            </w:r>
          </w:p>
        </w:tc>
        <w:tc>
          <w:tcPr>
            <w:tcW w:w="1106" w:type="dxa"/>
            <w:vMerge w:val="restart"/>
            <w:tcMar>
              <w:left w:w="28" w:type="dxa"/>
              <w:right w:w="28" w:type="dxa"/>
            </w:tcMar>
            <w:vAlign w:val="center"/>
          </w:tcPr>
          <w:p w14:paraId="3B963752">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评分项目</w:t>
            </w:r>
          </w:p>
        </w:tc>
        <w:tc>
          <w:tcPr>
            <w:tcW w:w="6642" w:type="dxa"/>
            <w:vMerge w:val="restart"/>
            <w:vAlign w:val="center"/>
          </w:tcPr>
          <w:p w14:paraId="3E71E812">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评分标准</w:t>
            </w:r>
          </w:p>
        </w:tc>
        <w:tc>
          <w:tcPr>
            <w:tcW w:w="651" w:type="dxa"/>
            <w:vMerge w:val="restart"/>
            <w:vAlign w:val="center"/>
          </w:tcPr>
          <w:p w14:paraId="0783F80F">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标准分</w:t>
            </w:r>
          </w:p>
          <w:p w14:paraId="11566643">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（分）</w:t>
            </w:r>
          </w:p>
        </w:tc>
        <w:tc>
          <w:tcPr>
            <w:tcW w:w="1787" w:type="dxa"/>
            <w:gridSpan w:val="3"/>
            <w:vAlign w:val="center"/>
          </w:tcPr>
          <w:p w14:paraId="29C7696B">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投标人名称</w:t>
            </w:r>
          </w:p>
          <w:p w14:paraId="50CCD844">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及评审结论</w:t>
            </w:r>
          </w:p>
        </w:tc>
      </w:tr>
      <w:tr w14:paraId="62CF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9" w:type="dxa"/>
            <w:vMerge w:val="continue"/>
            <w:vAlign w:val="center"/>
          </w:tcPr>
          <w:p w14:paraId="514156CD">
            <w:pPr>
              <w:widowControl/>
              <w:snapToGrid w:val="0"/>
              <w:spacing w:line="240" w:lineRule="auto"/>
              <w:jc w:val="center"/>
              <w:rPr>
                <w:rFonts w:ascii="宋体" w:hAnsi="宋体" w:cs="宋体"/>
                <w:kern w:val="0"/>
                <w:sz w:val="21"/>
                <w:szCs w:val="21"/>
              </w:rPr>
            </w:pPr>
          </w:p>
        </w:tc>
        <w:tc>
          <w:tcPr>
            <w:tcW w:w="1106" w:type="dxa"/>
            <w:vMerge w:val="continue"/>
            <w:tcMar>
              <w:left w:w="28" w:type="dxa"/>
              <w:right w:w="28" w:type="dxa"/>
            </w:tcMar>
            <w:vAlign w:val="center"/>
          </w:tcPr>
          <w:p w14:paraId="1A178131">
            <w:pPr>
              <w:widowControl/>
              <w:snapToGrid w:val="0"/>
              <w:spacing w:line="240" w:lineRule="auto"/>
              <w:jc w:val="center"/>
              <w:rPr>
                <w:rFonts w:ascii="宋体" w:hAnsi="宋体" w:cs="宋体"/>
                <w:kern w:val="0"/>
                <w:sz w:val="21"/>
                <w:szCs w:val="21"/>
              </w:rPr>
            </w:pPr>
          </w:p>
        </w:tc>
        <w:tc>
          <w:tcPr>
            <w:tcW w:w="6642" w:type="dxa"/>
            <w:vMerge w:val="continue"/>
            <w:vAlign w:val="center"/>
          </w:tcPr>
          <w:p w14:paraId="23DB6966">
            <w:pPr>
              <w:widowControl/>
              <w:snapToGrid w:val="0"/>
              <w:spacing w:line="240" w:lineRule="auto"/>
              <w:jc w:val="center"/>
              <w:rPr>
                <w:rFonts w:ascii="宋体" w:hAnsi="宋体" w:cs="宋体"/>
                <w:kern w:val="0"/>
                <w:sz w:val="21"/>
                <w:szCs w:val="21"/>
              </w:rPr>
            </w:pPr>
          </w:p>
        </w:tc>
        <w:tc>
          <w:tcPr>
            <w:tcW w:w="651" w:type="dxa"/>
            <w:vMerge w:val="continue"/>
          </w:tcPr>
          <w:p w14:paraId="238C8C84">
            <w:pPr>
              <w:spacing w:line="240" w:lineRule="auto"/>
              <w:jc w:val="center"/>
              <w:rPr>
                <w:rFonts w:ascii="宋体" w:hAnsi="宋体" w:cs="宋体"/>
                <w:kern w:val="0"/>
                <w:sz w:val="21"/>
                <w:szCs w:val="21"/>
              </w:rPr>
            </w:pPr>
          </w:p>
        </w:tc>
        <w:tc>
          <w:tcPr>
            <w:tcW w:w="682" w:type="dxa"/>
            <w:vAlign w:val="center"/>
          </w:tcPr>
          <w:p w14:paraId="7E02B228">
            <w:pPr>
              <w:spacing w:line="240" w:lineRule="auto"/>
              <w:jc w:val="center"/>
              <w:rPr>
                <w:rFonts w:ascii="宋体" w:hAnsi="宋体" w:cs="宋体"/>
                <w:kern w:val="0"/>
                <w:sz w:val="21"/>
                <w:szCs w:val="21"/>
              </w:rPr>
            </w:pPr>
            <w:r>
              <w:rPr>
                <w:rFonts w:hint="eastAsia" w:ascii="宋体" w:hAnsi="宋体" w:cs="宋体"/>
                <w:kern w:val="0"/>
                <w:sz w:val="21"/>
                <w:szCs w:val="21"/>
              </w:rPr>
              <w:t>投标人</w:t>
            </w:r>
          </w:p>
        </w:tc>
        <w:tc>
          <w:tcPr>
            <w:tcW w:w="682" w:type="dxa"/>
            <w:vAlign w:val="center"/>
          </w:tcPr>
          <w:p w14:paraId="3789C7EF">
            <w:pPr>
              <w:spacing w:line="240" w:lineRule="auto"/>
              <w:jc w:val="center"/>
              <w:rPr>
                <w:rFonts w:ascii="宋体" w:hAnsi="宋体" w:cs="宋体"/>
                <w:kern w:val="0"/>
                <w:sz w:val="21"/>
                <w:szCs w:val="21"/>
              </w:rPr>
            </w:pPr>
            <w:r>
              <w:rPr>
                <w:rFonts w:hint="eastAsia" w:ascii="宋体" w:hAnsi="宋体" w:cs="宋体"/>
                <w:kern w:val="0"/>
                <w:sz w:val="21"/>
                <w:szCs w:val="21"/>
              </w:rPr>
              <w:t>投标人2</w:t>
            </w:r>
          </w:p>
        </w:tc>
        <w:tc>
          <w:tcPr>
            <w:tcW w:w="423" w:type="dxa"/>
            <w:vAlign w:val="center"/>
          </w:tcPr>
          <w:p w14:paraId="79EBB8DF">
            <w:pPr>
              <w:spacing w:line="240" w:lineRule="auto"/>
              <w:jc w:val="center"/>
              <w:rPr>
                <w:rFonts w:ascii="宋体" w:hAnsi="宋体" w:cs="宋体"/>
                <w:kern w:val="0"/>
                <w:sz w:val="21"/>
                <w:szCs w:val="21"/>
              </w:rPr>
            </w:pPr>
            <w:r>
              <w:rPr>
                <w:rFonts w:ascii="宋体" w:hAnsi="宋体" w:cs="宋体"/>
                <w:kern w:val="0"/>
                <w:sz w:val="21"/>
                <w:szCs w:val="21"/>
              </w:rPr>
              <w:t>……</w:t>
            </w:r>
          </w:p>
        </w:tc>
      </w:tr>
      <w:tr w14:paraId="5114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jc w:val="center"/>
        </w:trPr>
        <w:tc>
          <w:tcPr>
            <w:tcW w:w="469" w:type="dxa"/>
            <w:vAlign w:val="center"/>
          </w:tcPr>
          <w:p w14:paraId="6E72D65D">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w:t>
            </w:r>
          </w:p>
        </w:tc>
        <w:tc>
          <w:tcPr>
            <w:tcW w:w="1106" w:type="dxa"/>
            <w:tcMar>
              <w:left w:w="28" w:type="dxa"/>
              <w:right w:w="28" w:type="dxa"/>
            </w:tcMar>
            <w:vAlign w:val="center"/>
          </w:tcPr>
          <w:p w14:paraId="363413FE">
            <w:pPr>
              <w:snapToGrid w:val="0"/>
              <w:spacing w:line="240" w:lineRule="auto"/>
              <w:rPr>
                <w:rFonts w:ascii="宋体" w:hAnsi="宋体"/>
                <w:sz w:val="21"/>
                <w:szCs w:val="21"/>
              </w:rPr>
            </w:pPr>
            <w:r>
              <w:rPr>
                <w:rFonts w:hint="eastAsia" w:ascii="宋体" w:hAnsi="宋体"/>
                <w:sz w:val="21"/>
                <w:szCs w:val="21"/>
              </w:rPr>
              <w:t>投标报价</w:t>
            </w:r>
          </w:p>
          <w:p w14:paraId="7DD5325C">
            <w:pPr>
              <w:widowControl/>
              <w:snapToGrid w:val="0"/>
              <w:spacing w:line="240" w:lineRule="auto"/>
              <w:jc w:val="left"/>
              <w:rPr>
                <w:rFonts w:ascii="宋体" w:hAnsi="宋体" w:cs="宋体"/>
                <w:kern w:val="0"/>
                <w:sz w:val="21"/>
                <w:szCs w:val="21"/>
              </w:rPr>
            </w:pPr>
          </w:p>
        </w:tc>
        <w:tc>
          <w:tcPr>
            <w:tcW w:w="6642" w:type="dxa"/>
            <w:vAlign w:val="center"/>
          </w:tcPr>
          <w:p w14:paraId="7EBD85BC">
            <w:pPr>
              <w:widowControl/>
              <w:snapToGrid w:val="0"/>
              <w:spacing w:line="240" w:lineRule="auto"/>
              <w:jc w:val="left"/>
              <w:rPr>
                <w:rFonts w:ascii="宋体" w:hAnsi="宋体"/>
                <w:sz w:val="21"/>
                <w:szCs w:val="21"/>
              </w:rPr>
            </w:pPr>
            <w:r>
              <w:rPr>
                <w:rFonts w:hint="eastAsia" w:ascii="宋体" w:hAnsi="宋体"/>
                <w:sz w:val="21"/>
                <w:szCs w:val="21"/>
              </w:rPr>
              <w:t>1.参与评审的报价为经过算术性错误修正的报价：</w:t>
            </w:r>
          </w:p>
          <w:p w14:paraId="78C6B992">
            <w:pPr>
              <w:widowControl/>
              <w:snapToGrid w:val="0"/>
              <w:spacing w:line="240" w:lineRule="auto"/>
              <w:jc w:val="left"/>
              <w:rPr>
                <w:rFonts w:ascii="宋体" w:hAnsi="宋体"/>
                <w:sz w:val="21"/>
                <w:szCs w:val="21"/>
              </w:rPr>
            </w:pPr>
            <w:r>
              <w:rPr>
                <w:rFonts w:hint="eastAsia" w:ascii="宋体" w:hAnsi="宋体"/>
                <w:sz w:val="21"/>
                <w:szCs w:val="21"/>
              </w:rPr>
              <w:t>2</w:t>
            </w:r>
            <w:r>
              <w:rPr>
                <w:rFonts w:ascii="宋体" w:hAnsi="宋体"/>
                <w:sz w:val="21"/>
                <w:szCs w:val="21"/>
              </w:rPr>
              <w:t>.评标基准价：</w:t>
            </w:r>
          </w:p>
          <w:p w14:paraId="029F2165">
            <w:pPr>
              <w:widowControl/>
              <w:snapToGrid w:val="0"/>
              <w:spacing w:line="240" w:lineRule="auto"/>
              <w:jc w:val="left"/>
              <w:rPr>
                <w:rFonts w:ascii="宋体" w:hAnsi="宋体"/>
                <w:sz w:val="21"/>
                <w:szCs w:val="21"/>
              </w:rPr>
            </w:pPr>
            <w:r>
              <w:rPr>
                <w:rFonts w:hint="eastAsia" w:ascii="宋体" w:hAnsi="宋体"/>
                <w:sz w:val="21"/>
                <w:szCs w:val="21"/>
              </w:rPr>
              <w:t>(1)</w:t>
            </w:r>
            <w:r>
              <w:rPr>
                <w:rFonts w:ascii="宋体" w:hAnsi="宋体"/>
                <w:sz w:val="21"/>
                <w:szCs w:val="21"/>
              </w:rPr>
              <w:t>当有效投标人</w:t>
            </w:r>
            <w:r>
              <w:rPr>
                <w:rFonts w:hint="eastAsia" w:ascii="宋体" w:hAnsi="宋体"/>
                <w:sz w:val="21"/>
                <w:szCs w:val="21"/>
              </w:rPr>
              <w:t>数量</w:t>
            </w:r>
            <w:r>
              <w:rPr>
                <w:rFonts w:ascii="宋体" w:hAnsi="宋体"/>
                <w:sz w:val="21"/>
                <w:szCs w:val="21"/>
              </w:rPr>
              <w:t>≥</w:t>
            </w:r>
            <w:r>
              <w:rPr>
                <w:rFonts w:hint="eastAsia" w:ascii="宋体" w:hAnsi="宋体"/>
                <w:sz w:val="21"/>
                <w:szCs w:val="21"/>
              </w:rPr>
              <w:t>7时，扣除1</w:t>
            </w:r>
            <w:r>
              <w:rPr>
                <w:rFonts w:ascii="宋体" w:hAnsi="宋体"/>
                <w:sz w:val="21"/>
                <w:szCs w:val="21"/>
              </w:rPr>
              <w:t>个最高有效投标报价和</w:t>
            </w:r>
            <w:r>
              <w:rPr>
                <w:rFonts w:hint="eastAsia" w:ascii="宋体" w:hAnsi="宋体"/>
                <w:sz w:val="21"/>
                <w:szCs w:val="21"/>
              </w:rPr>
              <w:t>1</w:t>
            </w:r>
            <w:r>
              <w:rPr>
                <w:rFonts w:ascii="宋体" w:hAnsi="宋体"/>
                <w:sz w:val="21"/>
                <w:szCs w:val="21"/>
              </w:rPr>
              <w:t>个最低有效投标报价，评标基准价</w:t>
            </w:r>
            <w:r>
              <w:rPr>
                <w:rFonts w:hint="eastAsia" w:ascii="宋体" w:hAnsi="宋体"/>
                <w:sz w:val="21"/>
                <w:szCs w:val="21"/>
              </w:rPr>
              <w:t>=</w:t>
            </w:r>
            <w:r>
              <w:rPr>
                <w:rFonts w:ascii="宋体" w:hAnsi="宋体"/>
                <w:sz w:val="21"/>
                <w:szCs w:val="21"/>
              </w:rPr>
              <w:t>其余有效投标报价的算术平均值</w:t>
            </w:r>
            <w:r>
              <w:rPr>
                <w:rFonts w:hint="eastAsia" w:ascii="宋体" w:hAnsi="宋体"/>
                <w:sz w:val="21"/>
                <w:szCs w:val="21"/>
              </w:rPr>
              <w:t>。</w:t>
            </w:r>
          </w:p>
          <w:p w14:paraId="74DC0E54">
            <w:pPr>
              <w:widowControl/>
              <w:snapToGrid w:val="0"/>
              <w:spacing w:line="240" w:lineRule="auto"/>
              <w:jc w:val="left"/>
              <w:rPr>
                <w:rFonts w:ascii="宋体" w:hAnsi="宋体"/>
                <w:sz w:val="21"/>
                <w:szCs w:val="21"/>
              </w:rPr>
            </w:pPr>
            <w:r>
              <w:rPr>
                <w:rFonts w:ascii="宋体" w:hAnsi="宋体"/>
                <w:sz w:val="21"/>
                <w:szCs w:val="21"/>
              </w:rPr>
              <w:t>(</w:t>
            </w:r>
            <w:r>
              <w:rPr>
                <w:rFonts w:hint="eastAsia" w:ascii="宋体" w:hAnsi="宋体"/>
                <w:sz w:val="21"/>
                <w:szCs w:val="21"/>
              </w:rPr>
              <w:t>2</w:t>
            </w:r>
            <w:r>
              <w:rPr>
                <w:rFonts w:ascii="宋体" w:hAnsi="宋体"/>
                <w:sz w:val="21"/>
                <w:szCs w:val="21"/>
              </w:rPr>
              <w:t>)当有效投标人</w:t>
            </w:r>
            <w:r>
              <w:rPr>
                <w:rFonts w:hint="eastAsia" w:ascii="宋体" w:hAnsi="宋体"/>
                <w:sz w:val="21"/>
                <w:szCs w:val="21"/>
              </w:rPr>
              <w:t>数量</w:t>
            </w:r>
            <w:r>
              <w:rPr>
                <w:rFonts w:ascii="宋体" w:hAnsi="宋体"/>
                <w:sz w:val="21"/>
                <w:szCs w:val="21"/>
              </w:rPr>
              <w:t>＜</w:t>
            </w:r>
            <w:r>
              <w:rPr>
                <w:rFonts w:hint="eastAsia" w:ascii="宋体" w:hAnsi="宋体"/>
                <w:sz w:val="21"/>
                <w:szCs w:val="21"/>
              </w:rPr>
              <w:t>7时，</w:t>
            </w:r>
            <w:r>
              <w:rPr>
                <w:rFonts w:ascii="宋体" w:hAnsi="宋体"/>
                <w:sz w:val="21"/>
                <w:szCs w:val="21"/>
              </w:rPr>
              <w:t>评标基准价</w:t>
            </w:r>
            <w:r>
              <w:rPr>
                <w:rFonts w:hint="eastAsia" w:ascii="宋体" w:hAnsi="宋体"/>
                <w:sz w:val="21"/>
                <w:szCs w:val="21"/>
              </w:rPr>
              <w:t>=所有有效投标报价的算术平均值。</w:t>
            </w:r>
          </w:p>
          <w:p w14:paraId="5A62B04C">
            <w:pPr>
              <w:widowControl/>
              <w:snapToGrid w:val="0"/>
              <w:spacing w:line="240" w:lineRule="auto"/>
              <w:jc w:val="left"/>
              <w:rPr>
                <w:rFonts w:ascii="宋体" w:hAnsi="宋体"/>
                <w:sz w:val="21"/>
                <w:szCs w:val="21"/>
              </w:rPr>
            </w:pPr>
            <w:r>
              <w:rPr>
                <w:rFonts w:hint="eastAsia" w:ascii="宋体" w:hAnsi="宋体"/>
                <w:sz w:val="21"/>
                <w:szCs w:val="21"/>
              </w:rPr>
              <w:t>3</w:t>
            </w:r>
            <w:r>
              <w:rPr>
                <w:rFonts w:ascii="宋体" w:hAnsi="宋体"/>
                <w:sz w:val="21"/>
                <w:szCs w:val="21"/>
              </w:rPr>
              <w:t>.投标报价得分：</w:t>
            </w:r>
          </w:p>
          <w:p w14:paraId="4C5F8066">
            <w:pPr>
              <w:widowControl/>
              <w:snapToGrid w:val="0"/>
              <w:spacing w:line="240" w:lineRule="auto"/>
              <w:jc w:val="left"/>
              <w:rPr>
                <w:rFonts w:ascii="宋体" w:hAnsi="宋体"/>
                <w:sz w:val="21"/>
                <w:szCs w:val="21"/>
              </w:rPr>
            </w:pPr>
            <w:r>
              <w:rPr>
                <w:rFonts w:ascii="宋体" w:hAnsi="宋体"/>
                <w:sz w:val="21"/>
                <w:szCs w:val="21"/>
              </w:rPr>
              <w:t>(1)经评审的有效投标报价=</w:t>
            </w:r>
            <w:r>
              <w:rPr>
                <w:rFonts w:hint="eastAsia" w:ascii="宋体" w:hAnsi="宋体"/>
                <w:sz w:val="21"/>
                <w:szCs w:val="21"/>
              </w:rPr>
              <w:t>评标基准价时，投标报价得分=100</w:t>
            </w:r>
          </w:p>
          <w:p w14:paraId="5451B11B">
            <w:pPr>
              <w:widowControl/>
              <w:snapToGrid w:val="0"/>
              <w:spacing w:line="240" w:lineRule="auto"/>
              <w:jc w:val="left"/>
              <w:rPr>
                <w:rFonts w:ascii="宋体" w:hAnsi="宋体"/>
                <w:sz w:val="21"/>
                <w:szCs w:val="21"/>
              </w:rPr>
            </w:pPr>
            <w:r>
              <w:rPr>
                <w:rFonts w:ascii="宋体" w:hAnsi="宋体"/>
                <w:sz w:val="21"/>
                <w:szCs w:val="21"/>
              </w:rPr>
              <w:t>(2)经评审的有效投标报价-</w:t>
            </w:r>
            <w:r>
              <w:rPr>
                <w:rFonts w:hint="eastAsia" w:ascii="宋体" w:hAnsi="宋体"/>
                <w:sz w:val="21"/>
                <w:szCs w:val="21"/>
              </w:rPr>
              <w:t>评标基准价＞</w:t>
            </w:r>
            <w:r>
              <w:rPr>
                <w:rFonts w:ascii="宋体" w:hAnsi="宋体"/>
                <w:sz w:val="21"/>
                <w:szCs w:val="21"/>
              </w:rPr>
              <w:t>0时，</w:t>
            </w:r>
            <w:r>
              <w:rPr>
                <w:rFonts w:hint="eastAsia" w:ascii="宋体" w:hAnsi="宋体"/>
                <w:sz w:val="21"/>
                <w:szCs w:val="21"/>
              </w:rPr>
              <w:t>投标报价得分</w:t>
            </w:r>
            <w:r>
              <w:rPr>
                <w:rFonts w:ascii="宋体" w:hAnsi="宋体"/>
                <w:sz w:val="21"/>
                <w:szCs w:val="21"/>
              </w:rPr>
              <w:t>=</w:t>
            </w:r>
            <w:r>
              <w:rPr>
                <w:rFonts w:hint="eastAsia" w:ascii="宋体" w:hAnsi="宋体"/>
                <w:sz w:val="21"/>
                <w:szCs w:val="21"/>
              </w:rPr>
              <w:t>100</w:t>
            </w:r>
            <w:r>
              <w:rPr>
                <w:rFonts w:ascii="宋体" w:hAnsi="宋体"/>
                <w:sz w:val="21"/>
                <w:szCs w:val="21"/>
              </w:rPr>
              <w:t>-〔</w:t>
            </w:r>
            <w:r>
              <w:rPr>
                <w:rFonts w:hint="eastAsia" w:ascii="宋体" w:hAnsi="宋体"/>
                <w:sz w:val="21"/>
                <w:szCs w:val="21"/>
              </w:rPr>
              <w:t>（</w:t>
            </w:r>
            <w:r>
              <w:rPr>
                <w:rFonts w:ascii="宋体" w:hAnsi="宋体"/>
                <w:sz w:val="21"/>
                <w:szCs w:val="21"/>
              </w:rPr>
              <w:t>有效投标报价-</w:t>
            </w:r>
            <w:r>
              <w:rPr>
                <w:rFonts w:hint="eastAsia" w:ascii="宋体" w:hAnsi="宋体"/>
                <w:sz w:val="21"/>
                <w:szCs w:val="21"/>
              </w:rPr>
              <w:t>评标基准价）÷评标基准价×</w:t>
            </w:r>
            <w:r>
              <w:rPr>
                <w:rFonts w:ascii="宋体" w:hAnsi="宋体"/>
                <w:sz w:val="21"/>
                <w:szCs w:val="21"/>
              </w:rPr>
              <w:t>100×</w:t>
            </w:r>
            <w:r>
              <w:rPr>
                <w:rFonts w:hint="eastAsia" w:ascii="宋体" w:hAnsi="宋体"/>
                <w:sz w:val="21"/>
                <w:szCs w:val="21"/>
                <w:lang w:val="en-US" w:eastAsia="zh-CN"/>
              </w:rPr>
              <w:t>1</w:t>
            </w:r>
            <w:r>
              <w:rPr>
                <w:rFonts w:hint="eastAsia" w:ascii="宋体" w:hAnsi="宋体"/>
                <w:sz w:val="21"/>
                <w:szCs w:val="21"/>
              </w:rPr>
              <w:t>〕；</w:t>
            </w:r>
          </w:p>
          <w:p w14:paraId="480846DF">
            <w:pPr>
              <w:widowControl/>
              <w:snapToGrid w:val="0"/>
              <w:spacing w:line="240" w:lineRule="auto"/>
              <w:jc w:val="left"/>
              <w:rPr>
                <w:rFonts w:ascii="宋体" w:hAnsi="宋体"/>
                <w:sz w:val="21"/>
                <w:szCs w:val="21"/>
              </w:rPr>
            </w:pPr>
            <w:r>
              <w:rPr>
                <w:rFonts w:ascii="宋体" w:hAnsi="宋体"/>
                <w:sz w:val="21"/>
                <w:szCs w:val="21"/>
              </w:rPr>
              <w:t>(3)经评审的有效投标报价-</w:t>
            </w:r>
            <w:r>
              <w:rPr>
                <w:rFonts w:hint="eastAsia" w:ascii="宋体" w:hAnsi="宋体"/>
                <w:sz w:val="21"/>
                <w:szCs w:val="21"/>
              </w:rPr>
              <w:t>评标基准价＜</w:t>
            </w:r>
            <w:r>
              <w:rPr>
                <w:rFonts w:ascii="宋体" w:hAnsi="宋体"/>
                <w:sz w:val="21"/>
                <w:szCs w:val="21"/>
              </w:rPr>
              <w:t>0时，</w:t>
            </w:r>
            <w:r>
              <w:rPr>
                <w:rFonts w:hint="eastAsia" w:ascii="宋体" w:hAnsi="宋体"/>
                <w:sz w:val="21"/>
                <w:szCs w:val="21"/>
              </w:rPr>
              <w:t>投标报价得分</w:t>
            </w:r>
            <w:r>
              <w:rPr>
                <w:rFonts w:ascii="宋体" w:hAnsi="宋体"/>
                <w:sz w:val="21"/>
                <w:szCs w:val="21"/>
              </w:rPr>
              <w:t>=</w:t>
            </w:r>
            <w:r>
              <w:rPr>
                <w:rFonts w:hint="eastAsia" w:ascii="宋体" w:hAnsi="宋体"/>
                <w:sz w:val="21"/>
                <w:szCs w:val="21"/>
              </w:rPr>
              <w:t>100</w:t>
            </w:r>
            <w:r>
              <w:rPr>
                <w:rFonts w:ascii="宋体" w:hAnsi="宋体"/>
                <w:sz w:val="21"/>
                <w:szCs w:val="21"/>
              </w:rPr>
              <w:t>-〔</w:t>
            </w:r>
            <w:r>
              <w:rPr>
                <w:rFonts w:hint="eastAsia" w:ascii="宋体" w:hAnsi="宋体"/>
                <w:sz w:val="21"/>
                <w:szCs w:val="21"/>
              </w:rPr>
              <w:t>（评标基准价</w:t>
            </w:r>
            <w:r>
              <w:rPr>
                <w:rFonts w:ascii="宋体" w:hAnsi="宋体"/>
                <w:sz w:val="21"/>
                <w:szCs w:val="21"/>
              </w:rPr>
              <w:t>-有效投标报价</w:t>
            </w:r>
            <w:r>
              <w:rPr>
                <w:rFonts w:hint="eastAsia" w:ascii="宋体" w:hAnsi="宋体"/>
                <w:sz w:val="21"/>
                <w:szCs w:val="21"/>
              </w:rPr>
              <w:t>）÷评标基准价×</w:t>
            </w:r>
            <w:r>
              <w:rPr>
                <w:rFonts w:ascii="宋体" w:hAnsi="宋体"/>
                <w:sz w:val="21"/>
                <w:szCs w:val="21"/>
              </w:rPr>
              <w:t>100×</w:t>
            </w:r>
            <w:r>
              <w:rPr>
                <w:rFonts w:hint="eastAsia" w:ascii="宋体" w:hAnsi="宋体"/>
                <w:sz w:val="21"/>
                <w:szCs w:val="21"/>
                <w:lang w:val="en-US" w:eastAsia="zh-CN"/>
              </w:rPr>
              <w:t>0.5</w:t>
            </w:r>
            <w:r>
              <w:rPr>
                <w:rFonts w:ascii="宋体" w:hAnsi="宋体"/>
                <w:sz w:val="21"/>
                <w:szCs w:val="21"/>
              </w:rPr>
              <w:t>〕</w:t>
            </w:r>
            <w:r>
              <w:rPr>
                <w:rFonts w:hint="eastAsia" w:ascii="宋体" w:hAnsi="宋体"/>
                <w:sz w:val="21"/>
                <w:szCs w:val="21"/>
              </w:rPr>
              <w:t>；</w:t>
            </w:r>
          </w:p>
          <w:p w14:paraId="66B42278">
            <w:pPr>
              <w:widowControl/>
              <w:snapToGrid w:val="0"/>
              <w:spacing w:line="240" w:lineRule="auto"/>
              <w:jc w:val="left"/>
              <w:rPr>
                <w:rFonts w:ascii="宋体" w:hAnsi="宋体"/>
                <w:sz w:val="21"/>
                <w:szCs w:val="21"/>
              </w:rPr>
            </w:pPr>
            <w:r>
              <w:rPr>
                <w:rFonts w:ascii="宋体" w:hAnsi="宋体"/>
                <w:sz w:val="21"/>
                <w:szCs w:val="21"/>
              </w:rPr>
              <w:t>(4)分值按内插法计算，结果保留小数点后二位</w:t>
            </w:r>
            <w:r>
              <w:rPr>
                <w:rFonts w:hint="eastAsia" w:ascii="宋体" w:hAnsi="宋体"/>
                <w:sz w:val="21"/>
                <w:szCs w:val="21"/>
              </w:rPr>
              <w:t>；</w:t>
            </w:r>
          </w:p>
          <w:p w14:paraId="21FE7995">
            <w:pPr>
              <w:widowControl/>
              <w:snapToGrid w:val="0"/>
              <w:spacing w:line="240" w:lineRule="auto"/>
              <w:jc w:val="left"/>
              <w:rPr>
                <w:rFonts w:ascii="宋体" w:hAnsi="宋体" w:eastAsia="楷体" w:cs="宋体"/>
                <w:kern w:val="0"/>
                <w:sz w:val="21"/>
                <w:szCs w:val="21"/>
              </w:rPr>
            </w:pPr>
            <w:r>
              <w:rPr>
                <w:rFonts w:ascii="宋体" w:hAnsi="宋体"/>
                <w:sz w:val="21"/>
                <w:szCs w:val="21"/>
              </w:rPr>
              <w:t>(5)本项最低得0分</w:t>
            </w:r>
            <w:r>
              <w:rPr>
                <w:rFonts w:hint="eastAsia" w:ascii="宋体" w:hAnsi="宋体"/>
                <w:sz w:val="21"/>
                <w:szCs w:val="21"/>
              </w:rPr>
              <w:t>。</w:t>
            </w:r>
          </w:p>
        </w:tc>
        <w:tc>
          <w:tcPr>
            <w:tcW w:w="651" w:type="dxa"/>
            <w:vAlign w:val="center"/>
          </w:tcPr>
          <w:p w14:paraId="6CB7FE6D">
            <w:pPr>
              <w:spacing w:line="240" w:lineRule="auto"/>
              <w:jc w:val="center"/>
              <w:rPr>
                <w:rFonts w:ascii="宋体" w:hAnsi="宋体" w:cs="宋体"/>
                <w:kern w:val="0"/>
                <w:sz w:val="21"/>
                <w:szCs w:val="21"/>
              </w:rPr>
            </w:pPr>
            <w:r>
              <w:rPr>
                <w:rFonts w:hint="eastAsia" w:ascii="宋体" w:hAnsi="宋体" w:cs="宋体"/>
                <w:kern w:val="0"/>
                <w:sz w:val="21"/>
                <w:szCs w:val="21"/>
              </w:rPr>
              <w:t>100</w:t>
            </w:r>
          </w:p>
        </w:tc>
        <w:tc>
          <w:tcPr>
            <w:tcW w:w="682" w:type="dxa"/>
            <w:vAlign w:val="center"/>
          </w:tcPr>
          <w:p w14:paraId="68BC2326">
            <w:pPr>
              <w:spacing w:line="240" w:lineRule="auto"/>
              <w:jc w:val="center"/>
              <w:rPr>
                <w:rFonts w:ascii="宋体" w:hAnsi="宋体" w:cs="宋体"/>
                <w:kern w:val="0"/>
                <w:sz w:val="21"/>
                <w:szCs w:val="21"/>
              </w:rPr>
            </w:pPr>
          </w:p>
        </w:tc>
        <w:tc>
          <w:tcPr>
            <w:tcW w:w="682" w:type="dxa"/>
            <w:vAlign w:val="center"/>
          </w:tcPr>
          <w:p w14:paraId="20DBEC4F">
            <w:pPr>
              <w:spacing w:line="240" w:lineRule="auto"/>
              <w:jc w:val="center"/>
              <w:rPr>
                <w:rFonts w:ascii="宋体" w:hAnsi="宋体" w:cs="宋体"/>
                <w:kern w:val="0"/>
                <w:sz w:val="21"/>
                <w:szCs w:val="21"/>
              </w:rPr>
            </w:pPr>
          </w:p>
        </w:tc>
        <w:tc>
          <w:tcPr>
            <w:tcW w:w="423" w:type="dxa"/>
            <w:vAlign w:val="center"/>
          </w:tcPr>
          <w:p w14:paraId="5E458F07">
            <w:pPr>
              <w:spacing w:line="240" w:lineRule="auto"/>
              <w:jc w:val="center"/>
              <w:rPr>
                <w:rFonts w:ascii="宋体" w:hAnsi="宋体" w:cs="宋体"/>
                <w:kern w:val="0"/>
                <w:sz w:val="21"/>
                <w:szCs w:val="21"/>
              </w:rPr>
            </w:pPr>
          </w:p>
        </w:tc>
      </w:tr>
      <w:tr w14:paraId="7FA3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217" w:type="dxa"/>
            <w:gridSpan w:val="3"/>
            <w:vAlign w:val="center"/>
          </w:tcPr>
          <w:p w14:paraId="2ADBE367">
            <w:pPr>
              <w:snapToGrid w:val="0"/>
              <w:spacing w:line="240" w:lineRule="auto"/>
              <w:jc w:val="right"/>
              <w:rPr>
                <w:rFonts w:ascii="宋体" w:hAnsi="宋体"/>
                <w:sz w:val="21"/>
                <w:szCs w:val="21"/>
              </w:rPr>
            </w:pPr>
            <w:r>
              <w:rPr>
                <w:rFonts w:hint="eastAsia" w:ascii="宋体" w:hAnsi="宋体" w:cs="宋体"/>
                <w:kern w:val="0"/>
                <w:sz w:val="21"/>
                <w:szCs w:val="21"/>
              </w:rPr>
              <w:t>报价部分得分合计</w:t>
            </w:r>
          </w:p>
        </w:tc>
        <w:tc>
          <w:tcPr>
            <w:tcW w:w="651" w:type="dxa"/>
            <w:vAlign w:val="center"/>
          </w:tcPr>
          <w:p w14:paraId="6FB245C9">
            <w:pPr>
              <w:spacing w:line="240" w:lineRule="auto"/>
              <w:jc w:val="center"/>
              <w:rPr>
                <w:rFonts w:ascii="宋体" w:hAnsi="宋体" w:cs="宋体"/>
                <w:kern w:val="0"/>
                <w:sz w:val="21"/>
                <w:szCs w:val="21"/>
              </w:rPr>
            </w:pPr>
            <w:r>
              <w:rPr>
                <w:rFonts w:hint="eastAsia" w:ascii="宋体" w:hAnsi="宋体" w:cs="宋体"/>
                <w:kern w:val="0"/>
                <w:sz w:val="21"/>
                <w:szCs w:val="21"/>
              </w:rPr>
              <w:t>100</w:t>
            </w:r>
          </w:p>
        </w:tc>
        <w:tc>
          <w:tcPr>
            <w:tcW w:w="682" w:type="dxa"/>
            <w:vAlign w:val="center"/>
          </w:tcPr>
          <w:p w14:paraId="0F7F7C48">
            <w:pPr>
              <w:spacing w:line="240" w:lineRule="auto"/>
              <w:jc w:val="center"/>
              <w:rPr>
                <w:rFonts w:ascii="宋体" w:hAnsi="宋体" w:cs="宋体"/>
                <w:kern w:val="0"/>
                <w:sz w:val="21"/>
                <w:szCs w:val="21"/>
              </w:rPr>
            </w:pPr>
          </w:p>
        </w:tc>
        <w:tc>
          <w:tcPr>
            <w:tcW w:w="682" w:type="dxa"/>
            <w:vAlign w:val="center"/>
          </w:tcPr>
          <w:p w14:paraId="5D5257AE">
            <w:pPr>
              <w:spacing w:line="240" w:lineRule="auto"/>
              <w:jc w:val="center"/>
              <w:rPr>
                <w:rFonts w:ascii="宋体" w:hAnsi="宋体" w:cs="宋体"/>
                <w:kern w:val="0"/>
                <w:sz w:val="21"/>
                <w:szCs w:val="21"/>
              </w:rPr>
            </w:pPr>
          </w:p>
        </w:tc>
        <w:tc>
          <w:tcPr>
            <w:tcW w:w="423" w:type="dxa"/>
            <w:vAlign w:val="center"/>
          </w:tcPr>
          <w:p w14:paraId="062E9A74">
            <w:pPr>
              <w:spacing w:line="240" w:lineRule="auto"/>
              <w:jc w:val="center"/>
              <w:rPr>
                <w:rFonts w:ascii="宋体" w:hAnsi="宋体" w:cs="宋体"/>
                <w:kern w:val="0"/>
                <w:sz w:val="21"/>
                <w:szCs w:val="21"/>
              </w:rPr>
            </w:pPr>
          </w:p>
        </w:tc>
      </w:tr>
    </w:tbl>
    <w:p w14:paraId="674522F6">
      <w:pPr>
        <w:pStyle w:val="27"/>
        <w:jc w:val="left"/>
        <w:rPr>
          <w:rFonts w:ascii="宋体" w:hAnsi="宋体" w:cs="宋体"/>
          <w:sz w:val="4"/>
          <w:szCs w:val="4"/>
        </w:rPr>
      </w:pPr>
    </w:p>
    <w:p w14:paraId="5A95658B">
      <w:pPr>
        <w:pStyle w:val="27"/>
        <w:jc w:val="left"/>
        <w:rPr>
          <w:rFonts w:ascii="宋体" w:hAnsi="宋体" w:cs="宋体"/>
          <w:sz w:val="21"/>
          <w:szCs w:val="21"/>
        </w:rPr>
      </w:pPr>
      <w:r>
        <w:rPr>
          <w:rFonts w:hint="eastAsia" w:ascii="宋体" w:hAnsi="宋体" w:cs="宋体"/>
          <w:sz w:val="21"/>
          <w:szCs w:val="21"/>
        </w:rPr>
        <w:t>评标委员会全体成员签名：                                               年   月   日</w:t>
      </w:r>
    </w:p>
    <w:p w14:paraId="1D393215">
      <w:pPr>
        <w:rPr>
          <w:rFonts w:ascii="宋体" w:hAnsi="宋体" w:cs="宋体"/>
          <w:sz w:val="21"/>
          <w:szCs w:val="21"/>
        </w:rPr>
      </w:pPr>
      <w:r>
        <w:rPr>
          <w:rFonts w:hint="eastAsia" w:ascii="宋体" w:hAnsi="宋体" w:cs="宋体"/>
          <w:sz w:val="21"/>
          <w:szCs w:val="21"/>
        </w:rPr>
        <w:br w:type="page"/>
      </w:r>
    </w:p>
    <w:p w14:paraId="34EC0C1B">
      <w:pPr>
        <w:pStyle w:val="27"/>
        <w:jc w:val="center"/>
        <w:rPr>
          <w:rFonts w:ascii="宋体" w:hAnsi="宋体" w:cs="宋体"/>
          <w:b/>
          <w:sz w:val="30"/>
        </w:rPr>
      </w:pPr>
      <w:r>
        <w:rPr>
          <w:rFonts w:hint="eastAsia" w:ascii="宋体" w:hAnsi="宋体" w:cs="宋体"/>
          <w:b/>
          <w:sz w:val="30"/>
        </w:rPr>
        <w:t>详细评审标准及计分表</w:t>
      </w:r>
    </w:p>
    <w:p w14:paraId="46A52E9C">
      <w:pPr>
        <w:tabs>
          <w:tab w:val="left" w:pos="4680"/>
        </w:tabs>
        <w:snapToGrid w:val="0"/>
        <w:spacing w:line="240" w:lineRule="auto"/>
        <w:rPr>
          <w:rFonts w:ascii="宋体" w:hAnsi="宋体"/>
          <w:bCs/>
          <w:sz w:val="21"/>
          <w:szCs w:val="21"/>
        </w:rPr>
      </w:pPr>
      <w:r>
        <w:rPr>
          <w:rFonts w:hint="eastAsia" w:ascii="宋体" w:hAnsi="宋体"/>
          <w:bCs/>
          <w:sz w:val="21"/>
          <w:szCs w:val="21"/>
        </w:rPr>
        <w:t xml:space="preserve">招标项目名称：                           </w:t>
      </w:r>
      <w:r>
        <w:rPr>
          <w:rFonts w:ascii="宋体" w:hAnsi="宋体"/>
          <w:bCs/>
          <w:sz w:val="21"/>
          <w:szCs w:val="21"/>
        </w:rPr>
        <w:t xml:space="preserve">       </w:t>
      </w:r>
    </w:p>
    <w:p w14:paraId="18F72126">
      <w:pPr>
        <w:tabs>
          <w:tab w:val="left" w:pos="4680"/>
        </w:tabs>
        <w:snapToGrid w:val="0"/>
        <w:spacing w:line="240" w:lineRule="auto"/>
        <w:rPr>
          <w:rFonts w:ascii="宋体" w:hAnsi="宋体"/>
          <w:b/>
          <w:bCs/>
          <w:sz w:val="21"/>
          <w:szCs w:val="21"/>
        </w:rPr>
      </w:pPr>
      <w:r>
        <w:rPr>
          <w:rFonts w:hint="eastAsia" w:ascii="宋体" w:hAnsi="宋体"/>
          <w:bCs/>
          <w:sz w:val="21"/>
          <w:szCs w:val="21"/>
        </w:rPr>
        <w:t xml:space="preserve">招标项目编号：                           </w:t>
      </w:r>
      <w:r>
        <w:rPr>
          <w:rFonts w:ascii="宋体" w:hAnsi="宋体"/>
          <w:bCs/>
          <w:sz w:val="21"/>
          <w:szCs w:val="21"/>
        </w:rPr>
        <w:t xml:space="preserve">       </w:t>
      </w:r>
    </w:p>
    <w:tbl>
      <w:tblPr>
        <w:tblStyle w:val="63"/>
        <w:tblW w:w="10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266"/>
        <w:gridCol w:w="6149"/>
        <w:gridCol w:w="992"/>
        <w:gridCol w:w="709"/>
        <w:gridCol w:w="708"/>
        <w:gridCol w:w="524"/>
      </w:tblGrid>
      <w:tr w14:paraId="7FE1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920" w:type="dxa"/>
            <w:gridSpan w:val="7"/>
            <w:vAlign w:val="center"/>
          </w:tcPr>
          <w:p w14:paraId="6A8245E9">
            <w:pPr>
              <w:widowControl/>
              <w:snapToGrid w:val="0"/>
              <w:spacing w:line="240" w:lineRule="auto"/>
              <w:jc w:val="left"/>
              <w:rPr>
                <w:rFonts w:ascii="宋体" w:hAnsi="宋体" w:cs="宋体"/>
                <w:kern w:val="0"/>
                <w:sz w:val="21"/>
                <w:szCs w:val="21"/>
              </w:rPr>
            </w:pPr>
            <w:r>
              <w:rPr>
                <w:rFonts w:hint="eastAsia" w:ascii="宋体" w:hAnsi="宋体"/>
                <w:b/>
                <w:bCs/>
                <w:sz w:val="21"/>
                <w:szCs w:val="21"/>
              </w:rPr>
              <w:t>（二）综合部分</w:t>
            </w:r>
          </w:p>
        </w:tc>
      </w:tr>
      <w:tr w14:paraId="7126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2" w:type="dxa"/>
            <w:vMerge w:val="restart"/>
            <w:vAlign w:val="center"/>
          </w:tcPr>
          <w:p w14:paraId="7C94163E">
            <w:pPr>
              <w:widowControl/>
              <w:snapToGrid w:val="0"/>
              <w:spacing w:line="240" w:lineRule="auto"/>
              <w:jc w:val="center"/>
              <w:rPr>
                <w:rFonts w:ascii="宋体" w:hAnsi="宋体" w:cs="宋体"/>
                <w:kern w:val="0"/>
                <w:sz w:val="21"/>
                <w:szCs w:val="21"/>
              </w:rPr>
            </w:pPr>
            <w:r>
              <w:rPr>
                <w:rFonts w:ascii="宋体" w:hAnsi="宋体"/>
                <w:b/>
                <w:bCs/>
                <w:szCs w:val="21"/>
              </w:rPr>
              <w:br w:type="page"/>
            </w:r>
            <w:r>
              <w:rPr>
                <w:rFonts w:hint="eastAsia" w:ascii="宋体" w:hAnsi="宋体" w:cs="宋体"/>
                <w:kern w:val="0"/>
                <w:sz w:val="21"/>
                <w:szCs w:val="21"/>
              </w:rPr>
              <w:t>序号</w:t>
            </w:r>
          </w:p>
        </w:tc>
        <w:tc>
          <w:tcPr>
            <w:tcW w:w="1266" w:type="dxa"/>
            <w:vMerge w:val="restart"/>
            <w:tcMar>
              <w:left w:w="28" w:type="dxa"/>
              <w:right w:w="28" w:type="dxa"/>
            </w:tcMar>
            <w:vAlign w:val="center"/>
          </w:tcPr>
          <w:p w14:paraId="716F6468">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评分项目</w:t>
            </w:r>
          </w:p>
        </w:tc>
        <w:tc>
          <w:tcPr>
            <w:tcW w:w="6149" w:type="dxa"/>
            <w:vMerge w:val="restart"/>
            <w:vAlign w:val="center"/>
          </w:tcPr>
          <w:p w14:paraId="2B46E977">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评分标准</w:t>
            </w:r>
          </w:p>
        </w:tc>
        <w:tc>
          <w:tcPr>
            <w:tcW w:w="992" w:type="dxa"/>
            <w:vMerge w:val="restart"/>
            <w:vAlign w:val="center"/>
          </w:tcPr>
          <w:p w14:paraId="78A36F8A">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标准分</w:t>
            </w:r>
          </w:p>
          <w:p w14:paraId="64A63F0C">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（分）</w:t>
            </w:r>
          </w:p>
        </w:tc>
        <w:tc>
          <w:tcPr>
            <w:tcW w:w="1941" w:type="dxa"/>
            <w:gridSpan w:val="3"/>
            <w:vAlign w:val="center"/>
          </w:tcPr>
          <w:p w14:paraId="4B8B7626">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投标人名称</w:t>
            </w:r>
          </w:p>
          <w:p w14:paraId="54E75A80">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及评审结论</w:t>
            </w:r>
          </w:p>
        </w:tc>
      </w:tr>
      <w:tr w14:paraId="0610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72" w:type="dxa"/>
            <w:vMerge w:val="continue"/>
            <w:vAlign w:val="center"/>
          </w:tcPr>
          <w:p w14:paraId="48A150E9">
            <w:pPr>
              <w:widowControl/>
              <w:snapToGrid w:val="0"/>
              <w:spacing w:line="240" w:lineRule="auto"/>
              <w:jc w:val="center"/>
              <w:rPr>
                <w:rFonts w:ascii="宋体" w:hAnsi="宋体" w:cs="宋体"/>
                <w:kern w:val="0"/>
                <w:sz w:val="21"/>
                <w:szCs w:val="21"/>
              </w:rPr>
            </w:pPr>
          </w:p>
        </w:tc>
        <w:tc>
          <w:tcPr>
            <w:tcW w:w="1266" w:type="dxa"/>
            <w:vMerge w:val="continue"/>
            <w:tcMar>
              <w:left w:w="28" w:type="dxa"/>
              <w:right w:w="28" w:type="dxa"/>
            </w:tcMar>
            <w:vAlign w:val="center"/>
          </w:tcPr>
          <w:p w14:paraId="75DF5B9D">
            <w:pPr>
              <w:widowControl/>
              <w:snapToGrid w:val="0"/>
              <w:spacing w:line="240" w:lineRule="auto"/>
              <w:jc w:val="center"/>
              <w:rPr>
                <w:rFonts w:ascii="宋体" w:hAnsi="宋体" w:cs="宋体"/>
                <w:kern w:val="0"/>
                <w:sz w:val="21"/>
                <w:szCs w:val="21"/>
              </w:rPr>
            </w:pPr>
          </w:p>
        </w:tc>
        <w:tc>
          <w:tcPr>
            <w:tcW w:w="6149" w:type="dxa"/>
            <w:vMerge w:val="continue"/>
            <w:vAlign w:val="center"/>
          </w:tcPr>
          <w:p w14:paraId="6E9BC337">
            <w:pPr>
              <w:widowControl/>
              <w:snapToGrid w:val="0"/>
              <w:spacing w:line="240" w:lineRule="auto"/>
              <w:jc w:val="center"/>
              <w:rPr>
                <w:rFonts w:ascii="宋体" w:hAnsi="宋体" w:cs="宋体"/>
                <w:kern w:val="0"/>
                <w:sz w:val="21"/>
                <w:szCs w:val="21"/>
              </w:rPr>
            </w:pPr>
          </w:p>
        </w:tc>
        <w:tc>
          <w:tcPr>
            <w:tcW w:w="992" w:type="dxa"/>
            <w:vMerge w:val="continue"/>
          </w:tcPr>
          <w:p w14:paraId="042A80BE">
            <w:pPr>
              <w:spacing w:line="240" w:lineRule="auto"/>
              <w:jc w:val="center"/>
              <w:rPr>
                <w:rFonts w:ascii="宋体" w:hAnsi="宋体" w:cs="宋体"/>
                <w:kern w:val="0"/>
                <w:sz w:val="21"/>
                <w:szCs w:val="21"/>
              </w:rPr>
            </w:pPr>
          </w:p>
        </w:tc>
        <w:tc>
          <w:tcPr>
            <w:tcW w:w="709" w:type="dxa"/>
            <w:vAlign w:val="center"/>
          </w:tcPr>
          <w:p w14:paraId="14D39DC7">
            <w:pPr>
              <w:spacing w:line="240" w:lineRule="auto"/>
              <w:jc w:val="center"/>
              <w:rPr>
                <w:rFonts w:ascii="宋体" w:hAnsi="宋体" w:cs="宋体"/>
                <w:kern w:val="0"/>
                <w:sz w:val="21"/>
                <w:szCs w:val="21"/>
              </w:rPr>
            </w:pPr>
            <w:r>
              <w:rPr>
                <w:rFonts w:hint="eastAsia" w:ascii="宋体" w:hAnsi="宋体" w:cs="宋体"/>
                <w:kern w:val="0"/>
                <w:sz w:val="21"/>
                <w:szCs w:val="21"/>
              </w:rPr>
              <w:t>投标人1</w:t>
            </w:r>
          </w:p>
        </w:tc>
        <w:tc>
          <w:tcPr>
            <w:tcW w:w="708" w:type="dxa"/>
            <w:vAlign w:val="center"/>
          </w:tcPr>
          <w:p w14:paraId="101D715C">
            <w:pPr>
              <w:spacing w:line="240" w:lineRule="auto"/>
              <w:jc w:val="center"/>
              <w:rPr>
                <w:rFonts w:ascii="宋体" w:hAnsi="宋体" w:cs="宋体"/>
                <w:kern w:val="0"/>
                <w:sz w:val="21"/>
                <w:szCs w:val="21"/>
              </w:rPr>
            </w:pPr>
            <w:r>
              <w:rPr>
                <w:rFonts w:hint="eastAsia" w:ascii="宋体" w:hAnsi="宋体" w:cs="宋体"/>
                <w:kern w:val="0"/>
                <w:sz w:val="21"/>
                <w:szCs w:val="21"/>
              </w:rPr>
              <w:t>投标人2</w:t>
            </w:r>
          </w:p>
        </w:tc>
        <w:tc>
          <w:tcPr>
            <w:tcW w:w="524" w:type="dxa"/>
            <w:vAlign w:val="center"/>
          </w:tcPr>
          <w:p w14:paraId="75666B08">
            <w:pPr>
              <w:spacing w:line="240" w:lineRule="auto"/>
              <w:jc w:val="center"/>
              <w:rPr>
                <w:rFonts w:ascii="宋体" w:hAnsi="宋体" w:cs="宋体"/>
                <w:kern w:val="0"/>
                <w:sz w:val="21"/>
                <w:szCs w:val="21"/>
              </w:rPr>
            </w:pPr>
            <w:r>
              <w:rPr>
                <w:rFonts w:ascii="宋体" w:hAnsi="宋体" w:cs="宋体"/>
                <w:kern w:val="0"/>
                <w:sz w:val="21"/>
                <w:szCs w:val="21"/>
              </w:rPr>
              <w:t>……</w:t>
            </w:r>
          </w:p>
        </w:tc>
      </w:tr>
      <w:tr w14:paraId="274D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72" w:type="dxa"/>
            <w:vAlign w:val="center"/>
          </w:tcPr>
          <w:p w14:paraId="09737573">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w:t>
            </w:r>
          </w:p>
        </w:tc>
        <w:tc>
          <w:tcPr>
            <w:tcW w:w="1266" w:type="dxa"/>
            <w:tcMar>
              <w:left w:w="28" w:type="dxa"/>
              <w:right w:w="28" w:type="dxa"/>
            </w:tcMar>
            <w:vAlign w:val="center"/>
          </w:tcPr>
          <w:p w14:paraId="2036A225">
            <w:pPr>
              <w:widowControl/>
              <w:snapToGrid w:val="0"/>
              <w:spacing w:line="240" w:lineRule="auto"/>
              <w:jc w:val="left"/>
              <w:rPr>
                <w:rFonts w:ascii="宋体" w:hAnsi="宋体" w:cs="宋体"/>
                <w:kern w:val="0"/>
                <w:sz w:val="21"/>
                <w:szCs w:val="21"/>
              </w:rPr>
            </w:pPr>
            <w:r>
              <w:rPr>
                <w:rFonts w:hint="eastAsia" w:ascii="宋体" w:hAnsi="宋体" w:cs="宋体"/>
                <w:kern w:val="0"/>
                <w:sz w:val="21"/>
                <w:szCs w:val="21"/>
              </w:rPr>
              <w:t>投标人</w:t>
            </w:r>
            <w:r>
              <w:rPr>
                <w:rFonts w:ascii="宋体" w:hAnsi="宋体" w:cs="宋体"/>
                <w:kern w:val="0"/>
                <w:sz w:val="21"/>
                <w:szCs w:val="21"/>
              </w:rPr>
              <w:t>业绩</w:t>
            </w:r>
          </w:p>
        </w:tc>
        <w:tc>
          <w:tcPr>
            <w:tcW w:w="6149" w:type="dxa"/>
            <w:vAlign w:val="center"/>
          </w:tcPr>
          <w:p w14:paraId="71C9DD09">
            <w:pPr>
              <w:widowControl/>
              <w:spacing w:line="240" w:lineRule="auto"/>
              <w:jc w:val="left"/>
              <w:rPr>
                <w:rFonts w:ascii="宋体" w:hAnsi="宋体" w:cs="宋体"/>
                <w:sz w:val="21"/>
                <w:szCs w:val="21"/>
              </w:rPr>
            </w:pPr>
            <w:r>
              <w:rPr>
                <w:rFonts w:hint="eastAsia" w:ascii="宋体" w:hAnsi="宋体" w:cs="宋体"/>
                <w:sz w:val="21"/>
                <w:szCs w:val="21"/>
              </w:rPr>
              <w:t>投标人</w:t>
            </w:r>
            <w:r>
              <w:rPr>
                <w:rFonts w:hint="eastAsia" w:ascii="宋体" w:hAnsi="宋体" w:cs="宋体"/>
                <w:sz w:val="21"/>
                <w:szCs w:val="21"/>
                <w:lang w:val="en-US" w:eastAsia="zh-CN"/>
              </w:rPr>
              <w:t>2021</w:t>
            </w:r>
            <w:r>
              <w:rPr>
                <w:rFonts w:hint="eastAsia" w:ascii="宋体" w:hAnsi="宋体" w:cs="宋体"/>
                <w:sz w:val="21"/>
                <w:szCs w:val="21"/>
              </w:rPr>
              <w:t>年以来有加油（气、氢）站的新改扩建施工业绩：</w:t>
            </w:r>
          </w:p>
          <w:p w14:paraId="6D2DC3C5">
            <w:pPr>
              <w:widowControl/>
              <w:spacing w:line="240" w:lineRule="auto"/>
              <w:jc w:val="left"/>
              <w:rPr>
                <w:rFonts w:ascii="宋体" w:hAnsi="宋体" w:cs="宋体"/>
                <w:sz w:val="21"/>
                <w:szCs w:val="21"/>
              </w:rPr>
            </w:pPr>
            <w:r>
              <w:rPr>
                <w:rFonts w:hint="eastAsia" w:ascii="宋体" w:hAnsi="宋体" w:cs="宋体"/>
                <w:sz w:val="21"/>
                <w:szCs w:val="21"/>
              </w:rPr>
              <w:t>每提供1个单项合同金额100万元（含）以上，200万元（不含）以下的业绩，得4分；每提供1个单项合同金额在200万元（含）以上的业绩，得5分；本项最高得45分。</w:t>
            </w:r>
          </w:p>
          <w:p w14:paraId="54E03318">
            <w:pPr>
              <w:widowControl/>
              <w:snapToGrid w:val="0"/>
              <w:spacing w:line="240" w:lineRule="auto"/>
              <w:jc w:val="left"/>
              <w:rPr>
                <w:rFonts w:ascii="楷体" w:hAnsi="楷体" w:eastAsia="楷体" w:cs="楷体"/>
                <w:sz w:val="21"/>
                <w:szCs w:val="21"/>
              </w:rPr>
            </w:pPr>
            <w:r>
              <w:rPr>
                <w:rFonts w:hint="eastAsia" w:ascii="楷体" w:hAnsi="楷体" w:eastAsia="楷体" w:cs="楷体"/>
                <w:sz w:val="21"/>
                <w:szCs w:val="21"/>
              </w:rPr>
              <w:t>注：【（1）提供复印件；</w:t>
            </w:r>
          </w:p>
          <w:p w14:paraId="7CEEC383">
            <w:pPr>
              <w:widowControl/>
              <w:snapToGrid w:val="0"/>
              <w:spacing w:line="240" w:lineRule="auto"/>
              <w:jc w:val="left"/>
              <w:rPr>
                <w:rFonts w:ascii="楷体" w:hAnsi="楷体" w:eastAsia="楷体" w:cs="楷体"/>
                <w:sz w:val="21"/>
                <w:szCs w:val="21"/>
              </w:rPr>
            </w:pPr>
            <w:r>
              <w:rPr>
                <w:rFonts w:hint="eastAsia" w:ascii="楷体" w:hAnsi="楷体" w:eastAsia="楷体" w:cs="楷体"/>
                <w:sz w:val="21"/>
                <w:szCs w:val="21"/>
              </w:rPr>
              <w:t>（2）202</w:t>
            </w:r>
            <w:r>
              <w:rPr>
                <w:rFonts w:hint="eastAsia" w:ascii="楷体" w:hAnsi="楷体" w:eastAsia="楷体" w:cs="楷体"/>
                <w:sz w:val="21"/>
                <w:szCs w:val="21"/>
                <w:lang w:val="en-US" w:eastAsia="zh-CN"/>
              </w:rPr>
              <w:t>1</w:t>
            </w:r>
            <w:r>
              <w:rPr>
                <w:rFonts w:hint="eastAsia" w:ascii="楷体" w:hAnsi="楷体" w:eastAsia="楷体" w:cs="楷体"/>
                <w:sz w:val="21"/>
                <w:szCs w:val="21"/>
              </w:rPr>
              <w:t>年以来：以（交）竣工验收日期为准；</w:t>
            </w:r>
          </w:p>
          <w:p w14:paraId="78B61C01">
            <w:pPr>
              <w:widowControl/>
              <w:snapToGrid w:val="0"/>
              <w:spacing w:line="240" w:lineRule="auto"/>
              <w:jc w:val="left"/>
              <w:rPr>
                <w:rFonts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b/>
                <w:bCs/>
                <w:sz w:val="21"/>
                <w:szCs w:val="21"/>
              </w:rPr>
              <w:t>①提供验收证书</w:t>
            </w:r>
            <w:r>
              <w:rPr>
                <w:rFonts w:hint="eastAsia" w:ascii="楷体" w:hAnsi="楷体" w:eastAsia="楷体" w:cs="楷体"/>
                <w:sz w:val="21"/>
                <w:szCs w:val="21"/>
              </w:rPr>
              <w:t>；</w:t>
            </w:r>
            <w:r>
              <w:rPr>
                <w:rFonts w:hint="eastAsia" w:ascii="楷体" w:hAnsi="楷体" w:eastAsia="楷体" w:cs="楷体"/>
                <w:b/>
                <w:bCs/>
                <w:sz w:val="21"/>
                <w:szCs w:val="21"/>
              </w:rPr>
              <w:t>②</w:t>
            </w:r>
            <w:r>
              <w:rPr>
                <w:rFonts w:hint="eastAsia" w:ascii="楷体" w:hAnsi="楷体" w:eastAsia="楷体" w:cs="楷体"/>
                <w:sz w:val="21"/>
                <w:szCs w:val="21"/>
              </w:rPr>
              <w:t>提供含本项“评分标准”“项目业绩”的相关</w:t>
            </w:r>
            <w:r>
              <w:rPr>
                <w:rFonts w:hint="eastAsia" w:ascii="楷体" w:hAnsi="楷体" w:eastAsia="楷体" w:cs="楷体"/>
                <w:b/>
                <w:bCs/>
                <w:sz w:val="21"/>
                <w:szCs w:val="21"/>
              </w:rPr>
              <w:t>合同关键页</w:t>
            </w:r>
            <w:r>
              <w:rPr>
                <w:rFonts w:hint="eastAsia" w:ascii="楷体" w:hAnsi="楷体" w:eastAsia="楷体" w:cs="楷体"/>
                <w:sz w:val="21"/>
                <w:szCs w:val="21"/>
              </w:rPr>
              <w:t>（若项目业绩为框架合同项目须同时提供框架合同和单项工程委托书关键页）：封面、合同双方盖章签字、合同签订生效日期、工程规模（若项目业绩有要求）、承包范围、合同金额（若项目业绩有要求）、支付条款等评分要素的页面；</w:t>
            </w:r>
            <w:r>
              <w:rPr>
                <w:rFonts w:hint="eastAsia" w:ascii="楷体" w:hAnsi="楷体" w:eastAsia="楷体" w:cs="楷体"/>
                <w:b/>
                <w:bCs/>
                <w:sz w:val="21"/>
                <w:szCs w:val="21"/>
              </w:rPr>
              <w:t>③</w:t>
            </w:r>
            <w:r>
              <w:rPr>
                <w:rFonts w:hint="eastAsia" w:ascii="楷体" w:hAnsi="楷体" w:eastAsia="楷体" w:cs="楷体"/>
                <w:sz w:val="21"/>
                <w:szCs w:val="21"/>
              </w:rPr>
              <w:t>提供依据项目业绩合同支付条款约定的预付款或某1次进度款或交工或竣工结算款对应的</w:t>
            </w:r>
            <w:r>
              <w:rPr>
                <w:rFonts w:hint="eastAsia" w:ascii="楷体" w:hAnsi="楷体" w:eastAsia="楷体" w:cs="楷体"/>
                <w:b/>
                <w:bCs/>
                <w:sz w:val="21"/>
                <w:szCs w:val="21"/>
              </w:rPr>
              <w:t>增值税发票</w:t>
            </w:r>
            <w:r>
              <w:rPr>
                <w:rFonts w:hint="eastAsia" w:ascii="楷体" w:hAnsi="楷体" w:eastAsia="楷体" w:cs="楷体"/>
                <w:sz w:val="21"/>
                <w:szCs w:val="21"/>
              </w:rPr>
              <w:t>，并提供“国家税务总局全国增值税查验平台”核实增值税发票真伪的</w:t>
            </w:r>
            <w:r>
              <w:rPr>
                <w:rFonts w:hint="eastAsia" w:ascii="楷体" w:hAnsi="楷体" w:eastAsia="楷体" w:cs="楷体"/>
                <w:b/>
                <w:bCs/>
                <w:sz w:val="21"/>
                <w:szCs w:val="21"/>
              </w:rPr>
              <w:t>网页截图</w:t>
            </w:r>
            <w:r>
              <w:rPr>
                <w:rFonts w:hint="eastAsia" w:ascii="楷体" w:hAnsi="楷体" w:eastAsia="楷体" w:cs="楷体"/>
                <w:sz w:val="21"/>
                <w:szCs w:val="21"/>
              </w:rPr>
              <w:t>；若增值税发票中不能明确显示该项目名称的，则须补充提供对应的付款证书；</w:t>
            </w:r>
          </w:p>
          <w:p w14:paraId="78A993D7">
            <w:pPr>
              <w:widowControl/>
              <w:snapToGrid w:val="0"/>
              <w:spacing w:line="240" w:lineRule="auto"/>
              <w:jc w:val="left"/>
              <w:rPr>
                <w:rFonts w:ascii="楷体" w:hAnsi="楷体" w:eastAsia="楷体" w:cs="楷体"/>
                <w:sz w:val="21"/>
                <w:szCs w:val="21"/>
              </w:rPr>
            </w:pPr>
            <w:r>
              <w:rPr>
                <w:rFonts w:hint="eastAsia" w:ascii="楷体" w:hAnsi="楷体" w:eastAsia="楷体" w:cs="楷体"/>
                <w:sz w:val="21"/>
                <w:szCs w:val="21"/>
              </w:rPr>
              <w:t>（4）若项目业绩中与评分有关的内容在合同文本中不能明确显示，投标人须提供由发包人（或分包合同的发包人）或其下相关主管部门出具的补充证明材料，且加盖发包人（或分包合同的发包人）单位章或其下相关主管部门印章，否则其项目业绩无效；</w:t>
            </w:r>
          </w:p>
          <w:p w14:paraId="5B95717F">
            <w:pPr>
              <w:widowControl/>
              <w:spacing w:line="240" w:lineRule="auto"/>
              <w:jc w:val="left"/>
              <w:rPr>
                <w:rFonts w:ascii="楷体" w:hAnsi="楷体" w:eastAsia="楷体" w:cs="楷体"/>
                <w:sz w:val="21"/>
                <w:szCs w:val="21"/>
              </w:rPr>
            </w:pPr>
            <w:r>
              <w:rPr>
                <w:rFonts w:hint="eastAsia" w:ascii="楷体" w:hAnsi="楷体" w:eastAsia="楷体" w:cs="楷体"/>
                <w:sz w:val="21"/>
                <w:szCs w:val="21"/>
              </w:rPr>
              <w:t>（5）若按照项目业绩合同支付条款的约定尚不到付款期限，或合同支付条款的约定已到付款期限但尚未支付价款，无法提供付款证书和对应的增值税发票的，投标人须提供由发包人（或分包合同的发包人）或其下相关主管部门出具的补充证明材料（证明:按照《xxxx合同》支付条款的约定：尚不到付款期限/尚未支付相应价款），且加盖发包人（或分包合同的发包人）单位章或其下相关主管部门印章；</w:t>
            </w:r>
          </w:p>
          <w:p w14:paraId="4C9F0478">
            <w:pPr>
              <w:widowControl/>
              <w:snapToGrid w:val="0"/>
              <w:spacing w:line="240" w:lineRule="auto"/>
              <w:jc w:val="left"/>
              <w:rPr>
                <w:rFonts w:ascii="楷体" w:hAnsi="楷体" w:eastAsia="楷体"/>
                <w:b/>
                <w:bCs/>
                <w:sz w:val="21"/>
                <w:szCs w:val="21"/>
              </w:rPr>
            </w:pPr>
            <w:r>
              <w:rPr>
                <w:rFonts w:hint="eastAsia" w:ascii="楷体" w:hAnsi="楷体" w:eastAsia="楷体" w:cs="楷体"/>
                <w:sz w:val="21"/>
                <w:szCs w:val="21"/>
              </w:rPr>
              <w:t>（6）合同文本包括：工程施工总承包合同，或者设计采购施工总承包合同或其下工程施工总承包分包合同。】</w:t>
            </w:r>
          </w:p>
        </w:tc>
        <w:tc>
          <w:tcPr>
            <w:tcW w:w="992" w:type="dxa"/>
            <w:vAlign w:val="center"/>
          </w:tcPr>
          <w:p w14:paraId="1BC8F87E">
            <w:pPr>
              <w:spacing w:line="240" w:lineRule="auto"/>
              <w:jc w:val="center"/>
              <w:rPr>
                <w:rFonts w:ascii="宋体" w:hAnsi="宋体" w:cs="宋体"/>
                <w:kern w:val="0"/>
                <w:sz w:val="21"/>
                <w:szCs w:val="21"/>
              </w:rPr>
            </w:pPr>
            <w:r>
              <w:rPr>
                <w:rFonts w:hint="eastAsia" w:ascii="宋体" w:hAnsi="宋体" w:cs="宋体"/>
                <w:kern w:val="0"/>
                <w:sz w:val="21"/>
                <w:szCs w:val="21"/>
              </w:rPr>
              <w:t>45</w:t>
            </w:r>
          </w:p>
        </w:tc>
        <w:tc>
          <w:tcPr>
            <w:tcW w:w="709" w:type="dxa"/>
            <w:vAlign w:val="center"/>
          </w:tcPr>
          <w:p w14:paraId="50083939">
            <w:pPr>
              <w:spacing w:line="240" w:lineRule="auto"/>
              <w:jc w:val="center"/>
              <w:rPr>
                <w:rFonts w:ascii="宋体" w:hAnsi="宋体" w:cs="宋体"/>
                <w:kern w:val="0"/>
                <w:sz w:val="21"/>
                <w:szCs w:val="21"/>
              </w:rPr>
            </w:pPr>
          </w:p>
        </w:tc>
        <w:tc>
          <w:tcPr>
            <w:tcW w:w="708" w:type="dxa"/>
            <w:vAlign w:val="center"/>
          </w:tcPr>
          <w:p w14:paraId="35C8D298">
            <w:pPr>
              <w:spacing w:line="240" w:lineRule="auto"/>
              <w:jc w:val="center"/>
              <w:rPr>
                <w:rFonts w:ascii="宋体" w:hAnsi="宋体" w:cs="宋体"/>
                <w:kern w:val="0"/>
                <w:sz w:val="21"/>
                <w:szCs w:val="21"/>
              </w:rPr>
            </w:pPr>
          </w:p>
        </w:tc>
        <w:tc>
          <w:tcPr>
            <w:tcW w:w="524" w:type="dxa"/>
            <w:vAlign w:val="center"/>
          </w:tcPr>
          <w:p w14:paraId="40A55C3B">
            <w:pPr>
              <w:spacing w:line="240" w:lineRule="auto"/>
              <w:jc w:val="center"/>
              <w:rPr>
                <w:rFonts w:ascii="宋体" w:hAnsi="宋体" w:cs="宋体"/>
                <w:kern w:val="0"/>
                <w:sz w:val="21"/>
                <w:szCs w:val="21"/>
              </w:rPr>
            </w:pPr>
          </w:p>
        </w:tc>
      </w:tr>
      <w:tr w14:paraId="0B81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72" w:type="dxa"/>
            <w:vAlign w:val="center"/>
          </w:tcPr>
          <w:p w14:paraId="0F7AA7A9">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2</w:t>
            </w:r>
          </w:p>
        </w:tc>
        <w:tc>
          <w:tcPr>
            <w:tcW w:w="1266" w:type="dxa"/>
            <w:tcMar>
              <w:left w:w="28" w:type="dxa"/>
              <w:right w:w="28" w:type="dxa"/>
            </w:tcMar>
            <w:vAlign w:val="center"/>
          </w:tcPr>
          <w:p w14:paraId="652641CE">
            <w:pPr>
              <w:widowControl/>
              <w:snapToGrid w:val="0"/>
              <w:spacing w:line="240" w:lineRule="auto"/>
              <w:jc w:val="center"/>
              <w:rPr>
                <w:rFonts w:ascii="宋体" w:hAnsi="宋体" w:cs="宋体"/>
                <w:kern w:val="0"/>
                <w:sz w:val="21"/>
                <w:szCs w:val="21"/>
                <w:highlight w:val="none"/>
              </w:rPr>
            </w:pPr>
            <w:r>
              <w:rPr>
                <w:rFonts w:hint="eastAsia" w:ascii="宋体" w:hAnsi="宋体" w:cs="宋体"/>
                <w:kern w:val="0"/>
                <w:sz w:val="21"/>
                <w:szCs w:val="21"/>
                <w:highlight w:val="none"/>
              </w:rPr>
              <w:t>业绩履职情况</w:t>
            </w:r>
          </w:p>
        </w:tc>
        <w:tc>
          <w:tcPr>
            <w:tcW w:w="6149" w:type="dxa"/>
            <w:vAlign w:val="center"/>
          </w:tcPr>
          <w:p w14:paraId="14580B9D">
            <w:pPr>
              <w:widowControl/>
              <w:snapToGrid w:val="0"/>
              <w:spacing w:line="240" w:lineRule="auto"/>
              <w:jc w:val="left"/>
              <w:rPr>
                <w:rFonts w:ascii="宋体" w:hAnsi="宋体" w:cs="宋体"/>
                <w:kern w:val="0"/>
                <w:sz w:val="21"/>
                <w:szCs w:val="21"/>
                <w:highlight w:val="none"/>
              </w:rPr>
            </w:pPr>
            <w:r>
              <w:rPr>
                <w:rFonts w:hint="eastAsia" w:ascii="宋体" w:hAnsi="宋体" w:cs="宋体"/>
                <w:kern w:val="0"/>
                <w:sz w:val="21"/>
                <w:szCs w:val="21"/>
                <w:highlight w:val="none"/>
              </w:rPr>
              <w:t>投标人202</w:t>
            </w:r>
            <w:r>
              <w:rPr>
                <w:rFonts w:hint="eastAsia" w:ascii="宋体" w:hAnsi="宋体" w:cs="宋体"/>
                <w:kern w:val="0"/>
                <w:sz w:val="21"/>
                <w:szCs w:val="21"/>
                <w:highlight w:val="none"/>
                <w:lang w:val="en-US" w:eastAsia="zh-CN"/>
              </w:rPr>
              <w:t>1</w:t>
            </w:r>
            <w:r>
              <w:rPr>
                <w:rFonts w:hint="eastAsia" w:ascii="宋体" w:hAnsi="宋体" w:cs="宋体"/>
                <w:kern w:val="0"/>
                <w:sz w:val="21"/>
                <w:szCs w:val="21"/>
                <w:highlight w:val="none"/>
              </w:rPr>
              <w:t>年度至今年度中，有被连续合作三个年度以上（含）的项目发包人或框架项目发包单位评为年度优秀承包商荣誉的，得5分，良好的得3分，合格的得1分。本项最高得分5分。</w:t>
            </w:r>
          </w:p>
          <w:p w14:paraId="6B5D08D3">
            <w:pPr>
              <w:widowControl/>
              <w:snapToGrid w:val="0"/>
              <w:spacing w:line="240" w:lineRule="auto"/>
              <w:jc w:val="left"/>
              <w:rPr>
                <w:rFonts w:ascii="宋体" w:hAnsi="宋体" w:cs="宋体"/>
                <w:kern w:val="0"/>
                <w:sz w:val="21"/>
                <w:szCs w:val="21"/>
                <w:highlight w:val="none"/>
              </w:rPr>
            </w:pPr>
            <w:r>
              <w:rPr>
                <w:rFonts w:hint="eastAsia" w:ascii="楷体" w:hAnsi="楷体" w:eastAsia="楷体" w:cs="楷体"/>
                <w:sz w:val="21"/>
                <w:szCs w:val="21"/>
                <w:highlight w:val="none"/>
              </w:rPr>
              <w:t>注：【须提供项目发包人出具的荣誉称号或评级证书复印件（需体现合作年限并与业绩年限相匹配）否则不予得分。】</w:t>
            </w:r>
          </w:p>
        </w:tc>
        <w:tc>
          <w:tcPr>
            <w:tcW w:w="992" w:type="dxa"/>
            <w:vAlign w:val="center"/>
          </w:tcPr>
          <w:p w14:paraId="313FBF07">
            <w:pPr>
              <w:spacing w:line="240" w:lineRule="auto"/>
              <w:jc w:val="center"/>
              <w:rPr>
                <w:rFonts w:ascii="宋体" w:hAnsi="宋体" w:cs="宋体"/>
                <w:kern w:val="0"/>
                <w:sz w:val="21"/>
                <w:szCs w:val="21"/>
                <w:highlight w:val="none"/>
              </w:rPr>
            </w:pPr>
            <w:r>
              <w:rPr>
                <w:rFonts w:hint="eastAsia" w:ascii="宋体" w:hAnsi="宋体" w:cs="宋体"/>
                <w:kern w:val="0"/>
                <w:sz w:val="21"/>
                <w:szCs w:val="21"/>
                <w:highlight w:val="none"/>
              </w:rPr>
              <w:t>5</w:t>
            </w:r>
          </w:p>
        </w:tc>
        <w:tc>
          <w:tcPr>
            <w:tcW w:w="709" w:type="dxa"/>
            <w:vAlign w:val="center"/>
          </w:tcPr>
          <w:p w14:paraId="6970F68E">
            <w:pPr>
              <w:spacing w:line="240" w:lineRule="auto"/>
              <w:jc w:val="center"/>
              <w:rPr>
                <w:rFonts w:ascii="宋体" w:hAnsi="宋体" w:cs="宋体"/>
                <w:kern w:val="0"/>
                <w:sz w:val="21"/>
                <w:szCs w:val="21"/>
              </w:rPr>
            </w:pPr>
          </w:p>
        </w:tc>
        <w:tc>
          <w:tcPr>
            <w:tcW w:w="708" w:type="dxa"/>
            <w:vAlign w:val="center"/>
          </w:tcPr>
          <w:p w14:paraId="44A55BD5">
            <w:pPr>
              <w:spacing w:line="240" w:lineRule="auto"/>
              <w:jc w:val="center"/>
              <w:rPr>
                <w:rFonts w:ascii="宋体" w:hAnsi="宋体" w:cs="宋体"/>
                <w:kern w:val="0"/>
                <w:sz w:val="21"/>
                <w:szCs w:val="21"/>
              </w:rPr>
            </w:pPr>
          </w:p>
        </w:tc>
        <w:tc>
          <w:tcPr>
            <w:tcW w:w="524" w:type="dxa"/>
            <w:vAlign w:val="center"/>
          </w:tcPr>
          <w:p w14:paraId="3DCBBF13">
            <w:pPr>
              <w:spacing w:line="240" w:lineRule="auto"/>
              <w:jc w:val="center"/>
              <w:rPr>
                <w:rFonts w:ascii="宋体" w:hAnsi="宋体" w:cs="宋体"/>
                <w:kern w:val="0"/>
                <w:sz w:val="21"/>
                <w:szCs w:val="21"/>
              </w:rPr>
            </w:pPr>
          </w:p>
        </w:tc>
      </w:tr>
      <w:tr w14:paraId="21D4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72" w:type="dxa"/>
            <w:vAlign w:val="center"/>
          </w:tcPr>
          <w:p w14:paraId="1E248152">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3</w:t>
            </w:r>
          </w:p>
        </w:tc>
        <w:tc>
          <w:tcPr>
            <w:tcW w:w="1266" w:type="dxa"/>
            <w:tcMar>
              <w:left w:w="28" w:type="dxa"/>
              <w:right w:w="28" w:type="dxa"/>
            </w:tcMar>
            <w:vAlign w:val="center"/>
          </w:tcPr>
          <w:p w14:paraId="65FC4F3B">
            <w:pPr>
              <w:snapToGrid w:val="0"/>
              <w:spacing w:line="288" w:lineRule="auto"/>
              <w:jc w:val="center"/>
              <w:rPr>
                <w:rFonts w:ascii="宋体" w:hAnsi="宋体" w:cs="宋体"/>
                <w:kern w:val="0"/>
                <w:sz w:val="21"/>
                <w:szCs w:val="21"/>
              </w:rPr>
            </w:pPr>
            <w:r>
              <w:rPr>
                <w:rFonts w:hint="eastAsia" w:ascii="宋体" w:hAnsi="宋体" w:cs="宋体"/>
                <w:sz w:val="21"/>
                <w:szCs w:val="21"/>
              </w:rPr>
              <w:t>项目经理业绩</w:t>
            </w:r>
          </w:p>
        </w:tc>
        <w:tc>
          <w:tcPr>
            <w:tcW w:w="6149" w:type="dxa"/>
            <w:vAlign w:val="center"/>
          </w:tcPr>
          <w:p w14:paraId="50ED7903">
            <w:pPr>
              <w:widowControl/>
              <w:snapToGrid w:val="0"/>
              <w:spacing w:line="288" w:lineRule="auto"/>
              <w:jc w:val="left"/>
              <w:rPr>
                <w:rFonts w:ascii="宋体" w:hAnsi="宋体" w:cs="宋体"/>
                <w:sz w:val="21"/>
                <w:szCs w:val="21"/>
              </w:rPr>
            </w:pPr>
            <w:r>
              <w:rPr>
                <w:rFonts w:hint="eastAsia" w:ascii="宋体" w:hAnsi="宋体" w:cs="宋体"/>
                <w:sz w:val="21"/>
                <w:szCs w:val="21"/>
              </w:rPr>
              <w:t>项目经理202</w:t>
            </w:r>
            <w:r>
              <w:rPr>
                <w:rFonts w:hint="eastAsia" w:ascii="宋体" w:hAnsi="宋体" w:cs="宋体"/>
                <w:sz w:val="21"/>
                <w:szCs w:val="21"/>
                <w:lang w:val="en-US" w:eastAsia="zh-CN"/>
              </w:rPr>
              <w:t>1</w:t>
            </w:r>
            <w:r>
              <w:rPr>
                <w:rFonts w:hint="eastAsia" w:ascii="宋体" w:hAnsi="宋体" w:cs="宋体"/>
                <w:sz w:val="21"/>
                <w:szCs w:val="21"/>
              </w:rPr>
              <w:t>年以来有加油（气、氢）站的新改扩建施工项目的项目经理或项目副经理或项目执行经理执业业绩：每提供1个单项合同金额100万元（含）以上，200万元（不含）以下的业绩，得4分；每提供1个单项合同金额在200万元（含）以上的业绩，得5分；本项最高得20分。</w:t>
            </w:r>
          </w:p>
          <w:p w14:paraId="4B9A5FDA">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注：【（1）提供复印件；</w:t>
            </w:r>
          </w:p>
          <w:p w14:paraId="575FEEAD">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（2）202</w:t>
            </w:r>
            <w:r>
              <w:rPr>
                <w:rFonts w:hint="eastAsia" w:ascii="楷体" w:hAnsi="楷体" w:eastAsia="楷体" w:cs="楷体"/>
                <w:sz w:val="21"/>
                <w:szCs w:val="21"/>
                <w:lang w:val="en-US" w:eastAsia="zh-CN"/>
              </w:rPr>
              <w:t>1</w:t>
            </w:r>
            <w:r>
              <w:rPr>
                <w:rFonts w:hint="eastAsia" w:ascii="楷体" w:hAnsi="楷体" w:eastAsia="楷体" w:cs="楷体"/>
                <w:sz w:val="21"/>
                <w:szCs w:val="21"/>
              </w:rPr>
              <w:t>年以来：以（交）竣工验收日期为准；</w:t>
            </w:r>
          </w:p>
          <w:p w14:paraId="38D39EE8">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b/>
                <w:bCs/>
                <w:sz w:val="21"/>
                <w:szCs w:val="21"/>
              </w:rPr>
              <w:t>①提供验收证书</w:t>
            </w:r>
            <w:r>
              <w:rPr>
                <w:rFonts w:hint="eastAsia" w:ascii="楷体" w:hAnsi="楷体" w:eastAsia="楷体" w:cs="楷体"/>
                <w:sz w:val="21"/>
                <w:szCs w:val="21"/>
              </w:rPr>
              <w:t>；</w:t>
            </w:r>
            <w:r>
              <w:rPr>
                <w:rFonts w:hint="eastAsia" w:ascii="楷体" w:hAnsi="楷体" w:eastAsia="楷体" w:cs="楷体"/>
                <w:b/>
                <w:bCs/>
                <w:sz w:val="21"/>
                <w:szCs w:val="21"/>
              </w:rPr>
              <w:t>②</w:t>
            </w:r>
            <w:r>
              <w:rPr>
                <w:rFonts w:hint="eastAsia" w:ascii="楷体" w:hAnsi="楷体" w:eastAsia="楷体" w:cs="楷体"/>
                <w:sz w:val="21"/>
                <w:szCs w:val="21"/>
              </w:rPr>
              <w:t>提供含本项“评分标准”“项目业绩”的相关</w:t>
            </w:r>
            <w:r>
              <w:rPr>
                <w:rFonts w:hint="eastAsia" w:ascii="楷体" w:hAnsi="楷体" w:eastAsia="楷体" w:cs="楷体"/>
                <w:b/>
                <w:bCs/>
                <w:sz w:val="21"/>
                <w:szCs w:val="21"/>
              </w:rPr>
              <w:t>合同关键页</w:t>
            </w:r>
            <w:r>
              <w:rPr>
                <w:rFonts w:hint="eastAsia" w:ascii="楷体" w:hAnsi="楷体" w:eastAsia="楷体" w:cs="楷体"/>
                <w:sz w:val="21"/>
                <w:szCs w:val="21"/>
              </w:rPr>
              <w:t>（若项目业绩为框架合同项目须同时提供框架合同和单项工程委托书关键页）：封面、合同双方盖章签字、合同签订生效日期、人员岗位名称及姓名、工程规模（若项目业绩有要求）、承包范围、合同金额（若项目业绩有要求）、支付条款等评分要素的页面；</w:t>
            </w:r>
            <w:r>
              <w:rPr>
                <w:rFonts w:hint="eastAsia" w:ascii="楷体" w:hAnsi="楷体" w:eastAsia="楷体" w:cs="楷体"/>
                <w:b/>
                <w:bCs/>
                <w:sz w:val="21"/>
                <w:szCs w:val="21"/>
              </w:rPr>
              <w:t>③</w:t>
            </w:r>
            <w:r>
              <w:rPr>
                <w:rFonts w:hint="eastAsia" w:ascii="楷体" w:hAnsi="楷体" w:eastAsia="楷体" w:cs="楷体"/>
                <w:sz w:val="21"/>
                <w:szCs w:val="21"/>
              </w:rPr>
              <w:t>提供依据项目业绩合同支付条款约定的预付款或某1次进度款或交工或竣工结算款对应的</w:t>
            </w:r>
            <w:r>
              <w:rPr>
                <w:rFonts w:hint="eastAsia" w:ascii="楷体" w:hAnsi="楷体" w:eastAsia="楷体" w:cs="楷体"/>
                <w:b/>
                <w:bCs/>
                <w:sz w:val="21"/>
                <w:szCs w:val="21"/>
              </w:rPr>
              <w:t>增值税发票</w:t>
            </w:r>
            <w:r>
              <w:rPr>
                <w:rFonts w:hint="eastAsia" w:ascii="楷体" w:hAnsi="楷体" w:eastAsia="楷体" w:cs="楷体"/>
                <w:sz w:val="21"/>
                <w:szCs w:val="21"/>
              </w:rPr>
              <w:t>，并提供“国家税务总局全国增值税查验平台”核实增值税发票真伪的</w:t>
            </w:r>
            <w:r>
              <w:rPr>
                <w:rFonts w:hint="eastAsia" w:ascii="楷体" w:hAnsi="楷体" w:eastAsia="楷体" w:cs="楷体"/>
                <w:b/>
                <w:bCs/>
                <w:sz w:val="21"/>
                <w:szCs w:val="21"/>
              </w:rPr>
              <w:t>网页截图</w:t>
            </w:r>
            <w:r>
              <w:rPr>
                <w:rFonts w:hint="eastAsia" w:ascii="楷体" w:hAnsi="楷体" w:eastAsia="楷体" w:cs="楷体"/>
                <w:sz w:val="21"/>
                <w:szCs w:val="21"/>
              </w:rPr>
              <w:t>；若增值税发票中不能明确显示该项目名称的，则须补充提供对应的付款证书；</w:t>
            </w:r>
          </w:p>
          <w:p w14:paraId="6CDB2AA5">
            <w:pPr>
              <w:widowControl/>
              <w:snapToGrid w:val="0"/>
              <w:spacing w:line="288" w:lineRule="auto"/>
              <w:jc w:val="left"/>
              <w:rPr>
                <w:sz w:val="21"/>
                <w:szCs w:val="21"/>
              </w:rPr>
            </w:pPr>
            <w:r>
              <w:rPr>
                <w:rFonts w:hint="eastAsia" w:ascii="楷体" w:hAnsi="楷体" w:eastAsia="楷体" w:cs="楷体"/>
                <w:sz w:val="21"/>
                <w:szCs w:val="21"/>
              </w:rPr>
              <w:t>（4）若个人执业业绩中与评分有关的内容在合同文本中不能明确显示，投标人须提供由发包人（或分包合同的发包人）或其下相关主管部门出具的补充证明材料，且加盖发包人（或分包合同的发包人）单位章或其下相关主管部门印章，否则其项目业绩无效；</w:t>
            </w:r>
          </w:p>
          <w:p w14:paraId="67C136B6">
            <w:pPr>
              <w:widowControl/>
              <w:snapToGrid w:val="0"/>
              <w:spacing w:line="288" w:lineRule="auto"/>
              <w:jc w:val="left"/>
              <w:rPr>
                <w:sz w:val="21"/>
                <w:szCs w:val="21"/>
              </w:rPr>
            </w:pPr>
            <w:r>
              <w:rPr>
                <w:rFonts w:hint="eastAsia" w:ascii="楷体" w:hAnsi="楷体" w:eastAsia="楷体" w:cs="楷体"/>
                <w:sz w:val="21"/>
                <w:szCs w:val="21"/>
              </w:rPr>
              <w:t>（5）若按照项目业绩合同支付条款的约定尚不到付款期限，或合同支付条款的约定已到付款期限但尚未支付价款，无法提供付款证书和对应的增值税发票的，投标人须提供由发包人（或分包合同的发包人）或其下相关主管部门出具的补充证明材料（证明:按照《xxxx合同》支付条款的约定：尚不到付款期限/尚未支付相应价款），且加盖发包人（或分包合同的发包人）单位章或其下相关主管部门印章；</w:t>
            </w:r>
          </w:p>
          <w:p w14:paraId="2747EFF5">
            <w:pPr>
              <w:widowControl/>
              <w:snapToGrid w:val="0"/>
              <w:spacing w:line="288" w:lineRule="auto"/>
              <w:jc w:val="left"/>
              <w:rPr>
                <w:rFonts w:ascii="宋体" w:hAnsi="宋体" w:cs="宋体"/>
                <w:kern w:val="0"/>
                <w:sz w:val="21"/>
                <w:szCs w:val="21"/>
              </w:rPr>
            </w:pPr>
            <w:r>
              <w:rPr>
                <w:rFonts w:hint="eastAsia" w:ascii="楷体" w:hAnsi="楷体" w:eastAsia="楷体" w:cs="楷体"/>
                <w:sz w:val="21"/>
                <w:szCs w:val="21"/>
              </w:rPr>
              <w:t>（6）合同文本包括：工程施工总承包合同，或者设计采购施工总承包合同或其下工程施工总承包分包合同。】</w:t>
            </w:r>
          </w:p>
        </w:tc>
        <w:tc>
          <w:tcPr>
            <w:tcW w:w="992" w:type="dxa"/>
            <w:vAlign w:val="center"/>
          </w:tcPr>
          <w:p w14:paraId="0EDC4486">
            <w:pPr>
              <w:spacing w:line="240" w:lineRule="auto"/>
              <w:jc w:val="center"/>
              <w:rPr>
                <w:rFonts w:ascii="宋体" w:hAnsi="宋体" w:cs="宋体"/>
                <w:kern w:val="0"/>
                <w:sz w:val="21"/>
                <w:szCs w:val="21"/>
              </w:rPr>
            </w:pPr>
            <w:r>
              <w:rPr>
                <w:rFonts w:hint="eastAsia" w:ascii="宋体" w:hAnsi="宋体" w:cs="宋体"/>
                <w:kern w:val="0"/>
                <w:sz w:val="21"/>
                <w:szCs w:val="21"/>
              </w:rPr>
              <w:t>20</w:t>
            </w:r>
          </w:p>
        </w:tc>
        <w:tc>
          <w:tcPr>
            <w:tcW w:w="709" w:type="dxa"/>
            <w:vAlign w:val="center"/>
          </w:tcPr>
          <w:p w14:paraId="7D3BC8FC">
            <w:pPr>
              <w:spacing w:line="240" w:lineRule="auto"/>
              <w:jc w:val="center"/>
              <w:rPr>
                <w:rFonts w:ascii="宋体" w:hAnsi="宋体" w:cs="宋体"/>
                <w:kern w:val="0"/>
                <w:sz w:val="21"/>
                <w:szCs w:val="21"/>
              </w:rPr>
            </w:pPr>
          </w:p>
        </w:tc>
        <w:tc>
          <w:tcPr>
            <w:tcW w:w="708" w:type="dxa"/>
            <w:vAlign w:val="center"/>
          </w:tcPr>
          <w:p w14:paraId="21D2563A">
            <w:pPr>
              <w:spacing w:line="240" w:lineRule="auto"/>
              <w:jc w:val="center"/>
              <w:rPr>
                <w:rFonts w:ascii="宋体" w:hAnsi="宋体" w:cs="宋体"/>
                <w:kern w:val="0"/>
                <w:sz w:val="21"/>
                <w:szCs w:val="21"/>
              </w:rPr>
            </w:pPr>
          </w:p>
        </w:tc>
        <w:tc>
          <w:tcPr>
            <w:tcW w:w="524" w:type="dxa"/>
            <w:vAlign w:val="center"/>
          </w:tcPr>
          <w:p w14:paraId="2C35A9EE">
            <w:pPr>
              <w:spacing w:line="240" w:lineRule="auto"/>
              <w:jc w:val="center"/>
              <w:rPr>
                <w:rFonts w:ascii="宋体" w:hAnsi="宋体" w:cs="宋体"/>
                <w:kern w:val="0"/>
                <w:sz w:val="21"/>
                <w:szCs w:val="21"/>
              </w:rPr>
            </w:pPr>
          </w:p>
        </w:tc>
      </w:tr>
      <w:tr w14:paraId="0DFB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572" w:type="dxa"/>
            <w:vAlign w:val="center"/>
          </w:tcPr>
          <w:p w14:paraId="6555963A">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4</w:t>
            </w:r>
          </w:p>
        </w:tc>
        <w:tc>
          <w:tcPr>
            <w:tcW w:w="1266" w:type="dxa"/>
            <w:tcMar>
              <w:left w:w="28" w:type="dxa"/>
              <w:right w:w="28" w:type="dxa"/>
            </w:tcMar>
            <w:vAlign w:val="center"/>
          </w:tcPr>
          <w:p w14:paraId="69D87CC4">
            <w:pPr>
              <w:snapToGrid w:val="0"/>
              <w:spacing w:line="288" w:lineRule="auto"/>
              <w:jc w:val="center"/>
              <w:rPr>
                <w:rFonts w:ascii="宋体" w:hAnsi="宋体" w:cs="宋体"/>
                <w:kern w:val="0"/>
                <w:sz w:val="21"/>
                <w:szCs w:val="21"/>
              </w:rPr>
            </w:pPr>
            <w:r>
              <w:rPr>
                <w:rFonts w:hint="eastAsia" w:ascii="宋体" w:hAnsi="宋体" w:cs="宋体"/>
                <w:bCs/>
                <w:sz w:val="21"/>
                <w:szCs w:val="21"/>
              </w:rPr>
              <w:t>技术负责人</w:t>
            </w:r>
            <w:r>
              <w:rPr>
                <w:rFonts w:hint="eastAsia" w:ascii="宋体" w:hAnsi="宋体" w:cs="宋体"/>
                <w:spacing w:val="-10"/>
                <w:sz w:val="21"/>
                <w:szCs w:val="21"/>
              </w:rPr>
              <w:t>业绩</w:t>
            </w:r>
          </w:p>
        </w:tc>
        <w:tc>
          <w:tcPr>
            <w:tcW w:w="6149" w:type="dxa"/>
            <w:vAlign w:val="center"/>
          </w:tcPr>
          <w:p w14:paraId="2030915E">
            <w:pPr>
              <w:snapToGrid w:val="0"/>
              <w:spacing w:line="288" w:lineRule="auto"/>
              <w:jc w:val="left"/>
              <w:rPr>
                <w:rFonts w:ascii="宋体" w:hAnsi="宋体" w:cs="宋体"/>
                <w:sz w:val="21"/>
                <w:szCs w:val="21"/>
              </w:rPr>
            </w:pPr>
            <w:r>
              <w:rPr>
                <w:rFonts w:hint="eastAsia" w:ascii="宋体" w:hAnsi="宋体" w:cs="宋体"/>
                <w:sz w:val="21"/>
                <w:szCs w:val="21"/>
              </w:rPr>
              <w:t>技术负责人202</w:t>
            </w:r>
            <w:r>
              <w:rPr>
                <w:rFonts w:hint="eastAsia" w:ascii="宋体" w:hAnsi="宋体" w:cs="宋体"/>
                <w:sz w:val="21"/>
                <w:szCs w:val="21"/>
                <w:lang w:val="en-US" w:eastAsia="zh-CN"/>
              </w:rPr>
              <w:t>1</w:t>
            </w:r>
            <w:r>
              <w:rPr>
                <w:rFonts w:hint="eastAsia" w:ascii="宋体" w:hAnsi="宋体" w:cs="宋体"/>
                <w:sz w:val="21"/>
                <w:szCs w:val="21"/>
              </w:rPr>
              <w:t>年以来有加油（气、氢）站的新改扩建施工技术负责人岗位业绩：每提供1个单项合同金额100万元（含）以上，200万元（不含）以下的业绩，得2分；每提供1个单项合同金额在200万元（含）以上的业绩，得3分；本项最高得12分。</w:t>
            </w:r>
          </w:p>
          <w:p w14:paraId="6CCA6AAE">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注：【（1）提供复印件；</w:t>
            </w:r>
          </w:p>
          <w:p w14:paraId="53D0A13E">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（2）202</w:t>
            </w:r>
            <w:r>
              <w:rPr>
                <w:rFonts w:hint="eastAsia" w:ascii="楷体" w:hAnsi="楷体" w:eastAsia="楷体" w:cs="楷体"/>
                <w:sz w:val="21"/>
                <w:szCs w:val="21"/>
                <w:lang w:val="en-US" w:eastAsia="zh-CN"/>
              </w:rPr>
              <w:t>1</w:t>
            </w:r>
            <w:r>
              <w:rPr>
                <w:rFonts w:hint="eastAsia" w:ascii="楷体" w:hAnsi="楷体" w:eastAsia="楷体" w:cs="楷体"/>
                <w:sz w:val="21"/>
                <w:szCs w:val="21"/>
              </w:rPr>
              <w:t>年以来：以（交）竣工验收日期为准；</w:t>
            </w:r>
          </w:p>
          <w:p w14:paraId="37013135">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b/>
                <w:bCs/>
                <w:sz w:val="21"/>
                <w:szCs w:val="21"/>
              </w:rPr>
              <w:t>①提供验收证书</w:t>
            </w:r>
            <w:r>
              <w:rPr>
                <w:rFonts w:hint="eastAsia" w:ascii="楷体" w:hAnsi="楷体" w:eastAsia="楷体" w:cs="楷体"/>
                <w:sz w:val="21"/>
                <w:szCs w:val="21"/>
              </w:rPr>
              <w:t>；</w:t>
            </w:r>
            <w:r>
              <w:rPr>
                <w:rFonts w:hint="eastAsia" w:ascii="楷体" w:hAnsi="楷体" w:eastAsia="楷体" w:cs="楷体"/>
                <w:b/>
                <w:bCs/>
                <w:sz w:val="21"/>
                <w:szCs w:val="21"/>
              </w:rPr>
              <w:t>②</w:t>
            </w:r>
            <w:r>
              <w:rPr>
                <w:rFonts w:hint="eastAsia" w:ascii="楷体" w:hAnsi="楷体" w:eastAsia="楷体" w:cs="楷体"/>
                <w:sz w:val="21"/>
                <w:szCs w:val="21"/>
              </w:rPr>
              <w:t>提供含本项“评分标准”“项目业绩”的相关</w:t>
            </w:r>
            <w:r>
              <w:rPr>
                <w:rFonts w:hint="eastAsia" w:ascii="楷体" w:hAnsi="楷体" w:eastAsia="楷体" w:cs="楷体"/>
                <w:b/>
                <w:bCs/>
                <w:sz w:val="21"/>
                <w:szCs w:val="21"/>
              </w:rPr>
              <w:t>合同关键页</w:t>
            </w:r>
            <w:r>
              <w:rPr>
                <w:rFonts w:hint="eastAsia" w:ascii="楷体" w:hAnsi="楷体" w:eastAsia="楷体" w:cs="楷体"/>
                <w:sz w:val="21"/>
                <w:szCs w:val="21"/>
              </w:rPr>
              <w:t>（若项目业绩为框架合同项目须同时提供框架合同和单项工程委托书关键页）：封面、合同双方盖章签字、合同签订生效日期、人员岗位名称及姓名、工程规模（若项目业绩有要求）、承包范围、合同金额（若项目业绩有要求）、支付条款等评分要素的页面；</w:t>
            </w:r>
            <w:r>
              <w:rPr>
                <w:rFonts w:hint="eastAsia" w:ascii="楷体" w:hAnsi="楷体" w:eastAsia="楷体" w:cs="楷体"/>
                <w:b/>
                <w:bCs/>
                <w:sz w:val="21"/>
                <w:szCs w:val="21"/>
              </w:rPr>
              <w:t>③</w:t>
            </w:r>
            <w:r>
              <w:rPr>
                <w:rFonts w:hint="eastAsia" w:ascii="楷体" w:hAnsi="楷体" w:eastAsia="楷体" w:cs="楷体"/>
                <w:sz w:val="21"/>
                <w:szCs w:val="21"/>
              </w:rPr>
              <w:t>提供依据项目业绩合同支付条款约定的预付款或某1次进度款或交工或竣工结算款对应的</w:t>
            </w:r>
            <w:r>
              <w:rPr>
                <w:rFonts w:hint="eastAsia" w:ascii="楷体" w:hAnsi="楷体" w:eastAsia="楷体" w:cs="楷体"/>
                <w:b/>
                <w:bCs/>
                <w:sz w:val="21"/>
                <w:szCs w:val="21"/>
              </w:rPr>
              <w:t>增值税发票</w:t>
            </w:r>
            <w:r>
              <w:rPr>
                <w:rFonts w:hint="eastAsia" w:ascii="楷体" w:hAnsi="楷体" w:eastAsia="楷体" w:cs="楷体"/>
                <w:sz w:val="21"/>
                <w:szCs w:val="21"/>
              </w:rPr>
              <w:t>，并提供“国家税务总局全国增值税查验平台”核实增值税发票真伪的</w:t>
            </w:r>
            <w:r>
              <w:rPr>
                <w:rFonts w:hint="eastAsia" w:ascii="楷体" w:hAnsi="楷体" w:eastAsia="楷体" w:cs="楷体"/>
                <w:b/>
                <w:bCs/>
                <w:sz w:val="21"/>
                <w:szCs w:val="21"/>
              </w:rPr>
              <w:t>网页截图</w:t>
            </w:r>
            <w:r>
              <w:rPr>
                <w:rFonts w:hint="eastAsia" w:ascii="楷体" w:hAnsi="楷体" w:eastAsia="楷体" w:cs="楷体"/>
                <w:sz w:val="21"/>
                <w:szCs w:val="21"/>
              </w:rPr>
              <w:t>；若增值税发票中不能明确显示该项目名称的，则须补充提供对应的付款证书；</w:t>
            </w:r>
          </w:p>
          <w:p w14:paraId="5364BE21">
            <w:pPr>
              <w:widowControl/>
              <w:snapToGrid w:val="0"/>
              <w:spacing w:line="288" w:lineRule="auto"/>
              <w:jc w:val="left"/>
              <w:rPr>
                <w:sz w:val="21"/>
                <w:szCs w:val="21"/>
              </w:rPr>
            </w:pPr>
            <w:r>
              <w:rPr>
                <w:rFonts w:hint="eastAsia" w:ascii="楷体" w:hAnsi="楷体" w:eastAsia="楷体" w:cs="楷体"/>
                <w:sz w:val="21"/>
                <w:szCs w:val="21"/>
              </w:rPr>
              <w:t>（4）若个人岗位业绩中与评分有关的内容在合同文本中不能明确显示，投标人须提供由发包人（或分包合同的发包人）或其下相关主管部门出具的补充证明材料，且加盖发包人（或分包合同的发包人）单位章或其下相关主管部门印章，否则其项目业绩无效；</w:t>
            </w:r>
          </w:p>
          <w:p w14:paraId="6189FE12">
            <w:pPr>
              <w:widowControl/>
              <w:snapToGrid w:val="0"/>
              <w:spacing w:line="288" w:lineRule="auto"/>
              <w:jc w:val="left"/>
              <w:rPr>
                <w:sz w:val="21"/>
                <w:szCs w:val="21"/>
              </w:rPr>
            </w:pPr>
            <w:r>
              <w:rPr>
                <w:rFonts w:hint="eastAsia" w:ascii="楷体" w:hAnsi="楷体" w:eastAsia="楷体" w:cs="楷体"/>
                <w:sz w:val="21"/>
                <w:szCs w:val="21"/>
              </w:rPr>
              <w:t>（5）若按照项目业绩合同支付条款的约定尚不到付款期限，或合同支付条款的约定已到付款期限但尚未支付价款，无法提供付款证书和对应的增值税发票的，投标人须提供由发包人（或分包合同的发包人）或其下相关主管部门出具的补充证明材料（证明:按照《xxxx合同》支付条款的约定：尚不到付款期限/尚未支付相应价款），且加盖发包人（或分包合同的发包人）单位章或其下相关主管部门印章；</w:t>
            </w:r>
          </w:p>
          <w:p w14:paraId="34DA2729">
            <w:pPr>
              <w:snapToGrid w:val="0"/>
              <w:spacing w:line="288" w:lineRule="auto"/>
              <w:jc w:val="left"/>
              <w:rPr>
                <w:rFonts w:ascii="宋体" w:hAnsi="宋体" w:cs="宋体"/>
                <w:kern w:val="0"/>
                <w:sz w:val="21"/>
                <w:szCs w:val="21"/>
              </w:rPr>
            </w:pPr>
            <w:r>
              <w:rPr>
                <w:rFonts w:hint="eastAsia" w:ascii="楷体" w:hAnsi="楷体" w:eastAsia="楷体" w:cs="楷体"/>
                <w:sz w:val="21"/>
                <w:szCs w:val="21"/>
              </w:rPr>
              <w:t>（6）合同文本包括：工程施工总承包合同，或者设计采购施工总承包合同或其下工程施工总承包分包合同。】</w:t>
            </w:r>
          </w:p>
        </w:tc>
        <w:tc>
          <w:tcPr>
            <w:tcW w:w="992" w:type="dxa"/>
            <w:vAlign w:val="center"/>
          </w:tcPr>
          <w:p w14:paraId="092BE19B">
            <w:pPr>
              <w:spacing w:line="240" w:lineRule="auto"/>
              <w:jc w:val="center"/>
              <w:rPr>
                <w:rFonts w:ascii="宋体" w:hAnsi="宋体" w:cs="宋体"/>
                <w:kern w:val="0"/>
                <w:sz w:val="21"/>
                <w:szCs w:val="21"/>
              </w:rPr>
            </w:pPr>
            <w:r>
              <w:rPr>
                <w:rFonts w:hint="eastAsia" w:ascii="宋体" w:hAnsi="宋体" w:cs="宋体"/>
                <w:kern w:val="0"/>
                <w:sz w:val="21"/>
                <w:szCs w:val="21"/>
              </w:rPr>
              <w:t>12</w:t>
            </w:r>
          </w:p>
        </w:tc>
        <w:tc>
          <w:tcPr>
            <w:tcW w:w="709" w:type="dxa"/>
            <w:vAlign w:val="center"/>
          </w:tcPr>
          <w:p w14:paraId="4FA9696D">
            <w:pPr>
              <w:spacing w:line="240" w:lineRule="auto"/>
              <w:jc w:val="center"/>
              <w:rPr>
                <w:rFonts w:ascii="宋体" w:hAnsi="宋体" w:cs="宋体"/>
                <w:kern w:val="0"/>
                <w:sz w:val="21"/>
                <w:szCs w:val="21"/>
              </w:rPr>
            </w:pPr>
          </w:p>
        </w:tc>
        <w:tc>
          <w:tcPr>
            <w:tcW w:w="708" w:type="dxa"/>
            <w:vAlign w:val="center"/>
          </w:tcPr>
          <w:p w14:paraId="1D61CD87">
            <w:pPr>
              <w:spacing w:line="240" w:lineRule="auto"/>
              <w:jc w:val="center"/>
              <w:rPr>
                <w:rFonts w:ascii="宋体" w:hAnsi="宋体" w:cs="宋体"/>
                <w:kern w:val="0"/>
                <w:sz w:val="21"/>
                <w:szCs w:val="21"/>
              </w:rPr>
            </w:pPr>
          </w:p>
        </w:tc>
        <w:tc>
          <w:tcPr>
            <w:tcW w:w="524" w:type="dxa"/>
            <w:vAlign w:val="center"/>
          </w:tcPr>
          <w:p w14:paraId="1A85D130">
            <w:pPr>
              <w:spacing w:line="240" w:lineRule="auto"/>
              <w:jc w:val="center"/>
              <w:rPr>
                <w:rFonts w:ascii="宋体" w:hAnsi="宋体" w:cs="宋体"/>
                <w:kern w:val="0"/>
                <w:sz w:val="21"/>
                <w:szCs w:val="21"/>
              </w:rPr>
            </w:pPr>
          </w:p>
        </w:tc>
      </w:tr>
      <w:tr w14:paraId="2CEA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72" w:type="dxa"/>
            <w:vAlign w:val="center"/>
          </w:tcPr>
          <w:p w14:paraId="62D46749">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5</w:t>
            </w:r>
          </w:p>
        </w:tc>
        <w:tc>
          <w:tcPr>
            <w:tcW w:w="1266" w:type="dxa"/>
            <w:tcMar>
              <w:left w:w="28" w:type="dxa"/>
              <w:right w:w="28" w:type="dxa"/>
            </w:tcMar>
            <w:vAlign w:val="center"/>
          </w:tcPr>
          <w:p w14:paraId="42D50491">
            <w:pPr>
              <w:widowControl/>
              <w:snapToGrid w:val="0"/>
              <w:spacing w:line="276" w:lineRule="auto"/>
              <w:jc w:val="center"/>
              <w:rPr>
                <w:rFonts w:ascii="宋体" w:hAnsi="宋体" w:cs="宋体"/>
                <w:kern w:val="0"/>
                <w:sz w:val="21"/>
                <w:szCs w:val="21"/>
              </w:rPr>
            </w:pPr>
            <w:r>
              <w:rPr>
                <w:rFonts w:hint="eastAsia" w:ascii="宋体" w:hAnsi="宋体" w:cs="宋体"/>
                <w:kern w:val="0"/>
                <w:sz w:val="21"/>
                <w:szCs w:val="21"/>
              </w:rPr>
              <w:t>安全负责人业绩</w:t>
            </w:r>
          </w:p>
        </w:tc>
        <w:tc>
          <w:tcPr>
            <w:tcW w:w="6149" w:type="dxa"/>
            <w:vAlign w:val="center"/>
          </w:tcPr>
          <w:p w14:paraId="7A839646">
            <w:pPr>
              <w:widowControl/>
              <w:snapToGrid w:val="0"/>
              <w:spacing w:line="276" w:lineRule="auto"/>
              <w:rPr>
                <w:sz w:val="21"/>
                <w:szCs w:val="21"/>
              </w:rPr>
            </w:pPr>
            <w:r>
              <w:rPr>
                <w:rFonts w:hint="eastAsia"/>
                <w:sz w:val="21"/>
                <w:szCs w:val="21"/>
              </w:rPr>
              <w:t>安全负责人</w:t>
            </w:r>
            <w:r>
              <w:rPr>
                <w:rFonts w:hint="eastAsia" w:ascii="宋体" w:hAnsi="宋体" w:cs="宋体"/>
                <w:sz w:val="21"/>
                <w:szCs w:val="21"/>
              </w:rPr>
              <w:t>202</w:t>
            </w:r>
            <w:r>
              <w:rPr>
                <w:rFonts w:hint="eastAsia" w:ascii="宋体" w:hAnsi="宋体" w:cs="宋体"/>
                <w:sz w:val="21"/>
                <w:szCs w:val="21"/>
                <w:lang w:val="en-US" w:eastAsia="zh-CN"/>
              </w:rPr>
              <w:t>1</w:t>
            </w:r>
            <w:r>
              <w:rPr>
                <w:rFonts w:hint="eastAsia" w:ascii="宋体" w:hAnsi="宋体" w:cs="宋体"/>
                <w:sz w:val="21"/>
                <w:szCs w:val="21"/>
              </w:rPr>
              <w:t>年以来有加油（气、氢）站的新改扩建施工安全负责人岗位业绩：每提供1个单项合同金额100万元（含）以上，200万元（不含）以下的业绩，得2分；每提供1个单项合同金额在200万元（含）以上的业绩，得3分；本项最高得12分</w:t>
            </w:r>
            <w:r>
              <w:rPr>
                <w:rFonts w:hint="eastAsia"/>
                <w:sz w:val="21"/>
                <w:szCs w:val="21"/>
              </w:rPr>
              <w:t>。</w:t>
            </w:r>
          </w:p>
          <w:p w14:paraId="778A385C">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注：【（1）提供复印件；</w:t>
            </w:r>
          </w:p>
          <w:p w14:paraId="40285C7C">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（2）202</w:t>
            </w:r>
            <w:r>
              <w:rPr>
                <w:rFonts w:hint="eastAsia" w:ascii="楷体" w:hAnsi="楷体" w:eastAsia="楷体" w:cs="楷体"/>
                <w:sz w:val="21"/>
                <w:szCs w:val="21"/>
                <w:lang w:val="en-US" w:eastAsia="zh-CN"/>
              </w:rPr>
              <w:t>1</w:t>
            </w:r>
            <w:r>
              <w:rPr>
                <w:rFonts w:hint="eastAsia" w:ascii="楷体" w:hAnsi="楷体" w:eastAsia="楷体" w:cs="楷体"/>
                <w:sz w:val="21"/>
                <w:szCs w:val="21"/>
              </w:rPr>
              <w:t>年以来：以（交）竣工验收日期为准；</w:t>
            </w:r>
          </w:p>
          <w:p w14:paraId="216207C8">
            <w:pPr>
              <w:widowControl/>
              <w:snapToGrid w:val="0"/>
              <w:spacing w:line="288" w:lineRule="auto"/>
              <w:jc w:val="left"/>
              <w:rPr>
                <w:rFonts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b/>
                <w:bCs/>
                <w:sz w:val="21"/>
                <w:szCs w:val="21"/>
              </w:rPr>
              <w:t>①提供验收证书</w:t>
            </w:r>
            <w:r>
              <w:rPr>
                <w:rFonts w:hint="eastAsia" w:ascii="楷体" w:hAnsi="楷体" w:eastAsia="楷体" w:cs="楷体"/>
                <w:sz w:val="21"/>
                <w:szCs w:val="21"/>
              </w:rPr>
              <w:t>；</w:t>
            </w:r>
            <w:r>
              <w:rPr>
                <w:rFonts w:hint="eastAsia" w:ascii="楷体" w:hAnsi="楷体" w:eastAsia="楷体" w:cs="楷体"/>
                <w:b/>
                <w:bCs/>
                <w:sz w:val="21"/>
                <w:szCs w:val="21"/>
              </w:rPr>
              <w:t>②</w:t>
            </w:r>
            <w:r>
              <w:rPr>
                <w:rFonts w:hint="eastAsia" w:ascii="楷体" w:hAnsi="楷体" w:eastAsia="楷体" w:cs="楷体"/>
                <w:sz w:val="21"/>
                <w:szCs w:val="21"/>
              </w:rPr>
              <w:t>提供含本项“评分标准”“项目业绩”的相关</w:t>
            </w:r>
            <w:r>
              <w:rPr>
                <w:rFonts w:hint="eastAsia" w:ascii="楷体" w:hAnsi="楷体" w:eastAsia="楷体" w:cs="楷体"/>
                <w:b/>
                <w:bCs/>
                <w:sz w:val="21"/>
                <w:szCs w:val="21"/>
              </w:rPr>
              <w:t>合同关键页</w:t>
            </w:r>
            <w:r>
              <w:rPr>
                <w:rFonts w:hint="eastAsia" w:ascii="楷体" w:hAnsi="楷体" w:eastAsia="楷体" w:cs="楷体"/>
                <w:sz w:val="21"/>
                <w:szCs w:val="21"/>
              </w:rPr>
              <w:t>（若项目业绩为框架合同项目须同时提供框架合同和单项工程委托书关键页）：封面、合同双方盖章签字、合同签订生效日期、人员岗位名称及姓名、工程规模（若项目业绩有要求）、承包范围、合同金额（若项目业绩有要求）、支付条款等评分要素的页面；</w:t>
            </w:r>
            <w:r>
              <w:rPr>
                <w:rFonts w:hint="eastAsia" w:ascii="楷体" w:hAnsi="楷体" w:eastAsia="楷体" w:cs="楷体"/>
                <w:b/>
                <w:bCs/>
                <w:sz w:val="21"/>
                <w:szCs w:val="21"/>
              </w:rPr>
              <w:t>③</w:t>
            </w:r>
            <w:r>
              <w:rPr>
                <w:rFonts w:hint="eastAsia" w:ascii="楷体" w:hAnsi="楷体" w:eastAsia="楷体" w:cs="楷体"/>
                <w:sz w:val="21"/>
                <w:szCs w:val="21"/>
              </w:rPr>
              <w:t>提供依据项目业绩合同支付条款约定的预付款或某1次进度款或交工或竣工结算款对应的</w:t>
            </w:r>
            <w:r>
              <w:rPr>
                <w:rFonts w:hint="eastAsia" w:ascii="楷体" w:hAnsi="楷体" w:eastAsia="楷体" w:cs="楷体"/>
                <w:b/>
                <w:bCs/>
                <w:sz w:val="21"/>
                <w:szCs w:val="21"/>
              </w:rPr>
              <w:t>增值税发票</w:t>
            </w:r>
            <w:r>
              <w:rPr>
                <w:rFonts w:hint="eastAsia" w:ascii="楷体" w:hAnsi="楷体" w:eastAsia="楷体" w:cs="楷体"/>
                <w:sz w:val="21"/>
                <w:szCs w:val="21"/>
              </w:rPr>
              <w:t>，并提供“国家税务总局全国增值税查验平台”核实增值税发票真伪的</w:t>
            </w:r>
            <w:r>
              <w:rPr>
                <w:rFonts w:hint="eastAsia" w:ascii="楷体" w:hAnsi="楷体" w:eastAsia="楷体" w:cs="楷体"/>
                <w:b/>
                <w:bCs/>
                <w:sz w:val="21"/>
                <w:szCs w:val="21"/>
              </w:rPr>
              <w:t>网页截图</w:t>
            </w:r>
            <w:r>
              <w:rPr>
                <w:rFonts w:hint="eastAsia" w:ascii="楷体" w:hAnsi="楷体" w:eastAsia="楷体" w:cs="楷体"/>
                <w:sz w:val="21"/>
                <w:szCs w:val="21"/>
              </w:rPr>
              <w:t>；若增值税发票中不能明确显示该项目名称的，则须补充提供对应的付款证书；</w:t>
            </w:r>
          </w:p>
          <w:p w14:paraId="3FACC609">
            <w:pPr>
              <w:widowControl/>
              <w:snapToGrid w:val="0"/>
              <w:spacing w:line="288" w:lineRule="auto"/>
              <w:jc w:val="left"/>
              <w:rPr>
                <w:sz w:val="21"/>
                <w:szCs w:val="21"/>
              </w:rPr>
            </w:pPr>
            <w:r>
              <w:rPr>
                <w:rFonts w:hint="eastAsia" w:ascii="楷体" w:hAnsi="楷体" w:eastAsia="楷体" w:cs="楷体"/>
                <w:sz w:val="21"/>
                <w:szCs w:val="21"/>
              </w:rPr>
              <w:t>（4）若个人岗位业绩中与评分有关的内容在合同文本中不能明确显示，投标人须提供由发包人（或分包合同的发包人）或其下相关主管部门出具的补充证明材料，且加盖发包人（或分包合同的发包人）单位章或其下相关主管部门印章，否则其项目业绩无效；</w:t>
            </w:r>
          </w:p>
          <w:p w14:paraId="1B91B3F4">
            <w:pPr>
              <w:widowControl/>
              <w:snapToGrid w:val="0"/>
              <w:spacing w:line="288" w:lineRule="auto"/>
              <w:jc w:val="left"/>
              <w:rPr>
                <w:sz w:val="21"/>
                <w:szCs w:val="21"/>
              </w:rPr>
            </w:pPr>
            <w:r>
              <w:rPr>
                <w:rFonts w:hint="eastAsia" w:ascii="楷体" w:hAnsi="楷体" w:eastAsia="楷体" w:cs="楷体"/>
                <w:sz w:val="21"/>
                <w:szCs w:val="21"/>
              </w:rPr>
              <w:t>（5）若按照项目业绩合同支付条款的约定尚不到付款期限，或合同支付条款的约定已到付款期限但尚未支付价款，无法提供付款证书和对应的增值税发票的，投标人须提供由发包人（或分包合同的发包人）或其下相关主管部门出具的补充证明材料（证明:按照《xxxx合同》支付条款的约定：尚不到付款期限/尚未支付相应价款），且加盖发包人（或分包合同的发包人）单位章或其下相关主管部门印章；</w:t>
            </w:r>
          </w:p>
          <w:p w14:paraId="17257BAD">
            <w:pPr>
              <w:pStyle w:val="333"/>
              <w:snapToGrid w:val="0"/>
              <w:spacing w:line="276" w:lineRule="auto"/>
              <w:rPr>
                <w:rFonts w:hAnsi="宋体"/>
                <w:color w:val="auto"/>
                <w:sz w:val="21"/>
                <w:szCs w:val="21"/>
              </w:rPr>
            </w:pPr>
            <w:r>
              <w:rPr>
                <w:rFonts w:hint="eastAsia" w:ascii="楷体" w:hAnsi="楷体" w:eastAsia="楷体" w:cs="楷体"/>
                <w:color w:val="auto"/>
                <w:sz w:val="21"/>
                <w:szCs w:val="21"/>
              </w:rPr>
              <w:t>（6）合同文本包括：工程施工总承包合同，或者设计采购施工总承包合同或其下工程施工总承包分包合同。】</w:t>
            </w:r>
          </w:p>
        </w:tc>
        <w:tc>
          <w:tcPr>
            <w:tcW w:w="992" w:type="dxa"/>
            <w:vAlign w:val="center"/>
          </w:tcPr>
          <w:p w14:paraId="53C54EC2">
            <w:pPr>
              <w:spacing w:line="240" w:lineRule="auto"/>
              <w:jc w:val="center"/>
              <w:rPr>
                <w:rFonts w:ascii="宋体" w:hAnsi="宋体" w:cs="宋体"/>
                <w:kern w:val="0"/>
                <w:sz w:val="21"/>
                <w:szCs w:val="21"/>
              </w:rPr>
            </w:pPr>
            <w:r>
              <w:rPr>
                <w:rFonts w:hint="eastAsia" w:ascii="宋体" w:hAnsi="宋体" w:cs="宋体"/>
                <w:kern w:val="0"/>
                <w:sz w:val="21"/>
                <w:szCs w:val="21"/>
              </w:rPr>
              <w:t>12</w:t>
            </w:r>
          </w:p>
        </w:tc>
        <w:tc>
          <w:tcPr>
            <w:tcW w:w="709" w:type="dxa"/>
            <w:vAlign w:val="center"/>
          </w:tcPr>
          <w:p w14:paraId="353B738C">
            <w:pPr>
              <w:spacing w:line="240" w:lineRule="auto"/>
              <w:jc w:val="center"/>
              <w:rPr>
                <w:rFonts w:ascii="宋体" w:hAnsi="宋体" w:cs="宋体"/>
                <w:kern w:val="0"/>
                <w:sz w:val="21"/>
                <w:szCs w:val="21"/>
              </w:rPr>
            </w:pPr>
          </w:p>
        </w:tc>
        <w:tc>
          <w:tcPr>
            <w:tcW w:w="708" w:type="dxa"/>
            <w:vAlign w:val="center"/>
          </w:tcPr>
          <w:p w14:paraId="067C21A3">
            <w:pPr>
              <w:spacing w:line="240" w:lineRule="auto"/>
              <w:jc w:val="center"/>
              <w:rPr>
                <w:rFonts w:ascii="宋体" w:hAnsi="宋体" w:cs="宋体"/>
                <w:kern w:val="0"/>
                <w:sz w:val="21"/>
                <w:szCs w:val="21"/>
              </w:rPr>
            </w:pPr>
          </w:p>
        </w:tc>
        <w:tc>
          <w:tcPr>
            <w:tcW w:w="524" w:type="dxa"/>
            <w:vAlign w:val="center"/>
          </w:tcPr>
          <w:p w14:paraId="69A958D5">
            <w:pPr>
              <w:spacing w:line="240" w:lineRule="auto"/>
              <w:jc w:val="center"/>
              <w:rPr>
                <w:rFonts w:ascii="宋体" w:hAnsi="宋体" w:cs="宋体"/>
                <w:kern w:val="0"/>
                <w:sz w:val="21"/>
                <w:szCs w:val="21"/>
              </w:rPr>
            </w:pPr>
          </w:p>
        </w:tc>
      </w:tr>
      <w:tr w14:paraId="60DE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572" w:type="dxa"/>
            <w:vAlign w:val="center"/>
          </w:tcPr>
          <w:p w14:paraId="46F55D70">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1266" w:type="dxa"/>
            <w:tcMar>
              <w:left w:w="28" w:type="dxa"/>
              <w:right w:w="28" w:type="dxa"/>
            </w:tcMar>
            <w:vAlign w:val="center"/>
          </w:tcPr>
          <w:p w14:paraId="13909241">
            <w:pPr>
              <w:widowControl/>
              <w:snapToGrid w:val="0"/>
              <w:spacing w:line="240" w:lineRule="auto"/>
              <w:jc w:val="left"/>
              <w:rPr>
                <w:rFonts w:ascii="宋体" w:hAnsi="宋体" w:cs="宋体"/>
                <w:kern w:val="0"/>
                <w:sz w:val="21"/>
                <w:szCs w:val="21"/>
              </w:rPr>
            </w:pPr>
            <w:r>
              <w:rPr>
                <w:rFonts w:hint="eastAsia" w:ascii="宋体" w:hAnsi="宋体"/>
                <w:sz w:val="21"/>
                <w:szCs w:val="21"/>
              </w:rPr>
              <w:t>投标文件编制质量</w:t>
            </w:r>
          </w:p>
        </w:tc>
        <w:tc>
          <w:tcPr>
            <w:tcW w:w="6149" w:type="dxa"/>
            <w:vAlign w:val="center"/>
          </w:tcPr>
          <w:p w14:paraId="5ADDBA6F">
            <w:pPr>
              <w:tabs>
                <w:tab w:val="left" w:pos="1575"/>
              </w:tabs>
              <w:snapToGrid w:val="0"/>
              <w:spacing w:line="240" w:lineRule="auto"/>
              <w:rPr>
                <w:rFonts w:ascii="宋体" w:hAnsi="宋体"/>
                <w:sz w:val="21"/>
                <w:szCs w:val="21"/>
              </w:rPr>
            </w:pPr>
            <w:r>
              <w:rPr>
                <w:rFonts w:hint="eastAsia" w:ascii="宋体" w:hAnsi="宋体"/>
                <w:sz w:val="21"/>
                <w:szCs w:val="21"/>
              </w:rPr>
              <w:t>对文件内容是否完整、简练，结构是否符合要求，目录与正文是否对应，文字、复印件证明资料等是否清晰等进行类比，综合评审：</w:t>
            </w:r>
          </w:p>
          <w:p w14:paraId="403CE444">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5-6分</w:t>
            </w:r>
          </w:p>
          <w:p w14:paraId="6455678E">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52DA3537">
            <w:pPr>
              <w:widowControl/>
              <w:tabs>
                <w:tab w:val="left" w:pos="1575"/>
              </w:tabs>
              <w:snapToGrid w:val="0"/>
              <w:spacing w:line="240" w:lineRule="auto"/>
              <w:jc w:val="left"/>
              <w:rPr>
                <w:rFonts w:ascii="宋体" w:hAnsi="宋体" w:cs="宋体"/>
                <w:kern w:val="0"/>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tc>
        <w:tc>
          <w:tcPr>
            <w:tcW w:w="992" w:type="dxa"/>
            <w:vAlign w:val="center"/>
          </w:tcPr>
          <w:p w14:paraId="26B02DC8">
            <w:pPr>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709" w:type="dxa"/>
            <w:vAlign w:val="center"/>
          </w:tcPr>
          <w:p w14:paraId="31D37B9A">
            <w:pPr>
              <w:spacing w:line="240" w:lineRule="auto"/>
              <w:jc w:val="center"/>
              <w:rPr>
                <w:rFonts w:ascii="宋体" w:hAnsi="宋体" w:cs="宋体"/>
                <w:kern w:val="0"/>
                <w:sz w:val="21"/>
                <w:szCs w:val="21"/>
              </w:rPr>
            </w:pPr>
          </w:p>
        </w:tc>
        <w:tc>
          <w:tcPr>
            <w:tcW w:w="708" w:type="dxa"/>
            <w:vAlign w:val="center"/>
          </w:tcPr>
          <w:p w14:paraId="014295B9">
            <w:pPr>
              <w:spacing w:line="240" w:lineRule="auto"/>
              <w:jc w:val="center"/>
              <w:rPr>
                <w:rFonts w:ascii="宋体" w:hAnsi="宋体" w:cs="宋体"/>
                <w:kern w:val="0"/>
                <w:sz w:val="21"/>
                <w:szCs w:val="21"/>
              </w:rPr>
            </w:pPr>
          </w:p>
        </w:tc>
        <w:tc>
          <w:tcPr>
            <w:tcW w:w="524" w:type="dxa"/>
            <w:vAlign w:val="center"/>
          </w:tcPr>
          <w:p w14:paraId="078971AB">
            <w:pPr>
              <w:spacing w:line="240" w:lineRule="auto"/>
              <w:jc w:val="center"/>
              <w:rPr>
                <w:rFonts w:ascii="宋体" w:hAnsi="宋体" w:cs="宋体"/>
                <w:kern w:val="0"/>
                <w:sz w:val="21"/>
                <w:szCs w:val="21"/>
              </w:rPr>
            </w:pPr>
          </w:p>
        </w:tc>
      </w:tr>
      <w:tr w14:paraId="0D6E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987" w:type="dxa"/>
            <w:gridSpan w:val="3"/>
            <w:vAlign w:val="center"/>
          </w:tcPr>
          <w:p w14:paraId="5891F467">
            <w:pPr>
              <w:widowControl/>
              <w:snapToGrid w:val="0"/>
              <w:spacing w:line="240" w:lineRule="auto"/>
              <w:jc w:val="right"/>
              <w:rPr>
                <w:rFonts w:ascii="宋体" w:hAnsi="宋体" w:cs="宋体"/>
                <w:kern w:val="0"/>
                <w:sz w:val="21"/>
                <w:szCs w:val="21"/>
              </w:rPr>
            </w:pPr>
            <w:r>
              <w:rPr>
                <w:rFonts w:hint="eastAsia" w:ascii="宋体" w:hAnsi="宋体" w:cs="宋体"/>
                <w:kern w:val="0"/>
                <w:sz w:val="21"/>
                <w:szCs w:val="21"/>
              </w:rPr>
              <w:t>综合部分得分合计</w:t>
            </w:r>
          </w:p>
        </w:tc>
        <w:tc>
          <w:tcPr>
            <w:tcW w:w="992" w:type="dxa"/>
            <w:vAlign w:val="center"/>
          </w:tcPr>
          <w:p w14:paraId="7B1642BB">
            <w:pPr>
              <w:spacing w:line="240" w:lineRule="auto"/>
              <w:jc w:val="center"/>
              <w:rPr>
                <w:rFonts w:ascii="宋体" w:hAnsi="宋体" w:cs="宋体"/>
                <w:kern w:val="0"/>
                <w:sz w:val="21"/>
                <w:szCs w:val="21"/>
              </w:rPr>
            </w:pPr>
            <w:r>
              <w:rPr>
                <w:rFonts w:hint="eastAsia" w:ascii="宋体" w:hAnsi="宋体" w:cs="宋体"/>
                <w:kern w:val="0"/>
                <w:sz w:val="21"/>
                <w:szCs w:val="21"/>
              </w:rPr>
              <w:t>100</w:t>
            </w:r>
          </w:p>
        </w:tc>
        <w:tc>
          <w:tcPr>
            <w:tcW w:w="709" w:type="dxa"/>
            <w:vAlign w:val="center"/>
          </w:tcPr>
          <w:p w14:paraId="0B23974C">
            <w:pPr>
              <w:spacing w:line="240" w:lineRule="auto"/>
              <w:jc w:val="center"/>
              <w:rPr>
                <w:rFonts w:ascii="宋体" w:hAnsi="宋体" w:cs="宋体"/>
                <w:kern w:val="0"/>
                <w:sz w:val="21"/>
                <w:szCs w:val="21"/>
              </w:rPr>
            </w:pPr>
          </w:p>
        </w:tc>
        <w:tc>
          <w:tcPr>
            <w:tcW w:w="708" w:type="dxa"/>
            <w:vAlign w:val="center"/>
          </w:tcPr>
          <w:p w14:paraId="4A2E4DB9">
            <w:pPr>
              <w:spacing w:line="240" w:lineRule="auto"/>
              <w:jc w:val="center"/>
              <w:rPr>
                <w:rFonts w:ascii="宋体" w:hAnsi="宋体" w:cs="宋体"/>
                <w:kern w:val="0"/>
                <w:sz w:val="21"/>
                <w:szCs w:val="21"/>
              </w:rPr>
            </w:pPr>
          </w:p>
        </w:tc>
        <w:tc>
          <w:tcPr>
            <w:tcW w:w="524" w:type="dxa"/>
            <w:vAlign w:val="center"/>
          </w:tcPr>
          <w:p w14:paraId="1CE2BBC6">
            <w:pPr>
              <w:spacing w:line="240" w:lineRule="auto"/>
              <w:jc w:val="center"/>
              <w:rPr>
                <w:rFonts w:ascii="宋体" w:hAnsi="宋体" w:cs="宋体"/>
                <w:kern w:val="0"/>
                <w:sz w:val="21"/>
                <w:szCs w:val="21"/>
              </w:rPr>
            </w:pPr>
          </w:p>
        </w:tc>
      </w:tr>
    </w:tbl>
    <w:p w14:paraId="7FCBDC36">
      <w:pPr>
        <w:snapToGrid w:val="0"/>
        <w:spacing w:before="72" w:beforeLines="30" w:line="240" w:lineRule="auto"/>
        <w:rPr>
          <w:rFonts w:ascii="宋体"/>
          <w:sz w:val="22"/>
          <w:szCs w:val="22"/>
        </w:rPr>
      </w:pPr>
      <w:r>
        <w:rPr>
          <w:rFonts w:hint="eastAsia" w:ascii="宋体"/>
          <w:sz w:val="22"/>
          <w:szCs w:val="22"/>
        </w:rPr>
        <w:t>注：1.本次招标投标人拟派出的项目部主要人员组成为项目经理、安全负责人、技术负责人各1名，上述人员业绩只计算符合投标人资格要求的项目部主要组成人员的业绩。</w:t>
      </w:r>
    </w:p>
    <w:p w14:paraId="18F7CE03">
      <w:pPr>
        <w:snapToGrid w:val="0"/>
        <w:spacing w:before="72" w:beforeLines="30" w:line="240" w:lineRule="auto"/>
        <w:rPr>
          <w:sz w:val="21"/>
          <w:szCs w:val="21"/>
        </w:rPr>
      </w:pPr>
      <w:r>
        <w:rPr>
          <w:rFonts w:hint="eastAsia" w:ascii="宋体"/>
          <w:sz w:val="22"/>
          <w:szCs w:val="22"/>
        </w:rPr>
        <w:t>2.各投标人的综合部分得分为评标委员会成员的算术平均值</w:t>
      </w:r>
      <w:r>
        <w:rPr>
          <w:rFonts w:hint="eastAsia" w:ascii="宋体" w:hAnsi="宋体"/>
          <w:sz w:val="22"/>
          <w:szCs w:val="22"/>
        </w:rPr>
        <w:t>。</w:t>
      </w:r>
    </w:p>
    <w:p w14:paraId="100C6CF8">
      <w:pPr>
        <w:snapToGrid w:val="0"/>
        <w:spacing w:before="72" w:beforeLines="30" w:line="240" w:lineRule="auto"/>
        <w:rPr>
          <w:sz w:val="21"/>
          <w:szCs w:val="21"/>
        </w:rPr>
      </w:pPr>
    </w:p>
    <w:p w14:paraId="760E67E1">
      <w:pPr>
        <w:snapToGrid w:val="0"/>
        <w:spacing w:before="72" w:beforeLines="30" w:line="240" w:lineRule="auto"/>
        <w:rPr>
          <w:sz w:val="21"/>
          <w:szCs w:val="21"/>
        </w:rPr>
      </w:pPr>
      <w:r>
        <w:rPr>
          <w:rFonts w:hint="eastAsia"/>
          <w:sz w:val="21"/>
          <w:szCs w:val="21"/>
        </w:rPr>
        <w:t>评标委员会成员签名：                                                         年   月   日</w:t>
      </w:r>
    </w:p>
    <w:p w14:paraId="1EB9DA6E">
      <w:pPr>
        <w:rPr>
          <w:rFonts w:ascii="宋体" w:hAnsi="宋体" w:cs="宋体"/>
        </w:rPr>
      </w:pPr>
      <w:r>
        <w:rPr>
          <w:rFonts w:hint="eastAsia" w:ascii="宋体"/>
          <w:sz w:val="22"/>
          <w:szCs w:val="22"/>
        </w:rPr>
        <w:br w:type="page"/>
      </w:r>
    </w:p>
    <w:p w14:paraId="0D46243E">
      <w:pPr>
        <w:snapToGrid w:val="0"/>
        <w:spacing w:after="120" w:afterLines="50" w:line="240" w:lineRule="auto"/>
        <w:jc w:val="center"/>
        <w:rPr>
          <w:b/>
          <w:bCs/>
          <w:sz w:val="30"/>
          <w:szCs w:val="30"/>
        </w:rPr>
      </w:pPr>
      <w:r>
        <w:rPr>
          <w:rFonts w:hint="eastAsia"/>
          <w:b/>
          <w:bCs/>
          <w:sz w:val="30"/>
          <w:szCs w:val="30"/>
        </w:rPr>
        <w:t>详细评审标准及计分表</w:t>
      </w:r>
    </w:p>
    <w:p w14:paraId="5F0336B3">
      <w:pPr>
        <w:tabs>
          <w:tab w:val="left" w:pos="4680"/>
        </w:tabs>
        <w:snapToGrid w:val="0"/>
        <w:spacing w:line="240" w:lineRule="auto"/>
        <w:rPr>
          <w:rFonts w:ascii="宋体" w:hAnsi="宋体"/>
          <w:bCs/>
          <w:sz w:val="21"/>
          <w:szCs w:val="21"/>
        </w:rPr>
      </w:pPr>
      <w:r>
        <w:rPr>
          <w:rFonts w:hint="eastAsia" w:ascii="宋体" w:hAnsi="宋体"/>
          <w:bCs/>
          <w:sz w:val="21"/>
          <w:szCs w:val="21"/>
        </w:rPr>
        <w:t xml:space="preserve">招标项目名称：                           </w:t>
      </w:r>
      <w:r>
        <w:rPr>
          <w:rFonts w:ascii="宋体" w:hAnsi="宋体"/>
          <w:bCs/>
          <w:sz w:val="21"/>
          <w:szCs w:val="21"/>
        </w:rPr>
        <w:t xml:space="preserve">                     </w:t>
      </w:r>
    </w:p>
    <w:p w14:paraId="5C3E2703">
      <w:pPr>
        <w:tabs>
          <w:tab w:val="left" w:pos="4680"/>
        </w:tabs>
        <w:snapToGrid w:val="0"/>
        <w:spacing w:line="240" w:lineRule="auto"/>
        <w:rPr>
          <w:rFonts w:ascii="宋体" w:hAnsi="宋体"/>
          <w:b/>
          <w:bCs/>
          <w:sz w:val="21"/>
          <w:szCs w:val="21"/>
        </w:rPr>
      </w:pPr>
      <w:r>
        <w:rPr>
          <w:rFonts w:hint="eastAsia" w:ascii="宋体" w:hAnsi="宋体"/>
          <w:bCs/>
          <w:sz w:val="21"/>
          <w:szCs w:val="21"/>
        </w:rPr>
        <w:t xml:space="preserve">招标项目编号：                           </w:t>
      </w:r>
      <w:r>
        <w:rPr>
          <w:rFonts w:ascii="宋体" w:hAnsi="宋体"/>
          <w:bCs/>
          <w:sz w:val="21"/>
          <w:szCs w:val="21"/>
        </w:rPr>
        <w:t xml:space="preserve">                     </w:t>
      </w:r>
    </w:p>
    <w:tbl>
      <w:tblPr>
        <w:tblStyle w:val="63"/>
        <w:tblW w:w="10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55"/>
        <w:gridCol w:w="5249"/>
        <w:gridCol w:w="851"/>
        <w:gridCol w:w="708"/>
        <w:gridCol w:w="709"/>
        <w:gridCol w:w="567"/>
      </w:tblGrid>
      <w:tr w14:paraId="65B5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0206" w:type="dxa"/>
            <w:gridSpan w:val="7"/>
            <w:vAlign w:val="center"/>
          </w:tcPr>
          <w:p w14:paraId="124BE07F">
            <w:pPr>
              <w:widowControl/>
              <w:snapToGrid w:val="0"/>
              <w:spacing w:line="240" w:lineRule="auto"/>
              <w:jc w:val="left"/>
              <w:rPr>
                <w:rFonts w:ascii="宋体" w:hAnsi="宋体" w:cs="宋体"/>
                <w:kern w:val="0"/>
                <w:sz w:val="21"/>
                <w:szCs w:val="21"/>
              </w:rPr>
            </w:pPr>
            <w:r>
              <w:rPr>
                <w:rFonts w:hint="eastAsia" w:ascii="宋体" w:hAnsi="宋体"/>
                <w:b/>
                <w:bCs/>
                <w:sz w:val="21"/>
                <w:szCs w:val="21"/>
              </w:rPr>
              <w:t>（三）技术部分</w:t>
            </w:r>
            <w:r>
              <w:rPr>
                <w:rFonts w:ascii="宋体" w:hAnsi="宋体" w:cs="宋体"/>
                <w:kern w:val="0"/>
                <w:sz w:val="21"/>
                <w:szCs w:val="21"/>
              </w:rPr>
              <w:t xml:space="preserve"> </w:t>
            </w:r>
          </w:p>
        </w:tc>
      </w:tr>
      <w:tr w14:paraId="42D4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67" w:type="dxa"/>
            <w:vMerge w:val="restart"/>
            <w:vAlign w:val="center"/>
          </w:tcPr>
          <w:p w14:paraId="61890BC6">
            <w:pPr>
              <w:widowControl/>
              <w:snapToGrid w:val="0"/>
              <w:spacing w:line="240" w:lineRule="auto"/>
              <w:jc w:val="center"/>
              <w:rPr>
                <w:rFonts w:ascii="宋体" w:hAnsi="宋体" w:cs="宋体"/>
                <w:kern w:val="0"/>
                <w:sz w:val="21"/>
                <w:szCs w:val="21"/>
              </w:rPr>
            </w:pPr>
            <w:r>
              <w:rPr>
                <w:rFonts w:ascii="宋体" w:hAnsi="宋体"/>
                <w:b/>
                <w:bCs/>
                <w:szCs w:val="21"/>
              </w:rPr>
              <w:br w:type="page"/>
            </w:r>
            <w:r>
              <w:rPr>
                <w:rFonts w:hint="eastAsia" w:ascii="宋体" w:hAnsi="宋体" w:cs="宋体"/>
                <w:kern w:val="0"/>
                <w:sz w:val="21"/>
                <w:szCs w:val="21"/>
              </w:rPr>
              <w:t>序号</w:t>
            </w:r>
          </w:p>
        </w:tc>
        <w:tc>
          <w:tcPr>
            <w:tcW w:w="1555" w:type="dxa"/>
            <w:vMerge w:val="restart"/>
            <w:tcMar>
              <w:left w:w="28" w:type="dxa"/>
              <w:right w:w="28" w:type="dxa"/>
            </w:tcMar>
            <w:vAlign w:val="center"/>
          </w:tcPr>
          <w:p w14:paraId="2AD2E01D">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评分项目</w:t>
            </w:r>
          </w:p>
        </w:tc>
        <w:tc>
          <w:tcPr>
            <w:tcW w:w="5249" w:type="dxa"/>
            <w:vMerge w:val="restart"/>
            <w:vAlign w:val="center"/>
          </w:tcPr>
          <w:p w14:paraId="18D17ABB">
            <w:pPr>
              <w:widowControl/>
              <w:snapToGrid w:val="0"/>
              <w:spacing w:line="240" w:lineRule="auto"/>
              <w:jc w:val="center"/>
              <w:rPr>
                <w:rFonts w:ascii="华文楷体" w:hAnsi="华文楷体" w:eastAsia="华文楷体"/>
                <w:b/>
                <w:bCs/>
                <w:sz w:val="18"/>
                <w:szCs w:val="18"/>
              </w:rPr>
            </w:pPr>
            <w:r>
              <w:rPr>
                <w:rFonts w:hint="eastAsia" w:ascii="宋体" w:hAnsi="宋体" w:cs="宋体"/>
                <w:kern w:val="0"/>
                <w:sz w:val="21"/>
                <w:szCs w:val="21"/>
              </w:rPr>
              <w:t>评分标准</w:t>
            </w:r>
          </w:p>
        </w:tc>
        <w:tc>
          <w:tcPr>
            <w:tcW w:w="851" w:type="dxa"/>
            <w:vMerge w:val="restart"/>
            <w:vAlign w:val="center"/>
          </w:tcPr>
          <w:p w14:paraId="0A809C14">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标准分</w:t>
            </w:r>
          </w:p>
          <w:p w14:paraId="437252D1">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（分）</w:t>
            </w:r>
          </w:p>
        </w:tc>
        <w:tc>
          <w:tcPr>
            <w:tcW w:w="1984" w:type="dxa"/>
            <w:gridSpan w:val="3"/>
            <w:vAlign w:val="center"/>
          </w:tcPr>
          <w:p w14:paraId="2A82E6BC">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投标人名称</w:t>
            </w:r>
          </w:p>
          <w:p w14:paraId="0DC5E695">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及评审结论</w:t>
            </w:r>
          </w:p>
        </w:tc>
      </w:tr>
      <w:tr w14:paraId="12DD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567" w:type="dxa"/>
            <w:vMerge w:val="continue"/>
            <w:vAlign w:val="center"/>
          </w:tcPr>
          <w:p w14:paraId="280A52B1">
            <w:pPr>
              <w:widowControl/>
              <w:snapToGrid w:val="0"/>
              <w:spacing w:line="240" w:lineRule="auto"/>
              <w:jc w:val="center"/>
              <w:rPr>
                <w:rFonts w:ascii="宋体" w:hAnsi="宋体" w:cs="宋体"/>
                <w:kern w:val="0"/>
                <w:sz w:val="21"/>
                <w:szCs w:val="21"/>
              </w:rPr>
            </w:pPr>
          </w:p>
        </w:tc>
        <w:tc>
          <w:tcPr>
            <w:tcW w:w="1555" w:type="dxa"/>
            <w:vMerge w:val="continue"/>
            <w:tcMar>
              <w:left w:w="28" w:type="dxa"/>
              <w:right w:w="28" w:type="dxa"/>
            </w:tcMar>
            <w:vAlign w:val="center"/>
          </w:tcPr>
          <w:p w14:paraId="7D503C21">
            <w:pPr>
              <w:widowControl/>
              <w:snapToGrid w:val="0"/>
              <w:spacing w:line="240" w:lineRule="auto"/>
              <w:jc w:val="center"/>
              <w:rPr>
                <w:rFonts w:ascii="宋体" w:hAnsi="宋体" w:cs="宋体"/>
                <w:kern w:val="0"/>
                <w:sz w:val="21"/>
                <w:szCs w:val="21"/>
              </w:rPr>
            </w:pPr>
          </w:p>
        </w:tc>
        <w:tc>
          <w:tcPr>
            <w:tcW w:w="5249" w:type="dxa"/>
            <w:vMerge w:val="continue"/>
            <w:vAlign w:val="center"/>
          </w:tcPr>
          <w:p w14:paraId="17CDC2AC">
            <w:pPr>
              <w:widowControl/>
              <w:snapToGrid w:val="0"/>
              <w:spacing w:line="240" w:lineRule="auto"/>
              <w:jc w:val="center"/>
              <w:rPr>
                <w:rFonts w:ascii="宋体" w:hAnsi="宋体" w:cs="宋体"/>
                <w:kern w:val="0"/>
                <w:sz w:val="21"/>
                <w:szCs w:val="21"/>
              </w:rPr>
            </w:pPr>
          </w:p>
        </w:tc>
        <w:tc>
          <w:tcPr>
            <w:tcW w:w="851" w:type="dxa"/>
            <w:vMerge w:val="continue"/>
          </w:tcPr>
          <w:p w14:paraId="3AA2BB23">
            <w:pPr>
              <w:spacing w:line="240" w:lineRule="auto"/>
              <w:jc w:val="center"/>
              <w:rPr>
                <w:rFonts w:ascii="宋体" w:hAnsi="宋体" w:cs="宋体"/>
                <w:kern w:val="0"/>
                <w:sz w:val="21"/>
                <w:szCs w:val="21"/>
              </w:rPr>
            </w:pPr>
          </w:p>
        </w:tc>
        <w:tc>
          <w:tcPr>
            <w:tcW w:w="708" w:type="dxa"/>
            <w:vAlign w:val="center"/>
          </w:tcPr>
          <w:p w14:paraId="0FB0FEB6">
            <w:pPr>
              <w:spacing w:line="240" w:lineRule="auto"/>
              <w:jc w:val="center"/>
              <w:rPr>
                <w:rFonts w:ascii="宋体" w:hAnsi="宋体" w:cs="宋体"/>
                <w:kern w:val="0"/>
                <w:sz w:val="21"/>
                <w:szCs w:val="21"/>
              </w:rPr>
            </w:pPr>
            <w:r>
              <w:rPr>
                <w:rFonts w:hint="eastAsia" w:ascii="宋体" w:hAnsi="宋体" w:cs="宋体"/>
                <w:kern w:val="0"/>
                <w:sz w:val="21"/>
                <w:szCs w:val="21"/>
              </w:rPr>
              <w:t>投标人1</w:t>
            </w:r>
          </w:p>
        </w:tc>
        <w:tc>
          <w:tcPr>
            <w:tcW w:w="709" w:type="dxa"/>
            <w:vAlign w:val="center"/>
          </w:tcPr>
          <w:p w14:paraId="1A786654">
            <w:pPr>
              <w:spacing w:line="240" w:lineRule="auto"/>
              <w:jc w:val="center"/>
              <w:rPr>
                <w:rFonts w:ascii="宋体" w:hAnsi="宋体" w:cs="宋体"/>
                <w:kern w:val="0"/>
                <w:sz w:val="21"/>
                <w:szCs w:val="21"/>
              </w:rPr>
            </w:pPr>
            <w:r>
              <w:rPr>
                <w:rFonts w:hint="eastAsia" w:ascii="宋体" w:hAnsi="宋体" w:cs="宋体"/>
                <w:kern w:val="0"/>
                <w:sz w:val="21"/>
                <w:szCs w:val="21"/>
              </w:rPr>
              <w:t>投标人2</w:t>
            </w:r>
          </w:p>
        </w:tc>
        <w:tc>
          <w:tcPr>
            <w:tcW w:w="567" w:type="dxa"/>
            <w:vAlign w:val="center"/>
          </w:tcPr>
          <w:p w14:paraId="11A4FA42">
            <w:pPr>
              <w:spacing w:line="240" w:lineRule="auto"/>
              <w:jc w:val="center"/>
              <w:rPr>
                <w:rFonts w:ascii="宋体" w:hAnsi="宋体" w:cs="宋体"/>
                <w:kern w:val="0"/>
                <w:sz w:val="21"/>
                <w:szCs w:val="21"/>
              </w:rPr>
            </w:pPr>
            <w:r>
              <w:rPr>
                <w:rFonts w:ascii="宋体" w:hAnsi="宋体" w:cs="宋体"/>
                <w:kern w:val="0"/>
                <w:sz w:val="21"/>
                <w:szCs w:val="21"/>
              </w:rPr>
              <w:t>……</w:t>
            </w:r>
          </w:p>
        </w:tc>
      </w:tr>
      <w:tr w14:paraId="07F2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567" w:type="dxa"/>
            <w:vAlign w:val="center"/>
          </w:tcPr>
          <w:p w14:paraId="017564E8">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w:t>
            </w:r>
          </w:p>
        </w:tc>
        <w:tc>
          <w:tcPr>
            <w:tcW w:w="1555" w:type="dxa"/>
            <w:tcMar>
              <w:left w:w="28" w:type="dxa"/>
              <w:right w:w="28" w:type="dxa"/>
            </w:tcMar>
            <w:vAlign w:val="center"/>
          </w:tcPr>
          <w:p w14:paraId="75095EDE">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项目机构、项目经理部人员设置</w:t>
            </w:r>
          </w:p>
        </w:tc>
        <w:tc>
          <w:tcPr>
            <w:tcW w:w="5249" w:type="dxa"/>
            <w:vAlign w:val="center"/>
          </w:tcPr>
          <w:p w14:paraId="69A6EDD2">
            <w:pPr>
              <w:tabs>
                <w:tab w:val="left" w:pos="1575"/>
              </w:tabs>
              <w:snapToGrid w:val="0"/>
              <w:spacing w:line="240" w:lineRule="auto"/>
              <w:rPr>
                <w:rFonts w:ascii="宋体" w:hAnsi="宋体"/>
                <w:sz w:val="21"/>
                <w:szCs w:val="21"/>
              </w:rPr>
            </w:pPr>
            <w:r>
              <w:rPr>
                <w:rFonts w:hint="eastAsia" w:ascii="宋体" w:hAnsi="宋体"/>
                <w:sz w:val="21"/>
                <w:szCs w:val="21"/>
              </w:rPr>
              <w:t>从机构设置是否</w:t>
            </w:r>
            <w:r>
              <w:rPr>
                <w:rFonts w:ascii="宋体" w:hAnsi="宋体"/>
                <w:sz w:val="21"/>
                <w:szCs w:val="21"/>
              </w:rPr>
              <w:t>合理</w:t>
            </w:r>
            <w:r>
              <w:rPr>
                <w:rFonts w:hint="eastAsia" w:ascii="宋体" w:hAnsi="宋体"/>
                <w:sz w:val="21"/>
                <w:szCs w:val="21"/>
              </w:rPr>
              <w:t>、职责是否明确、项目部</w:t>
            </w:r>
            <w:r>
              <w:rPr>
                <w:rFonts w:ascii="宋体" w:hAnsi="宋体"/>
                <w:sz w:val="21"/>
                <w:szCs w:val="21"/>
              </w:rPr>
              <w:t>人员专业配置</w:t>
            </w:r>
            <w:r>
              <w:rPr>
                <w:rFonts w:hint="eastAsia" w:ascii="宋体" w:hAnsi="宋体"/>
                <w:sz w:val="21"/>
                <w:szCs w:val="21"/>
              </w:rPr>
              <w:t>是否完整、</w:t>
            </w:r>
            <w:r>
              <w:rPr>
                <w:rFonts w:ascii="宋体" w:hAnsi="宋体"/>
                <w:sz w:val="21"/>
                <w:szCs w:val="21"/>
              </w:rPr>
              <w:t>有针对性</w:t>
            </w:r>
            <w:r>
              <w:rPr>
                <w:rFonts w:hint="eastAsia" w:ascii="宋体" w:hAnsi="宋体"/>
                <w:sz w:val="21"/>
                <w:szCs w:val="21"/>
              </w:rPr>
              <w:t>，人员</w:t>
            </w:r>
            <w:r>
              <w:rPr>
                <w:rFonts w:ascii="宋体" w:hAnsi="宋体"/>
                <w:sz w:val="21"/>
                <w:szCs w:val="21"/>
              </w:rPr>
              <w:t>岗位</w:t>
            </w:r>
            <w:r>
              <w:rPr>
                <w:rFonts w:hint="eastAsia" w:ascii="宋体" w:hAnsi="宋体"/>
                <w:sz w:val="21"/>
                <w:szCs w:val="21"/>
              </w:rPr>
              <w:t>职责是否明确、</w:t>
            </w:r>
            <w:r>
              <w:rPr>
                <w:rFonts w:ascii="宋体" w:hAnsi="宋体"/>
                <w:sz w:val="21"/>
                <w:szCs w:val="21"/>
              </w:rPr>
              <w:t>合理、</w:t>
            </w:r>
            <w:r>
              <w:rPr>
                <w:rFonts w:hint="eastAsia" w:ascii="宋体" w:hAnsi="宋体"/>
                <w:sz w:val="21"/>
                <w:szCs w:val="21"/>
              </w:rPr>
              <w:t>到位</w:t>
            </w:r>
            <w:r>
              <w:rPr>
                <w:rFonts w:ascii="宋体" w:hAnsi="宋体"/>
                <w:sz w:val="21"/>
                <w:szCs w:val="21"/>
              </w:rPr>
              <w:t>，</w:t>
            </w:r>
            <w:r>
              <w:rPr>
                <w:rFonts w:hint="eastAsia" w:ascii="宋体" w:hAnsi="宋体"/>
                <w:sz w:val="21"/>
                <w:szCs w:val="21"/>
              </w:rPr>
              <w:t>是否</w:t>
            </w:r>
            <w:r>
              <w:rPr>
                <w:rFonts w:ascii="宋体" w:hAnsi="宋体"/>
                <w:sz w:val="21"/>
                <w:szCs w:val="21"/>
              </w:rPr>
              <w:t>持有相关证件</w:t>
            </w:r>
            <w:r>
              <w:rPr>
                <w:rFonts w:hint="eastAsia" w:ascii="宋体" w:hAnsi="宋体"/>
                <w:sz w:val="21"/>
                <w:szCs w:val="21"/>
              </w:rPr>
              <w:t>等</w:t>
            </w:r>
            <w:r>
              <w:rPr>
                <w:rFonts w:ascii="宋体" w:hAnsi="宋体"/>
                <w:sz w:val="21"/>
                <w:szCs w:val="21"/>
              </w:rPr>
              <w:t>方面综合评审</w:t>
            </w:r>
            <w:r>
              <w:rPr>
                <w:rFonts w:hint="eastAsia" w:ascii="宋体" w:hAnsi="宋体"/>
                <w:sz w:val="21"/>
                <w:szCs w:val="21"/>
              </w:rPr>
              <w:t>：</w:t>
            </w:r>
          </w:p>
          <w:p w14:paraId="3BCE97F0">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7</w:t>
            </w:r>
            <w:r>
              <w:rPr>
                <w:rFonts w:ascii="宋体" w:hAnsi="宋体"/>
                <w:sz w:val="21"/>
                <w:szCs w:val="21"/>
              </w:rPr>
              <w:t>-</w:t>
            </w:r>
            <w:r>
              <w:rPr>
                <w:rFonts w:hint="eastAsia" w:ascii="宋体" w:hAnsi="宋体"/>
                <w:sz w:val="21"/>
                <w:szCs w:val="21"/>
              </w:rPr>
              <w:t>8分</w:t>
            </w:r>
          </w:p>
          <w:p w14:paraId="046B3800">
            <w:pPr>
              <w:tabs>
                <w:tab w:val="left" w:pos="1575"/>
              </w:tabs>
              <w:snapToGrid w:val="0"/>
              <w:spacing w:line="240" w:lineRule="auto"/>
              <w:rPr>
                <w:rFonts w:ascii="宋体" w:hAnsi="宋体"/>
                <w:sz w:val="21"/>
                <w:szCs w:val="21"/>
              </w:rPr>
            </w:pPr>
            <w:r>
              <w:rPr>
                <w:rFonts w:hint="eastAsia" w:ascii="宋体" w:hAnsi="宋体"/>
                <w:sz w:val="21"/>
                <w:szCs w:val="21"/>
              </w:rPr>
              <w:t>较好：5</w:t>
            </w:r>
            <w:r>
              <w:rPr>
                <w:rFonts w:ascii="宋体" w:hAnsi="宋体"/>
                <w:sz w:val="21"/>
                <w:szCs w:val="21"/>
              </w:rPr>
              <w:t>-</w:t>
            </w:r>
            <w:r>
              <w:rPr>
                <w:rFonts w:hint="eastAsia" w:ascii="宋体" w:hAnsi="宋体"/>
                <w:sz w:val="21"/>
                <w:szCs w:val="21"/>
              </w:rPr>
              <w:t>6分</w:t>
            </w:r>
          </w:p>
          <w:p w14:paraId="6376B03A">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4分</w:t>
            </w:r>
          </w:p>
          <w:p w14:paraId="5F669886">
            <w:pPr>
              <w:tabs>
                <w:tab w:val="left" w:pos="1575"/>
              </w:tabs>
              <w:snapToGrid w:val="0"/>
              <w:spacing w:line="240" w:lineRule="auto"/>
              <w:rPr>
                <w:rFonts w:ascii="宋体" w:hAnsi="宋体"/>
                <w:sz w:val="21"/>
                <w:szCs w:val="21"/>
              </w:rPr>
            </w:pPr>
            <w:r>
              <w:rPr>
                <w:rFonts w:hint="eastAsia" w:ascii="宋体" w:hAnsi="宋体"/>
                <w:sz w:val="21"/>
                <w:szCs w:val="21"/>
              </w:rPr>
              <w:t>无该项内容：0分</w:t>
            </w:r>
          </w:p>
          <w:p w14:paraId="1A85038C">
            <w:pPr>
              <w:widowControl/>
              <w:snapToGrid w:val="0"/>
              <w:spacing w:line="240" w:lineRule="auto"/>
              <w:jc w:val="left"/>
              <w:rPr>
                <w:rFonts w:ascii="宋体" w:hAnsi="宋体" w:cs="宋体"/>
                <w:kern w:val="0"/>
                <w:sz w:val="21"/>
                <w:szCs w:val="21"/>
              </w:rPr>
            </w:pPr>
            <w:r>
              <w:rPr>
                <w:rFonts w:hint="eastAsia" w:ascii="华文楷体" w:hAnsi="华文楷体" w:eastAsia="楷体"/>
                <w:bCs/>
                <w:sz w:val="18"/>
                <w:szCs w:val="18"/>
              </w:rPr>
              <w:t>【见项目管理机构设置、项目经理部人员配置表等相关内容，以及商务投标文件中人员</w:t>
            </w:r>
            <w:r>
              <w:rPr>
                <w:rFonts w:ascii="华文楷体" w:hAnsi="华文楷体" w:eastAsia="楷体"/>
                <w:bCs/>
                <w:sz w:val="18"/>
                <w:szCs w:val="18"/>
              </w:rPr>
              <w:t>的</w:t>
            </w:r>
            <w:r>
              <w:rPr>
                <w:rFonts w:hint="eastAsia" w:ascii="华文楷体" w:hAnsi="华文楷体" w:eastAsia="楷体"/>
                <w:bCs/>
                <w:sz w:val="18"/>
                <w:szCs w:val="18"/>
              </w:rPr>
              <w:t>注册执业证书、职称证书等复印件证明资料，</w:t>
            </w:r>
            <w:r>
              <w:rPr>
                <w:rFonts w:ascii="华文楷体" w:hAnsi="华文楷体" w:eastAsia="楷体"/>
                <w:bCs/>
                <w:sz w:val="18"/>
                <w:szCs w:val="18"/>
              </w:rPr>
              <w:t>若无相关证件，视为无效人员</w:t>
            </w:r>
            <w:r>
              <w:rPr>
                <w:rFonts w:hint="eastAsia" w:ascii="华文楷体" w:hAnsi="华文楷体" w:eastAsia="楷体"/>
                <w:bCs/>
                <w:sz w:val="18"/>
                <w:szCs w:val="18"/>
              </w:rPr>
              <w:t>】</w:t>
            </w:r>
          </w:p>
        </w:tc>
        <w:tc>
          <w:tcPr>
            <w:tcW w:w="851" w:type="dxa"/>
            <w:vAlign w:val="center"/>
          </w:tcPr>
          <w:p w14:paraId="1E497349">
            <w:pPr>
              <w:spacing w:line="240" w:lineRule="auto"/>
              <w:jc w:val="center"/>
              <w:rPr>
                <w:rFonts w:ascii="宋体" w:hAnsi="宋体" w:cs="宋体"/>
                <w:kern w:val="0"/>
                <w:sz w:val="21"/>
                <w:szCs w:val="21"/>
              </w:rPr>
            </w:pPr>
            <w:r>
              <w:rPr>
                <w:rFonts w:hint="eastAsia" w:ascii="宋体" w:hAnsi="宋体" w:cs="宋体"/>
                <w:kern w:val="0"/>
                <w:sz w:val="21"/>
                <w:szCs w:val="21"/>
              </w:rPr>
              <w:t>8</w:t>
            </w:r>
          </w:p>
        </w:tc>
        <w:tc>
          <w:tcPr>
            <w:tcW w:w="708" w:type="dxa"/>
            <w:vAlign w:val="center"/>
          </w:tcPr>
          <w:p w14:paraId="73127DE5">
            <w:pPr>
              <w:spacing w:line="240" w:lineRule="auto"/>
              <w:jc w:val="center"/>
              <w:rPr>
                <w:rFonts w:ascii="宋体" w:hAnsi="宋体" w:cs="宋体"/>
                <w:kern w:val="0"/>
                <w:sz w:val="21"/>
                <w:szCs w:val="21"/>
              </w:rPr>
            </w:pPr>
          </w:p>
        </w:tc>
        <w:tc>
          <w:tcPr>
            <w:tcW w:w="709" w:type="dxa"/>
            <w:vAlign w:val="center"/>
          </w:tcPr>
          <w:p w14:paraId="11E6F372">
            <w:pPr>
              <w:spacing w:line="240" w:lineRule="auto"/>
              <w:jc w:val="center"/>
              <w:rPr>
                <w:rFonts w:ascii="宋体" w:hAnsi="宋体" w:cs="宋体"/>
                <w:kern w:val="0"/>
                <w:sz w:val="21"/>
                <w:szCs w:val="21"/>
              </w:rPr>
            </w:pPr>
          </w:p>
        </w:tc>
        <w:tc>
          <w:tcPr>
            <w:tcW w:w="567" w:type="dxa"/>
            <w:vAlign w:val="center"/>
          </w:tcPr>
          <w:p w14:paraId="1302269E">
            <w:pPr>
              <w:spacing w:line="240" w:lineRule="auto"/>
              <w:jc w:val="center"/>
              <w:rPr>
                <w:rFonts w:ascii="宋体" w:hAnsi="宋体" w:cs="宋体"/>
                <w:kern w:val="0"/>
                <w:sz w:val="21"/>
                <w:szCs w:val="21"/>
              </w:rPr>
            </w:pPr>
          </w:p>
        </w:tc>
      </w:tr>
      <w:tr w14:paraId="6307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567" w:type="dxa"/>
            <w:vAlign w:val="center"/>
          </w:tcPr>
          <w:p w14:paraId="7FE86DE4">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2</w:t>
            </w:r>
          </w:p>
        </w:tc>
        <w:tc>
          <w:tcPr>
            <w:tcW w:w="155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84796A7">
            <w:pPr>
              <w:widowControl/>
              <w:snapToGrid w:val="0"/>
              <w:spacing w:line="240" w:lineRule="auto"/>
              <w:jc w:val="center"/>
              <w:rPr>
                <w:rFonts w:ascii="宋体" w:hAnsi="宋体" w:cs="宋体"/>
                <w:sz w:val="21"/>
                <w:szCs w:val="21"/>
              </w:rPr>
            </w:pPr>
            <w:r>
              <w:rPr>
                <w:rFonts w:hint="eastAsia" w:ascii="宋体" w:hAnsi="宋体" w:cs="宋体"/>
                <w:sz w:val="21"/>
                <w:szCs w:val="21"/>
              </w:rPr>
              <w:t>施工方案与</w:t>
            </w:r>
          </w:p>
          <w:p w14:paraId="001ACFF4">
            <w:pPr>
              <w:widowControl/>
              <w:snapToGrid w:val="0"/>
              <w:spacing w:line="240" w:lineRule="auto"/>
              <w:jc w:val="center"/>
              <w:rPr>
                <w:rFonts w:ascii="宋体" w:hAnsi="宋体"/>
                <w:sz w:val="21"/>
                <w:szCs w:val="21"/>
              </w:rPr>
            </w:pPr>
            <w:r>
              <w:rPr>
                <w:rFonts w:ascii="宋体" w:hAnsi="宋体" w:cs="宋体"/>
                <w:sz w:val="21"/>
                <w:szCs w:val="21"/>
              </w:rPr>
              <w:t>技术措施</w:t>
            </w:r>
          </w:p>
        </w:tc>
        <w:tc>
          <w:tcPr>
            <w:tcW w:w="5249" w:type="dxa"/>
            <w:tcBorders>
              <w:top w:val="single" w:color="auto" w:sz="4" w:space="0"/>
              <w:left w:val="single" w:color="auto" w:sz="4" w:space="0"/>
              <w:bottom w:val="single" w:color="auto" w:sz="4" w:space="0"/>
              <w:right w:val="single" w:color="auto" w:sz="4" w:space="0"/>
            </w:tcBorders>
            <w:vAlign w:val="center"/>
          </w:tcPr>
          <w:p w14:paraId="6EDAB73F">
            <w:pPr>
              <w:tabs>
                <w:tab w:val="left" w:pos="1575"/>
              </w:tabs>
              <w:snapToGrid w:val="0"/>
              <w:spacing w:line="240" w:lineRule="auto"/>
              <w:ind w:left="-14" w:leftChars="-6"/>
              <w:rPr>
                <w:rFonts w:ascii="宋体" w:hAnsi="宋体" w:cs="宋体"/>
                <w:szCs w:val="21"/>
              </w:rPr>
            </w:pPr>
            <w:r>
              <w:rPr>
                <w:rFonts w:hint="eastAsia" w:ascii="宋体" w:hAnsi="宋体" w:cs="宋体"/>
                <w:sz w:val="21"/>
                <w:szCs w:val="21"/>
              </w:rPr>
              <w:t>从施工方案与技术</w:t>
            </w:r>
            <w:r>
              <w:rPr>
                <w:rFonts w:ascii="宋体" w:hAnsi="宋体" w:cs="宋体"/>
                <w:sz w:val="21"/>
                <w:szCs w:val="21"/>
              </w:rPr>
              <w:t>措施是否科学</w:t>
            </w:r>
            <w:r>
              <w:rPr>
                <w:rFonts w:hint="eastAsia" w:ascii="宋体" w:hAnsi="宋体" w:cs="宋体"/>
                <w:sz w:val="21"/>
                <w:szCs w:val="21"/>
              </w:rPr>
              <w:t>、可行</w:t>
            </w:r>
            <w:r>
              <w:rPr>
                <w:rFonts w:ascii="宋体" w:hAnsi="宋体" w:cs="宋体"/>
                <w:sz w:val="21"/>
                <w:szCs w:val="21"/>
              </w:rPr>
              <w:t>，是否有</w:t>
            </w:r>
            <w:r>
              <w:rPr>
                <w:rFonts w:hint="eastAsia" w:ascii="宋体" w:hAnsi="宋体" w:cs="宋体"/>
                <w:sz w:val="21"/>
                <w:szCs w:val="21"/>
              </w:rPr>
              <w:t>针对性，</w:t>
            </w:r>
            <w:r>
              <w:rPr>
                <w:rFonts w:ascii="宋体" w:hAnsi="宋体" w:cs="宋体"/>
                <w:sz w:val="21"/>
                <w:szCs w:val="21"/>
              </w:rPr>
              <w:t>是否满足工程</w:t>
            </w:r>
            <w:r>
              <w:rPr>
                <w:rFonts w:hint="eastAsia" w:ascii="宋体" w:hAnsi="宋体" w:cs="宋体"/>
                <w:sz w:val="21"/>
                <w:szCs w:val="21"/>
              </w:rPr>
              <w:t>需要等方面综合评审：</w:t>
            </w:r>
          </w:p>
          <w:p w14:paraId="7AA0CC37">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7</w:t>
            </w:r>
            <w:r>
              <w:rPr>
                <w:rFonts w:ascii="宋体" w:hAnsi="宋体"/>
                <w:sz w:val="21"/>
                <w:szCs w:val="21"/>
              </w:rPr>
              <w:t>-</w:t>
            </w:r>
            <w:r>
              <w:rPr>
                <w:rFonts w:hint="eastAsia" w:ascii="宋体" w:hAnsi="宋体"/>
                <w:sz w:val="21"/>
                <w:szCs w:val="21"/>
                <w:lang w:val="en-US" w:eastAsia="zh-CN"/>
              </w:rPr>
              <w:t>9</w:t>
            </w:r>
            <w:r>
              <w:rPr>
                <w:rFonts w:hint="eastAsia" w:ascii="宋体" w:hAnsi="宋体"/>
                <w:sz w:val="21"/>
                <w:szCs w:val="21"/>
              </w:rPr>
              <w:t>分</w:t>
            </w:r>
          </w:p>
          <w:p w14:paraId="20B7BE68">
            <w:pPr>
              <w:tabs>
                <w:tab w:val="left" w:pos="1575"/>
              </w:tabs>
              <w:snapToGrid w:val="0"/>
              <w:spacing w:line="240" w:lineRule="auto"/>
              <w:rPr>
                <w:rFonts w:ascii="宋体" w:hAnsi="宋体"/>
                <w:sz w:val="21"/>
                <w:szCs w:val="21"/>
              </w:rPr>
            </w:pPr>
            <w:r>
              <w:rPr>
                <w:rFonts w:hint="eastAsia" w:ascii="宋体" w:hAnsi="宋体"/>
                <w:sz w:val="21"/>
                <w:szCs w:val="21"/>
              </w:rPr>
              <w:t>较好：5</w:t>
            </w:r>
            <w:r>
              <w:rPr>
                <w:rFonts w:ascii="宋体" w:hAnsi="宋体"/>
                <w:sz w:val="21"/>
                <w:szCs w:val="21"/>
              </w:rPr>
              <w:t>-</w:t>
            </w:r>
            <w:r>
              <w:rPr>
                <w:rFonts w:hint="eastAsia" w:ascii="宋体" w:hAnsi="宋体"/>
                <w:sz w:val="21"/>
                <w:szCs w:val="21"/>
              </w:rPr>
              <w:t>6分</w:t>
            </w:r>
          </w:p>
          <w:p w14:paraId="5C7962CF">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4分</w:t>
            </w:r>
          </w:p>
          <w:p w14:paraId="7CE64A20">
            <w:pPr>
              <w:tabs>
                <w:tab w:val="left" w:pos="1575"/>
              </w:tabs>
              <w:snapToGrid w:val="0"/>
              <w:spacing w:line="240" w:lineRule="auto"/>
              <w:rPr>
                <w:rFonts w:ascii="宋体" w:hAnsi="宋体" w:cs="宋体"/>
                <w:szCs w:val="21"/>
              </w:rPr>
            </w:pPr>
            <w:r>
              <w:rPr>
                <w:rFonts w:hint="eastAsia" w:ascii="宋体" w:hAnsi="宋体"/>
                <w:sz w:val="21"/>
                <w:szCs w:val="21"/>
              </w:rPr>
              <w:t>无该项内容：0分</w:t>
            </w:r>
          </w:p>
          <w:p w14:paraId="326C2E6D">
            <w:pPr>
              <w:tabs>
                <w:tab w:val="left" w:pos="1575"/>
              </w:tabs>
              <w:snapToGrid w:val="0"/>
              <w:spacing w:line="240" w:lineRule="auto"/>
              <w:rPr>
                <w:rFonts w:ascii="宋体" w:hAnsi="宋体"/>
                <w:sz w:val="21"/>
                <w:szCs w:val="21"/>
              </w:rPr>
            </w:pPr>
            <w:r>
              <w:rPr>
                <w:rFonts w:hint="eastAsia" w:ascii="楷体" w:hAnsi="楷体" w:eastAsia="楷体" w:cs="楷体"/>
                <w:sz w:val="18"/>
                <w:szCs w:val="18"/>
              </w:rPr>
              <w:t>【见施工方案与技术措施相关内容】</w:t>
            </w:r>
          </w:p>
        </w:tc>
        <w:tc>
          <w:tcPr>
            <w:tcW w:w="851" w:type="dxa"/>
            <w:vAlign w:val="center"/>
          </w:tcPr>
          <w:p w14:paraId="05C2E039">
            <w:pPr>
              <w:spacing w:line="240" w:lineRule="auto"/>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9</w:t>
            </w:r>
          </w:p>
        </w:tc>
        <w:tc>
          <w:tcPr>
            <w:tcW w:w="708" w:type="dxa"/>
            <w:vAlign w:val="center"/>
          </w:tcPr>
          <w:p w14:paraId="3E1E346F">
            <w:pPr>
              <w:spacing w:line="240" w:lineRule="auto"/>
              <w:jc w:val="center"/>
              <w:rPr>
                <w:rFonts w:ascii="宋体" w:hAnsi="宋体" w:cs="宋体"/>
                <w:kern w:val="0"/>
                <w:sz w:val="21"/>
                <w:szCs w:val="21"/>
              </w:rPr>
            </w:pPr>
          </w:p>
        </w:tc>
        <w:tc>
          <w:tcPr>
            <w:tcW w:w="709" w:type="dxa"/>
            <w:vAlign w:val="center"/>
          </w:tcPr>
          <w:p w14:paraId="29F2955A">
            <w:pPr>
              <w:spacing w:line="240" w:lineRule="auto"/>
              <w:jc w:val="center"/>
              <w:rPr>
                <w:rFonts w:ascii="宋体" w:hAnsi="宋体" w:cs="宋体"/>
                <w:kern w:val="0"/>
                <w:sz w:val="21"/>
                <w:szCs w:val="21"/>
              </w:rPr>
            </w:pPr>
          </w:p>
        </w:tc>
        <w:tc>
          <w:tcPr>
            <w:tcW w:w="567" w:type="dxa"/>
            <w:vAlign w:val="center"/>
          </w:tcPr>
          <w:p w14:paraId="3FC65822">
            <w:pPr>
              <w:spacing w:line="240" w:lineRule="auto"/>
              <w:jc w:val="center"/>
              <w:rPr>
                <w:rFonts w:ascii="宋体" w:hAnsi="宋体" w:cs="宋体"/>
                <w:kern w:val="0"/>
                <w:sz w:val="21"/>
                <w:szCs w:val="21"/>
              </w:rPr>
            </w:pPr>
          </w:p>
        </w:tc>
      </w:tr>
      <w:tr w14:paraId="17706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567" w:type="dxa"/>
            <w:vAlign w:val="center"/>
          </w:tcPr>
          <w:p w14:paraId="1AE684E8">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3</w:t>
            </w:r>
          </w:p>
        </w:tc>
        <w:tc>
          <w:tcPr>
            <w:tcW w:w="1555" w:type="dxa"/>
            <w:tcMar>
              <w:left w:w="28" w:type="dxa"/>
              <w:right w:w="28" w:type="dxa"/>
            </w:tcMar>
            <w:vAlign w:val="center"/>
          </w:tcPr>
          <w:p w14:paraId="438BFEDC">
            <w:pPr>
              <w:widowControl/>
              <w:snapToGrid w:val="0"/>
              <w:spacing w:line="240" w:lineRule="auto"/>
              <w:jc w:val="center"/>
              <w:rPr>
                <w:rFonts w:ascii="宋体" w:hAnsi="宋体"/>
                <w:sz w:val="21"/>
                <w:szCs w:val="21"/>
              </w:rPr>
            </w:pPr>
            <w:r>
              <w:rPr>
                <w:rFonts w:hint="eastAsia" w:ascii="宋体" w:hAnsi="宋体" w:cs="宋体"/>
                <w:sz w:val="21"/>
                <w:szCs w:val="21"/>
              </w:rPr>
              <w:t>施工机具及检测设备配备</w:t>
            </w:r>
          </w:p>
        </w:tc>
        <w:tc>
          <w:tcPr>
            <w:tcW w:w="5249" w:type="dxa"/>
            <w:vAlign w:val="center"/>
          </w:tcPr>
          <w:p w14:paraId="108A5088">
            <w:pPr>
              <w:tabs>
                <w:tab w:val="left" w:pos="1575"/>
              </w:tabs>
              <w:snapToGrid w:val="0"/>
              <w:spacing w:line="240" w:lineRule="auto"/>
              <w:rPr>
                <w:rFonts w:ascii="宋体" w:hAnsi="宋体" w:cs="宋体"/>
                <w:kern w:val="0"/>
                <w:sz w:val="21"/>
                <w:szCs w:val="21"/>
              </w:rPr>
            </w:pPr>
            <w:r>
              <w:rPr>
                <w:rFonts w:hint="eastAsia" w:ascii="宋体" w:hAnsi="宋体" w:cs="宋体"/>
                <w:kern w:val="0"/>
                <w:sz w:val="21"/>
                <w:szCs w:val="21"/>
              </w:rPr>
              <w:t>从设备、仪器配备是否齐全、先进，是否</w:t>
            </w:r>
            <w:r>
              <w:rPr>
                <w:rFonts w:ascii="宋体" w:hAnsi="宋体" w:cs="宋体"/>
                <w:kern w:val="0"/>
                <w:sz w:val="21"/>
                <w:szCs w:val="21"/>
              </w:rPr>
              <w:t>满足施工及检测</w:t>
            </w:r>
            <w:r>
              <w:rPr>
                <w:rFonts w:hint="eastAsia" w:ascii="宋体" w:hAnsi="宋体" w:cs="宋体"/>
                <w:kern w:val="0"/>
                <w:sz w:val="21"/>
                <w:szCs w:val="21"/>
              </w:rPr>
              <w:t>需要</w:t>
            </w:r>
            <w:r>
              <w:rPr>
                <w:rFonts w:ascii="宋体" w:hAnsi="宋体" w:cs="宋体"/>
                <w:kern w:val="0"/>
                <w:sz w:val="21"/>
                <w:szCs w:val="21"/>
              </w:rPr>
              <w:t>，</w:t>
            </w:r>
            <w:r>
              <w:rPr>
                <w:rFonts w:hint="eastAsia" w:ascii="宋体" w:hAnsi="宋体" w:cs="宋体"/>
                <w:kern w:val="0"/>
                <w:sz w:val="21"/>
                <w:szCs w:val="21"/>
              </w:rPr>
              <w:t>以及整体品质</w:t>
            </w:r>
            <w:r>
              <w:rPr>
                <w:rFonts w:ascii="宋体" w:hAnsi="宋体" w:cs="宋体"/>
                <w:kern w:val="0"/>
                <w:sz w:val="21"/>
                <w:szCs w:val="21"/>
              </w:rPr>
              <w:t>等方面综合评审</w:t>
            </w:r>
            <w:r>
              <w:rPr>
                <w:rFonts w:hint="eastAsia" w:ascii="宋体" w:hAnsi="宋体" w:cs="宋体"/>
                <w:kern w:val="0"/>
                <w:sz w:val="21"/>
                <w:szCs w:val="21"/>
              </w:rPr>
              <w:t>：</w:t>
            </w:r>
          </w:p>
          <w:p w14:paraId="4A32FE3D">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w:t>
            </w:r>
            <w:r>
              <w:rPr>
                <w:rFonts w:ascii="宋体" w:hAnsi="宋体"/>
                <w:sz w:val="21"/>
                <w:szCs w:val="21"/>
              </w:rPr>
              <w:t>-</w:t>
            </w:r>
            <w:r>
              <w:rPr>
                <w:rFonts w:hint="eastAsia" w:ascii="宋体" w:hAnsi="宋体"/>
                <w:sz w:val="21"/>
                <w:szCs w:val="21"/>
              </w:rPr>
              <w:t>6分</w:t>
            </w:r>
          </w:p>
          <w:p w14:paraId="65EF1CF8">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15A6DC8D">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p w14:paraId="25D4774F">
            <w:pPr>
              <w:tabs>
                <w:tab w:val="left" w:pos="1575"/>
              </w:tabs>
              <w:snapToGrid w:val="0"/>
              <w:spacing w:line="240" w:lineRule="auto"/>
              <w:rPr>
                <w:rFonts w:ascii="宋体" w:hAnsi="宋体"/>
                <w:sz w:val="21"/>
                <w:szCs w:val="21"/>
              </w:rPr>
            </w:pPr>
            <w:r>
              <w:rPr>
                <w:rFonts w:hint="eastAsia" w:ascii="宋体" w:hAnsi="宋体"/>
                <w:sz w:val="21"/>
                <w:szCs w:val="21"/>
              </w:rPr>
              <w:t>无该项内容：0分</w:t>
            </w:r>
          </w:p>
          <w:p w14:paraId="079A6A11">
            <w:pPr>
              <w:tabs>
                <w:tab w:val="left" w:pos="1575"/>
              </w:tabs>
              <w:snapToGrid w:val="0"/>
              <w:spacing w:line="240" w:lineRule="auto"/>
              <w:rPr>
                <w:rFonts w:ascii="宋体" w:hAnsi="宋体"/>
                <w:sz w:val="21"/>
                <w:szCs w:val="21"/>
              </w:rPr>
            </w:pPr>
            <w:r>
              <w:rPr>
                <w:rFonts w:hint="eastAsia" w:ascii="华文楷体" w:hAnsi="华文楷体" w:eastAsia="楷体"/>
                <w:bCs/>
                <w:sz w:val="18"/>
                <w:szCs w:val="18"/>
              </w:rPr>
              <w:t>【见施工机具及检测设备配备相关</w:t>
            </w:r>
            <w:r>
              <w:rPr>
                <w:rFonts w:ascii="华文楷体" w:hAnsi="华文楷体" w:eastAsia="楷体"/>
                <w:bCs/>
                <w:sz w:val="18"/>
                <w:szCs w:val="18"/>
              </w:rPr>
              <w:t>内容</w:t>
            </w:r>
            <w:r>
              <w:rPr>
                <w:rFonts w:hint="eastAsia" w:ascii="华文楷体" w:hAnsi="华文楷体" w:eastAsia="楷体"/>
                <w:bCs/>
                <w:sz w:val="18"/>
                <w:szCs w:val="18"/>
              </w:rPr>
              <w:t>】</w:t>
            </w:r>
          </w:p>
        </w:tc>
        <w:tc>
          <w:tcPr>
            <w:tcW w:w="851" w:type="dxa"/>
            <w:vAlign w:val="center"/>
          </w:tcPr>
          <w:p w14:paraId="131D039E">
            <w:pPr>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708" w:type="dxa"/>
            <w:vAlign w:val="center"/>
          </w:tcPr>
          <w:p w14:paraId="78E34BD1">
            <w:pPr>
              <w:spacing w:line="240" w:lineRule="auto"/>
              <w:jc w:val="center"/>
              <w:rPr>
                <w:rFonts w:ascii="宋体" w:hAnsi="宋体" w:cs="宋体"/>
                <w:kern w:val="0"/>
                <w:sz w:val="21"/>
                <w:szCs w:val="21"/>
              </w:rPr>
            </w:pPr>
          </w:p>
        </w:tc>
        <w:tc>
          <w:tcPr>
            <w:tcW w:w="709" w:type="dxa"/>
            <w:vAlign w:val="center"/>
          </w:tcPr>
          <w:p w14:paraId="378C7EF4">
            <w:pPr>
              <w:spacing w:line="240" w:lineRule="auto"/>
              <w:jc w:val="center"/>
              <w:rPr>
                <w:rFonts w:ascii="宋体" w:hAnsi="宋体" w:cs="宋体"/>
                <w:kern w:val="0"/>
                <w:sz w:val="21"/>
                <w:szCs w:val="21"/>
              </w:rPr>
            </w:pPr>
          </w:p>
        </w:tc>
        <w:tc>
          <w:tcPr>
            <w:tcW w:w="567" w:type="dxa"/>
            <w:vAlign w:val="center"/>
          </w:tcPr>
          <w:p w14:paraId="55BAD2E7">
            <w:pPr>
              <w:spacing w:line="240" w:lineRule="auto"/>
              <w:jc w:val="center"/>
              <w:rPr>
                <w:rFonts w:ascii="宋体" w:hAnsi="宋体" w:cs="宋体"/>
                <w:kern w:val="0"/>
                <w:sz w:val="21"/>
                <w:szCs w:val="21"/>
              </w:rPr>
            </w:pPr>
          </w:p>
        </w:tc>
      </w:tr>
      <w:tr w14:paraId="2C32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Align w:val="center"/>
          </w:tcPr>
          <w:p w14:paraId="0E016E03">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4</w:t>
            </w:r>
          </w:p>
        </w:tc>
        <w:tc>
          <w:tcPr>
            <w:tcW w:w="1555" w:type="dxa"/>
            <w:tcMar>
              <w:left w:w="28" w:type="dxa"/>
              <w:right w:w="28" w:type="dxa"/>
            </w:tcMar>
            <w:vAlign w:val="center"/>
          </w:tcPr>
          <w:p w14:paraId="0F6BAB80">
            <w:pPr>
              <w:snapToGrid w:val="0"/>
              <w:spacing w:line="240" w:lineRule="auto"/>
              <w:jc w:val="center"/>
              <w:rPr>
                <w:rFonts w:ascii="宋体" w:hAnsi="宋体" w:cs="宋体"/>
                <w:kern w:val="0"/>
                <w:sz w:val="21"/>
                <w:szCs w:val="21"/>
              </w:rPr>
            </w:pPr>
            <w:r>
              <w:rPr>
                <w:rFonts w:hint="eastAsia" w:ascii="宋体" w:hAnsi="宋体"/>
                <w:sz w:val="21"/>
                <w:szCs w:val="21"/>
              </w:rPr>
              <w:t>质量</w:t>
            </w:r>
            <w:r>
              <w:rPr>
                <w:rFonts w:ascii="宋体" w:hAnsi="宋体"/>
                <w:sz w:val="21"/>
                <w:szCs w:val="21"/>
              </w:rPr>
              <w:t>管理体系与</w:t>
            </w:r>
            <w:r>
              <w:rPr>
                <w:rFonts w:hint="eastAsia" w:ascii="宋体" w:hAnsi="宋体"/>
                <w:sz w:val="21"/>
                <w:szCs w:val="21"/>
              </w:rPr>
              <w:t>保证措施</w:t>
            </w:r>
          </w:p>
        </w:tc>
        <w:tc>
          <w:tcPr>
            <w:tcW w:w="5249" w:type="dxa"/>
            <w:vAlign w:val="center"/>
          </w:tcPr>
          <w:p w14:paraId="64B27D8E">
            <w:pPr>
              <w:snapToGrid w:val="0"/>
              <w:spacing w:line="240" w:lineRule="auto"/>
              <w:rPr>
                <w:rFonts w:ascii="宋体" w:hAnsi="宋体"/>
                <w:sz w:val="21"/>
                <w:szCs w:val="21"/>
              </w:rPr>
            </w:pPr>
            <w:r>
              <w:rPr>
                <w:rFonts w:hint="eastAsia" w:ascii="宋体" w:hAnsi="宋体"/>
                <w:sz w:val="21"/>
                <w:szCs w:val="21"/>
              </w:rPr>
              <w:t>从质量保证体系与保证措施</w:t>
            </w:r>
            <w:r>
              <w:rPr>
                <w:rFonts w:ascii="宋体" w:hAnsi="宋体"/>
                <w:sz w:val="21"/>
                <w:szCs w:val="21"/>
              </w:rPr>
              <w:t>方案</w:t>
            </w:r>
            <w:r>
              <w:rPr>
                <w:rFonts w:hint="eastAsia" w:ascii="宋体" w:hAnsi="宋体" w:cs="宋体"/>
                <w:kern w:val="0"/>
                <w:sz w:val="21"/>
                <w:szCs w:val="21"/>
              </w:rPr>
              <w:t>是否合理，</w:t>
            </w:r>
            <w:r>
              <w:rPr>
                <w:rFonts w:ascii="宋体" w:hAnsi="宋体" w:cs="宋体"/>
                <w:kern w:val="0"/>
                <w:sz w:val="21"/>
                <w:szCs w:val="21"/>
              </w:rPr>
              <w:t>措施是否到位，</w:t>
            </w:r>
            <w:r>
              <w:rPr>
                <w:rFonts w:hint="eastAsia" w:ascii="宋体" w:hAnsi="宋体" w:cs="宋体"/>
                <w:kern w:val="0"/>
                <w:sz w:val="21"/>
                <w:szCs w:val="21"/>
              </w:rPr>
              <w:t>是否有针对性，</w:t>
            </w:r>
            <w:r>
              <w:rPr>
                <w:rFonts w:ascii="宋体" w:hAnsi="宋体" w:cs="宋体"/>
                <w:kern w:val="0"/>
                <w:sz w:val="21"/>
                <w:szCs w:val="21"/>
              </w:rPr>
              <w:t>是否能满足施工需要</w:t>
            </w:r>
            <w:r>
              <w:rPr>
                <w:rFonts w:hint="eastAsia" w:ascii="宋体" w:hAnsi="宋体" w:cs="宋体"/>
                <w:kern w:val="0"/>
                <w:sz w:val="21"/>
                <w:szCs w:val="21"/>
              </w:rPr>
              <w:t>等方面综合评审：</w:t>
            </w:r>
          </w:p>
          <w:p w14:paraId="274F3D17">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w:t>
            </w:r>
            <w:r>
              <w:rPr>
                <w:rFonts w:ascii="宋体" w:hAnsi="宋体"/>
                <w:sz w:val="21"/>
                <w:szCs w:val="21"/>
              </w:rPr>
              <w:t>-</w:t>
            </w:r>
            <w:r>
              <w:rPr>
                <w:rFonts w:hint="eastAsia" w:ascii="宋体" w:hAnsi="宋体"/>
                <w:sz w:val="21"/>
                <w:szCs w:val="21"/>
                <w:lang w:val="en-US" w:eastAsia="zh-CN"/>
              </w:rPr>
              <w:t>7</w:t>
            </w:r>
            <w:r>
              <w:rPr>
                <w:rFonts w:hint="eastAsia" w:ascii="宋体" w:hAnsi="宋体"/>
                <w:sz w:val="21"/>
                <w:szCs w:val="21"/>
              </w:rPr>
              <w:t>分</w:t>
            </w:r>
          </w:p>
          <w:p w14:paraId="42CEA30F">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208F4008">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p w14:paraId="34E46996">
            <w:pPr>
              <w:tabs>
                <w:tab w:val="left" w:pos="1575"/>
              </w:tabs>
              <w:snapToGrid w:val="0"/>
              <w:spacing w:line="240" w:lineRule="auto"/>
              <w:rPr>
                <w:rFonts w:ascii="宋体" w:hAnsi="宋体"/>
                <w:sz w:val="21"/>
                <w:szCs w:val="21"/>
              </w:rPr>
            </w:pPr>
            <w:r>
              <w:rPr>
                <w:rFonts w:hint="eastAsia" w:ascii="宋体" w:hAnsi="宋体"/>
                <w:sz w:val="21"/>
                <w:szCs w:val="21"/>
              </w:rPr>
              <w:t>无该项内容：0分</w:t>
            </w:r>
          </w:p>
          <w:p w14:paraId="754B914F">
            <w:pPr>
              <w:snapToGrid w:val="0"/>
              <w:spacing w:line="240" w:lineRule="auto"/>
              <w:rPr>
                <w:rFonts w:ascii="华文楷体" w:hAnsi="华文楷体" w:eastAsia="华文楷体"/>
                <w:bCs/>
                <w:sz w:val="18"/>
                <w:szCs w:val="18"/>
              </w:rPr>
            </w:pPr>
            <w:r>
              <w:rPr>
                <w:rFonts w:hint="eastAsia" w:ascii="楷体" w:hAnsi="楷体" w:eastAsia="楷体"/>
                <w:sz w:val="18"/>
                <w:szCs w:val="18"/>
              </w:rPr>
              <w:t>【见质量管理体系与保证措施相关内容】</w:t>
            </w:r>
          </w:p>
        </w:tc>
        <w:tc>
          <w:tcPr>
            <w:tcW w:w="851" w:type="dxa"/>
            <w:vAlign w:val="center"/>
          </w:tcPr>
          <w:p w14:paraId="7C618B45">
            <w:pPr>
              <w:spacing w:line="240" w:lineRule="auto"/>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7</w:t>
            </w:r>
          </w:p>
        </w:tc>
        <w:tc>
          <w:tcPr>
            <w:tcW w:w="708" w:type="dxa"/>
            <w:vAlign w:val="center"/>
          </w:tcPr>
          <w:p w14:paraId="694CBB74">
            <w:pPr>
              <w:spacing w:line="240" w:lineRule="auto"/>
              <w:jc w:val="center"/>
              <w:rPr>
                <w:rFonts w:ascii="宋体" w:hAnsi="宋体" w:cs="宋体"/>
                <w:kern w:val="0"/>
                <w:sz w:val="21"/>
                <w:szCs w:val="21"/>
              </w:rPr>
            </w:pPr>
          </w:p>
        </w:tc>
        <w:tc>
          <w:tcPr>
            <w:tcW w:w="709" w:type="dxa"/>
            <w:vAlign w:val="center"/>
          </w:tcPr>
          <w:p w14:paraId="0AB49151">
            <w:pPr>
              <w:spacing w:line="240" w:lineRule="auto"/>
              <w:jc w:val="center"/>
              <w:rPr>
                <w:rFonts w:ascii="宋体" w:hAnsi="宋体" w:cs="宋体"/>
                <w:kern w:val="0"/>
                <w:sz w:val="21"/>
                <w:szCs w:val="21"/>
              </w:rPr>
            </w:pPr>
          </w:p>
        </w:tc>
        <w:tc>
          <w:tcPr>
            <w:tcW w:w="567" w:type="dxa"/>
            <w:vAlign w:val="center"/>
          </w:tcPr>
          <w:p w14:paraId="7D596DCA">
            <w:pPr>
              <w:spacing w:line="240" w:lineRule="auto"/>
              <w:jc w:val="center"/>
              <w:rPr>
                <w:rFonts w:ascii="宋体" w:hAnsi="宋体" w:cs="宋体"/>
                <w:kern w:val="0"/>
                <w:sz w:val="21"/>
                <w:szCs w:val="21"/>
              </w:rPr>
            </w:pPr>
          </w:p>
        </w:tc>
      </w:tr>
      <w:tr w14:paraId="5E39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Align w:val="center"/>
          </w:tcPr>
          <w:p w14:paraId="31DBF426">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5</w:t>
            </w:r>
          </w:p>
        </w:tc>
        <w:tc>
          <w:tcPr>
            <w:tcW w:w="1555" w:type="dxa"/>
            <w:tcMar>
              <w:left w:w="28" w:type="dxa"/>
              <w:right w:w="28" w:type="dxa"/>
            </w:tcMar>
            <w:vAlign w:val="center"/>
          </w:tcPr>
          <w:p w14:paraId="138D21D0">
            <w:pPr>
              <w:snapToGrid w:val="0"/>
              <w:spacing w:line="240" w:lineRule="auto"/>
              <w:jc w:val="center"/>
              <w:rPr>
                <w:rFonts w:ascii="宋体" w:hAnsi="宋体"/>
                <w:sz w:val="21"/>
                <w:szCs w:val="21"/>
              </w:rPr>
            </w:pPr>
            <w:r>
              <w:rPr>
                <w:rFonts w:hint="eastAsia" w:ascii="宋体" w:hAnsi="宋体"/>
                <w:sz w:val="21"/>
                <w:szCs w:val="21"/>
              </w:rPr>
              <w:t>工程进度计划与保证措施</w:t>
            </w:r>
          </w:p>
        </w:tc>
        <w:tc>
          <w:tcPr>
            <w:tcW w:w="5249" w:type="dxa"/>
            <w:vAlign w:val="center"/>
          </w:tcPr>
          <w:p w14:paraId="7A7F9E21">
            <w:pPr>
              <w:snapToGrid w:val="0"/>
              <w:spacing w:line="240" w:lineRule="auto"/>
              <w:rPr>
                <w:rFonts w:ascii="宋体" w:hAnsi="宋体"/>
                <w:sz w:val="21"/>
                <w:szCs w:val="21"/>
              </w:rPr>
            </w:pPr>
            <w:r>
              <w:rPr>
                <w:rFonts w:hint="eastAsia" w:ascii="宋体" w:hAnsi="宋体"/>
                <w:sz w:val="21"/>
                <w:szCs w:val="21"/>
              </w:rPr>
              <w:t>从工程进度计划与保证措施</w:t>
            </w:r>
            <w:r>
              <w:rPr>
                <w:rFonts w:ascii="宋体" w:hAnsi="宋体"/>
                <w:sz w:val="21"/>
                <w:szCs w:val="21"/>
              </w:rPr>
              <w:t>方案</w:t>
            </w:r>
            <w:r>
              <w:rPr>
                <w:rFonts w:hint="eastAsia" w:ascii="宋体" w:hAnsi="宋体" w:cs="宋体"/>
                <w:kern w:val="0"/>
                <w:sz w:val="21"/>
                <w:szCs w:val="21"/>
              </w:rPr>
              <w:t>是否合理，</w:t>
            </w:r>
            <w:r>
              <w:rPr>
                <w:rFonts w:ascii="宋体" w:hAnsi="宋体" w:cs="宋体"/>
                <w:kern w:val="0"/>
                <w:sz w:val="21"/>
                <w:szCs w:val="21"/>
              </w:rPr>
              <w:t>措施是否到位，</w:t>
            </w:r>
            <w:r>
              <w:rPr>
                <w:rFonts w:hint="eastAsia" w:ascii="宋体" w:hAnsi="宋体" w:cs="宋体"/>
                <w:kern w:val="0"/>
                <w:sz w:val="21"/>
                <w:szCs w:val="21"/>
              </w:rPr>
              <w:t>是否有针对性，</w:t>
            </w:r>
            <w:r>
              <w:rPr>
                <w:rFonts w:ascii="宋体" w:hAnsi="宋体" w:cs="宋体"/>
                <w:kern w:val="0"/>
                <w:sz w:val="21"/>
                <w:szCs w:val="21"/>
              </w:rPr>
              <w:t>是否能满足施工需要</w:t>
            </w:r>
            <w:r>
              <w:rPr>
                <w:rFonts w:hint="eastAsia" w:ascii="宋体" w:hAnsi="宋体" w:cs="宋体"/>
                <w:kern w:val="0"/>
                <w:sz w:val="21"/>
                <w:szCs w:val="21"/>
              </w:rPr>
              <w:t>等方面综合评审：</w:t>
            </w:r>
          </w:p>
          <w:p w14:paraId="33E93838">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w:t>
            </w:r>
            <w:r>
              <w:rPr>
                <w:rFonts w:ascii="宋体" w:hAnsi="宋体"/>
                <w:sz w:val="21"/>
                <w:szCs w:val="21"/>
              </w:rPr>
              <w:t>-</w:t>
            </w:r>
            <w:r>
              <w:rPr>
                <w:rFonts w:hint="eastAsia" w:ascii="宋体" w:hAnsi="宋体"/>
                <w:sz w:val="21"/>
                <w:szCs w:val="21"/>
                <w:lang w:val="en-US" w:eastAsia="zh-CN"/>
              </w:rPr>
              <w:t>7</w:t>
            </w:r>
            <w:r>
              <w:rPr>
                <w:rFonts w:hint="eastAsia" w:ascii="宋体" w:hAnsi="宋体"/>
                <w:sz w:val="21"/>
                <w:szCs w:val="21"/>
              </w:rPr>
              <w:t>分</w:t>
            </w:r>
          </w:p>
          <w:p w14:paraId="49CB3FA3">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56AA0264">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p w14:paraId="6415F643">
            <w:pPr>
              <w:tabs>
                <w:tab w:val="left" w:pos="1575"/>
              </w:tabs>
              <w:snapToGrid w:val="0"/>
              <w:spacing w:line="240" w:lineRule="auto"/>
              <w:rPr>
                <w:rFonts w:ascii="宋体" w:hAnsi="宋体"/>
                <w:sz w:val="21"/>
                <w:szCs w:val="21"/>
              </w:rPr>
            </w:pPr>
            <w:r>
              <w:rPr>
                <w:rFonts w:hint="eastAsia" w:ascii="宋体" w:hAnsi="宋体"/>
                <w:sz w:val="21"/>
                <w:szCs w:val="21"/>
              </w:rPr>
              <w:t>无该项内容：0分</w:t>
            </w:r>
          </w:p>
          <w:p w14:paraId="5BF13699">
            <w:pPr>
              <w:tabs>
                <w:tab w:val="left" w:pos="1575"/>
              </w:tabs>
              <w:snapToGrid w:val="0"/>
              <w:spacing w:line="240" w:lineRule="auto"/>
              <w:rPr>
                <w:rFonts w:ascii="宋体" w:hAnsi="宋体"/>
                <w:sz w:val="21"/>
                <w:szCs w:val="21"/>
              </w:rPr>
            </w:pPr>
            <w:r>
              <w:rPr>
                <w:rFonts w:hint="eastAsia" w:ascii="楷体" w:hAnsi="楷体" w:eastAsia="楷体"/>
                <w:sz w:val="18"/>
                <w:szCs w:val="18"/>
              </w:rPr>
              <w:t>【见工程进度计划与保证措施相关内容。</w:t>
            </w:r>
            <w:r>
              <w:rPr>
                <w:rFonts w:ascii="楷体" w:hAnsi="楷体" w:eastAsia="楷体"/>
                <w:b/>
                <w:sz w:val="18"/>
                <w:szCs w:val="18"/>
              </w:rPr>
              <w:t>若进度</w:t>
            </w:r>
            <w:r>
              <w:rPr>
                <w:rFonts w:hint="eastAsia" w:ascii="楷体" w:hAnsi="楷体" w:eastAsia="楷体"/>
                <w:b/>
                <w:sz w:val="18"/>
                <w:szCs w:val="18"/>
              </w:rPr>
              <w:t>计划</w:t>
            </w:r>
            <w:r>
              <w:rPr>
                <w:rFonts w:ascii="楷体" w:hAnsi="楷体" w:eastAsia="楷体"/>
                <w:b/>
                <w:sz w:val="18"/>
                <w:szCs w:val="18"/>
              </w:rPr>
              <w:t>未</w:t>
            </w:r>
            <w:r>
              <w:rPr>
                <w:rFonts w:hint="eastAsia" w:ascii="楷体" w:hAnsi="楷体" w:eastAsia="楷体"/>
                <w:b/>
                <w:sz w:val="18"/>
                <w:szCs w:val="18"/>
              </w:rPr>
              <w:t>实质</w:t>
            </w:r>
            <w:r>
              <w:rPr>
                <w:rFonts w:ascii="楷体" w:hAnsi="楷体" w:eastAsia="楷体"/>
                <w:b/>
                <w:sz w:val="18"/>
                <w:szCs w:val="18"/>
              </w:rPr>
              <w:t>性响应招标文件</w:t>
            </w:r>
            <w:r>
              <w:rPr>
                <w:rFonts w:hint="eastAsia" w:ascii="楷体" w:hAnsi="楷体" w:eastAsia="楷体"/>
                <w:b/>
                <w:sz w:val="18"/>
                <w:szCs w:val="18"/>
              </w:rPr>
              <w:t>明确</w:t>
            </w:r>
            <w:r>
              <w:rPr>
                <w:rFonts w:ascii="楷体" w:hAnsi="楷体" w:eastAsia="楷体"/>
                <w:b/>
                <w:sz w:val="18"/>
                <w:szCs w:val="18"/>
              </w:rPr>
              <w:t>的</w:t>
            </w:r>
            <w:r>
              <w:rPr>
                <w:rFonts w:hint="eastAsia" w:ascii="楷体" w:hAnsi="楷体" w:eastAsia="楷体"/>
                <w:b/>
                <w:sz w:val="18"/>
                <w:szCs w:val="18"/>
              </w:rPr>
              <w:t>计划工期</w:t>
            </w:r>
            <w:r>
              <w:rPr>
                <w:rFonts w:ascii="楷体" w:hAnsi="楷体" w:eastAsia="楷体"/>
                <w:b/>
                <w:sz w:val="18"/>
                <w:szCs w:val="18"/>
              </w:rPr>
              <w:t>要求</w:t>
            </w:r>
            <w:r>
              <w:rPr>
                <w:rFonts w:hint="eastAsia" w:ascii="楷体" w:hAnsi="楷体" w:eastAsia="楷体"/>
                <w:b/>
                <w:sz w:val="18"/>
                <w:szCs w:val="18"/>
              </w:rPr>
              <w:t>，</w:t>
            </w:r>
            <w:r>
              <w:rPr>
                <w:rFonts w:ascii="楷体" w:hAnsi="楷体" w:eastAsia="楷体"/>
                <w:b/>
                <w:sz w:val="18"/>
                <w:szCs w:val="18"/>
              </w:rPr>
              <w:t>其投标将被否决</w:t>
            </w:r>
            <w:r>
              <w:rPr>
                <w:rFonts w:hint="eastAsia" w:ascii="楷体" w:hAnsi="楷体" w:eastAsia="楷体"/>
                <w:sz w:val="18"/>
                <w:szCs w:val="18"/>
              </w:rPr>
              <w:t>】</w:t>
            </w:r>
          </w:p>
        </w:tc>
        <w:tc>
          <w:tcPr>
            <w:tcW w:w="851" w:type="dxa"/>
            <w:vAlign w:val="center"/>
          </w:tcPr>
          <w:p w14:paraId="2D337525">
            <w:pPr>
              <w:spacing w:line="240" w:lineRule="auto"/>
              <w:jc w:val="center"/>
              <w:rPr>
                <w:rFonts w:hint="eastAsia" w:ascii="宋体" w:hAnsi="宋体" w:eastAsia="宋体" w:cs="宋体"/>
                <w:kern w:val="0"/>
                <w:sz w:val="21"/>
                <w:szCs w:val="21"/>
                <w:lang w:eastAsia="zh-CN"/>
              </w:rPr>
            </w:pPr>
            <w:r>
              <w:rPr>
                <w:rFonts w:hint="eastAsia" w:ascii="宋体" w:hAnsi="宋体" w:cs="宋体"/>
                <w:kern w:val="0"/>
                <w:sz w:val="21"/>
                <w:szCs w:val="21"/>
                <w:lang w:val="en-US" w:eastAsia="zh-CN"/>
              </w:rPr>
              <w:t>7</w:t>
            </w:r>
          </w:p>
        </w:tc>
        <w:tc>
          <w:tcPr>
            <w:tcW w:w="708" w:type="dxa"/>
            <w:vAlign w:val="center"/>
          </w:tcPr>
          <w:p w14:paraId="63C6C85F">
            <w:pPr>
              <w:spacing w:line="240" w:lineRule="auto"/>
              <w:jc w:val="center"/>
              <w:rPr>
                <w:rFonts w:ascii="宋体" w:hAnsi="宋体" w:cs="宋体"/>
                <w:kern w:val="0"/>
                <w:sz w:val="21"/>
                <w:szCs w:val="21"/>
              </w:rPr>
            </w:pPr>
          </w:p>
        </w:tc>
        <w:tc>
          <w:tcPr>
            <w:tcW w:w="709" w:type="dxa"/>
            <w:vAlign w:val="center"/>
          </w:tcPr>
          <w:p w14:paraId="1C029EE1">
            <w:pPr>
              <w:spacing w:line="240" w:lineRule="auto"/>
              <w:jc w:val="center"/>
              <w:rPr>
                <w:rFonts w:ascii="宋体" w:hAnsi="宋体" w:cs="宋体"/>
                <w:kern w:val="0"/>
                <w:sz w:val="21"/>
                <w:szCs w:val="21"/>
              </w:rPr>
            </w:pPr>
          </w:p>
        </w:tc>
        <w:tc>
          <w:tcPr>
            <w:tcW w:w="567" w:type="dxa"/>
            <w:vAlign w:val="center"/>
          </w:tcPr>
          <w:p w14:paraId="7685DB5C">
            <w:pPr>
              <w:spacing w:line="240" w:lineRule="auto"/>
              <w:jc w:val="center"/>
              <w:rPr>
                <w:rFonts w:ascii="宋体" w:hAnsi="宋体" w:cs="宋体"/>
                <w:kern w:val="0"/>
                <w:sz w:val="21"/>
                <w:szCs w:val="21"/>
              </w:rPr>
            </w:pPr>
          </w:p>
        </w:tc>
      </w:tr>
      <w:tr w14:paraId="4F02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567" w:type="dxa"/>
            <w:vAlign w:val="center"/>
          </w:tcPr>
          <w:p w14:paraId="33974069">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155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9485B37">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安全</w:t>
            </w:r>
            <w:r>
              <w:rPr>
                <w:rFonts w:ascii="宋体" w:hAnsi="宋体" w:cs="宋体"/>
                <w:kern w:val="0"/>
                <w:sz w:val="21"/>
                <w:szCs w:val="21"/>
              </w:rPr>
              <w:t>保证</w:t>
            </w:r>
          </w:p>
          <w:p w14:paraId="1816F239">
            <w:pPr>
              <w:widowControl/>
              <w:snapToGrid w:val="0"/>
              <w:spacing w:line="240" w:lineRule="auto"/>
              <w:jc w:val="center"/>
              <w:rPr>
                <w:rFonts w:ascii="宋体" w:hAnsi="宋体"/>
                <w:sz w:val="21"/>
                <w:szCs w:val="21"/>
              </w:rPr>
            </w:pPr>
            <w:r>
              <w:rPr>
                <w:rFonts w:ascii="宋体" w:hAnsi="宋体" w:cs="宋体"/>
                <w:kern w:val="0"/>
                <w:sz w:val="21"/>
                <w:szCs w:val="21"/>
              </w:rPr>
              <w:t>措施要点</w:t>
            </w:r>
          </w:p>
        </w:tc>
        <w:tc>
          <w:tcPr>
            <w:tcW w:w="5249" w:type="dxa"/>
            <w:vAlign w:val="center"/>
          </w:tcPr>
          <w:p w14:paraId="38C1E20D">
            <w:pPr>
              <w:tabs>
                <w:tab w:val="left" w:pos="1575"/>
              </w:tabs>
              <w:snapToGrid w:val="0"/>
              <w:spacing w:line="240" w:lineRule="auto"/>
              <w:rPr>
                <w:rFonts w:ascii="宋体" w:hAnsi="宋体"/>
                <w:sz w:val="21"/>
                <w:szCs w:val="21"/>
              </w:rPr>
            </w:pPr>
            <w:r>
              <w:rPr>
                <w:rFonts w:hint="eastAsia" w:ascii="宋体" w:hAnsi="宋体"/>
                <w:sz w:val="21"/>
                <w:szCs w:val="21"/>
              </w:rPr>
              <w:t>从安全</w:t>
            </w:r>
            <w:r>
              <w:rPr>
                <w:rFonts w:ascii="宋体" w:hAnsi="宋体"/>
                <w:sz w:val="21"/>
                <w:szCs w:val="21"/>
              </w:rPr>
              <w:t>保证措施</w:t>
            </w:r>
            <w:r>
              <w:rPr>
                <w:rFonts w:hint="eastAsia" w:ascii="宋体" w:hAnsi="宋体"/>
                <w:sz w:val="21"/>
                <w:szCs w:val="21"/>
              </w:rPr>
              <w:t>要点</w:t>
            </w:r>
            <w:r>
              <w:rPr>
                <w:rFonts w:ascii="宋体" w:hAnsi="宋体"/>
                <w:sz w:val="21"/>
                <w:szCs w:val="21"/>
              </w:rPr>
              <w:t>（包括</w:t>
            </w:r>
            <w:r>
              <w:rPr>
                <w:rFonts w:hint="eastAsia" w:ascii="宋体" w:hAnsi="宋体"/>
                <w:sz w:val="21"/>
                <w:szCs w:val="21"/>
              </w:rPr>
              <w:t>安全管理方案及相应安全控制措施、安全生产费用管理及使用方案等</w:t>
            </w:r>
            <w:r>
              <w:rPr>
                <w:rFonts w:ascii="宋体" w:hAnsi="宋体"/>
                <w:sz w:val="21"/>
                <w:szCs w:val="21"/>
              </w:rPr>
              <w:t>）是否科学、可行</w:t>
            </w:r>
            <w:r>
              <w:rPr>
                <w:rFonts w:hint="eastAsia" w:ascii="宋体" w:hAnsi="宋体"/>
                <w:sz w:val="21"/>
                <w:szCs w:val="21"/>
              </w:rPr>
              <w:t>、有</w:t>
            </w:r>
            <w:r>
              <w:rPr>
                <w:rFonts w:ascii="宋体" w:hAnsi="宋体"/>
                <w:sz w:val="21"/>
                <w:szCs w:val="21"/>
              </w:rPr>
              <w:t>针对性</w:t>
            </w:r>
            <w:r>
              <w:rPr>
                <w:rFonts w:hint="eastAsia" w:ascii="宋体" w:hAnsi="宋体"/>
                <w:sz w:val="21"/>
                <w:szCs w:val="21"/>
              </w:rPr>
              <w:t>等</w:t>
            </w:r>
            <w:r>
              <w:rPr>
                <w:rFonts w:ascii="宋体" w:hAnsi="宋体"/>
                <w:sz w:val="21"/>
                <w:szCs w:val="21"/>
              </w:rPr>
              <w:t>方面综合评审</w:t>
            </w:r>
          </w:p>
          <w:p w14:paraId="38E621C6">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20</w:t>
            </w:r>
            <w:r>
              <w:rPr>
                <w:rFonts w:ascii="宋体" w:hAnsi="宋体"/>
                <w:sz w:val="21"/>
                <w:szCs w:val="21"/>
              </w:rPr>
              <w:t>-</w:t>
            </w:r>
            <w:r>
              <w:rPr>
                <w:rFonts w:hint="eastAsia" w:ascii="宋体" w:hAnsi="宋体"/>
                <w:sz w:val="21"/>
                <w:szCs w:val="21"/>
              </w:rPr>
              <w:t>25分</w:t>
            </w:r>
          </w:p>
          <w:p w14:paraId="508EFA3D">
            <w:pPr>
              <w:tabs>
                <w:tab w:val="left" w:pos="1575"/>
              </w:tabs>
              <w:snapToGrid w:val="0"/>
              <w:spacing w:line="240" w:lineRule="auto"/>
              <w:rPr>
                <w:rFonts w:ascii="宋体" w:hAnsi="宋体"/>
                <w:sz w:val="21"/>
                <w:szCs w:val="21"/>
              </w:rPr>
            </w:pPr>
            <w:r>
              <w:rPr>
                <w:rFonts w:hint="eastAsia" w:ascii="宋体" w:hAnsi="宋体"/>
                <w:sz w:val="21"/>
                <w:szCs w:val="21"/>
              </w:rPr>
              <w:t>较好：15</w:t>
            </w:r>
            <w:r>
              <w:rPr>
                <w:rFonts w:ascii="宋体" w:hAnsi="宋体"/>
                <w:sz w:val="21"/>
                <w:szCs w:val="21"/>
              </w:rPr>
              <w:t>-</w:t>
            </w:r>
            <w:r>
              <w:rPr>
                <w:rFonts w:hint="eastAsia" w:ascii="宋体" w:hAnsi="宋体"/>
                <w:sz w:val="21"/>
                <w:szCs w:val="21"/>
              </w:rPr>
              <w:t>19分</w:t>
            </w:r>
          </w:p>
          <w:p w14:paraId="5E6BBD8A">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14分</w:t>
            </w:r>
          </w:p>
          <w:p w14:paraId="442BDAFE">
            <w:pPr>
              <w:tabs>
                <w:tab w:val="left" w:pos="1575"/>
              </w:tabs>
              <w:snapToGrid w:val="0"/>
              <w:spacing w:line="240" w:lineRule="auto"/>
              <w:rPr>
                <w:rFonts w:ascii="宋体" w:hAnsi="宋体"/>
                <w:sz w:val="21"/>
                <w:szCs w:val="21"/>
              </w:rPr>
            </w:pPr>
            <w:r>
              <w:rPr>
                <w:rFonts w:hint="eastAsia" w:ascii="宋体" w:hAnsi="宋体"/>
                <w:sz w:val="21"/>
                <w:szCs w:val="21"/>
              </w:rPr>
              <w:t>无该项内容：0分</w:t>
            </w:r>
          </w:p>
          <w:p w14:paraId="1E50F67D">
            <w:pPr>
              <w:snapToGrid w:val="0"/>
              <w:spacing w:line="240" w:lineRule="auto"/>
              <w:rPr>
                <w:rFonts w:ascii="宋体" w:hAnsi="宋体"/>
                <w:sz w:val="21"/>
                <w:szCs w:val="21"/>
              </w:rPr>
            </w:pPr>
            <w:r>
              <w:rPr>
                <w:rFonts w:hint="eastAsia" w:ascii="华文楷体" w:hAnsi="华文楷体" w:eastAsia="楷体"/>
                <w:bCs/>
                <w:sz w:val="18"/>
                <w:szCs w:val="18"/>
              </w:rPr>
              <w:t>【见安全</w:t>
            </w:r>
            <w:r>
              <w:rPr>
                <w:rFonts w:ascii="华文楷体" w:hAnsi="华文楷体" w:eastAsia="楷体"/>
                <w:bCs/>
                <w:sz w:val="18"/>
                <w:szCs w:val="18"/>
              </w:rPr>
              <w:t>保证措施要点</w:t>
            </w:r>
            <w:r>
              <w:rPr>
                <w:rFonts w:hint="eastAsia" w:ascii="华文楷体" w:hAnsi="华文楷体" w:eastAsia="楷体"/>
                <w:bCs/>
                <w:sz w:val="18"/>
                <w:szCs w:val="18"/>
              </w:rPr>
              <w:t>相关内容】</w:t>
            </w:r>
          </w:p>
        </w:tc>
        <w:tc>
          <w:tcPr>
            <w:tcW w:w="851" w:type="dxa"/>
            <w:vAlign w:val="center"/>
          </w:tcPr>
          <w:p w14:paraId="459384DD">
            <w:pPr>
              <w:spacing w:line="240" w:lineRule="auto"/>
              <w:jc w:val="center"/>
              <w:rPr>
                <w:rFonts w:ascii="宋体" w:hAnsi="宋体" w:cs="宋体"/>
                <w:kern w:val="0"/>
                <w:sz w:val="21"/>
                <w:szCs w:val="21"/>
              </w:rPr>
            </w:pPr>
            <w:r>
              <w:rPr>
                <w:rFonts w:hint="eastAsia" w:ascii="宋体" w:hAnsi="宋体" w:cs="宋体"/>
                <w:kern w:val="0"/>
                <w:sz w:val="21"/>
                <w:szCs w:val="21"/>
              </w:rPr>
              <w:t>25</w:t>
            </w:r>
          </w:p>
        </w:tc>
        <w:tc>
          <w:tcPr>
            <w:tcW w:w="708" w:type="dxa"/>
            <w:vAlign w:val="center"/>
          </w:tcPr>
          <w:p w14:paraId="3715F6E9">
            <w:pPr>
              <w:spacing w:line="240" w:lineRule="auto"/>
              <w:jc w:val="center"/>
              <w:rPr>
                <w:rFonts w:ascii="宋体" w:hAnsi="宋体" w:cs="宋体"/>
                <w:kern w:val="0"/>
                <w:sz w:val="21"/>
                <w:szCs w:val="21"/>
              </w:rPr>
            </w:pPr>
          </w:p>
        </w:tc>
        <w:tc>
          <w:tcPr>
            <w:tcW w:w="709" w:type="dxa"/>
            <w:vAlign w:val="center"/>
          </w:tcPr>
          <w:p w14:paraId="699E3D0C">
            <w:pPr>
              <w:spacing w:line="240" w:lineRule="auto"/>
              <w:jc w:val="center"/>
              <w:rPr>
                <w:rFonts w:ascii="宋体" w:hAnsi="宋体" w:cs="宋体"/>
                <w:kern w:val="0"/>
                <w:sz w:val="21"/>
                <w:szCs w:val="21"/>
              </w:rPr>
            </w:pPr>
          </w:p>
        </w:tc>
        <w:tc>
          <w:tcPr>
            <w:tcW w:w="567" w:type="dxa"/>
            <w:vAlign w:val="center"/>
          </w:tcPr>
          <w:p w14:paraId="1F91658D">
            <w:pPr>
              <w:spacing w:line="240" w:lineRule="auto"/>
              <w:jc w:val="center"/>
              <w:rPr>
                <w:rFonts w:ascii="宋体" w:hAnsi="宋体" w:cs="宋体"/>
                <w:kern w:val="0"/>
                <w:sz w:val="21"/>
                <w:szCs w:val="21"/>
              </w:rPr>
            </w:pPr>
          </w:p>
        </w:tc>
      </w:tr>
      <w:tr w14:paraId="4AFC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67" w:type="dxa"/>
            <w:vAlign w:val="center"/>
          </w:tcPr>
          <w:p w14:paraId="383B1AC9">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7</w:t>
            </w:r>
          </w:p>
        </w:tc>
        <w:tc>
          <w:tcPr>
            <w:tcW w:w="1555" w:type="dxa"/>
            <w:tcMar>
              <w:left w:w="28" w:type="dxa"/>
              <w:right w:w="28" w:type="dxa"/>
            </w:tcMar>
            <w:vAlign w:val="center"/>
          </w:tcPr>
          <w:p w14:paraId="59C33628">
            <w:pPr>
              <w:widowControl/>
              <w:snapToGrid w:val="0"/>
              <w:spacing w:line="240" w:lineRule="auto"/>
              <w:jc w:val="center"/>
              <w:rPr>
                <w:rFonts w:ascii="宋体" w:hAnsi="宋体"/>
                <w:sz w:val="21"/>
                <w:szCs w:val="21"/>
              </w:rPr>
            </w:pPr>
            <w:r>
              <w:rPr>
                <w:rFonts w:hint="eastAsia" w:ascii="宋体" w:hAnsi="宋体"/>
                <w:sz w:val="21"/>
                <w:szCs w:val="21"/>
              </w:rPr>
              <w:t>文明</w:t>
            </w:r>
            <w:r>
              <w:rPr>
                <w:rFonts w:ascii="宋体" w:hAnsi="宋体"/>
                <w:sz w:val="21"/>
                <w:szCs w:val="21"/>
              </w:rPr>
              <w:t>环保</w:t>
            </w:r>
            <w:r>
              <w:rPr>
                <w:rFonts w:hint="eastAsia" w:ascii="宋体" w:hAnsi="宋体"/>
                <w:sz w:val="21"/>
                <w:szCs w:val="21"/>
              </w:rPr>
              <w:t>施工</w:t>
            </w:r>
          </w:p>
          <w:p w14:paraId="5A9A56A2">
            <w:pPr>
              <w:widowControl/>
              <w:snapToGrid w:val="0"/>
              <w:spacing w:line="240" w:lineRule="auto"/>
              <w:jc w:val="center"/>
              <w:rPr>
                <w:rFonts w:ascii="宋体" w:hAnsi="宋体" w:cs="宋体"/>
                <w:kern w:val="0"/>
                <w:sz w:val="21"/>
                <w:szCs w:val="21"/>
              </w:rPr>
            </w:pPr>
            <w:r>
              <w:rPr>
                <w:rFonts w:hint="eastAsia" w:ascii="宋体" w:hAnsi="宋体"/>
                <w:sz w:val="21"/>
                <w:szCs w:val="21"/>
              </w:rPr>
              <w:t>保障</w:t>
            </w:r>
            <w:r>
              <w:rPr>
                <w:rFonts w:ascii="宋体" w:hAnsi="宋体"/>
                <w:sz w:val="21"/>
                <w:szCs w:val="21"/>
              </w:rPr>
              <w:t>措施</w:t>
            </w:r>
          </w:p>
        </w:tc>
        <w:tc>
          <w:tcPr>
            <w:tcW w:w="5249" w:type="dxa"/>
            <w:vAlign w:val="center"/>
          </w:tcPr>
          <w:p w14:paraId="781D4845">
            <w:pPr>
              <w:snapToGrid w:val="0"/>
              <w:spacing w:line="240" w:lineRule="auto"/>
              <w:rPr>
                <w:rFonts w:ascii="宋体" w:hAnsi="宋体" w:cs="宋体"/>
                <w:kern w:val="0"/>
                <w:sz w:val="21"/>
                <w:szCs w:val="21"/>
              </w:rPr>
            </w:pPr>
            <w:r>
              <w:rPr>
                <w:rFonts w:hint="eastAsia" w:ascii="宋体" w:hAnsi="宋体"/>
                <w:sz w:val="21"/>
                <w:szCs w:val="21"/>
              </w:rPr>
              <w:t>从文明</w:t>
            </w:r>
            <w:r>
              <w:rPr>
                <w:rFonts w:ascii="宋体" w:hAnsi="宋体"/>
                <w:sz w:val="21"/>
                <w:szCs w:val="21"/>
              </w:rPr>
              <w:t>环保</w:t>
            </w:r>
            <w:r>
              <w:rPr>
                <w:rFonts w:hint="eastAsia" w:ascii="宋体" w:hAnsi="宋体"/>
                <w:sz w:val="21"/>
                <w:szCs w:val="21"/>
              </w:rPr>
              <w:t>施工保障</w:t>
            </w:r>
            <w:r>
              <w:rPr>
                <w:rFonts w:ascii="宋体" w:hAnsi="宋体"/>
                <w:sz w:val="21"/>
                <w:szCs w:val="21"/>
              </w:rPr>
              <w:t>措施</w:t>
            </w:r>
            <w:r>
              <w:rPr>
                <w:rFonts w:hint="eastAsia" w:ascii="宋体" w:hAnsi="宋体"/>
                <w:sz w:val="21"/>
                <w:szCs w:val="21"/>
              </w:rPr>
              <w:t>方案</w:t>
            </w:r>
            <w:r>
              <w:rPr>
                <w:rFonts w:hint="eastAsia" w:ascii="宋体" w:hAnsi="宋体" w:cs="宋体"/>
                <w:kern w:val="0"/>
                <w:sz w:val="21"/>
                <w:szCs w:val="21"/>
              </w:rPr>
              <w:t>是否合理，</w:t>
            </w:r>
            <w:r>
              <w:rPr>
                <w:rFonts w:ascii="宋体" w:hAnsi="宋体" w:cs="宋体"/>
                <w:kern w:val="0"/>
                <w:sz w:val="21"/>
                <w:szCs w:val="21"/>
              </w:rPr>
              <w:t>措施是否到位，</w:t>
            </w:r>
            <w:r>
              <w:rPr>
                <w:rFonts w:hint="eastAsia" w:ascii="宋体" w:hAnsi="宋体" w:cs="宋体"/>
                <w:kern w:val="0"/>
                <w:sz w:val="21"/>
                <w:szCs w:val="21"/>
              </w:rPr>
              <w:t>是否有针对性，</w:t>
            </w:r>
            <w:r>
              <w:rPr>
                <w:rFonts w:ascii="宋体" w:hAnsi="宋体" w:cs="宋体"/>
                <w:kern w:val="0"/>
                <w:sz w:val="21"/>
                <w:szCs w:val="21"/>
              </w:rPr>
              <w:t>是否能满足施工需要</w:t>
            </w:r>
            <w:r>
              <w:rPr>
                <w:rFonts w:hint="eastAsia" w:ascii="宋体" w:hAnsi="宋体" w:cs="宋体"/>
                <w:kern w:val="0"/>
                <w:sz w:val="21"/>
                <w:szCs w:val="21"/>
              </w:rPr>
              <w:t>等方面综合评审：</w:t>
            </w:r>
          </w:p>
          <w:p w14:paraId="7B1BB651">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w:t>
            </w:r>
            <w:r>
              <w:rPr>
                <w:rFonts w:ascii="宋体" w:hAnsi="宋体"/>
                <w:sz w:val="21"/>
                <w:szCs w:val="21"/>
              </w:rPr>
              <w:t>-</w:t>
            </w:r>
            <w:r>
              <w:rPr>
                <w:rFonts w:hint="eastAsia" w:ascii="宋体" w:hAnsi="宋体"/>
                <w:sz w:val="21"/>
                <w:szCs w:val="21"/>
              </w:rPr>
              <w:t>6分</w:t>
            </w:r>
          </w:p>
          <w:p w14:paraId="7860EDFD">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26CA99FD">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p w14:paraId="207042A3">
            <w:pPr>
              <w:tabs>
                <w:tab w:val="left" w:pos="1575"/>
              </w:tabs>
              <w:snapToGrid w:val="0"/>
              <w:spacing w:line="240" w:lineRule="auto"/>
              <w:rPr>
                <w:rFonts w:ascii="宋体" w:hAnsi="宋体"/>
                <w:sz w:val="21"/>
                <w:szCs w:val="21"/>
              </w:rPr>
            </w:pPr>
            <w:r>
              <w:rPr>
                <w:rFonts w:hint="eastAsia" w:ascii="宋体" w:hAnsi="宋体"/>
                <w:sz w:val="21"/>
                <w:szCs w:val="21"/>
              </w:rPr>
              <w:t>无该项内容：0分</w:t>
            </w:r>
          </w:p>
          <w:p w14:paraId="23DC24FA">
            <w:pPr>
              <w:widowControl/>
              <w:snapToGrid w:val="0"/>
              <w:spacing w:line="240" w:lineRule="auto"/>
              <w:jc w:val="left"/>
              <w:rPr>
                <w:rFonts w:ascii="宋体" w:hAnsi="宋体" w:cs="宋体"/>
                <w:kern w:val="0"/>
                <w:sz w:val="21"/>
                <w:szCs w:val="21"/>
              </w:rPr>
            </w:pPr>
            <w:r>
              <w:rPr>
                <w:rFonts w:hint="eastAsia" w:ascii="华文楷体" w:hAnsi="华文楷体" w:eastAsia="楷体"/>
                <w:bCs/>
                <w:sz w:val="18"/>
                <w:szCs w:val="18"/>
              </w:rPr>
              <w:t>【见文明环保施工保障措施相关</w:t>
            </w:r>
            <w:r>
              <w:rPr>
                <w:rFonts w:ascii="华文楷体" w:hAnsi="华文楷体" w:eastAsia="楷体"/>
                <w:bCs/>
                <w:sz w:val="18"/>
                <w:szCs w:val="18"/>
              </w:rPr>
              <w:t>内容</w:t>
            </w:r>
            <w:r>
              <w:rPr>
                <w:rFonts w:hint="eastAsia" w:ascii="华文楷体" w:hAnsi="华文楷体" w:eastAsia="楷体"/>
                <w:bCs/>
                <w:sz w:val="18"/>
                <w:szCs w:val="18"/>
              </w:rPr>
              <w:t>】</w:t>
            </w:r>
          </w:p>
        </w:tc>
        <w:tc>
          <w:tcPr>
            <w:tcW w:w="851" w:type="dxa"/>
            <w:vAlign w:val="center"/>
          </w:tcPr>
          <w:p w14:paraId="612CC617">
            <w:pPr>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708" w:type="dxa"/>
            <w:vAlign w:val="center"/>
          </w:tcPr>
          <w:p w14:paraId="502CD4CA">
            <w:pPr>
              <w:spacing w:line="240" w:lineRule="auto"/>
              <w:jc w:val="center"/>
              <w:rPr>
                <w:rFonts w:ascii="宋体" w:hAnsi="宋体" w:cs="宋体"/>
                <w:kern w:val="0"/>
                <w:sz w:val="21"/>
                <w:szCs w:val="21"/>
              </w:rPr>
            </w:pPr>
          </w:p>
        </w:tc>
        <w:tc>
          <w:tcPr>
            <w:tcW w:w="709" w:type="dxa"/>
            <w:vAlign w:val="center"/>
          </w:tcPr>
          <w:p w14:paraId="22CC2D5C">
            <w:pPr>
              <w:spacing w:line="240" w:lineRule="auto"/>
              <w:jc w:val="center"/>
              <w:rPr>
                <w:rFonts w:ascii="宋体" w:hAnsi="宋体" w:cs="宋体"/>
                <w:kern w:val="0"/>
                <w:sz w:val="21"/>
                <w:szCs w:val="21"/>
              </w:rPr>
            </w:pPr>
          </w:p>
        </w:tc>
        <w:tc>
          <w:tcPr>
            <w:tcW w:w="567" w:type="dxa"/>
            <w:vAlign w:val="center"/>
          </w:tcPr>
          <w:p w14:paraId="0B1494AC">
            <w:pPr>
              <w:spacing w:line="240" w:lineRule="auto"/>
              <w:jc w:val="center"/>
              <w:rPr>
                <w:rFonts w:ascii="宋体" w:hAnsi="宋体" w:cs="宋体"/>
                <w:kern w:val="0"/>
                <w:sz w:val="21"/>
                <w:szCs w:val="21"/>
              </w:rPr>
            </w:pPr>
          </w:p>
        </w:tc>
      </w:tr>
      <w:tr w14:paraId="5701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567" w:type="dxa"/>
            <w:vAlign w:val="center"/>
          </w:tcPr>
          <w:p w14:paraId="20CE11F2">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8</w:t>
            </w:r>
          </w:p>
        </w:tc>
        <w:tc>
          <w:tcPr>
            <w:tcW w:w="1555" w:type="dxa"/>
            <w:tcMar>
              <w:left w:w="28" w:type="dxa"/>
              <w:right w:w="28" w:type="dxa"/>
            </w:tcMar>
            <w:vAlign w:val="center"/>
          </w:tcPr>
          <w:p w14:paraId="1A97F83B">
            <w:pPr>
              <w:widowControl/>
              <w:snapToGrid w:val="0"/>
              <w:spacing w:line="240" w:lineRule="auto"/>
              <w:jc w:val="center"/>
              <w:rPr>
                <w:rFonts w:ascii="宋体" w:hAnsi="宋体"/>
                <w:sz w:val="21"/>
                <w:szCs w:val="21"/>
              </w:rPr>
            </w:pPr>
            <w:r>
              <w:rPr>
                <w:rFonts w:hint="eastAsia" w:ascii="宋体" w:hAnsi="宋体"/>
                <w:sz w:val="21"/>
                <w:szCs w:val="21"/>
              </w:rPr>
              <w:t>人力</w:t>
            </w:r>
            <w:r>
              <w:rPr>
                <w:rFonts w:ascii="宋体" w:hAnsi="宋体"/>
                <w:sz w:val="21"/>
                <w:szCs w:val="21"/>
              </w:rPr>
              <w:t>资源</w:t>
            </w:r>
            <w:r>
              <w:rPr>
                <w:rFonts w:hint="eastAsia" w:ascii="宋体" w:hAnsi="宋体"/>
                <w:sz w:val="21"/>
                <w:szCs w:val="21"/>
              </w:rPr>
              <w:t>计划与保证</w:t>
            </w:r>
            <w:r>
              <w:rPr>
                <w:rFonts w:ascii="宋体" w:hAnsi="宋体"/>
                <w:sz w:val="21"/>
                <w:szCs w:val="21"/>
              </w:rPr>
              <w:t>措施</w:t>
            </w:r>
          </w:p>
        </w:tc>
        <w:tc>
          <w:tcPr>
            <w:tcW w:w="5249" w:type="dxa"/>
            <w:vAlign w:val="center"/>
          </w:tcPr>
          <w:p w14:paraId="52F76863">
            <w:pPr>
              <w:snapToGrid w:val="0"/>
              <w:spacing w:line="240" w:lineRule="auto"/>
              <w:rPr>
                <w:rFonts w:ascii="宋体" w:hAnsi="宋体"/>
                <w:sz w:val="21"/>
                <w:szCs w:val="21"/>
              </w:rPr>
            </w:pPr>
            <w:r>
              <w:rPr>
                <w:rFonts w:hint="eastAsia" w:ascii="宋体" w:hAnsi="宋体"/>
                <w:sz w:val="21"/>
                <w:szCs w:val="21"/>
              </w:rPr>
              <w:t>从人力资源计划与保证措施</w:t>
            </w:r>
            <w:r>
              <w:rPr>
                <w:rFonts w:ascii="宋体" w:hAnsi="宋体"/>
                <w:sz w:val="21"/>
                <w:szCs w:val="21"/>
              </w:rPr>
              <w:t>方案</w:t>
            </w:r>
            <w:r>
              <w:rPr>
                <w:rFonts w:hint="eastAsia" w:ascii="宋体" w:hAnsi="宋体"/>
                <w:sz w:val="21"/>
                <w:szCs w:val="21"/>
              </w:rPr>
              <w:t>是否合理，</w:t>
            </w:r>
            <w:r>
              <w:rPr>
                <w:rFonts w:ascii="宋体" w:hAnsi="宋体"/>
                <w:sz w:val="21"/>
                <w:szCs w:val="21"/>
              </w:rPr>
              <w:t>措施是否到位，</w:t>
            </w:r>
            <w:r>
              <w:rPr>
                <w:rFonts w:hint="eastAsia" w:ascii="宋体" w:hAnsi="宋体"/>
                <w:sz w:val="21"/>
                <w:szCs w:val="21"/>
              </w:rPr>
              <w:t>是否有针对性，</w:t>
            </w:r>
            <w:r>
              <w:rPr>
                <w:rFonts w:ascii="宋体" w:hAnsi="宋体"/>
                <w:sz w:val="21"/>
                <w:szCs w:val="21"/>
              </w:rPr>
              <w:t>是否能满足施工需要</w:t>
            </w:r>
            <w:r>
              <w:rPr>
                <w:rFonts w:hint="eastAsia" w:ascii="宋体" w:hAnsi="宋体"/>
                <w:sz w:val="21"/>
                <w:szCs w:val="21"/>
              </w:rPr>
              <w:t>等方面综合评审：</w:t>
            </w:r>
          </w:p>
          <w:p w14:paraId="7C3909B2">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w:t>
            </w:r>
            <w:r>
              <w:rPr>
                <w:rFonts w:ascii="宋体" w:hAnsi="宋体"/>
                <w:sz w:val="21"/>
                <w:szCs w:val="21"/>
              </w:rPr>
              <w:t>-</w:t>
            </w:r>
            <w:r>
              <w:rPr>
                <w:rFonts w:hint="eastAsia" w:ascii="宋体" w:hAnsi="宋体"/>
                <w:sz w:val="21"/>
                <w:szCs w:val="21"/>
              </w:rPr>
              <w:t>6分</w:t>
            </w:r>
          </w:p>
          <w:p w14:paraId="4F9E3887">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1EA83B16">
            <w:pPr>
              <w:snapToGrid w:val="0"/>
              <w:spacing w:line="240" w:lineRule="auto"/>
              <w:jc w:val="left"/>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p w14:paraId="0ACC1074">
            <w:pPr>
              <w:snapToGrid w:val="0"/>
              <w:spacing w:line="240" w:lineRule="auto"/>
              <w:jc w:val="left"/>
              <w:rPr>
                <w:rFonts w:ascii="宋体" w:hAnsi="宋体"/>
                <w:sz w:val="21"/>
                <w:szCs w:val="21"/>
              </w:rPr>
            </w:pPr>
            <w:r>
              <w:rPr>
                <w:rFonts w:hint="eastAsia" w:ascii="宋体" w:hAnsi="宋体"/>
                <w:sz w:val="21"/>
                <w:szCs w:val="21"/>
              </w:rPr>
              <w:t>无该项内容：0分</w:t>
            </w:r>
          </w:p>
          <w:p w14:paraId="28C1701E">
            <w:pPr>
              <w:snapToGrid w:val="0"/>
              <w:spacing w:line="240" w:lineRule="auto"/>
              <w:jc w:val="left"/>
              <w:rPr>
                <w:rFonts w:ascii="宋体" w:hAnsi="宋体"/>
                <w:sz w:val="21"/>
                <w:szCs w:val="21"/>
              </w:rPr>
            </w:pPr>
            <w:r>
              <w:rPr>
                <w:rFonts w:hint="eastAsia" w:ascii="华文楷体" w:hAnsi="华文楷体" w:eastAsia="楷体"/>
                <w:bCs/>
                <w:sz w:val="18"/>
                <w:szCs w:val="18"/>
              </w:rPr>
              <w:t>（见人力资源计划与保证措施相关内容）</w:t>
            </w:r>
          </w:p>
        </w:tc>
        <w:tc>
          <w:tcPr>
            <w:tcW w:w="851" w:type="dxa"/>
            <w:vAlign w:val="center"/>
          </w:tcPr>
          <w:p w14:paraId="1F133D61">
            <w:pPr>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708" w:type="dxa"/>
            <w:vAlign w:val="center"/>
          </w:tcPr>
          <w:p w14:paraId="5DEA8747">
            <w:pPr>
              <w:spacing w:line="240" w:lineRule="auto"/>
              <w:jc w:val="center"/>
              <w:rPr>
                <w:rFonts w:ascii="宋体" w:hAnsi="宋体" w:cs="宋体"/>
                <w:kern w:val="0"/>
                <w:sz w:val="21"/>
                <w:szCs w:val="21"/>
              </w:rPr>
            </w:pPr>
          </w:p>
        </w:tc>
        <w:tc>
          <w:tcPr>
            <w:tcW w:w="709" w:type="dxa"/>
            <w:vAlign w:val="center"/>
          </w:tcPr>
          <w:p w14:paraId="597DF3C0">
            <w:pPr>
              <w:spacing w:line="240" w:lineRule="auto"/>
              <w:jc w:val="center"/>
              <w:rPr>
                <w:rFonts w:ascii="宋体" w:hAnsi="宋体" w:cs="宋体"/>
                <w:kern w:val="0"/>
                <w:sz w:val="21"/>
                <w:szCs w:val="21"/>
              </w:rPr>
            </w:pPr>
          </w:p>
        </w:tc>
        <w:tc>
          <w:tcPr>
            <w:tcW w:w="567" w:type="dxa"/>
            <w:vAlign w:val="center"/>
          </w:tcPr>
          <w:p w14:paraId="6E9454E5">
            <w:pPr>
              <w:spacing w:line="240" w:lineRule="auto"/>
              <w:jc w:val="center"/>
              <w:rPr>
                <w:rFonts w:ascii="宋体" w:hAnsi="宋体" w:cs="宋体"/>
                <w:kern w:val="0"/>
                <w:sz w:val="21"/>
                <w:szCs w:val="21"/>
              </w:rPr>
            </w:pPr>
          </w:p>
        </w:tc>
      </w:tr>
      <w:tr w14:paraId="5C3C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Align w:val="center"/>
          </w:tcPr>
          <w:p w14:paraId="3EC5E648">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9</w:t>
            </w:r>
          </w:p>
        </w:tc>
        <w:tc>
          <w:tcPr>
            <w:tcW w:w="1555" w:type="dxa"/>
            <w:tcMar>
              <w:left w:w="28" w:type="dxa"/>
              <w:right w:w="28" w:type="dxa"/>
            </w:tcMar>
            <w:vAlign w:val="center"/>
          </w:tcPr>
          <w:p w14:paraId="6790FEB5">
            <w:pPr>
              <w:widowControl/>
              <w:snapToGrid w:val="0"/>
              <w:spacing w:line="240" w:lineRule="auto"/>
              <w:jc w:val="center"/>
              <w:rPr>
                <w:rFonts w:ascii="宋体" w:hAnsi="宋体"/>
                <w:sz w:val="21"/>
                <w:szCs w:val="21"/>
              </w:rPr>
            </w:pPr>
            <w:r>
              <w:rPr>
                <w:rFonts w:hint="eastAsia" w:ascii="宋体" w:hAnsi="宋体"/>
                <w:sz w:val="21"/>
                <w:szCs w:val="21"/>
              </w:rPr>
              <w:t>工程物资</w:t>
            </w:r>
            <w:r>
              <w:rPr>
                <w:rFonts w:ascii="宋体" w:hAnsi="宋体"/>
                <w:sz w:val="21"/>
                <w:szCs w:val="21"/>
              </w:rPr>
              <w:t>管理</w:t>
            </w:r>
          </w:p>
        </w:tc>
        <w:tc>
          <w:tcPr>
            <w:tcW w:w="5249" w:type="dxa"/>
            <w:vAlign w:val="center"/>
          </w:tcPr>
          <w:p w14:paraId="2F8E9290">
            <w:pPr>
              <w:tabs>
                <w:tab w:val="left" w:pos="1575"/>
              </w:tabs>
              <w:snapToGrid w:val="0"/>
              <w:spacing w:line="240" w:lineRule="auto"/>
              <w:rPr>
                <w:rFonts w:ascii="宋体" w:hAnsi="宋体" w:cs="宋体"/>
                <w:szCs w:val="21"/>
              </w:rPr>
            </w:pPr>
            <w:r>
              <w:rPr>
                <w:rFonts w:hint="eastAsia" w:ascii="宋体" w:hAnsi="宋体" w:cs="宋体"/>
                <w:sz w:val="21"/>
                <w:szCs w:val="21"/>
              </w:rPr>
              <w:t>从管理制度、管理流程是否完整</w:t>
            </w:r>
            <w:r>
              <w:rPr>
                <w:rFonts w:ascii="宋体" w:hAnsi="宋体" w:cs="宋体"/>
                <w:sz w:val="21"/>
                <w:szCs w:val="21"/>
              </w:rPr>
              <w:t>，是否合规、</w:t>
            </w:r>
            <w:r>
              <w:rPr>
                <w:rFonts w:hint="eastAsia" w:ascii="宋体" w:hAnsi="宋体" w:cs="宋体"/>
                <w:sz w:val="21"/>
                <w:szCs w:val="21"/>
              </w:rPr>
              <w:t>合理、切实可行，设备及工程材料的接检保运措施是否合理，关键环节是否有针对性措施等方面综合评审：</w:t>
            </w:r>
          </w:p>
          <w:p w14:paraId="65358E60">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w:t>
            </w:r>
            <w:r>
              <w:rPr>
                <w:rFonts w:ascii="宋体" w:hAnsi="宋体"/>
                <w:sz w:val="21"/>
                <w:szCs w:val="21"/>
              </w:rPr>
              <w:t>-</w:t>
            </w:r>
            <w:r>
              <w:rPr>
                <w:rFonts w:hint="eastAsia" w:ascii="宋体" w:hAnsi="宋体"/>
                <w:sz w:val="21"/>
                <w:szCs w:val="21"/>
              </w:rPr>
              <w:t>6分</w:t>
            </w:r>
          </w:p>
          <w:p w14:paraId="093C5960">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5B19CA96">
            <w:pPr>
              <w:snapToGrid w:val="0"/>
              <w:spacing w:line="240" w:lineRule="auto"/>
              <w:jc w:val="left"/>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p w14:paraId="216AE0F0">
            <w:pPr>
              <w:snapToGrid w:val="0"/>
              <w:spacing w:line="240" w:lineRule="auto"/>
              <w:jc w:val="left"/>
              <w:rPr>
                <w:rFonts w:ascii="宋体" w:hAnsi="宋体"/>
                <w:sz w:val="21"/>
                <w:szCs w:val="21"/>
              </w:rPr>
            </w:pPr>
            <w:r>
              <w:rPr>
                <w:rFonts w:hint="eastAsia" w:ascii="宋体" w:hAnsi="宋体"/>
                <w:sz w:val="21"/>
                <w:szCs w:val="21"/>
              </w:rPr>
              <w:t>无该项内容：0分</w:t>
            </w:r>
          </w:p>
          <w:p w14:paraId="14EA5FE0">
            <w:pPr>
              <w:snapToGrid w:val="0"/>
              <w:spacing w:line="240" w:lineRule="auto"/>
              <w:jc w:val="left"/>
              <w:rPr>
                <w:rFonts w:ascii="宋体" w:hAnsi="宋体"/>
                <w:sz w:val="21"/>
                <w:szCs w:val="21"/>
              </w:rPr>
            </w:pPr>
            <w:r>
              <w:rPr>
                <w:rFonts w:hint="eastAsia" w:ascii="楷体" w:hAnsi="楷体" w:eastAsia="楷体" w:cs="楷体"/>
                <w:sz w:val="18"/>
                <w:szCs w:val="18"/>
              </w:rPr>
              <w:t>【见工程物资管理相关内容】</w:t>
            </w:r>
          </w:p>
        </w:tc>
        <w:tc>
          <w:tcPr>
            <w:tcW w:w="851" w:type="dxa"/>
            <w:vAlign w:val="center"/>
          </w:tcPr>
          <w:p w14:paraId="696AA72A">
            <w:pPr>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708" w:type="dxa"/>
            <w:vAlign w:val="center"/>
          </w:tcPr>
          <w:p w14:paraId="63EB8471">
            <w:pPr>
              <w:spacing w:line="240" w:lineRule="auto"/>
              <w:jc w:val="center"/>
              <w:rPr>
                <w:rFonts w:ascii="宋体" w:hAnsi="宋体" w:cs="宋体"/>
                <w:kern w:val="0"/>
                <w:sz w:val="21"/>
                <w:szCs w:val="21"/>
              </w:rPr>
            </w:pPr>
          </w:p>
        </w:tc>
        <w:tc>
          <w:tcPr>
            <w:tcW w:w="709" w:type="dxa"/>
            <w:vAlign w:val="center"/>
          </w:tcPr>
          <w:p w14:paraId="39EBD6FC">
            <w:pPr>
              <w:spacing w:line="240" w:lineRule="auto"/>
              <w:jc w:val="center"/>
              <w:rPr>
                <w:rFonts w:ascii="宋体" w:hAnsi="宋体" w:cs="宋体"/>
                <w:kern w:val="0"/>
                <w:sz w:val="21"/>
                <w:szCs w:val="21"/>
              </w:rPr>
            </w:pPr>
          </w:p>
        </w:tc>
        <w:tc>
          <w:tcPr>
            <w:tcW w:w="567" w:type="dxa"/>
            <w:vAlign w:val="center"/>
          </w:tcPr>
          <w:p w14:paraId="08135E0B">
            <w:pPr>
              <w:spacing w:line="240" w:lineRule="auto"/>
              <w:jc w:val="center"/>
              <w:rPr>
                <w:rFonts w:ascii="宋体" w:hAnsi="宋体" w:cs="宋体"/>
                <w:kern w:val="0"/>
                <w:sz w:val="21"/>
                <w:szCs w:val="21"/>
              </w:rPr>
            </w:pPr>
          </w:p>
        </w:tc>
      </w:tr>
      <w:tr w14:paraId="1C0C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567" w:type="dxa"/>
            <w:vAlign w:val="center"/>
          </w:tcPr>
          <w:p w14:paraId="15BE7B22">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10</w:t>
            </w:r>
          </w:p>
        </w:tc>
        <w:tc>
          <w:tcPr>
            <w:tcW w:w="155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A523063">
            <w:pPr>
              <w:widowControl/>
              <w:snapToGrid w:val="0"/>
              <w:spacing w:line="240" w:lineRule="auto"/>
              <w:jc w:val="center"/>
              <w:rPr>
                <w:rFonts w:ascii="宋体" w:hAnsi="宋体"/>
                <w:sz w:val="21"/>
                <w:szCs w:val="21"/>
              </w:rPr>
            </w:pPr>
            <w:r>
              <w:rPr>
                <w:rFonts w:hint="eastAsia" w:ascii="宋体" w:hAnsi="宋体" w:cs="宋体"/>
                <w:sz w:val="21"/>
                <w:szCs w:val="21"/>
              </w:rPr>
              <w:t>文档资料管理及实施措施</w:t>
            </w:r>
          </w:p>
        </w:tc>
        <w:tc>
          <w:tcPr>
            <w:tcW w:w="5249" w:type="dxa"/>
            <w:tcBorders>
              <w:top w:val="single" w:color="auto" w:sz="4" w:space="0"/>
              <w:left w:val="single" w:color="auto" w:sz="4" w:space="0"/>
              <w:bottom w:val="single" w:color="auto" w:sz="4" w:space="0"/>
              <w:right w:val="single" w:color="auto" w:sz="4" w:space="0"/>
            </w:tcBorders>
            <w:vAlign w:val="center"/>
          </w:tcPr>
          <w:p w14:paraId="66AFED0A">
            <w:pPr>
              <w:tabs>
                <w:tab w:val="left" w:pos="1575"/>
              </w:tabs>
              <w:snapToGrid w:val="0"/>
              <w:spacing w:line="240" w:lineRule="auto"/>
              <w:rPr>
                <w:rFonts w:ascii="宋体" w:hAnsi="宋体" w:cs="宋体"/>
                <w:szCs w:val="21"/>
              </w:rPr>
            </w:pPr>
            <w:r>
              <w:rPr>
                <w:rFonts w:hint="eastAsia" w:ascii="宋体" w:hAnsi="宋体" w:cs="宋体"/>
                <w:sz w:val="21"/>
                <w:szCs w:val="21"/>
              </w:rPr>
              <w:t>从管理制度、措施是否完整</w:t>
            </w:r>
            <w:r>
              <w:rPr>
                <w:rFonts w:ascii="宋体" w:hAnsi="宋体" w:cs="宋体"/>
                <w:sz w:val="21"/>
                <w:szCs w:val="21"/>
              </w:rPr>
              <w:t>，是否合规、</w:t>
            </w:r>
            <w:r>
              <w:rPr>
                <w:rFonts w:hint="eastAsia" w:ascii="宋体" w:hAnsi="宋体" w:cs="宋体"/>
                <w:sz w:val="21"/>
                <w:szCs w:val="21"/>
              </w:rPr>
              <w:t>切实可行等方面综合评审：</w:t>
            </w:r>
          </w:p>
          <w:p w14:paraId="2CDE6D2E">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w:t>
            </w:r>
            <w:r>
              <w:rPr>
                <w:rFonts w:ascii="宋体" w:hAnsi="宋体"/>
                <w:sz w:val="21"/>
                <w:szCs w:val="21"/>
              </w:rPr>
              <w:t>-</w:t>
            </w:r>
            <w:r>
              <w:rPr>
                <w:rFonts w:hint="eastAsia" w:ascii="宋体" w:hAnsi="宋体"/>
                <w:sz w:val="21"/>
                <w:szCs w:val="21"/>
              </w:rPr>
              <w:t>6分</w:t>
            </w:r>
          </w:p>
          <w:p w14:paraId="06781868">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631D1FF5">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p w14:paraId="22239C3C">
            <w:pPr>
              <w:tabs>
                <w:tab w:val="left" w:pos="1575"/>
              </w:tabs>
              <w:snapToGrid w:val="0"/>
              <w:spacing w:line="240" w:lineRule="auto"/>
              <w:rPr>
                <w:rFonts w:ascii="宋体" w:hAnsi="宋体" w:cs="宋体"/>
                <w:szCs w:val="21"/>
              </w:rPr>
            </w:pPr>
            <w:r>
              <w:rPr>
                <w:rFonts w:hint="eastAsia" w:ascii="宋体" w:hAnsi="宋体"/>
                <w:sz w:val="21"/>
                <w:szCs w:val="21"/>
              </w:rPr>
              <w:t>无该项内容：0分</w:t>
            </w:r>
          </w:p>
          <w:p w14:paraId="1AEC010A">
            <w:pPr>
              <w:tabs>
                <w:tab w:val="left" w:pos="1575"/>
              </w:tabs>
              <w:snapToGrid w:val="0"/>
              <w:spacing w:line="240" w:lineRule="auto"/>
              <w:rPr>
                <w:rFonts w:ascii="宋体" w:hAnsi="宋体" w:cs="宋体"/>
                <w:sz w:val="21"/>
                <w:szCs w:val="21"/>
              </w:rPr>
            </w:pPr>
            <w:r>
              <w:rPr>
                <w:rFonts w:hint="eastAsia" w:ascii="楷体" w:hAnsi="楷体" w:eastAsia="楷体" w:cs="楷体"/>
                <w:sz w:val="18"/>
                <w:szCs w:val="18"/>
              </w:rPr>
              <w:t>【见文档资料管理及实施措施相关内容】</w:t>
            </w:r>
          </w:p>
        </w:tc>
        <w:tc>
          <w:tcPr>
            <w:tcW w:w="851" w:type="dxa"/>
            <w:vAlign w:val="center"/>
          </w:tcPr>
          <w:p w14:paraId="5599503F">
            <w:pPr>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708" w:type="dxa"/>
            <w:vAlign w:val="center"/>
          </w:tcPr>
          <w:p w14:paraId="5D85A066">
            <w:pPr>
              <w:spacing w:line="240" w:lineRule="auto"/>
              <w:jc w:val="center"/>
              <w:rPr>
                <w:rFonts w:ascii="宋体" w:hAnsi="宋体" w:cs="宋体"/>
                <w:kern w:val="0"/>
                <w:sz w:val="21"/>
                <w:szCs w:val="21"/>
              </w:rPr>
            </w:pPr>
          </w:p>
        </w:tc>
        <w:tc>
          <w:tcPr>
            <w:tcW w:w="709" w:type="dxa"/>
            <w:vAlign w:val="center"/>
          </w:tcPr>
          <w:p w14:paraId="0041DAFC">
            <w:pPr>
              <w:spacing w:line="240" w:lineRule="auto"/>
              <w:jc w:val="center"/>
              <w:rPr>
                <w:rFonts w:ascii="宋体" w:hAnsi="宋体" w:cs="宋体"/>
                <w:kern w:val="0"/>
                <w:sz w:val="21"/>
                <w:szCs w:val="21"/>
              </w:rPr>
            </w:pPr>
          </w:p>
        </w:tc>
        <w:tc>
          <w:tcPr>
            <w:tcW w:w="567" w:type="dxa"/>
            <w:vAlign w:val="center"/>
          </w:tcPr>
          <w:p w14:paraId="4B096A6F">
            <w:pPr>
              <w:spacing w:line="240" w:lineRule="auto"/>
              <w:jc w:val="center"/>
              <w:rPr>
                <w:rFonts w:ascii="宋体" w:hAnsi="宋体" w:cs="宋体"/>
                <w:kern w:val="0"/>
                <w:sz w:val="21"/>
                <w:szCs w:val="21"/>
              </w:rPr>
            </w:pPr>
          </w:p>
        </w:tc>
      </w:tr>
      <w:tr w14:paraId="2975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jc w:val="center"/>
        </w:trPr>
        <w:tc>
          <w:tcPr>
            <w:tcW w:w="567" w:type="dxa"/>
            <w:vAlign w:val="center"/>
          </w:tcPr>
          <w:p w14:paraId="60FDA585">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11</w:t>
            </w:r>
          </w:p>
        </w:tc>
        <w:tc>
          <w:tcPr>
            <w:tcW w:w="1555" w:type="dxa"/>
            <w:tcMar>
              <w:left w:w="28" w:type="dxa"/>
              <w:right w:w="28" w:type="dxa"/>
            </w:tcMar>
            <w:vAlign w:val="center"/>
          </w:tcPr>
          <w:p w14:paraId="5A289489">
            <w:pPr>
              <w:widowControl/>
              <w:snapToGrid w:val="0"/>
              <w:spacing w:line="240" w:lineRule="auto"/>
              <w:jc w:val="center"/>
              <w:rPr>
                <w:rFonts w:ascii="宋体" w:hAnsi="宋体"/>
                <w:sz w:val="21"/>
                <w:szCs w:val="21"/>
              </w:rPr>
            </w:pPr>
            <w:r>
              <w:rPr>
                <w:rFonts w:ascii="宋体" w:hAnsi="宋体"/>
                <w:sz w:val="21"/>
                <w:szCs w:val="21"/>
              </w:rPr>
              <w:t>工作重点难点分析</w:t>
            </w:r>
            <w:r>
              <w:rPr>
                <w:rFonts w:hint="eastAsia" w:ascii="宋体" w:hAnsi="宋体"/>
                <w:sz w:val="21"/>
                <w:szCs w:val="21"/>
              </w:rPr>
              <w:t>及应对</w:t>
            </w:r>
            <w:r>
              <w:rPr>
                <w:rFonts w:ascii="宋体" w:hAnsi="宋体"/>
                <w:sz w:val="21"/>
                <w:szCs w:val="21"/>
              </w:rPr>
              <w:t>措施</w:t>
            </w:r>
          </w:p>
        </w:tc>
        <w:tc>
          <w:tcPr>
            <w:tcW w:w="5249" w:type="dxa"/>
            <w:vAlign w:val="center"/>
          </w:tcPr>
          <w:p w14:paraId="6518679B">
            <w:pPr>
              <w:snapToGrid w:val="0"/>
              <w:spacing w:line="240" w:lineRule="auto"/>
              <w:rPr>
                <w:rFonts w:ascii="宋体" w:hAnsi="宋体" w:cs="宋体"/>
                <w:kern w:val="0"/>
                <w:sz w:val="21"/>
                <w:szCs w:val="21"/>
              </w:rPr>
            </w:pPr>
            <w:r>
              <w:rPr>
                <w:rFonts w:hint="eastAsia" w:ascii="宋体" w:hAnsi="宋体"/>
                <w:sz w:val="21"/>
                <w:szCs w:val="21"/>
              </w:rPr>
              <w:t>从工作重点难点分析是否准确</w:t>
            </w:r>
            <w:r>
              <w:rPr>
                <w:rFonts w:ascii="宋体" w:hAnsi="宋体"/>
                <w:sz w:val="21"/>
                <w:szCs w:val="21"/>
              </w:rPr>
              <w:t>、到位</w:t>
            </w:r>
            <w:r>
              <w:rPr>
                <w:rFonts w:ascii="宋体" w:hAnsi="宋体" w:cs="宋体"/>
                <w:kern w:val="0"/>
                <w:sz w:val="21"/>
                <w:szCs w:val="21"/>
              </w:rPr>
              <w:t>，</w:t>
            </w:r>
            <w:r>
              <w:rPr>
                <w:rFonts w:hint="eastAsia" w:ascii="宋体" w:hAnsi="宋体" w:cs="宋体"/>
                <w:kern w:val="0"/>
                <w:sz w:val="21"/>
                <w:szCs w:val="21"/>
              </w:rPr>
              <w:t>应对</w:t>
            </w:r>
            <w:r>
              <w:rPr>
                <w:rFonts w:ascii="宋体" w:hAnsi="宋体" w:cs="宋体"/>
                <w:kern w:val="0"/>
                <w:sz w:val="21"/>
                <w:szCs w:val="21"/>
              </w:rPr>
              <w:t>措施</w:t>
            </w:r>
            <w:r>
              <w:rPr>
                <w:rFonts w:hint="eastAsia" w:ascii="宋体" w:hAnsi="宋体" w:cs="宋体"/>
                <w:kern w:val="0"/>
                <w:sz w:val="21"/>
                <w:szCs w:val="21"/>
              </w:rPr>
              <w:t>是否科学</w:t>
            </w:r>
            <w:r>
              <w:rPr>
                <w:rFonts w:ascii="宋体" w:hAnsi="宋体" w:cs="宋体"/>
                <w:kern w:val="0"/>
                <w:sz w:val="21"/>
                <w:szCs w:val="21"/>
              </w:rPr>
              <w:t>、合理，是否</w:t>
            </w:r>
            <w:r>
              <w:rPr>
                <w:rFonts w:hint="eastAsia" w:ascii="宋体" w:hAnsi="宋体" w:cs="宋体"/>
                <w:kern w:val="0"/>
                <w:sz w:val="21"/>
                <w:szCs w:val="21"/>
              </w:rPr>
              <w:t>有针对性等方面综合评审：</w:t>
            </w:r>
          </w:p>
          <w:p w14:paraId="2B30A2FD">
            <w:pPr>
              <w:tabs>
                <w:tab w:val="left" w:pos="1575"/>
              </w:tabs>
              <w:snapToGrid w:val="0"/>
              <w:spacing w:line="240" w:lineRule="auto"/>
              <w:rPr>
                <w:rFonts w:ascii="宋体" w:hAnsi="宋体"/>
                <w:sz w:val="21"/>
                <w:szCs w:val="21"/>
              </w:rPr>
            </w:pPr>
            <w:r>
              <w:rPr>
                <w:rFonts w:hint="eastAsia" w:ascii="宋体" w:hAnsi="宋体"/>
                <w:sz w:val="21"/>
                <w:szCs w:val="21"/>
              </w:rPr>
              <w:t>好</w:t>
            </w:r>
            <w:r>
              <w:rPr>
                <w:rFonts w:ascii="宋体" w:hAnsi="宋体"/>
                <w:sz w:val="21"/>
                <w:szCs w:val="21"/>
              </w:rPr>
              <w:t>：</w:t>
            </w:r>
            <w:r>
              <w:rPr>
                <w:rFonts w:hint="eastAsia" w:ascii="宋体" w:hAnsi="宋体"/>
                <w:sz w:val="21"/>
                <w:szCs w:val="21"/>
              </w:rPr>
              <w:t>5</w:t>
            </w:r>
            <w:r>
              <w:rPr>
                <w:rFonts w:ascii="宋体" w:hAnsi="宋体"/>
                <w:sz w:val="21"/>
                <w:szCs w:val="21"/>
              </w:rPr>
              <w:t>-</w:t>
            </w:r>
            <w:r>
              <w:rPr>
                <w:rFonts w:hint="eastAsia" w:ascii="宋体" w:hAnsi="宋体"/>
                <w:sz w:val="21"/>
                <w:szCs w:val="21"/>
              </w:rPr>
              <w:t>6分</w:t>
            </w:r>
          </w:p>
          <w:p w14:paraId="4C287A77">
            <w:pPr>
              <w:tabs>
                <w:tab w:val="left" w:pos="1575"/>
              </w:tabs>
              <w:snapToGrid w:val="0"/>
              <w:spacing w:line="240" w:lineRule="auto"/>
              <w:rPr>
                <w:rFonts w:ascii="宋体" w:hAnsi="宋体"/>
                <w:sz w:val="21"/>
                <w:szCs w:val="21"/>
              </w:rPr>
            </w:pPr>
            <w:r>
              <w:rPr>
                <w:rFonts w:hint="eastAsia" w:ascii="宋体" w:hAnsi="宋体"/>
                <w:sz w:val="21"/>
                <w:szCs w:val="21"/>
              </w:rPr>
              <w:t>较好：3</w:t>
            </w:r>
            <w:r>
              <w:rPr>
                <w:rFonts w:ascii="宋体" w:hAnsi="宋体"/>
                <w:sz w:val="21"/>
                <w:szCs w:val="21"/>
              </w:rPr>
              <w:t>-</w:t>
            </w:r>
            <w:r>
              <w:rPr>
                <w:rFonts w:hint="eastAsia" w:ascii="宋体" w:hAnsi="宋体"/>
                <w:sz w:val="21"/>
                <w:szCs w:val="21"/>
              </w:rPr>
              <w:t>4分</w:t>
            </w:r>
          </w:p>
          <w:p w14:paraId="36E41BE5">
            <w:pPr>
              <w:tabs>
                <w:tab w:val="left" w:pos="1575"/>
              </w:tabs>
              <w:snapToGrid w:val="0"/>
              <w:spacing w:line="240" w:lineRule="auto"/>
              <w:rPr>
                <w:rFonts w:ascii="宋体" w:hAnsi="宋体"/>
                <w:sz w:val="21"/>
                <w:szCs w:val="21"/>
              </w:rPr>
            </w:pPr>
            <w:r>
              <w:rPr>
                <w:rFonts w:hint="eastAsia" w:ascii="宋体" w:hAnsi="宋体"/>
                <w:sz w:val="21"/>
                <w:szCs w:val="21"/>
              </w:rPr>
              <w:t>有较多</w:t>
            </w:r>
            <w:r>
              <w:rPr>
                <w:rFonts w:ascii="宋体" w:hAnsi="宋体"/>
                <w:sz w:val="21"/>
                <w:szCs w:val="21"/>
              </w:rPr>
              <w:t>瑕疵</w:t>
            </w:r>
            <w:r>
              <w:rPr>
                <w:rFonts w:hint="eastAsia" w:ascii="宋体" w:hAnsi="宋体"/>
                <w:sz w:val="21"/>
                <w:szCs w:val="21"/>
              </w:rPr>
              <w:t>：</w:t>
            </w:r>
            <w:r>
              <w:rPr>
                <w:rFonts w:ascii="宋体" w:hAnsi="宋体"/>
                <w:sz w:val="21"/>
                <w:szCs w:val="21"/>
              </w:rPr>
              <w:t>1-</w:t>
            </w:r>
            <w:r>
              <w:rPr>
                <w:rFonts w:hint="eastAsia" w:ascii="宋体" w:hAnsi="宋体"/>
                <w:sz w:val="21"/>
                <w:szCs w:val="21"/>
              </w:rPr>
              <w:t>2分</w:t>
            </w:r>
          </w:p>
          <w:p w14:paraId="2FA5C725">
            <w:pPr>
              <w:tabs>
                <w:tab w:val="left" w:pos="1575"/>
              </w:tabs>
              <w:snapToGrid w:val="0"/>
              <w:spacing w:line="240" w:lineRule="auto"/>
              <w:rPr>
                <w:rFonts w:ascii="宋体" w:hAnsi="宋体"/>
                <w:sz w:val="21"/>
                <w:szCs w:val="21"/>
              </w:rPr>
            </w:pPr>
            <w:r>
              <w:rPr>
                <w:rFonts w:hint="eastAsia" w:ascii="宋体" w:hAnsi="宋体"/>
                <w:sz w:val="21"/>
                <w:szCs w:val="21"/>
              </w:rPr>
              <w:t>无该项内容：0分</w:t>
            </w:r>
          </w:p>
          <w:p w14:paraId="62D2291C">
            <w:pPr>
              <w:tabs>
                <w:tab w:val="left" w:pos="1575"/>
              </w:tabs>
              <w:snapToGrid w:val="0"/>
              <w:spacing w:line="240" w:lineRule="auto"/>
              <w:rPr>
                <w:rFonts w:ascii="宋体" w:hAnsi="宋体" w:cs="宋体"/>
                <w:kern w:val="0"/>
                <w:sz w:val="21"/>
                <w:szCs w:val="21"/>
              </w:rPr>
            </w:pPr>
            <w:r>
              <w:rPr>
                <w:rFonts w:hint="eastAsia" w:ascii="华文楷体" w:hAnsi="华文楷体" w:eastAsia="楷体"/>
                <w:bCs/>
                <w:sz w:val="18"/>
                <w:szCs w:val="18"/>
              </w:rPr>
              <w:t>【见工作重点难点分析及应对措施相关</w:t>
            </w:r>
            <w:r>
              <w:rPr>
                <w:rFonts w:ascii="华文楷体" w:hAnsi="华文楷体" w:eastAsia="楷体"/>
                <w:bCs/>
                <w:sz w:val="18"/>
                <w:szCs w:val="18"/>
              </w:rPr>
              <w:t>内容</w:t>
            </w:r>
            <w:r>
              <w:rPr>
                <w:rFonts w:hint="eastAsia" w:ascii="华文楷体" w:hAnsi="华文楷体" w:eastAsia="楷体"/>
                <w:bCs/>
                <w:sz w:val="18"/>
                <w:szCs w:val="18"/>
              </w:rPr>
              <w:t>】</w:t>
            </w:r>
          </w:p>
        </w:tc>
        <w:tc>
          <w:tcPr>
            <w:tcW w:w="851" w:type="dxa"/>
            <w:vAlign w:val="center"/>
          </w:tcPr>
          <w:p w14:paraId="30DFC6FA">
            <w:pPr>
              <w:spacing w:line="240" w:lineRule="auto"/>
              <w:jc w:val="center"/>
              <w:rPr>
                <w:rFonts w:ascii="宋体" w:hAnsi="宋体" w:cs="宋体"/>
                <w:kern w:val="0"/>
                <w:sz w:val="21"/>
                <w:szCs w:val="21"/>
              </w:rPr>
            </w:pPr>
            <w:r>
              <w:rPr>
                <w:rFonts w:hint="eastAsia" w:ascii="宋体" w:hAnsi="宋体" w:cs="宋体"/>
                <w:kern w:val="0"/>
                <w:sz w:val="21"/>
                <w:szCs w:val="21"/>
              </w:rPr>
              <w:t>6</w:t>
            </w:r>
          </w:p>
        </w:tc>
        <w:tc>
          <w:tcPr>
            <w:tcW w:w="708" w:type="dxa"/>
            <w:vAlign w:val="center"/>
          </w:tcPr>
          <w:p w14:paraId="57EC94DB">
            <w:pPr>
              <w:spacing w:line="240" w:lineRule="auto"/>
              <w:jc w:val="center"/>
              <w:rPr>
                <w:rFonts w:ascii="宋体" w:hAnsi="宋体" w:cs="宋体"/>
                <w:kern w:val="0"/>
                <w:sz w:val="21"/>
                <w:szCs w:val="21"/>
              </w:rPr>
            </w:pPr>
          </w:p>
        </w:tc>
        <w:tc>
          <w:tcPr>
            <w:tcW w:w="709" w:type="dxa"/>
            <w:vAlign w:val="center"/>
          </w:tcPr>
          <w:p w14:paraId="0CC77D02">
            <w:pPr>
              <w:spacing w:line="240" w:lineRule="auto"/>
              <w:jc w:val="center"/>
              <w:rPr>
                <w:rFonts w:ascii="宋体" w:hAnsi="宋体" w:cs="宋体"/>
                <w:kern w:val="0"/>
                <w:sz w:val="21"/>
                <w:szCs w:val="21"/>
              </w:rPr>
            </w:pPr>
          </w:p>
        </w:tc>
        <w:tc>
          <w:tcPr>
            <w:tcW w:w="567" w:type="dxa"/>
            <w:vAlign w:val="center"/>
          </w:tcPr>
          <w:p w14:paraId="427F2AA6">
            <w:pPr>
              <w:spacing w:line="240" w:lineRule="auto"/>
              <w:jc w:val="center"/>
              <w:rPr>
                <w:rFonts w:ascii="宋体" w:hAnsi="宋体" w:cs="宋体"/>
                <w:kern w:val="0"/>
                <w:sz w:val="21"/>
                <w:szCs w:val="21"/>
              </w:rPr>
            </w:pPr>
          </w:p>
        </w:tc>
      </w:tr>
      <w:tr w14:paraId="5636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67" w:type="dxa"/>
            <w:vAlign w:val="center"/>
          </w:tcPr>
          <w:p w14:paraId="2D1AD9C1">
            <w:pPr>
              <w:widowControl/>
              <w:snapToGrid w:val="0"/>
              <w:spacing w:line="240" w:lineRule="auto"/>
              <w:jc w:val="center"/>
              <w:rPr>
                <w:rFonts w:ascii="宋体" w:hAnsi="宋体" w:cs="宋体"/>
                <w:kern w:val="0"/>
                <w:sz w:val="21"/>
                <w:szCs w:val="21"/>
              </w:rPr>
            </w:pPr>
            <w:r>
              <w:rPr>
                <w:rFonts w:hint="eastAsia" w:ascii="宋体" w:hAnsi="宋体" w:cs="宋体"/>
                <w:kern w:val="0"/>
                <w:sz w:val="21"/>
                <w:szCs w:val="21"/>
              </w:rPr>
              <w:t>12</w:t>
            </w:r>
          </w:p>
        </w:tc>
        <w:tc>
          <w:tcPr>
            <w:tcW w:w="1555" w:type="dxa"/>
            <w:tcMar>
              <w:left w:w="28" w:type="dxa"/>
              <w:right w:w="28" w:type="dxa"/>
            </w:tcMar>
            <w:vAlign w:val="center"/>
          </w:tcPr>
          <w:p w14:paraId="74D91206">
            <w:pPr>
              <w:widowControl/>
              <w:snapToGrid w:val="0"/>
              <w:spacing w:line="240" w:lineRule="auto"/>
              <w:jc w:val="center"/>
              <w:rPr>
                <w:rFonts w:ascii="宋体" w:hAnsi="宋体"/>
                <w:sz w:val="21"/>
                <w:szCs w:val="21"/>
              </w:rPr>
            </w:pPr>
            <w:r>
              <w:rPr>
                <w:rFonts w:hint="eastAsia" w:ascii="宋体" w:hAnsi="宋体"/>
                <w:sz w:val="21"/>
                <w:szCs w:val="21"/>
              </w:rPr>
              <w:t>合理化</w:t>
            </w:r>
            <w:r>
              <w:rPr>
                <w:rFonts w:ascii="宋体" w:hAnsi="宋体"/>
                <w:sz w:val="21"/>
                <w:szCs w:val="21"/>
              </w:rPr>
              <w:t>建议</w:t>
            </w:r>
          </w:p>
        </w:tc>
        <w:tc>
          <w:tcPr>
            <w:tcW w:w="5249" w:type="dxa"/>
            <w:vAlign w:val="center"/>
          </w:tcPr>
          <w:p w14:paraId="0E227732">
            <w:pPr>
              <w:snapToGrid w:val="0"/>
              <w:spacing w:line="240" w:lineRule="auto"/>
              <w:rPr>
                <w:rFonts w:ascii="宋体" w:hAnsi="宋体"/>
                <w:sz w:val="21"/>
                <w:szCs w:val="21"/>
              </w:rPr>
            </w:pPr>
            <w:r>
              <w:rPr>
                <w:rFonts w:hint="eastAsia" w:ascii="宋体" w:hAnsi="宋体" w:cs="宋体"/>
                <w:kern w:val="0"/>
                <w:sz w:val="21"/>
                <w:szCs w:val="21"/>
              </w:rPr>
              <w:t>有针对性、建设性的建议和意见：每0.5分，满分3分</w:t>
            </w:r>
          </w:p>
          <w:p w14:paraId="53D79F7E">
            <w:pPr>
              <w:tabs>
                <w:tab w:val="left" w:pos="1575"/>
              </w:tabs>
              <w:snapToGrid w:val="0"/>
              <w:spacing w:line="240" w:lineRule="auto"/>
              <w:rPr>
                <w:rFonts w:ascii="宋体" w:hAnsi="宋体" w:cs="宋体"/>
                <w:kern w:val="0"/>
                <w:sz w:val="21"/>
                <w:szCs w:val="21"/>
              </w:rPr>
            </w:pPr>
            <w:r>
              <w:rPr>
                <w:rFonts w:hint="eastAsia" w:ascii="华文楷体" w:hAnsi="华文楷体" w:eastAsia="楷体"/>
                <w:bCs/>
                <w:sz w:val="18"/>
                <w:szCs w:val="18"/>
              </w:rPr>
              <w:t>【见合理化建议相关内容】</w:t>
            </w:r>
          </w:p>
        </w:tc>
        <w:tc>
          <w:tcPr>
            <w:tcW w:w="851" w:type="dxa"/>
            <w:vAlign w:val="center"/>
          </w:tcPr>
          <w:p w14:paraId="74B423D1">
            <w:pPr>
              <w:spacing w:line="240" w:lineRule="auto"/>
              <w:jc w:val="center"/>
              <w:rPr>
                <w:rFonts w:ascii="宋体" w:hAnsi="宋体" w:cs="宋体"/>
                <w:kern w:val="0"/>
                <w:sz w:val="21"/>
                <w:szCs w:val="21"/>
              </w:rPr>
            </w:pPr>
            <w:r>
              <w:rPr>
                <w:rFonts w:hint="eastAsia" w:ascii="宋体" w:hAnsi="宋体" w:cs="宋体"/>
                <w:kern w:val="0"/>
                <w:sz w:val="21"/>
                <w:szCs w:val="21"/>
              </w:rPr>
              <w:t>3</w:t>
            </w:r>
          </w:p>
        </w:tc>
        <w:tc>
          <w:tcPr>
            <w:tcW w:w="708" w:type="dxa"/>
            <w:vAlign w:val="center"/>
          </w:tcPr>
          <w:p w14:paraId="76489509">
            <w:pPr>
              <w:spacing w:line="240" w:lineRule="auto"/>
              <w:jc w:val="center"/>
              <w:rPr>
                <w:rFonts w:ascii="宋体" w:hAnsi="宋体" w:cs="宋体"/>
                <w:kern w:val="0"/>
                <w:sz w:val="21"/>
                <w:szCs w:val="21"/>
              </w:rPr>
            </w:pPr>
          </w:p>
        </w:tc>
        <w:tc>
          <w:tcPr>
            <w:tcW w:w="709" w:type="dxa"/>
            <w:vAlign w:val="center"/>
          </w:tcPr>
          <w:p w14:paraId="7F31F7AB">
            <w:pPr>
              <w:spacing w:line="240" w:lineRule="auto"/>
              <w:jc w:val="center"/>
              <w:rPr>
                <w:rFonts w:ascii="宋体" w:hAnsi="宋体" w:cs="宋体"/>
                <w:kern w:val="0"/>
                <w:sz w:val="21"/>
                <w:szCs w:val="21"/>
              </w:rPr>
            </w:pPr>
          </w:p>
        </w:tc>
        <w:tc>
          <w:tcPr>
            <w:tcW w:w="567" w:type="dxa"/>
            <w:vAlign w:val="center"/>
          </w:tcPr>
          <w:p w14:paraId="5DFCB993">
            <w:pPr>
              <w:spacing w:line="240" w:lineRule="auto"/>
              <w:jc w:val="center"/>
              <w:rPr>
                <w:rFonts w:ascii="宋体" w:hAnsi="宋体" w:cs="宋体"/>
                <w:kern w:val="0"/>
                <w:sz w:val="21"/>
                <w:szCs w:val="21"/>
              </w:rPr>
            </w:pPr>
          </w:p>
        </w:tc>
      </w:tr>
      <w:tr w14:paraId="7955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567" w:type="dxa"/>
            <w:vAlign w:val="center"/>
          </w:tcPr>
          <w:p w14:paraId="1B317BE4">
            <w:pPr>
              <w:widowControl/>
              <w:snapToGrid w:val="0"/>
              <w:spacing w:line="240" w:lineRule="auto"/>
              <w:jc w:val="center"/>
              <w:rPr>
                <w:rFonts w:hint="eastAsia" w:ascii="宋体" w:hAnsi="宋体" w:eastAsia="宋体" w:cs="宋体"/>
                <w:kern w:val="0"/>
                <w:sz w:val="21"/>
                <w:szCs w:val="21"/>
                <w:lang w:eastAsia="zh-CN"/>
              </w:rPr>
            </w:pPr>
            <w:r>
              <w:rPr>
                <w:rFonts w:hint="eastAsia" w:ascii="宋体" w:hAnsi="宋体" w:cs="宋体"/>
                <w:kern w:val="0"/>
                <w:sz w:val="21"/>
                <w:szCs w:val="21"/>
              </w:rPr>
              <w:t>1</w:t>
            </w:r>
            <w:r>
              <w:rPr>
                <w:rFonts w:hint="eastAsia" w:ascii="宋体" w:hAnsi="宋体" w:cs="宋体"/>
                <w:kern w:val="0"/>
                <w:sz w:val="21"/>
                <w:szCs w:val="21"/>
                <w:lang w:val="en-US" w:eastAsia="zh-CN"/>
              </w:rPr>
              <w:t>3</w:t>
            </w:r>
          </w:p>
        </w:tc>
        <w:tc>
          <w:tcPr>
            <w:tcW w:w="1555" w:type="dxa"/>
            <w:tcMar>
              <w:left w:w="28" w:type="dxa"/>
              <w:right w:w="28" w:type="dxa"/>
            </w:tcMar>
            <w:vAlign w:val="center"/>
          </w:tcPr>
          <w:p w14:paraId="46FAF12B">
            <w:pPr>
              <w:tabs>
                <w:tab w:val="left" w:pos="1575"/>
              </w:tabs>
              <w:snapToGrid w:val="0"/>
              <w:spacing w:line="288" w:lineRule="auto"/>
              <w:jc w:val="center"/>
              <w:rPr>
                <w:rFonts w:ascii="宋体" w:hAnsi="宋体"/>
                <w:sz w:val="21"/>
                <w:szCs w:val="21"/>
              </w:rPr>
            </w:pPr>
            <w:r>
              <w:rPr>
                <w:rFonts w:hint="eastAsia" w:ascii="宋体" w:hAnsi="宋体"/>
                <w:sz w:val="21"/>
                <w:szCs w:val="21"/>
              </w:rPr>
              <w:t>依法经营</w:t>
            </w:r>
          </w:p>
        </w:tc>
        <w:tc>
          <w:tcPr>
            <w:tcW w:w="5249" w:type="dxa"/>
            <w:vAlign w:val="center"/>
          </w:tcPr>
          <w:p w14:paraId="269B0DAC">
            <w:pPr>
              <w:tabs>
                <w:tab w:val="left" w:pos="1575"/>
              </w:tabs>
              <w:snapToGrid w:val="0"/>
              <w:spacing w:line="288" w:lineRule="auto"/>
              <w:rPr>
                <w:rFonts w:ascii="宋体" w:hAnsi="宋体"/>
                <w:sz w:val="21"/>
                <w:szCs w:val="21"/>
              </w:rPr>
            </w:pPr>
            <w:r>
              <w:rPr>
                <w:rFonts w:hint="eastAsia" w:ascii="宋体" w:hAnsi="宋体"/>
                <w:sz w:val="21"/>
                <w:szCs w:val="21"/>
              </w:rPr>
              <w:t>基础得分</w:t>
            </w:r>
            <w:r>
              <w:rPr>
                <w:rFonts w:ascii="宋体" w:hAnsi="宋体"/>
                <w:sz w:val="21"/>
                <w:szCs w:val="21"/>
              </w:rPr>
              <w:t>5分，存在以下情形的，按相应规则进行扣分，本项最低得0分</w:t>
            </w:r>
            <w:r>
              <w:rPr>
                <w:rFonts w:hint="eastAsia" w:ascii="宋体" w:hAnsi="宋体"/>
                <w:sz w:val="21"/>
                <w:szCs w:val="21"/>
              </w:rPr>
              <w:t>。</w:t>
            </w:r>
          </w:p>
          <w:p w14:paraId="1C109A38">
            <w:pPr>
              <w:tabs>
                <w:tab w:val="left" w:pos="1575"/>
              </w:tabs>
              <w:snapToGrid w:val="0"/>
              <w:spacing w:line="288" w:lineRule="auto"/>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cs="宋体"/>
                <w:kern w:val="0"/>
                <w:sz w:val="21"/>
                <w:szCs w:val="21"/>
              </w:rPr>
              <w:t>最近三年内（按投标截止时间推算）</w:t>
            </w:r>
            <w:r>
              <w:rPr>
                <w:rFonts w:hint="eastAsia" w:ascii="宋体" w:hAnsi="宋体"/>
                <w:sz w:val="21"/>
                <w:szCs w:val="21"/>
              </w:rPr>
              <w:t>投标人存在除行贿犯罪以外的刑事犯罪判决或裁定记录的，每一项记录扣</w:t>
            </w:r>
            <w:r>
              <w:rPr>
                <w:rFonts w:ascii="宋体" w:hAnsi="宋体"/>
                <w:sz w:val="21"/>
                <w:szCs w:val="21"/>
              </w:rPr>
              <w:t>5分</w:t>
            </w:r>
            <w:r>
              <w:rPr>
                <w:rFonts w:hint="eastAsia" w:ascii="华文楷体" w:hAnsi="华文楷体" w:eastAsia="华文楷体"/>
                <w:sz w:val="21"/>
                <w:szCs w:val="21"/>
              </w:rPr>
              <w:t>（见投标人最近三年刑事判决或裁定记录清单）</w:t>
            </w:r>
          </w:p>
          <w:p w14:paraId="71321EAC">
            <w:pPr>
              <w:tabs>
                <w:tab w:val="left" w:pos="1575"/>
              </w:tabs>
              <w:snapToGrid w:val="0"/>
              <w:spacing w:line="288" w:lineRule="auto"/>
              <w:rPr>
                <w:rFonts w:ascii="华文楷体" w:hAnsi="华文楷体" w:eastAsia="华文楷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w:t>
            </w:r>
            <w:r>
              <w:rPr>
                <w:rFonts w:hint="eastAsia" w:ascii="宋体" w:hAnsi="宋体" w:cs="宋体"/>
                <w:kern w:val="0"/>
                <w:sz w:val="21"/>
                <w:szCs w:val="21"/>
              </w:rPr>
              <w:t>最近三年内（按投标截止时间推算）</w:t>
            </w:r>
            <w:r>
              <w:rPr>
                <w:rFonts w:hint="eastAsia" w:ascii="宋体" w:hAnsi="宋体"/>
                <w:sz w:val="21"/>
                <w:szCs w:val="21"/>
              </w:rPr>
              <w:t>投标人存在行政处罚的，每一项扣</w:t>
            </w:r>
            <w:r>
              <w:rPr>
                <w:rFonts w:ascii="宋体" w:hAnsi="宋体"/>
                <w:sz w:val="21"/>
                <w:szCs w:val="21"/>
              </w:rPr>
              <w:t>0.5分</w:t>
            </w:r>
            <w:r>
              <w:rPr>
                <w:rFonts w:hint="eastAsia" w:ascii="华文楷体" w:hAnsi="华文楷体" w:eastAsia="华文楷体"/>
                <w:sz w:val="21"/>
                <w:szCs w:val="21"/>
              </w:rPr>
              <w:t>（见投标人行政处罚清单）</w:t>
            </w:r>
          </w:p>
          <w:p w14:paraId="257A13CC">
            <w:pPr>
              <w:tabs>
                <w:tab w:val="left" w:pos="1575"/>
              </w:tabs>
              <w:snapToGrid w:val="0"/>
              <w:spacing w:line="288" w:lineRule="auto"/>
              <w:rPr>
                <w:rFonts w:ascii="华文楷体" w:hAnsi="华文楷体" w:eastAsia="华文楷体"/>
                <w:sz w:val="21"/>
                <w:szCs w:val="21"/>
              </w:rPr>
            </w:pPr>
            <w:r>
              <w:rPr>
                <w:rFonts w:ascii="华文楷体" w:hAnsi="华文楷体" w:eastAsia="华文楷体"/>
                <w:bCs/>
                <w:sz w:val="21"/>
                <w:szCs w:val="21"/>
              </w:rPr>
              <w:t>【（1）</w:t>
            </w:r>
            <w:r>
              <w:rPr>
                <w:rFonts w:hint="eastAsia" w:ascii="华文楷体" w:hAnsi="华文楷体" w:eastAsia="华文楷体"/>
                <w:sz w:val="21"/>
                <w:szCs w:val="21"/>
              </w:rPr>
              <w:t>刑事犯罪判决或裁定记录清单和行政处罚清单格式自拟，由投标人如实提供；</w:t>
            </w:r>
          </w:p>
          <w:p w14:paraId="03F6A7E1">
            <w:pPr>
              <w:tabs>
                <w:tab w:val="left" w:pos="1575"/>
              </w:tabs>
              <w:snapToGrid w:val="0"/>
              <w:spacing w:line="288" w:lineRule="auto"/>
              <w:rPr>
                <w:rFonts w:ascii="华文楷体" w:hAnsi="华文楷体" w:eastAsia="华文楷体"/>
                <w:sz w:val="21"/>
                <w:szCs w:val="21"/>
              </w:rPr>
            </w:pPr>
            <w:r>
              <w:rPr>
                <w:rFonts w:ascii="华文楷体" w:hAnsi="华文楷体" w:eastAsia="华文楷体"/>
                <w:sz w:val="21"/>
                <w:szCs w:val="21"/>
              </w:rPr>
              <w:t>（2）投标人如为企业法人，相关记录包括其分支机构的；投标人如为分支机构，相关记录包括其企业法人的；</w:t>
            </w:r>
          </w:p>
          <w:p w14:paraId="7CD22FD3">
            <w:pPr>
              <w:tabs>
                <w:tab w:val="left" w:pos="1575"/>
              </w:tabs>
              <w:snapToGrid w:val="0"/>
              <w:spacing w:line="288" w:lineRule="auto"/>
              <w:rPr>
                <w:rFonts w:ascii="华文楷体" w:hAnsi="华文楷体" w:eastAsia="华文楷体"/>
                <w:sz w:val="21"/>
                <w:szCs w:val="21"/>
              </w:rPr>
            </w:pPr>
            <w:r>
              <w:rPr>
                <w:rFonts w:hint="eastAsia" w:ascii="华文楷体" w:hAnsi="华文楷体" w:eastAsia="华文楷体"/>
                <w:sz w:val="21"/>
                <w:szCs w:val="21"/>
              </w:rPr>
              <w:t>（</w:t>
            </w:r>
            <w:r>
              <w:rPr>
                <w:rFonts w:ascii="华文楷体" w:hAnsi="华文楷体" w:eastAsia="华文楷体"/>
                <w:sz w:val="21"/>
                <w:szCs w:val="21"/>
              </w:rPr>
              <w:t>3）刑事犯罪判决或裁定记录自判决或裁定文书生效之日起计，行政处罚自行政处罚决定书生效之日起计；</w:t>
            </w:r>
          </w:p>
          <w:p w14:paraId="36BCB862">
            <w:pPr>
              <w:tabs>
                <w:tab w:val="left" w:pos="1575"/>
              </w:tabs>
              <w:snapToGrid w:val="0"/>
              <w:spacing w:line="288" w:lineRule="auto"/>
              <w:rPr>
                <w:rFonts w:ascii="华文楷体" w:hAnsi="华文楷体" w:eastAsia="楷体"/>
                <w:bCs/>
                <w:sz w:val="18"/>
                <w:szCs w:val="18"/>
              </w:rPr>
            </w:pPr>
            <w:r>
              <w:rPr>
                <w:rFonts w:ascii="华文楷体" w:hAnsi="华文楷体" w:eastAsia="华文楷体"/>
                <w:sz w:val="21"/>
                <w:szCs w:val="21"/>
              </w:rPr>
              <w:t>（4）招标人、招标代理机构和评标委员会可通过</w:t>
            </w:r>
            <w:r>
              <w:rPr>
                <w:rFonts w:hint="eastAsia" w:ascii="华文楷体" w:hAnsi="华文楷体" w:eastAsia="华文楷体"/>
                <w:sz w:val="21"/>
                <w:szCs w:val="21"/>
              </w:rPr>
              <w:t>“信用中国”网站（</w:t>
            </w:r>
            <w:r>
              <w:fldChar w:fldCharType="begin"/>
            </w:r>
            <w:r>
              <w:instrText xml:space="preserve">HYPERLINK </w:instrText>
            </w:r>
            <w:r>
              <w:rPr>
                <w:rFonts w:hint="eastAsia"/>
              </w:rPr>
              <w:instrText xml:space="preserve">"C:\\Users\\Administrator\\AppData\\Roaming\\SinopecSoftCustom\\LxResource\\Docs\\2024-08\\www.creditchina.gov.cn）、国家企业信用信息公示系统（http:\\www.gsxt.gov.cn"</w:instrText>
            </w:r>
            <w:r>
              <w:fldChar w:fldCharType="separate"/>
            </w:r>
            <w:r>
              <w:rPr>
                <w:rStyle w:val="71"/>
                <w:rFonts w:ascii="华文楷体" w:hAnsi="华文楷体" w:eastAsia="华文楷体"/>
                <w:color w:val="auto"/>
                <w:sz w:val="21"/>
                <w:szCs w:val="21"/>
              </w:rPr>
              <w:t>www.creditchina.gov.cn）、国家企业信用信息公示系统（http://www.gsxt.gov.cn</w:t>
            </w:r>
            <w:r>
              <w:rPr>
                <w:rStyle w:val="71"/>
                <w:rFonts w:ascii="华文楷体" w:hAnsi="华文楷体" w:eastAsia="华文楷体"/>
                <w:color w:val="auto"/>
                <w:sz w:val="21"/>
                <w:szCs w:val="21"/>
              </w:rPr>
              <w:fldChar w:fldCharType="end"/>
            </w:r>
            <w:r>
              <w:rPr>
                <w:rFonts w:ascii="华文楷体" w:hAnsi="华文楷体" w:eastAsia="华文楷体"/>
                <w:sz w:val="21"/>
                <w:szCs w:val="21"/>
              </w:rPr>
              <w:t>）、</w:t>
            </w:r>
            <w:r>
              <w:rPr>
                <w:rFonts w:hint="eastAsia" w:ascii="华文楷体" w:hAnsi="华文楷体" w:eastAsia="华文楷体"/>
                <w:sz w:val="21"/>
                <w:szCs w:val="21"/>
              </w:rPr>
              <w:t>中国裁判文书网</w:t>
            </w:r>
            <w:r>
              <w:rPr>
                <w:rFonts w:ascii="华文楷体" w:hAnsi="华文楷体" w:eastAsia="华文楷体"/>
                <w:sz w:val="21"/>
                <w:szCs w:val="21"/>
              </w:rPr>
              <w:t>(</w:t>
            </w:r>
            <w:r>
              <w:fldChar w:fldCharType="begin"/>
            </w:r>
            <w:r>
              <w:instrText xml:space="preserve"> HYPERLINK "http://wenshu.court.gov.cn" </w:instrText>
            </w:r>
            <w:r>
              <w:fldChar w:fldCharType="separate"/>
            </w:r>
            <w:r>
              <w:rPr>
                <w:rFonts w:ascii="华文楷体" w:hAnsi="华文楷体" w:eastAsia="华文楷体"/>
                <w:sz w:val="21"/>
                <w:szCs w:val="21"/>
              </w:rPr>
              <w:t>http://wenshu.court.gov.cn</w:t>
            </w:r>
            <w:r>
              <w:rPr>
                <w:rFonts w:ascii="华文楷体" w:hAnsi="华文楷体" w:eastAsia="华文楷体"/>
                <w:sz w:val="21"/>
                <w:szCs w:val="21"/>
              </w:rPr>
              <w:fldChar w:fldCharType="end"/>
            </w:r>
            <w:r>
              <w:rPr>
                <w:rFonts w:ascii="华文楷体" w:hAnsi="华文楷体" w:eastAsia="华文楷体"/>
                <w:sz w:val="21"/>
                <w:szCs w:val="21"/>
              </w:rPr>
              <w:t>）和</w:t>
            </w:r>
            <w:r>
              <w:rPr>
                <w:rFonts w:hint="eastAsia" w:ascii="华文楷体" w:hAnsi="华文楷体" w:eastAsia="华文楷体"/>
                <w:sz w:val="21"/>
                <w:szCs w:val="21"/>
              </w:rPr>
              <w:t>相关行业主管部门</w:t>
            </w:r>
            <w:r>
              <w:rPr>
                <w:rFonts w:ascii="华文楷体" w:hAnsi="华文楷体" w:eastAsia="华文楷体"/>
                <w:sz w:val="21"/>
                <w:szCs w:val="21"/>
              </w:rPr>
              <w:t>查询，发现投标人未如实提供有关清单的，否决其投标或取消其中标资格</w:t>
            </w:r>
            <w:r>
              <w:rPr>
                <w:rFonts w:hint="eastAsia" w:ascii="华文楷体" w:hAnsi="华文楷体" w:eastAsia="华文楷体"/>
                <w:sz w:val="21"/>
                <w:szCs w:val="21"/>
              </w:rPr>
              <w:t>。】</w:t>
            </w:r>
          </w:p>
        </w:tc>
        <w:tc>
          <w:tcPr>
            <w:tcW w:w="851" w:type="dxa"/>
            <w:vAlign w:val="center"/>
          </w:tcPr>
          <w:p w14:paraId="205F293F">
            <w:pPr>
              <w:snapToGrid w:val="0"/>
              <w:spacing w:line="288" w:lineRule="auto"/>
              <w:jc w:val="center"/>
              <w:rPr>
                <w:rFonts w:ascii="宋体" w:hAnsi="宋体" w:cs="宋体"/>
                <w:kern w:val="0"/>
                <w:sz w:val="21"/>
                <w:szCs w:val="21"/>
              </w:rPr>
            </w:pPr>
            <w:r>
              <w:rPr>
                <w:rFonts w:ascii="宋体" w:hAnsi="宋体" w:cs="宋体"/>
                <w:sz w:val="21"/>
                <w:szCs w:val="21"/>
              </w:rPr>
              <w:t>5</w:t>
            </w:r>
          </w:p>
        </w:tc>
        <w:tc>
          <w:tcPr>
            <w:tcW w:w="708" w:type="dxa"/>
            <w:vAlign w:val="center"/>
          </w:tcPr>
          <w:p w14:paraId="0995E806">
            <w:pPr>
              <w:spacing w:line="240" w:lineRule="auto"/>
              <w:jc w:val="center"/>
              <w:rPr>
                <w:rFonts w:ascii="宋体" w:hAnsi="宋体" w:cs="宋体"/>
                <w:kern w:val="0"/>
                <w:sz w:val="21"/>
                <w:szCs w:val="21"/>
              </w:rPr>
            </w:pPr>
          </w:p>
        </w:tc>
        <w:tc>
          <w:tcPr>
            <w:tcW w:w="709" w:type="dxa"/>
            <w:vAlign w:val="center"/>
          </w:tcPr>
          <w:p w14:paraId="0D931984">
            <w:pPr>
              <w:spacing w:line="240" w:lineRule="auto"/>
              <w:jc w:val="center"/>
              <w:rPr>
                <w:rFonts w:ascii="宋体" w:hAnsi="宋体" w:cs="宋体"/>
                <w:kern w:val="0"/>
                <w:sz w:val="21"/>
                <w:szCs w:val="21"/>
              </w:rPr>
            </w:pPr>
          </w:p>
        </w:tc>
        <w:tc>
          <w:tcPr>
            <w:tcW w:w="567" w:type="dxa"/>
            <w:vAlign w:val="center"/>
          </w:tcPr>
          <w:p w14:paraId="3080A999">
            <w:pPr>
              <w:spacing w:line="240" w:lineRule="auto"/>
              <w:jc w:val="center"/>
              <w:rPr>
                <w:rFonts w:ascii="宋体" w:hAnsi="宋体" w:cs="宋体"/>
                <w:kern w:val="0"/>
                <w:sz w:val="21"/>
                <w:szCs w:val="21"/>
              </w:rPr>
            </w:pPr>
          </w:p>
        </w:tc>
      </w:tr>
      <w:tr w14:paraId="0779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71" w:type="dxa"/>
            <w:gridSpan w:val="3"/>
            <w:vAlign w:val="center"/>
          </w:tcPr>
          <w:p w14:paraId="547CBD17">
            <w:pPr>
              <w:snapToGrid w:val="0"/>
              <w:spacing w:line="240" w:lineRule="auto"/>
              <w:jc w:val="right"/>
              <w:rPr>
                <w:rFonts w:ascii="宋体" w:hAnsi="宋体"/>
                <w:sz w:val="21"/>
                <w:szCs w:val="21"/>
              </w:rPr>
            </w:pPr>
            <w:r>
              <w:rPr>
                <w:rFonts w:hint="eastAsia" w:ascii="宋体" w:hAnsi="宋体" w:cs="宋体"/>
                <w:kern w:val="0"/>
                <w:sz w:val="21"/>
                <w:szCs w:val="21"/>
              </w:rPr>
              <w:t>技术部分得分合计</w:t>
            </w:r>
          </w:p>
        </w:tc>
        <w:tc>
          <w:tcPr>
            <w:tcW w:w="851" w:type="dxa"/>
            <w:vAlign w:val="center"/>
          </w:tcPr>
          <w:p w14:paraId="7FADC04C">
            <w:pPr>
              <w:spacing w:line="240" w:lineRule="auto"/>
              <w:jc w:val="center"/>
              <w:rPr>
                <w:rFonts w:ascii="宋体" w:hAnsi="宋体" w:cs="宋体"/>
                <w:kern w:val="0"/>
                <w:sz w:val="21"/>
                <w:szCs w:val="21"/>
              </w:rPr>
            </w:pPr>
            <w:r>
              <w:rPr>
                <w:rFonts w:hint="eastAsia" w:ascii="宋体" w:hAnsi="宋体" w:cs="宋体"/>
                <w:kern w:val="0"/>
                <w:sz w:val="21"/>
                <w:szCs w:val="21"/>
              </w:rPr>
              <w:t>100</w:t>
            </w:r>
          </w:p>
        </w:tc>
        <w:tc>
          <w:tcPr>
            <w:tcW w:w="708" w:type="dxa"/>
            <w:vAlign w:val="center"/>
          </w:tcPr>
          <w:p w14:paraId="5B9B1BC5">
            <w:pPr>
              <w:spacing w:line="240" w:lineRule="auto"/>
              <w:jc w:val="center"/>
              <w:rPr>
                <w:rFonts w:ascii="宋体" w:hAnsi="宋体" w:cs="宋体"/>
                <w:kern w:val="0"/>
                <w:sz w:val="21"/>
                <w:szCs w:val="21"/>
              </w:rPr>
            </w:pPr>
          </w:p>
        </w:tc>
        <w:tc>
          <w:tcPr>
            <w:tcW w:w="709" w:type="dxa"/>
            <w:vAlign w:val="center"/>
          </w:tcPr>
          <w:p w14:paraId="489CE78A">
            <w:pPr>
              <w:spacing w:line="240" w:lineRule="auto"/>
              <w:jc w:val="center"/>
              <w:rPr>
                <w:rFonts w:ascii="宋体" w:hAnsi="宋体" w:cs="宋体"/>
                <w:kern w:val="0"/>
                <w:sz w:val="21"/>
                <w:szCs w:val="21"/>
              </w:rPr>
            </w:pPr>
          </w:p>
        </w:tc>
        <w:tc>
          <w:tcPr>
            <w:tcW w:w="567" w:type="dxa"/>
            <w:vAlign w:val="center"/>
          </w:tcPr>
          <w:p w14:paraId="10CBE8E0">
            <w:pPr>
              <w:spacing w:line="240" w:lineRule="auto"/>
              <w:jc w:val="center"/>
              <w:rPr>
                <w:rFonts w:ascii="宋体" w:hAnsi="宋体" w:cs="宋体"/>
                <w:kern w:val="0"/>
                <w:sz w:val="21"/>
                <w:szCs w:val="21"/>
              </w:rPr>
            </w:pPr>
          </w:p>
        </w:tc>
      </w:tr>
    </w:tbl>
    <w:p w14:paraId="6E1B1A53">
      <w:pPr>
        <w:snapToGrid w:val="0"/>
        <w:spacing w:before="72" w:beforeLines="30" w:line="240" w:lineRule="auto"/>
      </w:pPr>
      <w:r>
        <w:rPr>
          <w:rFonts w:hint="eastAsia" w:ascii="宋体"/>
          <w:sz w:val="22"/>
          <w:szCs w:val="22"/>
        </w:rPr>
        <w:t>注：各投标人的技术部分得分为评标委员会成员的算术平均值</w:t>
      </w:r>
      <w:r>
        <w:rPr>
          <w:rFonts w:hint="eastAsia" w:ascii="宋体" w:hAnsi="宋体"/>
          <w:sz w:val="22"/>
          <w:szCs w:val="22"/>
        </w:rPr>
        <w:t>。</w:t>
      </w:r>
    </w:p>
    <w:p w14:paraId="608C343E">
      <w:pPr>
        <w:snapToGrid w:val="0"/>
        <w:spacing w:before="72" w:beforeLines="30" w:line="240" w:lineRule="auto"/>
        <w:rPr>
          <w:rFonts w:ascii="宋体"/>
          <w:sz w:val="21"/>
          <w:szCs w:val="21"/>
        </w:rPr>
      </w:pPr>
    </w:p>
    <w:p w14:paraId="6F2D271C">
      <w:pPr>
        <w:snapToGrid w:val="0"/>
        <w:spacing w:before="72" w:beforeLines="30" w:line="240" w:lineRule="auto"/>
        <w:rPr>
          <w:rFonts w:ascii="宋体" w:hAnsi="宋体"/>
        </w:rPr>
        <w:sectPr>
          <w:headerReference r:id="rId9" w:type="default"/>
          <w:pgSz w:w="11906" w:h="16838"/>
          <w:pgMar w:top="1440" w:right="1080" w:bottom="1440" w:left="1080" w:header="851" w:footer="992" w:gutter="0"/>
          <w:cols w:space="720" w:num="1"/>
        </w:sectPr>
      </w:pPr>
      <w:r>
        <w:rPr>
          <w:rFonts w:hint="eastAsia" w:ascii="宋体"/>
          <w:sz w:val="21"/>
          <w:szCs w:val="21"/>
        </w:rPr>
        <w:t>评委签名：                                                   年  月   日</w:t>
      </w:r>
    </w:p>
    <w:p w14:paraId="177FA79D">
      <w:pPr>
        <w:jc w:val="left"/>
        <w:outlineLvl w:val="2"/>
        <w:rPr>
          <w:rFonts w:ascii="宋体" w:hAnsi="宋体" w:cs="宋体"/>
          <w:b/>
          <w:sz w:val="30"/>
        </w:rPr>
      </w:pPr>
      <w:bookmarkStart w:id="273" w:name="_Toc9368"/>
      <w:r>
        <w:rPr>
          <w:rFonts w:hint="eastAsia" w:ascii="宋体" w:hAnsi="宋体"/>
          <w:b/>
        </w:rPr>
        <w:t>附件3-2：评分汇总及得分记录表</w:t>
      </w:r>
      <w:bookmarkEnd w:id="273"/>
    </w:p>
    <w:p w14:paraId="63B9CD2F">
      <w:pPr>
        <w:snapToGrid w:val="0"/>
        <w:spacing w:after="120" w:afterLines="50" w:line="240" w:lineRule="auto"/>
        <w:jc w:val="center"/>
        <w:rPr>
          <w:b/>
          <w:bCs/>
          <w:sz w:val="30"/>
          <w:szCs w:val="30"/>
        </w:rPr>
      </w:pPr>
      <w:r>
        <w:rPr>
          <w:rFonts w:hint="eastAsia"/>
          <w:b/>
          <w:bCs/>
          <w:sz w:val="30"/>
          <w:szCs w:val="30"/>
        </w:rPr>
        <w:t>评分汇总及得分记录表</w:t>
      </w:r>
    </w:p>
    <w:p w14:paraId="594F356B">
      <w:pPr>
        <w:tabs>
          <w:tab w:val="left" w:pos="4680"/>
        </w:tabs>
        <w:snapToGrid w:val="0"/>
        <w:spacing w:line="240" w:lineRule="auto"/>
        <w:rPr>
          <w:rFonts w:ascii="宋体" w:hAnsi="宋体"/>
          <w:bCs/>
          <w:sz w:val="21"/>
          <w:szCs w:val="21"/>
        </w:rPr>
      </w:pPr>
      <w:r>
        <w:rPr>
          <w:rFonts w:hint="eastAsia" w:ascii="宋体" w:hAnsi="宋体"/>
          <w:bCs/>
          <w:sz w:val="21"/>
          <w:szCs w:val="21"/>
        </w:rPr>
        <w:t xml:space="preserve">招标项目名称：                           </w:t>
      </w:r>
      <w:r>
        <w:rPr>
          <w:rFonts w:ascii="宋体" w:hAnsi="宋体"/>
          <w:bCs/>
          <w:sz w:val="21"/>
          <w:szCs w:val="21"/>
        </w:rPr>
        <w:t xml:space="preserve">                     </w:t>
      </w:r>
    </w:p>
    <w:p w14:paraId="44C81507">
      <w:pPr>
        <w:tabs>
          <w:tab w:val="left" w:pos="4680"/>
        </w:tabs>
        <w:snapToGrid w:val="0"/>
        <w:spacing w:line="240" w:lineRule="auto"/>
        <w:rPr>
          <w:rFonts w:ascii="宋体" w:hAnsi="宋体"/>
          <w:bCs/>
          <w:sz w:val="21"/>
          <w:szCs w:val="21"/>
        </w:rPr>
      </w:pPr>
      <w:r>
        <w:rPr>
          <w:rFonts w:hint="eastAsia" w:ascii="宋体" w:hAnsi="宋体"/>
          <w:bCs/>
          <w:sz w:val="21"/>
          <w:szCs w:val="21"/>
        </w:rPr>
        <w:t xml:space="preserve">招标项目编号：                           </w:t>
      </w:r>
      <w:r>
        <w:rPr>
          <w:rFonts w:ascii="宋体" w:hAnsi="宋体"/>
          <w:bCs/>
          <w:sz w:val="21"/>
          <w:szCs w:val="21"/>
        </w:rPr>
        <w:t xml:space="preserve">                    </w:t>
      </w:r>
    </w:p>
    <w:tbl>
      <w:tblPr>
        <w:tblStyle w:val="63"/>
        <w:tblW w:w="9351" w:type="dxa"/>
        <w:tblInd w:w="0" w:type="dxa"/>
        <w:tblLayout w:type="fixed"/>
        <w:tblCellMar>
          <w:top w:w="0" w:type="dxa"/>
          <w:left w:w="108" w:type="dxa"/>
          <w:bottom w:w="0" w:type="dxa"/>
          <w:right w:w="108" w:type="dxa"/>
        </w:tblCellMar>
      </w:tblPr>
      <w:tblGrid>
        <w:gridCol w:w="393"/>
        <w:gridCol w:w="1416"/>
        <w:gridCol w:w="709"/>
        <w:gridCol w:w="454"/>
        <w:gridCol w:w="425"/>
        <w:gridCol w:w="426"/>
        <w:gridCol w:w="567"/>
        <w:gridCol w:w="567"/>
        <w:gridCol w:w="850"/>
        <w:gridCol w:w="851"/>
        <w:gridCol w:w="708"/>
        <w:gridCol w:w="709"/>
        <w:gridCol w:w="1276"/>
      </w:tblGrid>
      <w:tr w14:paraId="095F985B">
        <w:tblPrEx>
          <w:tblCellMar>
            <w:top w:w="0" w:type="dxa"/>
            <w:left w:w="108" w:type="dxa"/>
            <w:bottom w:w="0" w:type="dxa"/>
            <w:right w:w="108" w:type="dxa"/>
          </w:tblCellMar>
        </w:tblPrEx>
        <w:trPr>
          <w:trHeight w:val="435" w:hRule="atLeast"/>
        </w:trPr>
        <w:tc>
          <w:tcPr>
            <w:tcW w:w="393" w:type="dxa"/>
            <w:vMerge w:val="restart"/>
            <w:tcBorders>
              <w:top w:val="single" w:color="auto" w:sz="4" w:space="0"/>
              <w:left w:val="single" w:color="auto" w:sz="4" w:space="0"/>
              <w:bottom w:val="single" w:color="auto" w:sz="4" w:space="0"/>
              <w:right w:val="single" w:color="auto" w:sz="4" w:space="0"/>
            </w:tcBorders>
            <w:vAlign w:val="center"/>
          </w:tcPr>
          <w:p w14:paraId="62876250">
            <w:pPr>
              <w:widowControl/>
              <w:snapToGrid w:val="0"/>
              <w:spacing w:line="240" w:lineRule="auto"/>
              <w:jc w:val="center"/>
              <w:rPr>
                <w:rFonts w:hAnsi="宋体" w:cs="宋体"/>
                <w:kern w:val="0"/>
                <w:sz w:val="21"/>
                <w:szCs w:val="21"/>
              </w:rPr>
            </w:pPr>
            <w:r>
              <w:rPr>
                <w:rFonts w:hint="eastAsia" w:hAnsi="宋体" w:cs="宋体"/>
                <w:kern w:val="0"/>
                <w:sz w:val="21"/>
                <w:szCs w:val="21"/>
              </w:rPr>
              <w:t>序号</w:t>
            </w:r>
          </w:p>
        </w:tc>
        <w:tc>
          <w:tcPr>
            <w:tcW w:w="1416" w:type="dxa"/>
            <w:vMerge w:val="restart"/>
            <w:tcBorders>
              <w:top w:val="single" w:color="auto" w:sz="4" w:space="0"/>
              <w:left w:val="single" w:color="auto" w:sz="4" w:space="0"/>
              <w:bottom w:val="single" w:color="auto" w:sz="4" w:space="0"/>
              <w:right w:val="single" w:color="auto" w:sz="4" w:space="0"/>
            </w:tcBorders>
            <w:vAlign w:val="center"/>
          </w:tcPr>
          <w:p w14:paraId="2995BFDD">
            <w:pPr>
              <w:widowControl/>
              <w:snapToGrid w:val="0"/>
              <w:spacing w:line="240" w:lineRule="auto"/>
              <w:jc w:val="center"/>
              <w:rPr>
                <w:rFonts w:hAnsi="宋体" w:cs="宋体"/>
                <w:kern w:val="0"/>
                <w:sz w:val="21"/>
                <w:szCs w:val="21"/>
              </w:rPr>
            </w:pPr>
            <w:r>
              <w:rPr>
                <w:rFonts w:hint="eastAsia" w:hAnsi="宋体" w:cs="宋体"/>
                <w:kern w:val="0"/>
                <w:sz w:val="21"/>
                <w:szCs w:val="21"/>
              </w:rPr>
              <w:t>投标人名称</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FC95436">
            <w:pPr>
              <w:widowControl/>
              <w:snapToGrid w:val="0"/>
              <w:spacing w:line="240" w:lineRule="auto"/>
              <w:jc w:val="center"/>
              <w:rPr>
                <w:rFonts w:hAnsi="宋体" w:cs="宋体"/>
                <w:kern w:val="0"/>
                <w:sz w:val="21"/>
                <w:szCs w:val="21"/>
              </w:rPr>
            </w:pPr>
            <w:r>
              <w:rPr>
                <w:rFonts w:hint="eastAsia" w:hAnsi="宋体" w:cs="宋体"/>
                <w:kern w:val="0"/>
                <w:sz w:val="21"/>
                <w:szCs w:val="21"/>
              </w:rPr>
              <w:t>评审项</w:t>
            </w:r>
          </w:p>
        </w:tc>
        <w:tc>
          <w:tcPr>
            <w:tcW w:w="2439" w:type="dxa"/>
            <w:gridSpan w:val="5"/>
            <w:tcBorders>
              <w:top w:val="single" w:color="auto" w:sz="4" w:space="0"/>
              <w:left w:val="nil"/>
              <w:bottom w:val="single" w:color="auto" w:sz="4" w:space="0"/>
              <w:right w:val="single" w:color="auto" w:sz="4" w:space="0"/>
            </w:tcBorders>
            <w:vAlign w:val="center"/>
          </w:tcPr>
          <w:p w14:paraId="6CC601D1">
            <w:pPr>
              <w:widowControl/>
              <w:snapToGrid w:val="0"/>
              <w:spacing w:line="240" w:lineRule="auto"/>
              <w:jc w:val="center"/>
              <w:rPr>
                <w:rFonts w:hAnsi="宋体" w:cs="宋体"/>
                <w:kern w:val="0"/>
                <w:sz w:val="21"/>
                <w:szCs w:val="21"/>
              </w:rPr>
            </w:pPr>
            <w:r>
              <w:rPr>
                <w:rFonts w:hint="eastAsia" w:hAnsi="宋体" w:cs="宋体"/>
                <w:kern w:val="0"/>
                <w:sz w:val="21"/>
                <w:szCs w:val="21"/>
              </w:rPr>
              <w:t>评标委员会成员姓名</w:t>
            </w:r>
          </w:p>
          <w:p w14:paraId="17265AE3">
            <w:pPr>
              <w:widowControl/>
              <w:snapToGrid w:val="0"/>
              <w:spacing w:line="240" w:lineRule="auto"/>
              <w:jc w:val="center"/>
              <w:rPr>
                <w:rFonts w:hAnsi="宋体" w:cs="宋体"/>
                <w:kern w:val="0"/>
                <w:sz w:val="21"/>
                <w:szCs w:val="21"/>
              </w:rPr>
            </w:pPr>
            <w:r>
              <w:rPr>
                <w:rFonts w:hint="eastAsia" w:hAnsi="宋体" w:cs="宋体"/>
                <w:kern w:val="0"/>
                <w:sz w:val="21"/>
                <w:szCs w:val="21"/>
              </w:rPr>
              <w:t>及得分评审结果</w:t>
            </w:r>
          </w:p>
        </w:tc>
        <w:tc>
          <w:tcPr>
            <w:tcW w:w="850" w:type="dxa"/>
            <w:vMerge w:val="restart"/>
            <w:tcBorders>
              <w:top w:val="single" w:color="auto" w:sz="4" w:space="0"/>
              <w:left w:val="single" w:color="auto" w:sz="4" w:space="0"/>
              <w:right w:val="single" w:color="auto" w:sz="4" w:space="0"/>
            </w:tcBorders>
            <w:vAlign w:val="center"/>
          </w:tcPr>
          <w:p w14:paraId="5CDD062F">
            <w:pPr>
              <w:widowControl/>
              <w:snapToGrid w:val="0"/>
              <w:spacing w:line="240" w:lineRule="auto"/>
              <w:jc w:val="center"/>
              <w:rPr>
                <w:rFonts w:hAnsi="宋体" w:cs="宋体"/>
                <w:kern w:val="0"/>
                <w:sz w:val="21"/>
                <w:szCs w:val="21"/>
              </w:rPr>
            </w:pPr>
            <w:r>
              <w:rPr>
                <w:rFonts w:hint="eastAsia" w:hAnsi="宋体" w:cs="宋体"/>
                <w:kern w:val="0"/>
                <w:sz w:val="21"/>
                <w:szCs w:val="21"/>
              </w:rPr>
              <w:t>得分</w:t>
            </w:r>
          </w:p>
          <w:p w14:paraId="576D2AC1">
            <w:pPr>
              <w:widowControl/>
              <w:snapToGrid w:val="0"/>
              <w:spacing w:line="240" w:lineRule="auto"/>
              <w:jc w:val="center"/>
              <w:rPr>
                <w:rFonts w:hAnsi="宋体" w:cs="宋体"/>
                <w:kern w:val="0"/>
                <w:sz w:val="21"/>
                <w:szCs w:val="21"/>
              </w:rPr>
            </w:pPr>
            <w:r>
              <w:rPr>
                <w:rFonts w:hAnsi="宋体" w:cs="宋体"/>
                <w:kern w:val="0"/>
                <w:sz w:val="21"/>
                <w:szCs w:val="21"/>
              </w:rPr>
              <w:t>小计（</w:t>
            </w:r>
            <w:r>
              <w:rPr>
                <w:rFonts w:hint="eastAsia" w:hAnsi="宋体" w:cs="宋体"/>
                <w:kern w:val="0"/>
                <w:sz w:val="21"/>
                <w:szCs w:val="21"/>
              </w:rPr>
              <w:t>分</w:t>
            </w:r>
            <w:r>
              <w:rPr>
                <w:rFonts w:hAnsi="宋体" w:cs="宋体"/>
                <w:kern w:val="0"/>
                <w:sz w:val="21"/>
                <w:szCs w:val="21"/>
              </w:rPr>
              <w:t>）</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696F48CC">
            <w:pPr>
              <w:widowControl/>
              <w:snapToGrid w:val="0"/>
              <w:spacing w:line="240" w:lineRule="auto"/>
              <w:jc w:val="center"/>
              <w:rPr>
                <w:rFonts w:hAnsi="宋体" w:cs="宋体"/>
                <w:kern w:val="0"/>
                <w:sz w:val="21"/>
                <w:szCs w:val="21"/>
              </w:rPr>
            </w:pPr>
            <w:r>
              <w:rPr>
                <w:rFonts w:hint="eastAsia" w:hAnsi="宋体" w:cs="宋体"/>
                <w:kern w:val="0"/>
                <w:sz w:val="21"/>
                <w:szCs w:val="21"/>
              </w:rPr>
              <w:t>平均分（分）</w:t>
            </w: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6C7958B0">
            <w:pPr>
              <w:widowControl/>
              <w:snapToGrid w:val="0"/>
              <w:spacing w:line="240" w:lineRule="auto"/>
              <w:jc w:val="center"/>
              <w:rPr>
                <w:rFonts w:hAnsi="宋体" w:cs="宋体"/>
                <w:kern w:val="0"/>
                <w:sz w:val="21"/>
                <w:szCs w:val="21"/>
              </w:rPr>
            </w:pPr>
            <w:r>
              <w:rPr>
                <w:rFonts w:hint="eastAsia" w:hAnsi="宋体" w:cs="宋体"/>
                <w:kern w:val="0"/>
                <w:sz w:val="21"/>
                <w:szCs w:val="21"/>
              </w:rPr>
              <w:t>加权</w:t>
            </w:r>
            <w:r>
              <w:rPr>
                <w:rFonts w:hAnsi="宋体" w:cs="宋体"/>
                <w:kern w:val="0"/>
                <w:sz w:val="21"/>
                <w:szCs w:val="21"/>
              </w:rPr>
              <w:t>得分</w:t>
            </w:r>
            <w:r>
              <w:rPr>
                <w:rFonts w:hint="eastAsia" w:hAnsi="宋体" w:cs="宋体"/>
                <w:kern w:val="0"/>
                <w:sz w:val="21"/>
                <w:szCs w:val="21"/>
              </w:rPr>
              <w:t>（分）</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14:paraId="149C1D4D">
            <w:pPr>
              <w:widowControl/>
              <w:snapToGrid w:val="0"/>
              <w:spacing w:line="240" w:lineRule="auto"/>
              <w:jc w:val="center"/>
              <w:rPr>
                <w:rFonts w:hAnsi="宋体" w:cs="宋体"/>
                <w:kern w:val="0"/>
                <w:sz w:val="21"/>
                <w:szCs w:val="21"/>
              </w:rPr>
            </w:pPr>
            <w:r>
              <w:rPr>
                <w:rFonts w:hint="eastAsia" w:hAnsi="宋体" w:cs="宋体"/>
                <w:kern w:val="0"/>
                <w:sz w:val="21"/>
                <w:szCs w:val="21"/>
              </w:rPr>
              <w:t>各有效</w:t>
            </w:r>
            <w:r>
              <w:rPr>
                <w:rFonts w:hAnsi="宋体" w:cs="宋体"/>
                <w:kern w:val="0"/>
                <w:sz w:val="21"/>
                <w:szCs w:val="21"/>
              </w:rPr>
              <w:t>投标的最终得分</w:t>
            </w:r>
            <w:r>
              <w:rPr>
                <w:rFonts w:hint="eastAsia" w:hAnsi="宋体" w:cs="宋体"/>
                <w:kern w:val="0"/>
                <w:sz w:val="21"/>
                <w:szCs w:val="21"/>
              </w:rPr>
              <w:t>（分）</w:t>
            </w:r>
          </w:p>
        </w:tc>
      </w:tr>
      <w:tr w14:paraId="4BA7CAE2">
        <w:tblPrEx>
          <w:tblCellMar>
            <w:top w:w="0" w:type="dxa"/>
            <w:left w:w="108" w:type="dxa"/>
            <w:bottom w:w="0" w:type="dxa"/>
            <w:right w:w="108" w:type="dxa"/>
          </w:tblCellMar>
        </w:tblPrEx>
        <w:trPr>
          <w:trHeight w:val="435" w:hRule="atLeast"/>
        </w:trPr>
        <w:tc>
          <w:tcPr>
            <w:tcW w:w="393" w:type="dxa"/>
            <w:vMerge w:val="continue"/>
            <w:tcBorders>
              <w:top w:val="single" w:color="auto" w:sz="4" w:space="0"/>
              <w:left w:val="single" w:color="auto" w:sz="4" w:space="0"/>
              <w:bottom w:val="single" w:color="auto" w:sz="4" w:space="0"/>
              <w:right w:val="single" w:color="auto" w:sz="4" w:space="0"/>
            </w:tcBorders>
            <w:vAlign w:val="center"/>
          </w:tcPr>
          <w:p w14:paraId="2CB57ADB">
            <w:pPr>
              <w:widowControl/>
              <w:spacing w:line="240" w:lineRule="auto"/>
              <w:jc w:val="center"/>
              <w:rPr>
                <w:rFonts w:hAnsi="宋体" w:cs="宋体"/>
                <w:kern w:val="0"/>
                <w:sz w:val="21"/>
                <w:szCs w:val="21"/>
              </w:rPr>
            </w:pPr>
          </w:p>
        </w:tc>
        <w:tc>
          <w:tcPr>
            <w:tcW w:w="1416" w:type="dxa"/>
            <w:vMerge w:val="continue"/>
            <w:tcBorders>
              <w:top w:val="single" w:color="auto" w:sz="4" w:space="0"/>
              <w:left w:val="single" w:color="auto" w:sz="4" w:space="0"/>
              <w:bottom w:val="single" w:color="auto" w:sz="4" w:space="0"/>
              <w:right w:val="single" w:color="auto" w:sz="4" w:space="0"/>
            </w:tcBorders>
            <w:vAlign w:val="center"/>
          </w:tcPr>
          <w:p w14:paraId="34248EEA">
            <w:pPr>
              <w:widowControl/>
              <w:spacing w:line="240" w:lineRule="auto"/>
              <w:jc w:val="center"/>
              <w:rPr>
                <w:rFonts w:hAnsi="宋体" w:cs="宋体"/>
                <w:kern w:val="0"/>
                <w:sz w:val="21"/>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B276E8E">
            <w:pPr>
              <w:widowControl/>
              <w:spacing w:line="240" w:lineRule="auto"/>
              <w:jc w:val="center"/>
              <w:rPr>
                <w:rFonts w:hAnsi="宋体" w:cs="宋体"/>
                <w:kern w:val="0"/>
                <w:sz w:val="21"/>
                <w:szCs w:val="21"/>
              </w:rPr>
            </w:pPr>
          </w:p>
        </w:tc>
        <w:tc>
          <w:tcPr>
            <w:tcW w:w="454" w:type="dxa"/>
            <w:tcBorders>
              <w:top w:val="nil"/>
              <w:left w:val="nil"/>
              <w:bottom w:val="single" w:color="auto" w:sz="4" w:space="0"/>
              <w:right w:val="single" w:color="auto" w:sz="4" w:space="0"/>
            </w:tcBorders>
            <w:vAlign w:val="center"/>
          </w:tcPr>
          <w:p w14:paraId="64874FA1">
            <w:pPr>
              <w:widowControl/>
              <w:snapToGrid w:val="0"/>
              <w:spacing w:line="240" w:lineRule="auto"/>
              <w:jc w:val="center"/>
              <w:rPr>
                <w:rFonts w:hAnsi="宋体" w:cs="宋体"/>
                <w:kern w:val="0"/>
                <w:sz w:val="21"/>
                <w:szCs w:val="21"/>
              </w:rPr>
            </w:pPr>
          </w:p>
        </w:tc>
        <w:tc>
          <w:tcPr>
            <w:tcW w:w="425" w:type="dxa"/>
            <w:tcBorders>
              <w:top w:val="nil"/>
              <w:left w:val="nil"/>
              <w:bottom w:val="single" w:color="auto" w:sz="4" w:space="0"/>
              <w:right w:val="single" w:color="auto" w:sz="4" w:space="0"/>
            </w:tcBorders>
            <w:vAlign w:val="center"/>
          </w:tcPr>
          <w:p w14:paraId="1BA4DEEA">
            <w:pPr>
              <w:widowControl/>
              <w:snapToGrid w:val="0"/>
              <w:spacing w:line="240" w:lineRule="auto"/>
              <w:jc w:val="center"/>
              <w:rPr>
                <w:rFonts w:hAnsi="宋体" w:cs="宋体"/>
                <w:kern w:val="0"/>
                <w:sz w:val="21"/>
                <w:szCs w:val="21"/>
              </w:rPr>
            </w:pPr>
          </w:p>
        </w:tc>
        <w:tc>
          <w:tcPr>
            <w:tcW w:w="426" w:type="dxa"/>
            <w:tcBorders>
              <w:top w:val="nil"/>
              <w:left w:val="nil"/>
              <w:bottom w:val="single" w:color="auto" w:sz="4" w:space="0"/>
              <w:right w:val="single" w:color="auto" w:sz="4" w:space="0"/>
            </w:tcBorders>
            <w:vAlign w:val="center"/>
          </w:tcPr>
          <w:p w14:paraId="6EEC93CD">
            <w:pPr>
              <w:widowControl/>
              <w:snapToGrid w:val="0"/>
              <w:spacing w:line="240" w:lineRule="auto"/>
              <w:jc w:val="center"/>
              <w:rPr>
                <w:rFonts w:hAnsi="宋体" w:cs="宋体"/>
                <w:kern w:val="0"/>
                <w:sz w:val="21"/>
                <w:szCs w:val="21"/>
              </w:rPr>
            </w:pPr>
          </w:p>
        </w:tc>
        <w:tc>
          <w:tcPr>
            <w:tcW w:w="567" w:type="dxa"/>
            <w:tcBorders>
              <w:top w:val="nil"/>
              <w:left w:val="nil"/>
              <w:bottom w:val="single" w:color="auto" w:sz="4" w:space="0"/>
              <w:right w:val="single" w:color="auto" w:sz="4" w:space="0"/>
            </w:tcBorders>
            <w:vAlign w:val="center"/>
          </w:tcPr>
          <w:p w14:paraId="5206CD8C">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7D2407A7">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vMerge w:val="continue"/>
            <w:tcBorders>
              <w:left w:val="single" w:color="auto" w:sz="4" w:space="0"/>
              <w:bottom w:val="single" w:color="auto" w:sz="4" w:space="0"/>
              <w:right w:val="single" w:color="auto" w:sz="4" w:space="0"/>
            </w:tcBorders>
            <w:vAlign w:val="center"/>
          </w:tcPr>
          <w:p w14:paraId="4B182C98">
            <w:pPr>
              <w:widowControl/>
              <w:spacing w:line="240" w:lineRule="auto"/>
              <w:jc w:val="left"/>
              <w:rPr>
                <w:rFonts w:hAnsi="宋体" w:cs="宋体"/>
                <w:kern w:val="0"/>
                <w:sz w:val="21"/>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FA7820B">
            <w:pPr>
              <w:widowControl/>
              <w:spacing w:line="240" w:lineRule="auto"/>
              <w:jc w:val="left"/>
              <w:rPr>
                <w:rFonts w:hAnsi="宋体" w:cs="宋体"/>
                <w:kern w:val="0"/>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09C968B7">
            <w:pPr>
              <w:widowControl/>
              <w:spacing w:line="240" w:lineRule="auto"/>
              <w:rPr>
                <w:rFonts w:hAnsi="宋体" w:cs="宋体"/>
                <w:kern w:val="0"/>
                <w:sz w:val="21"/>
                <w:szCs w:val="21"/>
              </w:rPr>
            </w:pPr>
            <w:r>
              <w:rPr>
                <w:rFonts w:hint="eastAsia" w:hAnsi="宋体" w:cs="宋体"/>
                <w:kern w:val="0"/>
                <w:sz w:val="21"/>
                <w:szCs w:val="21"/>
              </w:rPr>
              <w:t>权重</w:t>
            </w:r>
          </w:p>
        </w:tc>
        <w:tc>
          <w:tcPr>
            <w:tcW w:w="709" w:type="dxa"/>
            <w:tcBorders>
              <w:top w:val="single" w:color="auto" w:sz="4" w:space="0"/>
              <w:left w:val="single" w:color="auto" w:sz="4" w:space="0"/>
              <w:bottom w:val="single" w:color="auto" w:sz="4" w:space="0"/>
              <w:right w:val="single" w:color="auto" w:sz="4" w:space="0"/>
            </w:tcBorders>
            <w:vAlign w:val="center"/>
          </w:tcPr>
          <w:p w14:paraId="5EA01A73">
            <w:pPr>
              <w:widowControl/>
              <w:spacing w:line="240" w:lineRule="auto"/>
              <w:jc w:val="left"/>
              <w:rPr>
                <w:rFonts w:hAnsi="宋体" w:cs="宋体"/>
                <w:kern w:val="0"/>
                <w:sz w:val="21"/>
                <w:szCs w:val="21"/>
              </w:rPr>
            </w:pPr>
            <w:r>
              <w:rPr>
                <w:rFonts w:hint="eastAsia" w:hAnsi="宋体" w:cs="宋体"/>
                <w:kern w:val="0"/>
                <w:sz w:val="21"/>
                <w:szCs w:val="21"/>
              </w:rPr>
              <w:t>得分</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6EE54598">
            <w:pPr>
              <w:widowControl/>
              <w:spacing w:line="240" w:lineRule="auto"/>
              <w:jc w:val="left"/>
              <w:rPr>
                <w:rFonts w:hAnsi="宋体" w:cs="宋体"/>
                <w:kern w:val="0"/>
                <w:sz w:val="21"/>
                <w:szCs w:val="21"/>
              </w:rPr>
            </w:pPr>
          </w:p>
        </w:tc>
      </w:tr>
      <w:tr w14:paraId="481A6C51">
        <w:tblPrEx>
          <w:tblCellMar>
            <w:top w:w="0" w:type="dxa"/>
            <w:left w:w="108" w:type="dxa"/>
            <w:bottom w:w="0" w:type="dxa"/>
            <w:right w:w="108" w:type="dxa"/>
          </w:tblCellMar>
        </w:tblPrEx>
        <w:trPr>
          <w:trHeight w:val="481" w:hRule="atLeast"/>
        </w:trPr>
        <w:tc>
          <w:tcPr>
            <w:tcW w:w="393" w:type="dxa"/>
            <w:vMerge w:val="restart"/>
            <w:tcBorders>
              <w:top w:val="nil"/>
              <w:left w:val="single" w:color="auto" w:sz="4" w:space="0"/>
              <w:right w:val="single" w:color="auto" w:sz="4" w:space="0"/>
            </w:tcBorders>
            <w:vAlign w:val="center"/>
          </w:tcPr>
          <w:p w14:paraId="02EEFBA1">
            <w:pPr>
              <w:snapToGrid w:val="0"/>
              <w:spacing w:line="240" w:lineRule="auto"/>
              <w:jc w:val="center"/>
              <w:rPr>
                <w:rFonts w:hAnsi="宋体" w:cs="宋体"/>
                <w:kern w:val="0"/>
                <w:sz w:val="21"/>
                <w:szCs w:val="21"/>
              </w:rPr>
            </w:pPr>
          </w:p>
        </w:tc>
        <w:tc>
          <w:tcPr>
            <w:tcW w:w="1416" w:type="dxa"/>
            <w:vMerge w:val="restart"/>
            <w:tcBorders>
              <w:top w:val="nil"/>
              <w:left w:val="nil"/>
              <w:right w:val="single" w:color="auto" w:sz="4" w:space="0"/>
            </w:tcBorders>
            <w:vAlign w:val="center"/>
          </w:tcPr>
          <w:p w14:paraId="3B9AC5A0">
            <w:pPr>
              <w:widowControl/>
              <w:snapToGrid w:val="0"/>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356DD327">
            <w:pPr>
              <w:widowControl/>
              <w:snapToGrid w:val="0"/>
              <w:spacing w:line="240" w:lineRule="auto"/>
              <w:jc w:val="center"/>
              <w:rPr>
                <w:rFonts w:hAnsi="宋体" w:cs="宋体"/>
                <w:kern w:val="0"/>
                <w:sz w:val="21"/>
                <w:szCs w:val="21"/>
              </w:rPr>
            </w:pPr>
            <w:r>
              <w:rPr>
                <w:rFonts w:hint="eastAsia" w:hAnsi="宋体" w:cs="宋体"/>
                <w:kern w:val="0"/>
                <w:sz w:val="21"/>
                <w:szCs w:val="21"/>
              </w:rPr>
              <w:t>报价</w:t>
            </w:r>
          </w:p>
        </w:tc>
        <w:tc>
          <w:tcPr>
            <w:tcW w:w="454" w:type="dxa"/>
            <w:tcBorders>
              <w:top w:val="nil"/>
              <w:left w:val="nil"/>
              <w:bottom w:val="single" w:color="auto" w:sz="4" w:space="0"/>
              <w:right w:val="single" w:color="auto" w:sz="4" w:space="0"/>
            </w:tcBorders>
            <w:vAlign w:val="center"/>
          </w:tcPr>
          <w:p w14:paraId="74051DEA">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65BCDECB">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61A7E012">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05418C61">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29A894C2">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tcBorders>
              <w:top w:val="single" w:color="auto" w:sz="4" w:space="0"/>
              <w:left w:val="nil"/>
              <w:bottom w:val="single" w:color="auto" w:sz="4" w:space="0"/>
              <w:right w:val="single" w:color="auto" w:sz="4" w:space="0"/>
            </w:tcBorders>
          </w:tcPr>
          <w:p w14:paraId="04F8E883">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611598F">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708" w:type="dxa"/>
            <w:tcBorders>
              <w:top w:val="single" w:color="auto" w:sz="4" w:space="0"/>
              <w:left w:val="single" w:color="auto" w:sz="4" w:space="0"/>
              <w:bottom w:val="single" w:color="auto" w:sz="4" w:space="0"/>
              <w:right w:val="single" w:color="auto" w:sz="4" w:space="0"/>
            </w:tcBorders>
          </w:tcPr>
          <w:p w14:paraId="0373BF75">
            <w:pPr>
              <w:widowControl/>
              <w:snapToGrid w:val="0"/>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1C4E0C87">
            <w:pPr>
              <w:widowControl/>
              <w:snapToGrid w:val="0"/>
              <w:spacing w:line="240" w:lineRule="auto"/>
              <w:jc w:val="left"/>
              <w:rPr>
                <w:rFonts w:hAnsi="宋体" w:cs="宋体"/>
                <w:kern w:val="0"/>
                <w:sz w:val="21"/>
                <w:szCs w:val="21"/>
              </w:rPr>
            </w:pPr>
          </w:p>
        </w:tc>
        <w:tc>
          <w:tcPr>
            <w:tcW w:w="1276" w:type="dxa"/>
            <w:vMerge w:val="restart"/>
            <w:tcBorders>
              <w:top w:val="nil"/>
              <w:left w:val="nil"/>
              <w:right w:val="single" w:color="auto" w:sz="4" w:space="0"/>
            </w:tcBorders>
            <w:vAlign w:val="center"/>
          </w:tcPr>
          <w:p w14:paraId="24A0A40A">
            <w:pPr>
              <w:widowControl/>
              <w:snapToGrid w:val="0"/>
              <w:spacing w:line="240" w:lineRule="auto"/>
              <w:jc w:val="left"/>
              <w:rPr>
                <w:rFonts w:hAnsi="宋体" w:cs="宋体"/>
                <w:kern w:val="0"/>
                <w:sz w:val="21"/>
                <w:szCs w:val="21"/>
              </w:rPr>
            </w:pPr>
            <w:r>
              <w:rPr>
                <w:rFonts w:hint="eastAsia" w:hAnsi="宋体" w:cs="宋体"/>
                <w:kern w:val="0"/>
                <w:sz w:val="21"/>
                <w:szCs w:val="21"/>
              </w:rPr>
              <w:t>　</w:t>
            </w:r>
          </w:p>
          <w:p w14:paraId="2D2330D9">
            <w:pPr>
              <w:snapToGrid w:val="0"/>
              <w:spacing w:line="240" w:lineRule="auto"/>
              <w:jc w:val="left"/>
              <w:rPr>
                <w:rFonts w:hAnsi="宋体" w:cs="宋体"/>
                <w:kern w:val="0"/>
                <w:sz w:val="21"/>
                <w:szCs w:val="21"/>
              </w:rPr>
            </w:pPr>
            <w:r>
              <w:rPr>
                <w:rFonts w:hint="eastAsia" w:hAnsi="宋体" w:cs="宋体"/>
                <w:kern w:val="0"/>
                <w:sz w:val="21"/>
                <w:szCs w:val="21"/>
              </w:rPr>
              <w:t>　</w:t>
            </w:r>
          </w:p>
        </w:tc>
      </w:tr>
      <w:tr w14:paraId="3A905625">
        <w:tblPrEx>
          <w:tblCellMar>
            <w:top w:w="0" w:type="dxa"/>
            <w:left w:w="108" w:type="dxa"/>
            <w:bottom w:w="0" w:type="dxa"/>
            <w:right w:w="108" w:type="dxa"/>
          </w:tblCellMar>
        </w:tblPrEx>
        <w:trPr>
          <w:trHeight w:val="481" w:hRule="atLeast"/>
        </w:trPr>
        <w:tc>
          <w:tcPr>
            <w:tcW w:w="393" w:type="dxa"/>
            <w:vMerge w:val="continue"/>
            <w:tcBorders>
              <w:left w:val="single" w:color="auto" w:sz="4" w:space="0"/>
              <w:right w:val="single" w:color="auto" w:sz="4" w:space="0"/>
            </w:tcBorders>
            <w:vAlign w:val="center"/>
          </w:tcPr>
          <w:p w14:paraId="0D04279C">
            <w:pPr>
              <w:widowControl/>
              <w:spacing w:line="240" w:lineRule="auto"/>
              <w:jc w:val="center"/>
              <w:rPr>
                <w:rFonts w:hAnsi="宋体" w:cs="宋体"/>
                <w:kern w:val="0"/>
                <w:sz w:val="21"/>
                <w:szCs w:val="21"/>
              </w:rPr>
            </w:pPr>
          </w:p>
        </w:tc>
        <w:tc>
          <w:tcPr>
            <w:tcW w:w="1416" w:type="dxa"/>
            <w:vMerge w:val="continue"/>
            <w:tcBorders>
              <w:left w:val="nil"/>
              <w:right w:val="single" w:color="auto" w:sz="4" w:space="0"/>
            </w:tcBorders>
            <w:vAlign w:val="center"/>
          </w:tcPr>
          <w:p w14:paraId="329E3EF9">
            <w:pPr>
              <w:widowControl/>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376B95B5">
            <w:pPr>
              <w:widowControl/>
              <w:snapToGrid w:val="0"/>
              <w:spacing w:line="240" w:lineRule="auto"/>
              <w:jc w:val="center"/>
              <w:rPr>
                <w:rFonts w:hAnsi="宋体" w:cs="宋体"/>
                <w:kern w:val="0"/>
                <w:sz w:val="21"/>
                <w:szCs w:val="21"/>
              </w:rPr>
            </w:pPr>
            <w:r>
              <w:rPr>
                <w:rFonts w:hint="eastAsia" w:hAnsi="宋体" w:cs="宋体"/>
                <w:kern w:val="0"/>
                <w:sz w:val="21"/>
                <w:szCs w:val="21"/>
              </w:rPr>
              <w:t>综合</w:t>
            </w:r>
          </w:p>
        </w:tc>
        <w:tc>
          <w:tcPr>
            <w:tcW w:w="454" w:type="dxa"/>
            <w:tcBorders>
              <w:top w:val="nil"/>
              <w:left w:val="nil"/>
              <w:bottom w:val="single" w:color="auto" w:sz="4" w:space="0"/>
              <w:right w:val="single" w:color="auto" w:sz="4" w:space="0"/>
            </w:tcBorders>
            <w:vAlign w:val="center"/>
          </w:tcPr>
          <w:p w14:paraId="5F0168FA">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397851B4">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4E8551B8">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0CD7DC58">
            <w:pPr>
              <w:widowControl/>
              <w:snapToGrid w:val="0"/>
              <w:spacing w:line="240" w:lineRule="auto"/>
              <w:jc w:val="left"/>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63D22FBF">
            <w:pPr>
              <w:widowControl/>
              <w:snapToGrid w:val="0"/>
              <w:spacing w:line="240" w:lineRule="auto"/>
              <w:jc w:val="left"/>
              <w:rPr>
                <w:rFonts w:hAnsi="宋体" w:cs="宋体"/>
                <w:b/>
                <w:bCs/>
                <w:kern w:val="0"/>
                <w:sz w:val="21"/>
                <w:szCs w:val="21"/>
              </w:rPr>
            </w:pPr>
          </w:p>
        </w:tc>
        <w:tc>
          <w:tcPr>
            <w:tcW w:w="850" w:type="dxa"/>
            <w:tcBorders>
              <w:top w:val="single" w:color="auto" w:sz="4" w:space="0"/>
              <w:left w:val="nil"/>
              <w:bottom w:val="single" w:color="auto" w:sz="4" w:space="0"/>
              <w:right w:val="single" w:color="auto" w:sz="4" w:space="0"/>
            </w:tcBorders>
          </w:tcPr>
          <w:p w14:paraId="54D3FA24">
            <w:pPr>
              <w:widowControl/>
              <w:snapToGrid w:val="0"/>
              <w:spacing w:line="240" w:lineRule="auto"/>
              <w:jc w:val="left"/>
              <w:rPr>
                <w:rFonts w:hAnsi="宋体" w:cs="宋体"/>
                <w:b/>
                <w:bCs/>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1C588111">
            <w:pPr>
              <w:widowControl/>
              <w:snapToGrid w:val="0"/>
              <w:spacing w:line="240" w:lineRule="auto"/>
              <w:jc w:val="left"/>
              <w:rPr>
                <w:rFonts w:hAnsi="宋体" w:cs="宋体"/>
                <w:b/>
                <w:bCs/>
                <w:kern w:val="0"/>
                <w:sz w:val="21"/>
                <w:szCs w:val="21"/>
              </w:rPr>
            </w:pPr>
          </w:p>
        </w:tc>
        <w:tc>
          <w:tcPr>
            <w:tcW w:w="708" w:type="dxa"/>
            <w:tcBorders>
              <w:top w:val="single" w:color="auto" w:sz="4" w:space="0"/>
              <w:left w:val="single" w:color="auto" w:sz="4" w:space="0"/>
              <w:bottom w:val="single" w:color="auto" w:sz="4" w:space="0"/>
              <w:right w:val="single" w:color="auto" w:sz="4" w:space="0"/>
            </w:tcBorders>
          </w:tcPr>
          <w:p w14:paraId="143496C9">
            <w:pPr>
              <w:widowControl/>
              <w:spacing w:line="240" w:lineRule="auto"/>
              <w:jc w:val="left"/>
              <w:rPr>
                <w:rFonts w:hAnsi="宋体" w:cs="宋体"/>
                <w:b/>
                <w:bCs/>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50E897BD">
            <w:pPr>
              <w:widowControl/>
              <w:spacing w:line="240" w:lineRule="auto"/>
              <w:jc w:val="left"/>
              <w:rPr>
                <w:rFonts w:hAnsi="宋体" w:cs="宋体"/>
                <w:b/>
                <w:bCs/>
                <w:kern w:val="0"/>
                <w:sz w:val="21"/>
                <w:szCs w:val="21"/>
              </w:rPr>
            </w:pPr>
          </w:p>
        </w:tc>
        <w:tc>
          <w:tcPr>
            <w:tcW w:w="1276" w:type="dxa"/>
            <w:vMerge w:val="continue"/>
            <w:tcBorders>
              <w:left w:val="nil"/>
              <w:right w:val="single" w:color="auto" w:sz="4" w:space="0"/>
            </w:tcBorders>
            <w:vAlign w:val="center"/>
          </w:tcPr>
          <w:p w14:paraId="3AB951A8">
            <w:pPr>
              <w:widowControl/>
              <w:spacing w:line="240" w:lineRule="auto"/>
              <w:jc w:val="left"/>
              <w:rPr>
                <w:rFonts w:hAnsi="宋体" w:cs="宋体"/>
                <w:b/>
                <w:bCs/>
                <w:kern w:val="0"/>
                <w:sz w:val="21"/>
                <w:szCs w:val="21"/>
              </w:rPr>
            </w:pPr>
          </w:p>
        </w:tc>
      </w:tr>
      <w:tr w14:paraId="7060CA35">
        <w:tblPrEx>
          <w:tblCellMar>
            <w:top w:w="0" w:type="dxa"/>
            <w:left w:w="108" w:type="dxa"/>
            <w:bottom w:w="0" w:type="dxa"/>
            <w:right w:w="108" w:type="dxa"/>
          </w:tblCellMar>
        </w:tblPrEx>
        <w:trPr>
          <w:trHeight w:val="481" w:hRule="atLeast"/>
        </w:trPr>
        <w:tc>
          <w:tcPr>
            <w:tcW w:w="393" w:type="dxa"/>
            <w:vMerge w:val="continue"/>
            <w:tcBorders>
              <w:left w:val="single" w:color="auto" w:sz="4" w:space="0"/>
              <w:bottom w:val="single" w:color="auto" w:sz="4" w:space="0"/>
              <w:right w:val="single" w:color="auto" w:sz="4" w:space="0"/>
            </w:tcBorders>
            <w:vAlign w:val="center"/>
          </w:tcPr>
          <w:p w14:paraId="4837E2CC">
            <w:pPr>
              <w:widowControl/>
              <w:spacing w:line="240" w:lineRule="auto"/>
              <w:jc w:val="center"/>
              <w:rPr>
                <w:rFonts w:hAnsi="宋体" w:cs="宋体"/>
                <w:kern w:val="0"/>
                <w:sz w:val="21"/>
                <w:szCs w:val="21"/>
              </w:rPr>
            </w:pPr>
          </w:p>
        </w:tc>
        <w:tc>
          <w:tcPr>
            <w:tcW w:w="1416" w:type="dxa"/>
            <w:vMerge w:val="continue"/>
            <w:tcBorders>
              <w:left w:val="nil"/>
              <w:bottom w:val="single" w:color="auto" w:sz="4" w:space="0"/>
              <w:right w:val="single" w:color="auto" w:sz="4" w:space="0"/>
            </w:tcBorders>
            <w:vAlign w:val="center"/>
          </w:tcPr>
          <w:p w14:paraId="24E4D886">
            <w:pPr>
              <w:widowControl/>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1E687663">
            <w:pPr>
              <w:widowControl/>
              <w:snapToGrid w:val="0"/>
              <w:spacing w:line="240" w:lineRule="auto"/>
              <w:jc w:val="center"/>
              <w:rPr>
                <w:rFonts w:hAnsi="宋体" w:cs="宋体"/>
                <w:kern w:val="0"/>
                <w:sz w:val="21"/>
                <w:szCs w:val="21"/>
              </w:rPr>
            </w:pPr>
            <w:r>
              <w:rPr>
                <w:rFonts w:hint="eastAsia" w:hAnsi="宋体" w:cs="宋体"/>
                <w:kern w:val="0"/>
                <w:sz w:val="21"/>
                <w:szCs w:val="21"/>
              </w:rPr>
              <w:t>技术</w:t>
            </w:r>
          </w:p>
        </w:tc>
        <w:tc>
          <w:tcPr>
            <w:tcW w:w="454" w:type="dxa"/>
            <w:tcBorders>
              <w:top w:val="nil"/>
              <w:left w:val="nil"/>
              <w:bottom w:val="single" w:color="auto" w:sz="4" w:space="0"/>
              <w:right w:val="single" w:color="auto" w:sz="4" w:space="0"/>
            </w:tcBorders>
            <w:vAlign w:val="center"/>
          </w:tcPr>
          <w:p w14:paraId="0CC2748F">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073CAF65">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517F4E54">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7C10D23D">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4421FF6D">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tcBorders>
              <w:top w:val="single" w:color="auto" w:sz="4" w:space="0"/>
              <w:left w:val="nil"/>
              <w:bottom w:val="single" w:color="auto" w:sz="4" w:space="0"/>
              <w:right w:val="single" w:color="auto" w:sz="4" w:space="0"/>
            </w:tcBorders>
          </w:tcPr>
          <w:p w14:paraId="108A1471">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62C425D4">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708" w:type="dxa"/>
            <w:tcBorders>
              <w:top w:val="single" w:color="auto" w:sz="4" w:space="0"/>
              <w:left w:val="single" w:color="auto" w:sz="4" w:space="0"/>
              <w:bottom w:val="single" w:color="auto" w:sz="4" w:space="0"/>
              <w:right w:val="single" w:color="auto" w:sz="4" w:space="0"/>
            </w:tcBorders>
          </w:tcPr>
          <w:p w14:paraId="05BA4457">
            <w:pPr>
              <w:widowControl/>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3AEC5088">
            <w:pPr>
              <w:widowControl/>
              <w:spacing w:line="240" w:lineRule="auto"/>
              <w:jc w:val="left"/>
              <w:rPr>
                <w:rFonts w:hAnsi="宋体" w:cs="宋体"/>
                <w:kern w:val="0"/>
                <w:sz w:val="21"/>
                <w:szCs w:val="21"/>
              </w:rPr>
            </w:pPr>
          </w:p>
        </w:tc>
        <w:tc>
          <w:tcPr>
            <w:tcW w:w="1276" w:type="dxa"/>
            <w:vMerge w:val="continue"/>
            <w:tcBorders>
              <w:left w:val="nil"/>
              <w:bottom w:val="single" w:color="auto" w:sz="4" w:space="0"/>
              <w:right w:val="single" w:color="auto" w:sz="4" w:space="0"/>
            </w:tcBorders>
            <w:vAlign w:val="center"/>
          </w:tcPr>
          <w:p w14:paraId="3F3BA3A6">
            <w:pPr>
              <w:widowControl/>
              <w:spacing w:line="240" w:lineRule="auto"/>
              <w:jc w:val="left"/>
              <w:rPr>
                <w:rFonts w:hAnsi="宋体" w:cs="宋体"/>
                <w:kern w:val="0"/>
                <w:sz w:val="21"/>
                <w:szCs w:val="21"/>
              </w:rPr>
            </w:pPr>
          </w:p>
        </w:tc>
      </w:tr>
      <w:tr w14:paraId="140C50DE">
        <w:tblPrEx>
          <w:tblCellMar>
            <w:top w:w="0" w:type="dxa"/>
            <w:left w:w="108" w:type="dxa"/>
            <w:bottom w:w="0" w:type="dxa"/>
            <w:right w:w="108" w:type="dxa"/>
          </w:tblCellMar>
        </w:tblPrEx>
        <w:trPr>
          <w:trHeight w:val="481" w:hRule="atLeast"/>
        </w:trPr>
        <w:tc>
          <w:tcPr>
            <w:tcW w:w="393" w:type="dxa"/>
            <w:vMerge w:val="restart"/>
            <w:tcBorders>
              <w:top w:val="single" w:color="auto" w:sz="4" w:space="0"/>
              <w:left w:val="single" w:color="auto" w:sz="4" w:space="0"/>
              <w:right w:val="single" w:color="auto" w:sz="4" w:space="0"/>
            </w:tcBorders>
            <w:vAlign w:val="center"/>
          </w:tcPr>
          <w:p w14:paraId="43E65AD2">
            <w:pPr>
              <w:widowControl/>
              <w:snapToGrid w:val="0"/>
              <w:spacing w:line="240" w:lineRule="auto"/>
              <w:jc w:val="center"/>
              <w:rPr>
                <w:rFonts w:hAnsi="宋体" w:cs="宋体"/>
                <w:kern w:val="0"/>
                <w:sz w:val="21"/>
                <w:szCs w:val="21"/>
              </w:rPr>
            </w:pPr>
          </w:p>
          <w:p w14:paraId="6287DD2C">
            <w:pPr>
              <w:snapToGrid w:val="0"/>
              <w:spacing w:line="240" w:lineRule="auto"/>
              <w:jc w:val="center"/>
              <w:rPr>
                <w:rFonts w:hAnsi="宋体" w:cs="宋体"/>
                <w:kern w:val="0"/>
                <w:sz w:val="21"/>
                <w:szCs w:val="21"/>
              </w:rPr>
            </w:pPr>
          </w:p>
        </w:tc>
        <w:tc>
          <w:tcPr>
            <w:tcW w:w="1416" w:type="dxa"/>
            <w:vMerge w:val="restart"/>
            <w:tcBorders>
              <w:top w:val="single" w:color="auto" w:sz="4" w:space="0"/>
              <w:left w:val="nil"/>
              <w:right w:val="single" w:color="auto" w:sz="4" w:space="0"/>
            </w:tcBorders>
            <w:vAlign w:val="center"/>
          </w:tcPr>
          <w:p w14:paraId="759BA36A">
            <w:pPr>
              <w:widowControl/>
              <w:snapToGrid w:val="0"/>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7CBF7B57">
            <w:pPr>
              <w:widowControl/>
              <w:snapToGrid w:val="0"/>
              <w:spacing w:line="240" w:lineRule="auto"/>
              <w:jc w:val="center"/>
              <w:rPr>
                <w:rFonts w:hAnsi="宋体" w:cs="宋体"/>
                <w:kern w:val="0"/>
                <w:sz w:val="21"/>
                <w:szCs w:val="21"/>
              </w:rPr>
            </w:pPr>
            <w:r>
              <w:rPr>
                <w:rFonts w:hint="eastAsia" w:hAnsi="宋体" w:cs="宋体"/>
                <w:kern w:val="0"/>
                <w:sz w:val="21"/>
                <w:szCs w:val="21"/>
              </w:rPr>
              <w:t>报价</w:t>
            </w:r>
          </w:p>
        </w:tc>
        <w:tc>
          <w:tcPr>
            <w:tcW w:w="454" w:type="dxa"/>
            <w:tcBorders>
              <w:top w:val="nil"/>
              <w:left w:val="nil"/>
              <w:bottom w:val="single" w:color="auto" w:sz="4" w:space="0"/>
              <w:right w:val="single" w:color="auto" w:sz="4" w:space="0"/>
            </w:tcBorders>
            <w:vAlign w:val="center"/>
          </w:tcPr>
          <w:p w14:paraId="0A172553">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121714D7">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19BE0256">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4D7F9ED3">
            <w:pPr>
              <w:widowControl/>
              <w:snapToGrid w:val="0"/>
              <w:spacing w:line="240" w:lineRule="auto"/>
              <w:jc w:val="left"/>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0E8D74A8">
            <w:pPr>
              <w:widowControl/>
              <w:snapToGrid w:val="0"/>
              <w:spacing w:line="240" w:lineRule="auto"/>
              <w:jc w:val="left"/>
              <w:rPr>
                <w:rFonts w:hAnsi="宋体" w:cs="宋体"/>
                <w:b/>
                <w:bCs/>
                <w:kern w:val="0"/>
                <w:sz w:val="21"/>
                <w:szCs w:val="21"/>
              </w:rPr>
            </w:pPr>
          </w:p>
        </w:tc>
        <w:tc>
          <w:tcPr>
            <w:tcW w:w="850" w:type="dxa"/>
            <w:tcBorders>
              <w:top w:val="single" w:color="auto" w:sz="4" w:space="0"/>
              <w:left w:val="nil"/>
              <w:bottom w:val="single" w:color="auto" w:sz="4" w:space="0"/>
              <w:right w:val="single" w:color="auto" w:sz="4" w:space="0"/>
            </w:tcBorders>
          </w:tcPr>
          <w:p w14:paraId="183B8DF5">
            <w:pPr>
              <w:widowControl/>
              <w:snapToGrid w:val="0"/>
              <w:spacing w:line="240" w:lineRule="auto"/>
              <w:jc w:val="left"/>
              <w:rPr>
                <w:rFonts w:hAnsi="宋体" w:cs="宋体"/>
                <w:b/>
                <w:bCs/>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1B5DDB7">
            <w:pPr>
              <w:widowControl/>
              <w:snapToGrid w:val="0"/>
              <w:spacing w:line="240" w:lineRule="auto"/>
              <w:jc w:val="left"/>
              <w:rPr>
                <w:rFonts w:hAnsi="宋体" w:cs="宋体"/>
                <w:b/>
                <w:bCs/>
                <w:kern w:val="0"/>
                <w:sz w:val="21"/>
                <w:szCs w:val="21"/>
              </w:rPr>
            </w:pPr>
          </w:p>
        </w:tc>
        <w:tc>
          <w:tcPr>
            <w:tcW w:w="708" w:type="dxa"/>
            <w:tcBorders>
              <w:top w:val="single" w:color="auto" w:sz="4" w:space="0"/>
              <w:left w:val="single" w:color="auto" w:sz="4" w:space="0"/>
              <w:bottom w:val="single" w:color="auto" w:sz="4" w:space="0"/>
              <w:right w:val="single" w:color="auto" w:sz="4" w:space="0"/>
            </w:tcBorders>
          </w:tcPr>
          <w:p w14:paraId="18D98D0F">
            <w:pPr>
              <w:widowControl/>
              <w:snapToGrid w:val="0"/>
              <w:spacing w:line="240" w:lineRule="auto"/>
              <w:jc w:val="left"/>
              <w:rPr>
                <w:rFonts w:hAnsi="宋体" w:cs="宋体"/>
                <w:b/>
                <w:bCs/>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67F11D3D">
            <w:pPr>
              <w:widowControl/>
              <w:snapToGrid w:val="0"/>
              <w:spacing w:line="240" w:lineRule="auto"/>
              <w:jc w:val="left"/>
              <w:rPr>
                <w:rFonts w:hAnsi="宋体" w:cs="宋体"/>
                <w:b/>
                <w:bCs/>
                <w:kern w:val="0"/>
                <w:sz w:val="21"/>
                <w:szCs w:val="21"/>
              </w:rPr>
            </w:pPr>
          </w:p>
        </w:tc>
        <w:tc>
          <w:tcPr>
            <w:tcW w:w="1276" w:type="dxa"/>
            <w:vMerge w:val="restart"/>
            <w:tcBorders>
              <w:top w:val="single" w:color="auto" w:sz="4" w:space="0"/>
              <w:left w:val="nil"/>
              <w:right w:val="single" w:color="auto" w:sz="4" w:space="0"/>
            </w:tcBorders>
            <w:vAlign w:val="center"/>
          </w:tcPr>
          <w:p w14:paraId="0CFDAE10">
            <w:pPr>
              <w:widowControl/>
              <w:snapToGrid w:val="0"/>
              <w:spacing w:line="240" w:lineRule="auto"/>
              <w:jc w:val="left"/>
              <w:rPr>
                <w:rFonts w:hAnsi="宋体" w:cs="宋体"/>
                <w:kern w:val="0"/>
                <w:sz w:val="21"/>
                <w:szCs w:val="21"/>
              </w:rPr>
            </w:pPr>
            <w:r>
              <w:rPr>
                <w:rFonts w:hint="eastAsia" w:hAnsi="宋体" w:cs="宋体"/>
                <w:kern w:val="0"/>
                <w:sz w:val="21"/>
                <w:szCs w:val="21"/>
              </w:rPr>
              <w:t>　</w:t>
            </w:r>
          </w:p>
          <w:p w14:paraId="3CC46DAE">
            <w:pPr>
              <w:snapToGrid w:val="0"/>
              <w:spacing w:line="240" w:lineRule="auto"/>
              <w:jc w:val="left"/>
              <w:rPr>
                <w:rFonts w:hAnsi="宋体" w:cs="宋体"/>
                <w:b/>
                <w:bCs/>
                <w:kern w:val="0"/>
                <w:sz w:val="21"/>
                <w:szCs w:val="21"/>
              </w:rPr>
            </w:pPr>
            <w:r>
              <w:rPr>
                <w:rFonts w:hint="eastAsia" w:hAnsi="宋体" w:cs="宋体"/>
                <w:kern w:val="0"/>
                <w:sz w:val="21"/>
                <w:szCs w:val="21"/>
              </w:rPr>
              <w:t>　</w:t>
            </w:r>
          </w:p>
        </w:tc>
      </w:tr>
      <w:tr w14:paraId="0E8C58E6">
        <w:tblPrEx>
          <w:tblCellMar>
            <w:top w:w="0" w:type="dxa"/>
            <w:left w:w="108" w:type="dxa"/>
            <w:bottom w:w="0" w:type="dxa"/>
            <w:right w:w="108" w:type="dxa"/>
          </w:tblCellMar>
        </w:tblPrEx>
        <w:trPr>
          <w:trHeight w:val="481" w:hRule="atLeast"/>
        </w:trPr>
        <w:tc>
          <w:tcPr>
            <w:tcW w:w="393" w:type="dxa"/>
            <w:vMerge w:val="continue"/>
            <w:tcBorders>
              <w:left w:val="single" w:color="auto" w:sz="4" w:space="0"/>
              <w:right w:val="single" w:color="auto" w:sz="4" w:space="0"/>
            </w:tcBorders>
            <w:vAlign w:val="center"/>
          </w:tcPr>
          <w:p w14:paraId="78AB1D9A">
            <w:pPr>
              <w:snapToGrid w:val="0"/>
              <w:spacing w:line="240" w:lineRule="auto"/>
              <w:jc w:val="center"/>
              <w:rPr>
                <w:rFonts w:hAnsi="宋体" w:cs="宋体"/>
                <w:kern w:val="0"/>
                <w:sz w:val="21"/>
                <w:szCs w:val="21"/>
              </w:rPr>
            </w:pPr>
          </w:p>
        </w:tc>
        <w:tc>
          <w:tcPr>
            <w:tcW w:w="1416" w:type="dxa"/>
            <w:vMerge w:val="continue"/>
            <w:tcBorders>
              <w:left w:val="nil"/>
              <w:right w:val="single" w:color="auto" w:sz="4" w:space="0"/>
            </w:tcBorders>
            <w:vAlign w:val="center"/>
          </w:tcPr>
          <w:p w14:paraId="0F62DA25">
            <w:pPr>
              <w:widowControl/>
              <w:snapToGrid w:val="0"/>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6481D45F">
            <w:pPr>
              <w:widowControl/>
              <w:snapToGrid w:val="0"/>
              <w:spacing w:line="240" w:lineRule="auto"/>
              <w:jc w:val="center"/>
              <w:rPr>
                <w:rFonts w:hAnsi="宋体" w:cs="宋体"/>
                <w:kern w:val="0"/>
                <w:sz w:val="21"/>
                <w:szCs w:val="21"/>
              </w:rPr>
            </w:pPr>
            <w:r>
              <w:rPr>
                <w:rFonts w:hint="eastAsia" w:hAnsi="宋体" w:cs="宋体"/>
                <w:kern w:val="0"/>
                <w:sz w:val="21"/>
                <w:szCs w:val="21"/>
              </w:rPr>
              <w:t>综合</w:t>
            </w:r>
          </w:p>
        </w:tc>
        <w:tc>
          <w:tcPr>
            <w:tcW w:w="454" w:type="dxa"/>
            <w:tcBorders>
              <w:top w:val="nil"/>
              <w:left w:val="nil"/>
              <w:bottom w:val="single" w:color="auto" w:sz="4" w:space="0"/>
              <w:right w:val="single" w:color="auto" w:sz="4" w:space="0"/>
            </w:tcBorders>
            <w:vAlign w:val="center"/>
          </w:tcPr>
          <w:p w14:paraId="3F40ACA1">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4CBC8E0A">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50617A03">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020073B6">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6FB004C4">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tcBorders>
              <w:top w:val="single" w:color="auto" w:sz="4" w:space="0"/>
              <w:left w:val="nil"/>
              <w:bottom w:val="single" w:color="auto" w:sz="4" w:space="0"/>
              <w:right w:val="single" w:color="auto" w:sz="4" w:space="0"/>
            </w:tcBorders>
          </w:tcPr>
          <w:p w14:paraId="7F06D184">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F510DE3">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708" w:type="dxa"/>
            <w:tcBorders>
              <w:top w:val="single" w:color="auto" w:sz="4" w:space="0"/>
              <w:left w:val="single" w:color="auto" w:sz="4" w:space="0"/>
              <w:bottom w:val="single" w:color="auto" w:sz="4" w:space="0"/>
              <w:right w:val="single" w:color="auto" w:sz="4" w:space="0"/>
            </w:tcBorders>
          </w:tcPr>
          <w:p w14:paraId="626A8E69">
            <w:pPr>
              <w:widowControl/>
              <w:snapToGrid w:val="0"/>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5F664869">
            <w:pPr>
              <w:widowControl/>
              <w:snapToGrid w:val="0"/>
              <w:spacing w:line="240" w:lineRule="auto"/>
              <w:jc w:val="left"/>
              <w:rPr>
                <w:rFonts w:hAnsi="宋体" w:cs="宋体"/>
                <w:kern w:val="0"/>
                <w:sz w:val="21"/>
                <w:szCs w:val="21"/>
              </w:rPr>
            </w:pPr>
          </w:p>
        </w:tc>
        <w:tc>
          <w:tcPr>
            <w:tcW w:w="1276" w:type="dxa"/>
            <w:vMerge w:val="continue"/>
            <w:tcBorders>
              <w:left w:val="nil"/>
              <w:right w:val="single" w:color="auto" w:sz="4" w:space="0"/>
            </w:tcBorders>
            <w:vAlign w:val="center"/>
          </w:tcPr>
          <w:p w14:paraId="0038B7A3">
            <w:pPr>
              <w:snapToGrid w:val="0"/>
              <w:spacing w:line="240" w:lineRule="auto"/>
              <w:jc w:val="left"/>
              <w:rPr>
                <w:rFonts w:hAnsi="宋体" w:cs="宋体"/>
                <w:kern w:val="0"/>
                <w:sz w:val="21"/>
                <w:szCs w:val="21"/>
              </w:rPr>
            </w:pPr>
          </w:p>
        </w:tc>
      </w:tr>
      <w:tr w14:paraId="2502A9E3">
        <w:tblPrEx>
          <w:tblCellMar>
            <w:top w:w="0" w:type="dxa"/>
            <w:left w:w="108" w:type="dxa"/>
            <w:bottom w:w="0" w:type="dxa"/>
            <w:right w:w="108" w:type="dxa"/>
          </w:tblCellMar>
        </w:tblPrEx>
        <w:trPr>
          <w:trHeight w:val="481" w:hRule="atLeast"/>
        </w:trPr>
        <w:tc>
          <w:tcPr>
            <w:tcW w:w="393" w:type="dxa"/>
            <w:vMerge w:val="continue"/>
            <w:tcBorders>
              <w:left w:val="single" w:color="auto" w:sz="4" w:space="0"/>
              <w:bottom w:val="single" w:color="auto" w:sz="4" w:space="0"/>
              <w:right w:val="single" w:color="auto" w:sz="4" w:space="0"/>
            </w:tcBorders>
            <w:vAlign w:val="center"/>
          </w:tcPr>
          <w:p w14:paraId="1180E9E7">
            <w:pPr>
              <w:widowControl/>
              <w:spacing w:line="240" w:lineRule="auto"/>
              <w:jc w:val="center"/>
              <w:rPr>
                <w:rFonts w:hAnsi="宋体" w:cs="宋体"/>
                <w:kern w:val="0"/>
                <w:sz w:val="21"/>
                <w:szCs w:val="21"/>
              </w:rPr>
            </w:pPr>
          </w:p>
        </w:tc>
        <w:tc>
          <w:tcPr>
            <w:tcW w:w="1416" w:type="dxa"/>
            <w:vMerge w:val="continue"/>
            <w:tcBorders>
              <w:left w:val="nil"/>
              <w:bottom w:val="single" w:color="auto" w:sz="4" w:space="0"/>
              <w:right w:val="single" w:color="auto" w:sz="4" w:space="0"/>
            </w:tcBorders>
            <w:vAlign w:val="center"/>
          </w:tcPr>
          <w:p w14:paraId="5F5A1D5C">
            <w:pPr>
              <w:widowControl/>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2874C24A">
            <w:pPr>
              <w:widowControl/>
              <w:snapToGrid w:val="0"/>
              <w:spacing w:line="240" w:lineRule="auto"/>
              <w:jc w:val="center"/>
              <w:rPr>
                <w:rFonts w:hAnsi="宋体" w:cs="宋体"/>
                <w:kern w:val="0"/>
                <w:sz w:val="21"/>
                <w:szCs w:val="21"/>
              </w:rPr>
            </w:pPr>
            <w:r>
              <w:rPr>
                <w:rFonts w:hint="eastAsia" w:hAnsi="宋体" w:cs="宋体"/>
                <w:kern w:val="0"/>
                <w:sz w:val="21"/>
                <w:szCs w:val="21"/>
              </w:rPr>
              <w:t>技术</w:t>
            </w:r>
          </w:p>
        </w:tc>
        <w:tc>
          <w:tcPr>
            <w:tcW w:w="454" w:type="dxa"/>
            <w:tcBorders>
              <w:top w:val="nil"/>
              <w:left w:val="nil"/>
              <w:bottom w:val="single" w:color="auto" w:sz="4" w:space="0"/>
              <w:right w:val="single" w:color="auto" w:sz="4" w:space="0"/>
            </w:tcBorders>
            <w:vAlign w:val="center"/>
          </w:tcPr>
          <w:p w14:paraId="1894B86B">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556CCAA8">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7FDCB1A0">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2B05A23E">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5392689D">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tcBorders>
              <w:top w:val="single" w:color="auto" w:sz="4" w:space="0"/>
              <w:left w:val="nil"/>
              <w:bottom w:val="single" w:color="auto" w:sz="4" w:space="0"/>
              <w:right w:val="single" w:color="auto" w:sz="4" w:space="0"/>
            </w:tcBorders>
          </w:tcPr>
          <w:p w14:paraId="4DA05343">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5DDB9844">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708" w:type="dxa"/>
            <w:tcBorders>
              <w:top w:val="single" w:color="auto" w:sz="4" w:space="0"/>
              <w:left w:val="single" w:color="auto" w:sz="4" w:space="0"/>
              <w:bottom w:val="single" w:color="auto" w:sz="4" w:space="0"/>
              <w:right w:val="single" w:color="auto" w:sz="4" w:space="0"/>
            </w:tcBorders>
          </w:tcPr>
          <w:p w14:paraId="3EBA1F6D">
            <w:pPr>
              <w:widowControl/>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13E1BACB">
            <w:pPr>
              <w:widowControl/>
              <w:spacing w:line="240" w:lineRule="auto"/>
              <w:jc w:val="left"/>
              <w:rPr>
                <w:rFonts w:hAnsi="宋体" w:cs="宋体"/>
                <w:kern w:val="0"/>
                <w:sz w:val="21"/>
                <w:szCs w:val="21"/>
              </w:rPr>
            </w:pPr>
          </w:p>
        </w:tc>
        <w:tc>
          <w:tcPr>
            <w:tcW w:w="1276" w:type="dxa"/>
            <w:vMerge w:val="continue"/>
            <w:tcBorders>
              <w:left w:val="nil"/>
              <w:bottom w:val="single" w:color="auto" w:sz="4" w:space="0"/>
              <w:right w:val="single" w:color="auto" w:sz="4" w:space="0"/>
            </w:tcBorders>
            <w:vAlign w:val="center"/>
          </w:tcPr>
          <w:p w14:paraId="5EEEAEB1">
            <w:pPr>
              <w:widowControl/>
              <w:spacing w:line="240" w:lineRule="auto"/>
              <w:jc w:val="left"/>
              <w:rPr>
                <w:rFonts w:hAnsi="宋体" w:cs="宋体"/>
                <w:kern w:val="0"/>
                <w:sz w:val="21"/>
                <w:szCs w:val="21"/>
              </w:rPr>
            </w:pPr>
          </w:p>
        </w:tc>
      </w:tr>
      <w:tr w14:paraId="7BE6ECB1">
        <w:tblPrEx>
          <w:tblCellMar>
            <w:top w:w="0" w:type="dxa"/>
            <w:left w:w="108" w:type="dxa"/>
            <w:bottom w:w="0" w:type="dxa"/>
            <w:right w:w="108" w:type="dxa"/>
          </w:tblCellMar>
        </w:tblPrEx>
        <w:trPr>
          <w:trHeight w:val="481" w:hRule="atLeast"/>
        </w:trPr>
        <w:tc>
          <w:tcPr>
            <w:tcW w:w="393" w:type="dxa"/>
            <w:vMerge w:val="restart"/>
            <w:tcBorders>
              <w:top w:val="single" w:color="auto" w:sz="4" w:space="0"/>
              <w:left w:val="single" w:color="auto" w:sz="4" w:space="0"/>
              <w:right w:val="single" w:color="auto" w:sz="4" w:space="0"/>
            </w:tcBorders>
            <w:vAlign w:val="center"/>
          </w:tcPr>
          <w:p w14:paraId="08711A23">
            <w:pPr>
              <w:widowControl/>
              <w:snapToGrid w:val="0"/>
              <w:spacing w:line="240" w:lineRule="auto"/>
              <w:jc w:val="center"/>
              <w:rPr>
                <w:rFonts w:hAnsi="宋体" w:cs="宋体"/>
                <w:kern w:val="0"/>
                <w:sz w:val="21"/>
                <w:szCs w:val="21"/>
              </w:rPr>
            </w:pPr>
          </w:p>
          <w:p w14:paraId="6EC05240">
            <w:pPr>
              <w:snapToGrid w:val="0"/>
              <w:spacing w:line="240" w:lineRule="auto"/>
              <w:jc w:val="center"/>
              <w:rPr>
                <w:rFonts w:hAnsi="宋体" w:cs="宋体"/>
                <w:kern w:val="0"/>
                <w:sz w:val="21"/>
                <w:szCs w:val="21"/>
              </w:rPr>
            </w:pPr>
          </w:p>
        </w:tc>
        <w:tc>
          <w:tcPr>
            <w:tcW w:w="1416" w:type="dxa"/>
            <w:vMerge w:val="restart"/>
            <w:tcBorders>
              <w:top w:val="single" w:color="auto" w:sz="4" w:space="0"/>
              <w:left w:val="nil"/>
              <w:right w:val="single" w:color="auto" w:sz="4" w:space="0"/>
            </w:tcBorders>
            <w:vAlign w:val="center"/>
          </w:tcPr>
          <w:p w14:paraId="27CE7BCD">
            <w:pPr>
              <w:widowControl/>
              <w:snapToGrid w:val="0"/>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50AE2025">
            <w:pPr>
              <w:widowControl/>
              <w:snapToGrid w:val="0"/>
              <w:spacing w:line="240" w:lineRule="auto"/>
              <w:jc w:val="center"/>
              <w:rPr>
                <w:rFonts w:hAnsi="宋体" w:cs="宋体"/>
                <w:kern w:val="0"/>
                <w:sz w:val="21"/>
                <w:szCs w:val="21"/>
              </w:rPr>
            </w:pPr>
            <w:r>
              <w:rPr>
                <w:rFonts w:hint="eastAsia" w:hAnsi="宋体" w:cs="宋体"/>
                <w:kern w:val="0"/>
                <w:sz w:val="21"/>
                <w:szCs w:val="21"/>
              </w:rPr>
              <w:t>报价</w:t>
            </w:r>
          </w:p>
        </w:tc>
        <w:tc>
          <w:tcPr>
            <w:tcW w:w="454" w:type="dxa"/>
            <w:tcBorders>
              <w:top w:val="nil"/>
              <w:left w:val="nil"/>
              <w:bottom w:val="single" w:color="auto" w:sz="4" w:space="0"/>
              <w:right w:val="single" w:color="auto" w:sz="4" w:space="0"/>
            </w:tcBorders>
            <w:vAlign w:val="center"/>
          </w:tcPr>
          <w:p w14:paraId="4E246896">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23E67FB7">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6D6B5D89">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5FAC668B">
            <w:pPr>
              <w:widowControl/>
              <w:snapToGrid w:val="0"/>
              <w:spacing w:line="240" w:lineRule="auto"/>
              <w:jc w:val="left"/>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6D0EEABB">
            <w:pPr>
              <w:widowControl/>
              <w:snapToGrid w:val="0"/>
              <w:spacing w:line="240" w:lineRule="auto"/>
              <w:jc w:val="left"/>
              <w:rPr>
                <w:rFonts w:hAnsi="宋体" w:cs="宋体"/>
                <w:b/>
                <w:bCs/>
                <w:kern w:val="0"/>
                <w:sz w:val="21"/>
                <w:szCs w:val="21"/>
              </w:rPr>
            </w:pPr>
          </w:p>
        </w:tc>
        <w:tc>
          <w:tcPr>
            <w:tcW w:w="850" w:type="dxa"/>
            <w:tcBorders>
              <w:top w:val="single" w:color="auto" w:sz="4" w:space="0"/>
              <w:left w:val="nil"/>
              <w:bottom w:val="single" w:color="auto" w:sz="4" w:space="0"/>
              <w:right w:val="single" w:color="auto" w:sz="4" w:space="0"/>
            </w:tcBorders>
          </w:tcPr>
          <w:p w14:paraId="3966573A">
            <w:pPr>
              <w:widowControl/>
              <w:snapToGrid w:val="0"/>
              <w:spacing w:line="240" w:lineRule="auto"/>
              <w:jc w:val="left"/>
              <w:rPr>
                <w:rFonts w:hAnsi="宋体" w:cs="宋体"/>
                <w:b/>
                <w:bCs/>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7BDB3B5B">
            <w:pPr>
              <w:widowControl/>
              <w:snapToGrid w:val="0"/>
              <w:spacing w:line="240" w:lineRule="auto"/>
              <w:jc w:val="left"/>
              <w:rPr>
                <w:rFonts w:hAnsi="宋体" w:cs="宋体"/>
                <w:b/>
                <w:bCs/>
                <w:kern w:val="0"/>
                <w:sz w:val="21"/>
                <w:szCs w:val="21"/>
              </w:rPr>
            </w:pPr>
          </w:p>
        </w:tc>
        <w:tc>
          <w:tcPr>
            <w:tcW w:w="708" w:type="dxa"/>
            <w:tcBorders>
              <w:top w:val="single" w:color="auto" w:sz="4" w:space="0"/>
              <w:left w:val="single" w:color="auto" w:sz="4" w:space="0"/>
              <w:bottom w:val="single" w:color="auto" w:sz="4" w:space="0"/>
              <w:right w:val="single" w:color="auto" w:sz="4" w:space="0"/>
            </w:tcBorders>
          </w:tcPr>
          <w:p w14:paraId="555AB8FE">
            <w:pPr>
              <w:widowControl/>
              <w:snapToGrid w:val="0"/>
              <w:spacing w:line="240" w:lineRule="auto"/>
              <w:jc w:val="left"/>
              <w:rPr>
                <w:rFonts w:hAnsi="宋体" w:cs="宋体"/>
                <w:b/>
                <w:bCs/>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12A44D21">
            <w:pPr>
              <w:widowControl/>
              <w:snapToGrid w:val="0"/>
              <w:spacing w:line="240" w:lineRule="auto"/>
              <w:jc w:val="left"/>
              <w:rPr>
                <w:rFonts w:hAnsi="宋体" w:cs="宋体"/>
                <w:b/>
                <w:bCs/>
                <w:kern w:val="0"/>
                <w:sz w:val="21"/>
                <w:szCs w:val="21"/>
              </w:rPr>
            </w:pPr>
          </w:p>
        </w:tc>
        <w:tc>
          <w:tcPr>
            <w:tcW w:w="1276" w:type="dxa"/>
            <w:vMerge w:val="restart"/>
            <w:tcBorders>
              <w:top w:val="single" w:color="auto" w:sz="4" w:space="0"/>
              <w:left w:val="nil"/>
              <w:right w:val="single" w:color="auto" w:sz="4" w:space="0"/>
            </w:tcBorders>
            <w:vAlign w:val="center"/>
          </w:tcPr>
          <w:p w14:paraId="70CA001B">
            <w:pPr>
              <w:widowControl/>
              <w:snapToGrid w:val="0"/>
              <w:spacing w:line="240" w:lineRule="auto"/>
              <w:jc w:val="left"/>
              <w:rPr>
                <w:rFonts w:hAnsi="宋体" w:cs="宋体"/>
                <w:kern w:val="0"/>
                <w:sz w:val="21"/>
                <w:szCs w:val="21"/>
              </w:rPr>
            </w:pPr>
            <w:r>
              <w:rPr>
                <w:rFonts w:hint="eastAsia" w:hAnsi="宋体" w:cs="宋体"/>
                <w:kern w:val="0"/>
                <w:sz w:val="21"/>
                <w:szCs w:val="21"/>
              </w:rPr>
              <w:t>　</w:t>
            </w:r>
          </w:p>
          <w:p w14:paraId="4610B3EE">
            <w:pPr>
              <w:snapToGrid w:val="0"/>
              <w:spacing w:line="240" w:lineRule="auto"/>
              <w:jc w:val="left"/>
              <w:rPr>
                <w:rFonts w:hAnsi="宋体" w:cs="宋体"/>
                <w:b/>
                <w:bCs/>
                <w:kern w:val="0"/>
                <w:sz w:val="21"/>
                <w:szCs w:val="21"/>
              </w:rPr>
            </w:pPr>
            <w:r>
              <w:rPr>
                <w:rFonts w:hint="eastAsia" w:hAnsi="宋体" w:cs="宋体"/>
                <w:kern w:val="0"/>
                <w:sz w:val="21"/>
                <w:szCs w:val="21"/>
              </w:rPr>
              <w:t>　</w:t>
            </w:r>
          </w:p>
        </w:tc>
      </w:tr>
      <w:tr w14:paraId="14AE8763">
        <w:tblPrEx>
          <w:tblCellMar>
            <w:top w:w="0" w:type="dxa"/>
            <w:left w:w="108" w:type="dxa"/>
            <w:bottom w:w="0" w:type="dxa"/>
            <w:right w:w="108" w:type="dxa"/>
          </w:tblCellMar>
        </w:tblPrEx>
        <w:trPr>
          <w:trHeight w:val="481" w:hRule="atLeast"/>
        </w:trPr>
        <w:tc>
          <w:tcPr>
            <w:tcW w:w="393" w:type="dxa"/>
            <w:vMerge w:val="continue"/>
            <w:tcBorders>
              <w:left w:val="single" w:color="auto" w:sz="4" w:space="0"/>
              <w:right w:val="single" w:color="auto" w:sz="4" w:space="0"/>
            </w:tcBorders>
            <w:vAlign w:val="center"/>
          </w:tcPr>
          <w:p w14:paraId="1AB4B6E9">
            <w:pPr>
              <w:snapToGrid w:val="0"/>
              <w:spacing w:line="240" w:lineRule="auto"/>
              <w:jc w:val="center"/>
              <w:rPr>
                <w:rFonts w:hAnsi="宋体" w:cs="宋体"/>
                <w:kern w:val="0"/>
                <w:sz w:val="21"/>
                <w:szCs w:val="21"/>
              </w:rPr>
            </w:pPr>
          </w:p>
        </w:tc>
        <w:tc>
          <w:tcPr>
            <w:tcW w:w="1416" w:type="dxa"/>
            <w:vMerge w:val="continue"/>
            <w:tcBorders>
              <w:left w:val="nil"/>
              <w:right w:val="single" w:color="auto" w:sz="4" w:space="0"/>
            </w:tcBorders>
            <w:vAlign w:val="center"/>
          </w:tcPr>
          <w:p w14:paraId="1511B56E">
            <w:pPr>
              <w:widowControl/>
              <w:snapToGrid w:val="0"/>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37393B8F">
            <w:pPr>
              <w:widowControl/>
              <w:snapToGrid w:val="0"/>
              <w:spacing w:line="240" w:lineRule="auto"/>
              <w:jc w:val="center"/>
              <w:rPr>
                <w:rFonts w:hAnsi="宋体" w:cs="宋体"/>
                <w:kern w:val="0"/>
                <w:sz w:val="21"/>
                <w:szCs w:val="21"/>
              </w:rPr>
            </w:pPr>
            <w:r>
              <w:rPr>
                <w:rFonts w:hint="eastAsia" w:hAnsi="宋体" w:cs="宋体"/>
                <w:kern w:val="0"/>
                <w:sz w:val="21"/>
                <w:szCs w:val="21"/>
              </w:rPr>
              <w:t>综合</w:t>
            </w:r>
          </w:p>
        </w:tc>
        <w:tc>
          <w:tcPr>
            <w:tcW w:w="454" w:type="dxa"/>
            <w:tcBorders>
              <w:top w:val="nil"/>
              <w:left w:val="nil"/>
              <w:bottom w:val="single" w:color="auto" w:sz="4" w:space="0"/>
              <w:right w:val="single" w:color="auto" w:sz="4" w:space="0"/>
            </w:tcBorders>
            <w:vAlign w:val="center"/>
          </w:tcPr>
          <w:p w14:paraId="289D5930">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45A3639F">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5F02F3B2">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54756D84">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171BF997">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tcBorders>
              <w:top w:val="single" w:color="auto" w:sz="4" w:space="0"/>
              <w:left w:val="nil"/>
              <w:bottom w:val="single" w:color="auto" w:sz="4" w:space="0"/>
              <w:right w:val="single" w:color="auto" w:sz="4" w:space="0"/>
            </w:tcBorders>
          </w:tcPr>
          <w:p w14:paraId="4CF968B2">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121B00AD">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708" w:type="dxa"/>
            <w:tcBorders>
              <w:top w:val="single" w:color="auto" w:sz="4" w:space="0"/>
              <w:left w:val="single" w:color="auto" w:sz="4" w:space="0"/>
              <w:bottom w:val="single" w:color="auto" w:sz="4" w:space="0"/>
              <w:right w:val="single" w:color="auto" w:sz="4" w:space="0"/>
            </w:tcBorders>
          </w:tcPr>
          <w:p w14:paraId="6B93187C">
            <w:pPr>
              <w:widowControl/>
              <w:snapToGrid w:val="0"/>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3039A51A">
            <w:pPr>
              <w:widowControl/>
              <w:snapToGrid w:val="0"/>
              <w:spacing w:line="240" w:lineRule="auto"/>
              <w:jc w:val="left"/>
              <w:rPr>
                <w:rFonts w:hAnsi="宋体" w:cs="宋体"/>
                <w:kern w:val="0"/>
                <w:sz w:val="21"/>
                <w:szCs w:val="21"/>
              </w:rPr>
            </w:pPr>
          </w:p>
        </w:tc>
        <w:tc>
          <w:tcPr>
            <w:tcW w:w="1276" w:type="dxa"/>
            <w:vMerge w:val="continue"/>
            <w:tcBorders>
              <w:left w:val="nil"/>
              <w:right w:val="single" w:color="auto" w:sz="4" w:space="0"/>
            </w:tcBorders>
            <w:vAlign w:val="center"/>
          </w:tcPr>
          <w:p w14:paraId="308C8145">
            <w:pPr>
              <w:snapToGrid w:val="0"/>
              <w:spacing w:line="240" w:lineRule="auto"/>
              <w:jc w:val="left"/>
              <w:rPr>
                <w:rFonts w:hAnsi="宋体" w:cs="宋体"/>
                <w:kern w:val="0"/>
                <w:sz w:val="21"/>
                <w:szCs w:val="21"/>
              </w:rPr>
            </w:pPr>
          </w:p>
        </w:tc>
      </w:tr>
      <w:tr w14:paraId="4B32973C">
        <w:tblPrEx>
          <w:tblCellMar>
            <w:top w:w="0" w:type="dxa"/>
            <w:left w:w="108" w:type="dxa"/>
            <w:bottom w:w="0" w:type="dxa"/>
            <w:right w:w="108" w:type="dxa"/>
          </w:tblCellMar>
        </w:tblPrEx>
        <w:trPr>
          <w:trHeight w:val="481" w:hRule="atLeast"/>
        </w:trPr>
        <w:tc>
          <w:tcPr>
            <w:tcW w:w="393" w:type="dxa"/>
            <w:vMerge w:val="continue"/>
            <w:tcBorders>
              <w:left w:val="single" w:color="auto" w:sz="4" w:space="0"/>
              <w:bottom w:val="single" w:color="auto" w:sz="4" w:space="0"/>
              <w:right w:val="single" w:color="auto" w:sz="4" w:space="0"/>
            </w:tcBorders>
            <w:vAlign w:val="center"/>
          </w:tcPr>
          <w:p w14:paraId="24036518">
            <w:pPr>
              <w:widowControl/>
              <w:spacing w:line="240" w:lineRule="auto"/>
              <w:jc w:val="center"/>
              <w:rPr>
                <w:rFonts w:hAnsi="宋体" w:cs="宋体"/>
                <w:kern w:val="0"/>
                <w:sz w:val="21"/>
                <w:szCs w:val="21"/>
              </w:rPr>
            </w:pPr>
          </w:p>
        </w:tc>
        <w:tc>
          <w:tcPr>
            <w:tcW w:w="1416" w:type="dxa"/>
            <w:vMerge w:val="continue"/>
            <w:tcBorders>
              <w:left w:val="nil"/>
              <w:bottom w:val="single" w:color="auto" w:sz="4" w:space="0"/>
              <w:right w:val="single" w:color="auto" w:sz="4" w:space="0"/>
            </w:tcBorders>
            <w:vAlign w:val="center"/>
          </w:tcPr>
          <w:p w14:paraId="73E2FC52">
            <w:pPr>
              <w:widowControl/>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706F315F">
            <w:pPr>
              <w:widowControl/>
              <w:snapToGrid w:val="0"/>
              <w:spacing w:line="240" w:lineRule="auto"/>
              <w:jc w:val="center"/>
              <w:rPr>
                <w:rFonts w:hAnsi="宋体" w:cs="宋体"/>
                <w:kern w:val="0"/>
                <w:sz w:val="21"/>
                <w:szCs w:val="21"/>
              </w:rPr>
            </w:pPr>
            <w:r>
              <w:rPr>
                <w:rFonts w:hint="eastAsia" w:hAnsi="宋体" w:cs="宋体"/>
                <w:kern w:val="0"/>
                <w:sz w:val="21"/>
                <w:szCs w:val="21"/>
              </w:rPr>
              <w:t>技术</w:t>
            </w:r>
          </w:p>
        </w:tc>
        <w:tc>
          <w:tcPr>
            <w:tcW w:w="454" w:type="dxa"/>
            <w:tcBorders>
              <w:top w:val="nil"/>
              <w:left w:val="nil"/>
              <w:bottom w:val="single" w:color="auto" w:sz="4" w:space="0"/>
              <w:right w:val="single" w:color="auto" w:sz="4" w:space="0"/>
            </w:tcBorders>
            <w:vAlign w:val="center"/>
          </w:tcPr>
          <w:p w14:paraId="30A7359D">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77506FB5">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1E8B228F">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36927F9D">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5C10EC31">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tcBorders>
              <w:top w:val="single" w:color="auto" w:sz="4" w:space="0"/>
              <w:left w:val="nil"/>
              <w:bottom w:val="single" w:color="auto" w:sz="4" w:space="0"/>
              <w:right w:val="single" w:color="auto" w:sz="4" w:space="0"/>
            </w:tcBorders>
          </w:tcPr>
          <w:p w14:paraId="7EBD81F4">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77174734">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708" w:type="dxa"/>
            <w:tcBorders>
              <w:top w:val="single" w:color="auto" w:sz="4" w:space="0"/>
              <w:left w:val="single" w:color="auto" w:sz="4" w:space="0"/>
              <w:bottom w:val="single" w:color="auto" w:sz="4" w:space="0"/>
              <w:right w:val="single" w:color="auto" w:sz="4" w:space="0"/>
            </w:tcBorders>
          </w:tcPr>
          <w:p w14:paraId="038E66CD">
            <w:pPr>
              <w:widowControl/>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5CF64E93">
            <w:pPr>
              <w:widowControl/>
              <w:spacing w:line="240" w:lineRule="auto"/>
              <w:jc w:val="left"/>
              <w:rPr>
                <w:rFonts w:hAnsi="宋体" w:cs="宋体"/>
                <w:kern w:val="0"/>
                <w:sz w:val="21"/>
                <w:szCs w:val="21"/>
              </w:rPr>
            </w:pPr>
          </w:p>
        </w:tc>
        <w:tc>
          <w:tcPr>
            <w:tcW w:w="1276" w:type="dxa"/>
            <w:vMerge w:val="continue"/>
            <w:tcBorders>
              <w:left w:val="nil"/>
              <w:bottom w:val="single" w:color="auto" w:sz="4" w:space="0"/>
              <w:right w:val="single" w:color="auto" w:sz="4" w:space="0"/>
            </w:tcBorders>
            <w:vAlign w:val="center"/>
          </w:tcPr>
          <w:p w14:paraId="66E53B05">
            <w:pPr>
              <w:widowControl/>
              <w:spacing w:line="240" w:lineRule="auto"/>
              <w:jc w:val="left"/>
              <w:rPr>
                <w:rFonts w:hAnsi="宋体" w:cs="宋体"/>
                <w:kern w:val="0"/>
                <w:sz w:val="21"/>
                <w:szCs w:val="21"/>
              </w:rPr>
            </w:pPr>
          </w:p>
        </w:tc>
      </w:tr>
      <w:tr w14:paraId="18C0918A">
        <w:tblPrEx>
          <w:tblCellMar>
            <w:top w:w="0" w:type="dxa"/>
            <w:left w:w="108" w:type="dxa"/>
            <w:bottom w:w="0" w:type="dxa"/>
            <w:right w:w="108" w:type="dxa"/>
          </w:tblCellMar>
        </w:tblPrEx>
        <w:trPr>
          <w:trHeight w:val="481" w:hRule="atLeast"/>
        </w:trPr>
        <w:tc>
          <w:tcPr>
            <w:tcW w:w="393" w:type="dxa"/>
            <w:vMerge w:val="restart"/>
            <w:tcBorders>
              <w:top w:val="single" w:color="auto" w:sz="4" w:space="0"/>
              <w:left w:val="single" w:color="auto" w:sz="4" w:space="0"/>
              <w:right w:val="single" w:color="auto" w:sz="4" w:space="0"/>
            </w:tcBorders>
            <w:vAlign w:val="center"/>
          </w:tcPr>
          <w:p w14:paraId="0994F140">
            <w:pPr>
              <w:widowControl/>
              <w:snapToGrid w:val="0"/>
              <w:spacing w:line="240" w:lineRule="auto"/>
              <w:jc w:val="center"/>
              <w:rPr>
                <w:rFonts w:hAnsi="宋体" w:cs="宋体"/>
                <w:kern w:val="0"/>
                <w:sz w:val="21"/>
                <w:szCs w:val="21"/>
              </w:rPr>
            </w:pPr>
          </w:p>
          <w:p w14:paraId="08D809FF">
            <w:pPr>
              <w:snapToGrid w:val="0"/>
              <w:spacing w:line="240" w:lineRule="auto"/>
              <w:jc w:val="center"/>
              <w:rPr>
                <w:rFonts w:hAnsi="宋体" w:cs="宋体"/>
                <w:kern w:val="0"/>
                <w:sz w:val="21"/>
                <w:szCs w:val="21"/>
              </w:rPr>
            </w:pPr>
          </w:p>
        </w:tc>
        <w:tc>
          <w:tcPr>
            <w:tcW w:w="1416" w:type="dxa"/>
            <w:vMerge w:val="restart"/>
            <w:tcBorders>
              <w:top w:val="single" w:color="auto" w:sz="4" w:space="0"/>
              <w:left w:val="nil"/>
              <w:right w:val="single" w:color="auto" w:sz="4" w:space="0"/>
            </w:tcBorders>
            <w:vAlign w:val="center"/>
          </w:tcPr>
          <w:p w14:paraId="5FD4F56E">
            <w:pPr>
              <w:widowControl/>
              <w:snapToGrid w:val="0"/>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1967DD80">
            <w:pPr>
              <w:widowControl/>
              <w:snapToGrid w:val="0"/>
              <w:spacing w:line="240" w:lineRule="auto"/>
              <w:jc w:val="center"/>
              <w:rPr>
                <w:rFonts w:hAnsi="宋体" w:cs="宋体"/>
                <w:kern w:val="0"/>
                <w:sz w:val="21"/>
                <w:szCs w:val="21"/>
              </w:rPr>
            </w:pPr>
            <w:r>
              <w:rPr>
                <w:rFonts w:hint="eastAsia" w:hAnsi="宋体" w:cs="宋体"/>
                <w:kern w:val="0"/>
                <w:sz w:val="21"/>
                <w:szCs w:val="21"/>
              </w:rPr>
              <w:t>报价</w:t>
            </w:r>
          </w:p>
        </w:tc>
        <w:tc>
          <w:tcPr>
            <w:tcW w:w="454" w:type="dxa"/>
            <w:tcBorders>
              <w:top w:val="nil"/>
              <w:left w:val="nil"/>
              <w:bottom w:val="single" w:color="auto" w:sz="4" w:space="0"/>
              <w:right w:val="single" w:color="auto" w:sz="4" w:space="0"/>
            </w:tcBorders>
            <w:vAlign w:val="center"/>
          </w:tcPr>
          <w:p w14:paraId="623ABED8">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14076269">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10997195">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63D89274">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71FE2D89">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tcBorders>
              <w:top w:val="single" w:color="auto" w:sz="4" w:space="0"/>
              <w:left w:val="nil"/>
              <w:bottom w:val="single" w:color="auto" w:sz="4" w:space="0"/>
              <w:right w:val="single" w:color="auto" w:sz="4" w:space="0"/>
            </w:tcBorders>
          </w:tcPr>
          <w:p w14:paraId="353794D3">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6E21EBBF">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708" w:type="dxa"/>
            <w:tcBorders>
              <w:top w:val="single" w:color="auto" w:sz="4" w:space="0"/>
              <w:left w:val="single" w:color="auto" w:sz="4" w:space="0"/>
              <w:bottom w:val="single" w:color="auto" w:sz="4" w:space="0"/>
              <w:right w:val="single" w:color="auto" w:sz="4" w:space="0"/>
            </w:tcBorders>
          </w:tcPr>
          <w:p w14:paraId="1BCFB19B">
            <w:pPr>
              <w:widowControl/>
              <w:snapToGrid w:val="0"/>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72D78E16">
            <w:pPr>
              <w:widowControl/>
              <w:snapToGrid w:val="0"/>
              <w:spacing w:line="240" w:lineRule="auto"/>
              <w:jc w:val="left"/>
              <w:rPr>
                <w:rFonts w:hAnsi="宋体" w:cs="宋体"/>
                <w:kern w:val="0"/>
                <w:sz w:val="21"/>
                <w:szCs w:val="21"/>
              </w:rPr>
            </w:pPr>
          </w:p>
        </w:tc>
        <w:tc>
          <w:tcPr>
            <w:tcW w:w="1276" w:type="dxa"/>
            <w:vMerge w:val="restart"/>
            <w:tcBorders>
              <w:top w:val="single" w:color="auto" w:sz="4" w:space="0"/>
              <w:left w:val="nil"/>
              <w:right w:val="single" w:color="auto" w:sz="4" w:space="0"/>
            </w:tcBorders>
            <w:vAlign w:val="center"/>
          </w:tcPr>
          <w:p w14:paraId="6743D316">
            <w:pPr>
              <w:widowControl/>
              <w:snapToGrid w:val="0"/>
              <w:spacing w:line="240" w:lineRule="auto"/>
              <w:jc w:val="left"/>
              <w:rPr>
                <w:rFonts w:hAnsi="宋体" w:cs="宋体"/>
                <w:kern w:val="0"/>
                <w:sz w:val="21"/>
                <w:szCs w:val="21"/>
              </w:rPr>
            </w:pPr>
            <w:r>
              <w:rPr>
                <w:rFonts w:hint="eastAsia" w:hAnsi="宋体" w:cs="宋体"/>
                <w:kern w:val="0"/>
                <w:sz w:val="21"/>
                <w:szCs w:val="21"/>
              </w:rPr>
              <w:t>　</w:t>
            </w:r>
          </w:p>
          <w:p w14:paraId="7A20C751">
            <w:pPr>
              <w:snapToGrid w:val="0"/>
              <w:spacing w:line="240" w:lineRule="auto"/>
              <w:jc w:val="left"/>
              <w:rPr>
                <w:rFonts w:hAnsi="宋体" w:cs="宋体"/>
                <w:kern w:val="0"/>
                <w:sz w:val="21"/>
                <w:szCs w:val="21"/>
              </w:rPr>
            </w:pPr>
            <w:r>
              <w:rPr>
                <w:rFonts w:hint="eastAsia" w:hAnsi="宋体" w:cs="宋体"/>
                <w:kern w:val="0"/>
                <w:sz w:val="21"/>
                <w:szCs w:val="21"/>
              </w:rPr>
              <w:t>　</w:t>
            </w:r>
          </w:p>
        </w:tc>
      </w:tr>
      <w:tr w14:paraId="3696D55A">
        <w:tblPrEx>
          <w:tblCellMar>
            <w:top w:w="0" w:type="dxa"/>
            <w:left w:w="108" w:type="dxa"/>
            <w:bottom w:w="0" w:type="dxa"/>
            <w:right w:w="108" w:type="dxa"/>
          </w:tblCellMar>
        </w:tblPrEx>
        <w:trPr>
          <w:trHeight w:val="481" w:hRule="atLeast"/>
        </w:trPr>
        <w:tc>
          <w:tcPr>
            <w:tcW w:w="393" w:type="dxa"/>
            <w:vMerge w:val="continue"/>
            <w:tcBorders>
              <w:left w:val="single" w:color="auto" w:sz="4" w:space="0"/>
              <w:right w:val="single" w:color="auto" w:sz="4" w:space="0"/>
            </w:tcBorders>
            <w:vAlign w:val="center"/>
          </w:tcPr>
          <w:p w14:paraId="67850D20">
            <w:pPr>
              <w:widowControl/>
              <w:spacing w:line="240" w:lineRule="auto"/>
              <w:jc w:val="center"/>
              <w:rPr>
                <w:rFonts w:hAnsi="宋体" w:cs="宋体"/>
                <w:kern w:val="0"/>
                <w:sz w:val="21"/>
                <w:szCs w:val="21"/>
              </w:rPr>
            </w:pPr>
          </w:p>
        </w:tc>
        <w:tc>
          <w:tcPr>
            <w:tcW w:w="1416" w:type="dxa"/>
            <w:vMerge w:val="continue"/>
            <w:tcBorders>
              <w:left w:val="nil"/>
              <w:right w:val="single" w:color="auto" w:sz="4" w:space="0"/>
            </w:tcBorders>
            <w:vAlign w:val="center"/>
          </w:tcPr>
          <w:p w14:paraId="341DAD0B">
            <w:pPr>
              <w:widowControl/>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239B7A7C">
            <w:pPr>
              <w:widowControl/>
              <w:snapToGrid w:val="0"/>
              <w:spacing w:line="240" w:lineRule="auto"/>
              <w:jc w:val="center"/>
              <w:rPr>
                <w:rFonts w:hAnsi="宋体" w:cs="宋体"/>
                <w:kern w:val="0"/>
                <w:sz w:val="21"/>
                <w:szCs w:val="21"/>
              </w:rPr>
            </w:pPr>
            <w:r>
              <w:rPr>
                <w:rFonts w:hint="eastAsia" w:hAnsi="宋体" w:cs="宋体"/>
                <w:kern w:val="0"/>
                <w:sz w:val="21"/>
                <w:szCs w:val="21"/>
              </w:rPr>
              <w:t>综合</w:t>
            </w:r>
          </w:p>
        </w:tc>
        <w:tc>
          <w:tcPr>
            <w:tcW w:w="454" w:type="dxa"/>
            <w:tcBorders>
              <w:top w:val="nil"/>
              <w:left w:val="nil"/>
              <w:bottom w:val="single" w:color="auto" w:sz="4" w:space="0"/>
              <w:right w:val="single" w:color="auto" w:sz="4" w:space="0"/>
            </w:tcBorders>
            <w:vAlign w:val="center"/>
          </w:tcPr>
          <w:p w14:paraId="74BE57E4">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0FBC1E34">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649DABBA">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7E180E00">
            <w:pPr>
              <w:widowControl/>
              <w:snapToGrid w:val="0"/>
              <w:spacing w:line="240" w:lineRule="auto"/>
              <w:jc w:val="left"/>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0BC28378">
            <w:pPr>
              <w:widowControl/>
              <w:snapToGrid w:val="0"/>
              <w:spacing w:line="240" w:lineRule="auto"/>
              <w:jc w:val="left"/>
              <w:rPr>
                <w:rFonts w:hAnsi="宋体" w:cs="宋体"/>
                <w:b/>
                <w:bCs/>
                <w:kern w:val="0"/>
                <w:sz w:val="21"/>
                <w:szCs w:val="21"/>
              </w:rPr>
            </w:pPr>
          </w:p>
        </w:tc>
        <w:tc>
          <w:tcPr>
            <w:tcW w:w="850" w:type="dxa"/>
            <w:tcBorders>
              <w:top w:val="single" w:color="auto" w:sz="4" w:space="0"/>
              <w:left w:val="nil"/>
              <w:bottom w:val="single" w:color="auto" w:sz="4" w:space="0"/>
              <w:right w:val="single" w:color="auto" w:sz="4" w:space="0"/>
            </w:tcBorders>
          </w:tcPr>
          <w:p w14:paraId="2A866A63">
            <w:pPr>
              <w:widowControl/>
              <w:snapToGrid w:val="0"/>
              <w:spacing w:line="240" w:lineRule="auto"/>
              <w:jc w:val="left"/>
              <w:rPr>
                <w:rFonts w:hAnsi="宋体" w:cs="宋体"/>
                <w:b/>
                <w:bCs/>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4CD12D38">
            <w:pPr>
              <w:widowControl/>
              <w:snapToGrid w:val="0"/>
              <w:spacing w:line="240" w:lineRule="auto"/>
              <w:jc w:val="left"/>
              <w:rPr>
                <w:rFonts w:hAnsi="宋体" w:cs="宋体"/>
                <w:b/>
                <w:bCs/>
                <w:kern w:val="0"/>
                <w:sz w:val="21"/>
                <w:szCs w:val="21"/>
              </w:rPr>
            </w:pPr>
          </w:p>
        </w:tc>
        <w:tc>
          <w:tcPr>
            <w:tcW w:w="708" w:type="dxa"/>
            <w:tcBorders>
              <w:top w:val="single" w:color="auto" w:sz="4" w:space="0"/>
              <w:left w:val="single" w:color="auto" w:sz="4" w:space="0"/>
              <w:bottom w:val="single" w:color="auto" w:sz="4" w:space="0"/>
              <w:right w:val="single" w:color="auto" w:sz="4" w:space="0"/>
            </w:tcBorders>
          </w:tcPr>
          <w:p w14:paraId="5CD3B8BE">
            <w:pPr>
              <w:widowControl/>
              <w:spacing w:line="240" w:lineRule="auto"/>
              <w:jc w:val="left"/>
              <w:rPr>
                <w:rFonts w:hAnsi="宋体" w:cs="宋体"/>
                <w:b/>
                <w:bCs/>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37B4D1FC">
            <w:pPr>
              <w:widowControl/>
              <w:spacing w:line="240" w:lineRule="auto"/>
              <w:jc w:val="left"/>
              <w:rPr>
                <w:rFonts w:hAnsi="宋体" w:cs="宋体"/>
                <w:b/>
                <w:bCs/>
                <w:kern w:val="0"/>
                <w:sz w:val="21"/>
                <w:szCs w:val="21"/>
              </w:rPr>
            </w:pPr>
          </w:p>
        </w:tc>
        <w:tc>
          <w:tcPr>
            <w:tcW w:w="1276" w:type="dxa"/>
            <w:vMerge w:val="continue"/>
            <w:tcBorders>
              <w:left w:val="nil"/>
              <w:right w:val="single" w:color="auto" w:sz="4" w:space="0"/>
            </w:tcBorders>
            <w:vAlign w:val="center"/>
          </w:tcPr>
          <w:p w14:paraId="6C2F3D56">
            <w:pPr>
              <w:widowControl/>
              <w:spacing w:line="240" w:lineRule="auto"/>
              <w:jc w:val="left"/>
              <w:rPr>
                <w:rFonts w:hAnsi="宋体" w:cs="宋体"/>
                <w:b/>
                <w:bCs/>
                <w:kern w:val="0"/>
                <w:sz w:val="21"/>
                <w:szCs w:val="21"/>
              </w:rPr>
            </w:pPr>
          </w:p>
        </w:tc>
      </w:tr>
      <w:tr w14:paraId="24A2C389">
        <w:tblPrEx>
          <w:tblCellMar>
            <w:top w:w="0" w:type="dxa"/>
            <w:left w:w="108" w:type="dxa"/>
            <w:bottom w:w="0" w:type="dxa"/>
            <w:right w:w="108" w:type="dxa"/>
          </w:tblCellMar>
        </w:tblPrEx>
        <w:trPr>
          <w:trHeight w:val="481" w:hRule="atLeast"/>
        </w:trPr>
        <w:tc>
          <w:tcPr>
            <w:tcW w:w="393" w:type="dxa"/>
            <w:vMerge w:val="continue"/>
            <w:tcBorders>
              <w:left w:val="single" w:color="auto" w:sz="4" w:space="0"/>
              <w:bottom w:val="single" w:color="auto" w:sz="4" w:space="0"/>
              <w:right w:val="single" w:color="auto" w:sz="4" w:space="0"/>
            </w:tcBorders>
            <w:vAlign w:val="center"/>
          </w:tcPr>
          <w:p w14:paraId="654D3CAD">
            <w:pPr>
              <w:widowControl/>
              <w:spacing w:line="240" w:lineRule="auto"/>
              <w:jc w:val="center"/>
              <w:rPr>
                <w:rFonts w:hAnsi="宋体" w:cs="宋体"/>
                <w:kern w:val="0"/>
                <w:sz w:val="21"/>
                <w:szCs w:val="21"/>
              </w:rPr>
            </w:pPr>
          </w:p>
        </w:tc>
        <w:tc>
          <w:tcPr>
            <w:tcW w:w="1416" w:type="dxa"/>
            <w:vMerge w:val="continue"/>
            <w:tcBorders>
              <w:left w:val="nil"/>
              <w:bottom w:val="single" w:color="auto" w:sz="4" w:space="0"/>
              <w:right w:val="single" w:color="auto" w:sz="4" w:space="0"/>
            </w:tcBorders>
            <w:vAlign w:val="center"/>
          </w:tcPr>
          <w:p w14:paraId="57CE8D6B">
            <w:pPr>
              <w:widowControl/>
              <w:spacing w:line="240" w:lineRule="auto"/>
              <w:jc w:val="center"/>
              <w:rPr>
                <w:rFonts w:hAnsi="宋体" w:cs="宋体"/>
                <w:kern w:val="0"/>
                <w:sz w:val="21"/>
                <w:szCs w:val="21"/>
              </w:rPr>
            </w:pPr>
          </w:p>
        </w:tc>
        <w:tc>
          <w:tcPr>
            <w:tcW w:w="709" w:type="dxa"/>
            <w:tcBorders>
              <w:top w:val="nil"/>
              <w:left w:val="single" w:color="auto" w:sz="4" w:space="0"/>
              <w:bottom w:val="single" w:color="auto" w:sz="4" w:space="0"/>
              <w:right w:val="single" w:color="auto" w:sz="4" w:space="0"/>
            </w:tcBorders>
            <w:vAlign w:val="center"/>
          </w:tcPr>
          <w:p w14:paraId="162B08EE">
            <w:pPr>
              <w:widowControl/>
              <w:snapToGrid w:val="0"/>
              <w:spacing w:line="240" w:lineRule="auto"/>
              <w:jc w:val="center"/>
              <w:rPr>
                <w:rFonts w:hAnsi="宋体" w:cs="宋体"/>
                <w:kern w:val="0"/>
                <w:sz w:val="21"/>
                <w:szCs w:val="21"/>
              </w:rPr>
            </w:pPr>
            <w:r>
              <w:rPr>
                <w:rFonts w:hint="eastAsia" w:hAnsi="宋体" w:cs="宋体"/>
                <w:kern w:val="0"/>
                <w:sz w:val="21"/>
                <w:szCs w:val="21"/>
              </w:rPr>
              <w:t>技术</w:t>
            </w:r>
          </w:p>
        </w:tc>
        <w:tc>
          <w:tcPr>
            <w:tcW w:w="454" w:type="dxa"/>
            <w:tcBorders>
              <w:top w:val="nil"/>
              <w:left w:val="nil"/>
              <w:bottom w:val="single" w:color="auto" w:sz="4" w:space="0"/>
              <w:right w:val="single" w:color="auto" w:sz="4" w:space="0"/>
            </w:tcBorders>
            <w:vAlign w:val="center"/>
          </w:tcPr>
          <w:p w14:paraId="7F6094F3">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7388F357">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49B15EF8">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593482E9">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567" w:type="dxa"/>
            <w:tcBorders>
              <w:top w:val="nil"/>
              <w:left w:val="nil"/>
              <w:bottom w:val="single" w:color="auto" w:sz="4" w:space="0"/>
              <w:right w:val="single" w:color="auto" w:sz="4" w:space="0"/>
            </w:tcBorders>
            <w:vAlign w:val="center"/>
          </w:tcPr>
          <w:p w14:paraId="2F88750B">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850" w:type="dxa"/>
            <w:tcBorders>
              <w:top w:val="single" w:color="auto" w:sz="4" w:space="0"/>
              <w:left w:val="nil"/>
              <w:bottom w:val="single" w:color="auto" w:sz="4" w:space="0"/>
              <w:right w:val="single" w:color="auto" w:sz="4" w:space="0"/>
            </w:tcBorders>
          </w:tcPr>
          <w:p w14:paraId="1AB25E67">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481A84A7">
            <w:pPr>
              <w:widowControl/>
              <w:snapToGrid w:val="0"/>
              <w:spacing w:line="240" w:lineRule="auto"/>
              <w:jc w:val="left"/>
              <w:rPr>
                <w:rFonts w:hAnsi="宋体" w:cs="宋体"/>
                <w:kern w:val="0"/>
                <w:sz w:val="21"/>
                <w:szCs w:val="21"/>
              </w:rPr>
            </w:pPr>
            <w:r>
              <w:rPr>
                <w:rFonts w:hint="eastAsia" w:hAnsi="宋体" w:cs="宋体"/>
                <w:kern w:val="0"/>
                <w:sz w:val="21"/>
                <w:szCs w:val="21"/>
              </w:rPr>
              <w:t>　</w:t>
            </w:r>
          </w:p>
        </w:tc>
        <w:tc>
          <w:tcPr>
            <w:tcW w:w="708" w:type="dxa"/>
            <w:tcBorders>
              <w:top w:val="single" w:color="auto" w:sz="4" w:space="0"/>
              <w:left w:val="single" w:color="auto" w:sz="4" w:space="0"/>
              <w:bottom w:val="single" w:color="auto" w:sz="4" w:space="0"/>
              <w:right w:val="single" w:color="auto" w:sz="4" w:space="0"/>
            </w:tcBorders>
          </w:tcPr>
          <w:p w14:paraId="602EE1C6">
            <w:pPr>
              <w:widowControl/>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75395262">
            <w:pPr>
              <w:widowControl/>
              <w:spacing w:line="240" w:lineRule="auto"/>
              <w:jc w:val="left"/>
              <w:rPr>
                <w:rFonts w:hAnsi="宋体" w:cs="宋体"/>
                <w:kern w:val="0"/>
                <w:sz w:val="21"/>
                <w:szCs w:val="21"/>
              </w:rPr>
            </w:pPr>
          </w:p>
        </w:tc>
        <w:tc>
          <w:tcPr>
            <w:tcW w:w="1276" w:type="dxa"/>
            <w:vMerge w:val="continue"/>
            <w:tcBorders>
              <w:left w:val="nil"/>
              <w:bottom w:val="single" w:color="auto" w:sz="4" w:space="0"/>
              <w:right w:val="single" w:color="auto" w:sz="4" w:space="0"/>
            </w:tcBorders>
            <w:vAlign w:val="center"/>
          </w:tcPr>
          <w:p w14:paraId="6069A0CD">
            <w:pPr>
              <w:widowControl/>
              <w:spacing w:line="240" w:lineRule="auto"/>
              <w:jc w:val="left"/>
              <w:rPr>
                <w:rFonts w:hAnsi="宋体" w:cs="宋体"/>
                <w:kern w:val="0"/>
                <w:sz w:val="21"/>
                <w:szCs w:val="21"/>
              </w:rPr>
            </w:pPr>
          </w:p>
        </w:tc>
      </w:tr>
      <w:tr w14:paraId="6F4A3E29">
        <w:tblPrEx>
          <w:tblCellMar>
            <w:top w:w="0" w:type="dxa"/>
            <w:left w:w="108" w:type="dxa"/>
            <w:bottom w:w="0" w:type="dxa"/>
            <w:right w:w="108" w:type="dxa"/>
          </w:tblCellMar>
        </w:tblPrEx>
        <w:trPr>
          <w:trHeight w:val="481" w:hRule="atLeast"/>
        </w:trPr>
        <w:tc>
          <w:tcPr>
            <w:tcW w:w="393" w:type="dxa"/>
            <w:tcBorders>
              <w:top w:val="single" w:color="auto" w:sz="4" w:space="0"/>
              <w:left w:val="single" w:color="auto" w:sz="4" w:space="0"/>
              <w:bottom w:val="single" w:color="auto" w:sz="4" w:space="0"/>
              <w:right w:val="single" w:color="auto" w:sz="4" w:space="0"/>
            </w:tcBorders>
            <w:vAlign w:val="center"/>
          </w:tcPr>
          <w:p w14:paraId="38743E41">
            <w:pPr>
              <w:widowControl/>
              <w:spacing w:line="240" w:lineRule="auto"/>
              <w:jc w:val="center"/>
              <w:rPr>
                <w:rFonts w:hAnsi="宋体" w:cs="宋体"/>
                <w:kern w:val="0"/>
                <w:sz w:val="21"/>
                <w:szCs w:val="21"/>
              </w:rPr>
            </w:pPr>
          </w:p>
        </w:tc>
        <w:tc>
          <w:tcPr>
            <w:tcW w:w="1416" w:type="dxa"/>
            <w:tcBorders>
              <w:top w:val="single" w:color="auto" w:sz="4" w:space="0"/>
              <w:left w:val="nil"/>
              <w:bottom w:val="single" w:color="auto" w:sz="4" w:space="0"/>
              <w:right w:val="single" w:color="auto" w:sz="4" w:space="0"/>
            </w:tcBorders>
            <w:vAlign w:val="center"/>
          </w:tcPr>
          <w:p w14:paraId="326F24CB">
            <w:pPr>
              <w:widowControl/>
              <w:spacing w:line="240" w:lineRule="auto"/>
              <w:jc w:val="center"/>
              <w:rPr>
                <w:rFonts w:hAnsi="宋体" w:cs="宋体"/>
                <w:kern w:val="0"/>
                <w:sz w:val="21"/>
                <w:szCs w:val="21"/>
              </w:rPr>
            </w:pPr>
            <w:r>
              <w:rPr>
                <w:rFonts w:hAnsi="宋体" w:cs="宋体"/>
                <w:kern w:val="0"/>
                <w:sz w:val="21"/>
                <w:szCs w:val="21"/>
              </w:rPr>
              <w:t>……</w:t>
            </w:r>
          </w:p>
        </w:tc>
        <w:tc>
          <w:tcPr>
            <w:tcW w:w="709" w:type="dxa"/>
            <w:tcBorders>
              <w:top w:val="nil"/>
              <w:left w:val="single" w:color="auto" w:sz="4" w:space="0"/>
              <w:bottom w:val="single" w:color="auto" w:sz="4" w:space="0"/>
              <w:right w:val="single" w:color="auto" w:sz="4" w:space="0"/>
            </w:tcBorders>
            <w:vAlign w:val="center"/>
          </w:tcPr>
          <w:p w14:paraId="32F7E751">
            <w:pPr>
              <w:widowControl/>
              <w:snapToGrid w:val="0"/>
              <w:spacing w:line="240" w:lineRule="auto"/>
              <w:jc w:val="center"/>
              <w:rPr>
                <w:rFonts w:hAnsi="宋体" w:cs="宋体"/>
                <w:kern w:val="0"/>
                <w:sz w:val="21"/>
                <w:szCs w:val="21"/>
              </w:rPr>
            </w:pPr>
          </w:p>
        </w:tc>
        <w:tc>
          <w:tcPr>
            <w:tcW w:w="454" w:type="dxa"/>
            <w:tcBorders>
              <w:top w:val="nil"/>
              <w:left w:val="nil"/>
              <w:bottom w:val="single" w:color="auto" w:sz="4" w:space="0"/>
              <w:right w:val="single" w:color="auto" w:sz="4" w:space="0"/>
            </w:tcBorders>
            <w:vAlign w:val="center"/>
          </w:tcPr>
          <w:p w14:paraId="6F5C0D3C">
            <w:pPr>
              <w:widowControl/>
              <w:snapToGrid w:val="0"/>
              <w:spacing w:line="240" w:lineRule="auto"/>
              <w:jc w:val="center"/>
              <w:rPr>
                <w:rFonts w:hAnsi="宋体" w:cs="宋体"/>
                <w:b/>
                <w:bCs/>
                <w:kern w:val="0"/>
                <w:sz w:val="21"/>
                <w:szCs w:val="21"/>
              </w:rPr>
            </w:pPr>
          </w:p>
        </w:tc>
        <w:tc>
          <w:tcPr>
            <w:tcW w:w="425" w:type="dxa"/>
            <w:tcBorders>
              <w:top w:val="nil"/>
              <w:left w:val="nil"/>
              <w:bottom w:val="single" w:color="auto" w:sz="4" w:space="0"/>
              <w:right w:val="single" w:color="auto" w:sz="4" w:space="0"/>
            </w:tcBorders>
            <w:vAlign w:val="center"/>
          </w:tcPr>
          <w:p w14:paraId="1F18280D">
            <w:pPr>
              <w:widowControl/>
              <w:snapToGrid w:val="0"/>
              <w:spacing w:line="240" w:lineRule="auto"/>
              <w:jc w:val="center"/>
              <w:rPr>
                <w:rFonts w:hAnsi="宋体" w:cs="宋体"/>
                <w:b/>
                <w:bCs/>
                <w:kern w:val="0"/>
                <w:sz w:val="21"/>
                <w:szCs w:val="21"/>
              </w:rPr>
            </w:pPr>
          </w:p>
        </w:tc>
        <w:tc>
          <w:tcPr>
            <w:tcW w:w="426" w:type="dxa"/>
            <w:tcBorders>
              <w:top w:val="nil"/>
              <w:left w:val="nil"/>
              <w:bottom w:val="single" w:color="auto" w:sz="4" w:space="0"/>
              <w:right w:val="single" w:color="auto" w:sz="4" w:space="0"/>
            </w:tcBorders>
            <w:vAlign w:val="center"/>
          </w:tcPr>
          <w:p w14:paraId="7F8F5208">
            <w:pPr>
              <w:widowControl/>
              <w:snapToGrid w:val="0"/>
              <w:spacing w:line="240" w:lineRule="auto"/>
              <w:jc w:val="center"/>
              <w:rPr>
                <w:rFonts w:hAnsi="宋体" w:cs="宋体"/>
                <w:b/>
                <w:bCs/>
                <w:kern w:val="0"/>
                <w:sz w:val="21"/>
                <w:szCs w:val="21"/>
              </w:rPr>
            </w:pPr>
          </w:p>
        </w:tc>
        <w:tc>
          <w:tcPr>
            <w:tcW w:w="567" w:type="dxa"/>
            <w:tcBorders>
              <w:top w:val="nil"/>
              <w:left w:val="nil"/>
              <w:bottom w:val="single" w:color="auto" w:sz="4" w:space="0"/>
              <w:right w:val="single" w:color="auto" w:sz="4" w:space="0"/>
            </w:tcBorders>
            <w:vAlign w:val="center"/>
          </w:tcPr>
          <w:p w14:paraId="566890B1">
            <w:pPr>
              <w:widowControl/>
              <w:snapToGrid w:val="0"/>
              <w:spacing w:line="240" w:lineRule="auto"/>
              <w:jc w:val="left"/>
              <w:rPr>
                <w:rFonts w:hAnsi="宋体" w:cs="宋体"/>
                <w:kern w:val="0"/>
                <w:sz w:val="21"/>
                <w:szCs w:val="21"/>
              </w:rPr>
            </w:pPr>
          </w:p>
        </w:tc>
        <w:tc>
          <w:tcPr>
            <w:tcW w:w="567" w:type="dxa"/>
            <w:tcBorders>
              <w:top w:val="nil"/>
              <w:left w:val="nil"/>
              <w:bottom w:val="single" w:color="auto" w:sz="4" w:space="0"/>
              <w:right w:val="single" w:color="auto" w:sz="4" w:space="0"/>
            </w:tcBorders>
            <w:vAlign w:val="center"/>
          </w:tcPr>
          <w:p w14:paraId="638C7103">
            <w:pPr>
              <w:widowControl/>
              <w:snapToGrid w:val="0"/>
              <w:spacing w:line="240" w:lineRule="auto"/>
              <w:jc w:val="left"/>
              <w:rPr>
                <w:rFonts w:hAnsi="宋体" w:cs="宋体"/>
                <w:kern w:val="0"/>
                <w:sz w:val="21"/>
                <w:szCs w:val="21"/>
              </w:rPr>
            </w:pPr>
          </w:p>
        </w:tc>
        <w:tc>
          <w:tcPr>
            <w:tcW w:w="850" w:type="dxa"/>
            <w:tcBorders>
              <w:top w:val="single" w:color="auto" w:sz="4" w:space="0"/>
              <w:left w:val="nil"/>
              <w:bottom w:val="single" w:color="auto" w:sz="4" w:space="0"/>
              <w:right w:val="single" w:color="auto" w:sz="4" w:space="0"/>
            </w:tcBorders>
          </w:tcPr>
          <w:p w14:paraId="3B962991">
            <w:pPr>
              <w:widowControl/>
              <w:snapToGrid w:val="0"/>
              <w:spacing w:line="240" w:lineRule="auto"/>
              <w:jc w:val="left"/>
              <w:rPr>
                <w:rFonts w:hAnsi="宋体" w:cs="宋体"/>
                <w:kern w:val="0"/>
                <w:sz w:val="21"/>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61054CEB">
            <w:pPr>
              <w:widowControl/>
              <w:snapToGrid w:val="0"/>
              <w:spacing w:line="240" w:lineRule="auto"/>
              <w:jc w:val="left"/>
              <w:rPr>
                <w:rFonts w:hAnsi="宋体" w:cs="宋体"/>
                <w:kern w:val="0"/>
                <w:sz w:val="21"/>
                <w:szCs w:val="21"/>
              </w:rPr>
            </w:pPr>
          </w:p>
        </w:tc>
        <w:tc>
          <w:tcPr>
            <w:tcW w:w="708" w:type="dxa"/>
            <w:tcBorders>
              <w:top w:val="single" w:color="auto" w:sz="4" w:space="0"/>
              <w:left w:val="single" w:color="auto" w:sz="4" w:space="0"/>
              <w:bottom w:val="single" w:color="auto" w:sz="4" w:space="0"/>
              <w:right w:val="single" w:color="auto" w:sz="4" w:space="0"/>
            </w:tcBorders>
          </w:tcPr>
          <w:p w14:paraId="28CEFBC1">
            <w:pPr>
              <w:widowControl/>
              <w:spacing w:line="240" w:lineRule="auto"/>
              <w:jc w:val="left"/>
              <w:rPr>
                <w:rFonts w:hAnsi="宋体" w:cs="宋体"/>
                <w:kern w:val="0"/>
                <w:sz w:val="21"/>
                <w:szCs w:val="21"/>
              </w:rPr>
            </w:pPr>
          </w:p>
        </w:tc>
        <w:tc>
          <w:tcPr>
            <w:tcW w:w="709" w:type="dxa"/>
            <w:tcBorders>
              <w:top w:val="single" w:color="auto" w:sz="4" w:space="0"/>
              <w:left w:val="single" w:color="auto" w:sz="4" w:space="0"/>
              <w:bottom w:val="single" w:color="auto" w:sz="4" w:space="0"/>
              <w:right w:val="single" w:color="auto" w:sz="4" w:space="0"/>
            </w:tcBorders>
          </w:tcPr>
          <w:p w14:paraId="40D5D3B4">
            <w:pPr>
              <w:widowControl/>
              <w:spacing w:line="240" w:lineRule="auto"/>
              <w:jc w:val="left"/>
              <w:rPr>
                <w:rFonts w:hAnsi="宋体" w:cs="宋体"/>
                <w:kern w:val="0"/>
                <w:sz w:val="21"/>
                <w:szCs w:val="21"/>
              </w:rPr>
            </w:pPr>
          </w:p>
        </w:tc>
        <w:tc>
          <w:tcPr>
            <w:tcW w:w="1276" w:type="dxa"/>
            <w:tcBorders>
              <w:top w:val="single" w:color="auto" w:sz="4" w:space="0"/>
              <w:left w:val="nil"/>
              <w:bottom w:val="single" w:color="auto" w:sz="4" w:space="0"/>
              <w:right w:val="single" w:color="auto" w:sz="4" w:space="0"/>
            </w:tcBorders>
            <w:vAlign w:val="center"/>
          </w:tcPr>
          <w:p w14:paraId="06119AA0">
            <w:pPr>
              <w:widowControl/>
              <w:spacing w:line="240" w:lineRule="auto"/>
              <w:jc w:val="left"/>
              <w:rPr>
                <w:rFonts w:hAnsi="宋体" w:cs="宋体"/>
                <w:kern w:val="0"/>
                <w:sz w:val="21"/>
                <w:szCs w:val="21"/>
              </w:rPr>
            </w:pPr>
          </w:p>
        </w:tc>
      </w:tr>
      <w:tr w14:paraId="6F6CDF8E">
        <w:tblPrEx>
          <w:tblCellMar>
            <w:top w:w="0" w:type="dxa"/>
            <w:left w:w="108" w:type="dxa"/>
            <w:bottom w:w="0" w:type="dxa"/>
            <w:right w:w="108" w:type="dxa"/>
          </w:tblCellMar>
        </w:tblPrEx>
        <w:trPr>
          <w:trHeight w:val="1221" w:hRule="atLeast"/>
        </w:trPr>
        <w:tc>
          <w:tcPr>
            <w:tcW w:w="9351" w:type="dxa"/>
            <w:gridSpan w:val="13"/>
            <w:tcBorders>
              <w:top w:val="single" w:color="auto" w:sz="4" w:space="0"/>
              <w:left w:val="single" w:color="auto" w:sz="4" w:space="0"/>
              <w:bottom w:val="single" w:color="auto" w:sz="4" w:space="0"/>
              <w:right w:val="single" w:color="auto" w:sz="4" w:space="0"/>
            </w:tcBorders>
          </w:tcPr>
          <w:p w14:paraId="24816F1E">
            <w:pPr>
              <w:widowControl/>
              <w:snapToGrid w:val="0"/>
              <w:ind w:right="660"/>
              <w:jc w:val="left"/>
              <w:rPr>
                <w:rFonts w:hAnsi="宋体" w:cs="宋体"/>
                <w:kern w:val="0"/>
                <w:sz w:val="21"/>
                <w:szCs w:val="21"/>
              </w:rPr>
            </w:pPr>
            <w:r>
              <w:rPr>
                <w:rFonts w:hint="eastAsia" w:hAnsi="宋体" w:cs="宋体"/>
                <w:kern w:val="0"/>
                <w:sz w:val="21"/>
                <w:szCs w:val="21"/>
              </w:rPr>
              <w:t>评标委员会</w:t>
            </w:r>
            <w:r>
              <w:rPr>
                <w:rFonts w:hAnsi="宋体" w:cs="宋体"/>
                <w:kern w:val="0"/>
                <w:sz w:val="21"/>
                <w:szCs w:val="21"/>
              </w:rPr>
              <w:t>全体</w:t>
            </w:r>
            <w:r>
              <w:rPr>
                <w:rFonts w:hint="eastAsia" w:hAnsi="宋体" w:cs="宋体"/>
                <w:kern w:val="0"/>
                <w:sz w:val="21"/>
                <w:szCs w:val="21"/>
              </w:rPr>
              <w:t>成员</w:t>
            </w:r>
            <w:r>
              <w:rPr>
                <w:rFonts w:hint="eastAsia" w:ascii="宋体" w:hAnsi="宋体" w:cs="宋体"/>
                <w:kern w:val="0"/>
                <w:sz w:val="21"/>
                <w:szCs w:val="21"/>
              </w:rPr>
              <w:t>签名</w:t>
            </w:r>
            <w:r>
              <w:rPr>
                <w:rFonts w:hAnsi="宋体" w:cs="宋体"/>
                <w:kern w:val="0"/>
                <w:sz w:val="21"/>
                <w:szCs w:val="21"/>
              </w:rPr>
              <w:t>：</w:t>
            </w:r>
          </w:p>
          <w:p w14:paraId="3AB68AD0">
            <w:pPr>
              <w:widowControl/>
              <w:snapToGrid w:val="0"/>
              <w:ind w:right="660"/>
              <w:jc w:val="left"/>
              <w:rPr>
                <w:rFonts w:hAnsi="宋体" w:cs="宋体"/>
                <w:kern w:val="0"/>
                <w:sz w:val="21"/>
                <w:szCs w:val="21"/>
              </w:rPr>
            </w:pPr>
          </w:p>
          <w:p w14:paraId="306EEE4F">
            <w:pPr>
              <w:widowControl/>
              <w:snapToGrid w:val="0"/>
              <w:ind w:right="660"/>
              <w:jc w:val="right"/>
              <w:rPr>
                <w:rFonts w:hAnsi="宋体" w:cs="宋体"/>
                <w:kern w:val="0"/>
                <w:sz w:val="21"/>
                <w:szCs w:val="21"/>
              </w:rPr>
            </w:pPr>
            <w:r>
              <w:rPr>
                <w:rFonts w:hint="eastAsia" w:hAnsi="宋体" w:cs="宋体"/>
                <w:kern w:val="0"/>
                <w:sz w:val="21"/>
                <w:szCs w:val="21"/>
              </w:rPr>
              <w:t xml:space="preserve">   年   月   日</w:t>
            </w:r>
          </w:p>
        </w:tc>
      </w:tr>
    </w:tbl>
    <w:p w14:paraId="4417DF94">
      <w:pPr>
        <w:jc w:val="left"/>
        <w:outlineLvl w:val="2"/>
        <w:rPr>
          <w:rFonts w:ascii="宋体" w:hAnsi="宋体" w:cs="宋体"/>
          <w:sz w:val="30"/>
        </w:rPr>
      </w:pPr>
      <w:r>
        <w:rPr>
          <w:rFonts w:hint="eastAsia" w:ascii="宋体" w:hAnsi="宋体" w:cs="宋体"/>
          <w:szCs w:val="21"/>
        </w:rPr>
        <w:br w:type="page"/>
      </w:r>
      <w:bookmarkStart w:id="274" w:name="_Toc21551"/>
      <w:r>
        <w:rPr>
          <w:rFonts w:hint="eastAsia" w:ascii="宋体" w:hAnsi="宋体"/>
          <w:b/>
        </w:rPr>
        <w:t>附件4：投标人排序表</w:t>
      </w:r>
      <w:bookmarkEnd w:id="274"/>
    </w:p>
    <w:p w14:paraId="4826E34A">
      <w:pPr>
        <w:jc w:val="center"/>
        <w:rPr>
          <w:rFonts w:ascii="宋体" w:hAnsi="宋体" w:cs="宋体"/>
          <w:b/>
          <w:sz w:val="30"/>
        </w:rPr>
      </w:pPr>
      <w:r>
        <w:rPr>
          <w:rFonts w:hint="eastAsia" w:ascii="宋体" w:hAnsi="宋体" w:cs="宋体"/>
          <w:b/>
          <w:sz w:val="30"/>
        </w:rPr>
        <w:t>投标人排序表</w:t>
      </w:r>
    </w:p>
    <w:p w14:paraId="235DA67A">
      <w:pPr>
        <w:tabs>
          <w:tab w:val="left" w:pos="4680"/>
        </w:tabs>
        <w:snapToGrid w:val="0"/>
        <w:spacing w:line="240" w:lineRule="auto"/>
        <w:rPr>
          <w:rFonts w:ascii="宋体" w:hAnsi="宋体"/>
          <w:bCs/>
          <w:sz w:val="21"/>
          <w:szCs w:val="21"/>
        </w:rPr>
      </w:pPr>
      <w:r>
        <w:rPr>
          <w:rFonts w:hint="eastAsia" w:ascii="宋体" w:hAnsi="宋体"/>
          <w:bCs/>
          <w:sz w:val="21"/>
          <w:szCs w:val="21"/>
        </w:rPr>
        <w:t xml:space="preserve">招标项目名称：                           </w:t>
      </w:r>
      <w:r>
        <w:rPr>
          <w:rFonts w:ascii="宋体" w:hAnsi="宋体"/>
          <w:bCs/>
          <w:sz w:val="21"/>
          <w:szCs w:val="21"/>
        </w:rPr>
        <w:t xml:space="preserve">                     </w:t>
      </w:r>
    </w:p>
    <w:p w14:paraId="3165FF81">
      <w:pPr>
        <w:tabs>
          <w:tab w:val="left" w:pos="4680"/>
        </w:tabs>
        <w:snapToGrid w:val="0"/>
        <w:spacing w:line="240" w:lineRule="auto"/>
        <w:rPr>
          <w:rFonts w:ascii="宋体" w:hAnsi="宋体"/>
          <w:bCs/>
          <w:sz w:val="21"/>
          <w:szCs w:val="21"/>
        </w:rPr>
      </w:pPr>
      <w:r>
        <w:rPr>
          <w:rFonts w:hint="eastAsia" w:ascii="宋体" w:hAnsi="宋体"/>
          <w:bCs/>
          <w:sz w:val="21"/>
          <w:szCs w:val="21"/>
        </w:rPr>
        <w:t xml:space="preserve">招标项目编号：                           </w:t>
      </w:r>
      <w:r>
        <w:rPr>
          <w:rFonts w:ascii="宋体" w:hAnsi="宋体"/>
          <w:bCs/>
          <w:sz w:val="21"/>
          <w:szCs w:val="21"/>
        </w:rPr>
        <w:t xml:space="preserve">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068"/>
        <w:gridCol w:w="1929"/>
        <w:gridCol w:w="1493"/>
        <w:gridCol w:w="1969"/>
      </w:tblGrid>
      <w:tr w14:paraId="0BC3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2" w:type="dxa"/>
            <w:tcBorders>
              <w:top w:val="single" w:color="auto" w:sz="4" w:space="0"/>
              <w:left w:val="single" w:color="auto" w:sz="4" w:space="0"/>
              <w:bottom w:val="single" w:color="auto" w:sz="4" w:space="0"/>
              <w:right w:val="single" w:color="auto" w:sz="4" w:space="0"/>
            </w:tcBorders>
            <w:vAlign w:val="center"/>
          </w:tcPr>
          <w:p w14:paraId="1A18FA75">
            <w:pPr>
              <w:jc w:val="center"/>
              <w:rPr>
                <w:rFonts w:ascii="宋体" w:hAnsi="宋体" w:cs="宋体"/>
                <w:sz w:val="21"/>
                <w:szCs w:val="21"/>
              </w:rPr>
            </w:pPr>
            <w:r>
              <w:rPr>
                <w:rFonts w:hint="eastAsia" w:ascii="宋体" w:hAnsi="宋体" w:cs="宋体"/>
                <w:sz w:val="21"/>
                <w:szCs w:val="21"/>
              </w:rPr>
              <w:t>序号</w:t>
            </w:r>
          </w:p>
        </w:tc>
        <w:tc>
          <w:tcPr>
            <w:tcW w:w="3068" w:type="dxa"/>
            <w:tcBorders>
              <w:top w:val="single" w:color="auto" w:sz="4" w:space="0"/>
              <w:left w:val="single" w:color="auto" w:sz="4" w:space="0"/>
              <w:bottom w:val="single" w:color="auto" w:sz="4" w:space="0"/>
              <w:right w:val="single" w:color="auto" w:sz="4" w:space="0"/>
            </w:tcBorders>
            <w:vAlign w:val="center"/>
          </w:tcPr>
          <w:p w14:paraId="048D6623">
            <w:pPr>
              <w:jc w:val="center"/>
              <w:rPr>
                <w:rFonts w:ascii="宋体" w:hAnsi="宋体" w:cs="宋体"/>
                <w:sz w:val="21"/>
                <w:szCs w:val="21"/>
              </w:rPr>
            </w:pPr>
            <w:r>
              <w:rPr>
                <w:rFonts w:hint="eastAsia" w:ascii="宋体" w:hAnsi="宋体" w:cs="宋体"/>
                <w:sz w:val="21"/>
                <w:szCs w:val="21"/>
              </w:rPr>
              <w:t>投标人名称</w:t>
            </w:r>
          </w:p>
        </w:tc>
        <w:tc>
          <w:tcPr>
            <w:tcW w:w="1929" w:type="dxa"/>
            <w:tcBorders>
              <w:top w:val="single" w:color="auto" w:sz="4" w:space="0"/>
              <w:left w:val="single" w:color="auto" w:sz="4" w:space="0"/>
              <w:bottom w:val="single" w:color="auto" w:sz="4" w:space="0"/>
              <w:right w:val="single" w:color="auto" w:sz="4" w:space="0"/>
            </w:tcBorders>
            <w:vAlign w:val="center"/>
          </w:tcPr>
          <w:p w14:paraId="3C97D9A9">
            <w:pPr>
              <w:jc w:val="center"/>
              <w:rPr>
                <w:rFonts w:ascii="宋体" w:hAnsi="宋体" w:cs="宋体"/>
                <w:sz w:val="21"/>
                <w:szCs w:val="21"/>
              </w:rPr>
            </w:pPr>
            <w:r>
              <w:rPr>
                <w:rFonts w:hint="eastAsia" w:ascii="宋体" w:hAnsi="宋体" w:cs="宋体"/>
                <w:kern w:val="0"/>
                <w:sz w:val="21"/>
                <w:szCs w:val="21"/>
              </w:rPr>
              <w:t>投标人最终得分</w:t>
            </w:r>
          </w:p>
        </w:tc>
        <w:tc>
          <w:tcPr>
            <w:tcW w:w="1493" w:type="dxa"/>
            <w:tcBorders>
              <w:top w:val="single" w:color="auto" w:sz="4" w:space="0"/>
              <w:left w:val="single" w:color="auto" w:sz="4" w:space="0"/>
              <w:bottom w:val="single" w:color="auto" w:sz="4" w:space="0"/>
              <w:right w:val="single" w:color="auto" w:sz="4" w:space="0"/>
            </w:tcBorders>
            <w:vAlign w:val="center"/>
          </w:tcPr>
          <w:p w14:paraId="5FC93434">
            <w:pPr>
              <w:jc w:val="center"/>
              <w:rPr>
                <w:rFonts w:ascii="宋体" w:hAnsi="宋体" w:cs="宋体"/>
                <w:sz w:val="21"/>
                <w:szCs w:val="21"/>
              </w:rPr>
            </w:pPr>
            <w:r>
              <w:rPr>
                <w:rFonts w:hint="eastAsia" w:ascii="宋体" w:hAnsi="宋体" w:cs="宋体"/>
                <w:sz w:val="21"/>
                <w:szCs w:val="21"/>
              </w:rPr>
              <w:t>排名</w:t>
            </w:r>
          </w:p>
        </w:tc>
        <w:tc>
          <w:tcPr>
            <w:tcW w:w="1969" w:type="dxa"/>
            <w:tcBorders>
              <w:top w:val="single" w:color="auto" w:sz="4" w:space="0"/>
              <w:left w:val="single" w:color="auto" w:sz="4" w:space="0"/>
              <w:bottom w:val="single" w:color="auto" w:sz="4" w:space="0"/>
              <w:right w:val="single" w:color="auto" w:sz="4" w:space="0"/>
            </w:tcBorders>
            <w:vAlign w:val="center"/>
          </w:tcPr>
          <w:p w14:paraId="4779D8EF">
            <w:pPr>
              <w:jc w:val="center"/>
              <w:rPr>
                <w:rFonts w:ascii="宋体" w:hAnsi="宋体" w:cs="宋体"/>
                <w:sz w:val="21"/>
                <w:szCs w:val="21"/>
              </w:rPr>
            </w:pPr>
            <w:r>
              <w:rPr>
                <w:rFonts w:hint="eastAsia" w:ascii="宋体" w:hAnsi="宋体" w:cs="宋体"/>
                <w:sz w:val="21"/>
                <w:szCs w:val="21"/>
              </w:rPr>
              <w:t>推荐中标候选人</w:t>
            </w:r>
          </w:p>
        </w:tc>
      </w:tr>
      <w:tr w14:paraId="0880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2" w:type="dxa"/>
            <w:tcBorders>
              <w:top w:val="single" w:color="auto" w:sz="4" w:space="0"/>
              <w:left w:val="single" w:color="auto" w:sz="4" w:space="0"/>
              <w:bottom w:val="single" w:color="auto" w:sz="4" w:space="0"/>
              <w:right w:val="single" w:color="auto" w:sz="4" w:space="0"/>
            </w:tcBorders>
            <w:vAlign w:val="center"/>
          </w:tcPr>
          <w:p w14:paraId="6FD9CBBF">
            <w:pPr>
              <w:spacing w:line="576" w:lineRule="auto"/>
              <w:jc w:val="center"/>
              <w:outlineLvl w:val="0"/>
              <w:rPr>
                <w:rFonts w:ascii="宋体" w:hAnsi="宋体" w:cs="宋体"/>
                <w:sz w:val="21"/>
                <w:szCs w:val="21"/>
              </w:rPr>
            </w:pPr>
          </w:p>
        </w:tc>
        <w:tc>
          <w:tcPr>
            <w:tcW w:w="3068" w:type="dxa"/>
            <w:tcBorders>
              <w:top w:val="single" w:color="auto" w:sz="4" w:space="0"/>
              <w:left w:val="single" w:color="auto" w:sz="4" w:space="0"/>
              <w:bottom w:val="single" w:color="auto" w:sz="4" w:space="0"/>
              <w:right w:val="single" w:color="auto" w:sz="4" w:space="0"/>
            </w:tcBorders>
            <w:vAlign w:val="center"/>
          </w:tcPr>
          <w:p w14:paraId="4539A826">
            <w:pPr>
              <w:spacing w:line="576" w:lineRule="auto"/>
              <w:jc w:val="center"/>
              <w:outlineLvl w:val="0"/>
              <w:rPr>
                <w:rFonts w:ascii="宋体" w:hAnsi="宋体" w:cs="宋体"/>
                <w:sz w:val="21"/>
                <w:szCs w:val="21"/>
              </w:rPr>
            </w:pPr>
          </w:p>
        </w:tc>
        <w:tc>
          <w:tcPr>
            <w:tcW w:w="1929" w:type="dxa"/>
            <w:tcBorders>
              <w:top w:val="single" w:color="auto" w:sz="4" w:space="0"/>
              <w:left w:val="single" w:color="auto" w:sz="4" w:space="0"/>
              <w:bottom w:val="single" w:color="auto" w:sz="4" w:space="0"/>
              <w:right w:val="single" w:color="auto" w:sz="4" w:space="0"/>
            </w:tcBorders>
            <w:vAlign w:val="center"/>
          </w:tcPr>
          <w:p w14:paraId="26FAE6D0">
            <w:pPr>
              <w:spacing w:line="576" w:lineRule="auto"/>
              <w:jc w:val="center"/>
              <w:outlineLvl w:val="0"/>
              <w:rPr>
                <w:rFonts w:ascii="宋体" w:hAnsi="宋体" w:cs="宋体"/>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14:paraId="562B7F2F">
            <w:pPr>
              <w:spacing w:line="576" w:lineRule="auto"/>
              <w:jc w:val="center"/>
              <w:outlineLvl w:val="0"/>
              <w:rPr>
                <w:rFonts w:ascii="宋体" w:hAnsi="宋体" w:cs="宋体"/>
                <w:sz w:val="21"/>
                <w:szCs w:val="21"/>
              </w:rPr>
            </w:pPr>
          </w:p>
        </w:tc>
        <w:tc>
          <w:tcPr>
            <w:tcW w:w="1969" w:type="dxa"/>
            <w:tcBorders>
              <w:top w:val="single" w:color="auto" w:sz="4" w:space="0"/>
              <w:left w:val="single" w:color="auto" w:sz="4" w:space="0"/>
              <w:bottom w:val="single" w:color="auto" w:sz="4" w:space="0"/>
              <w:right w:val="single" w:color="auto" w:sz="4" w:space="0"/>
            </w:tcBorders>
            <w:vAlign w:val="center"/>
          </w:tcPr>
          <w:p w14:paraId="3B7B3C32">
            <w:pPr>
              <w:spacing w:line="576" w:lineRule="auto"/>
              <w:jc w:val="center"/>
              <w:outlineLvl w:val="0"/>
              <w:rPr>
                <w:rFonts w:ascii="宋体" w:hAnsi="宋体" w:cs="宋体"/>
                <w:sz w:val="21"/>
                <w:szCs w:val="21"/>
              </w:rPr>
            </w:pPr>
          </w:p>
        </w:tc>
      </w:tr>
      <w:tr w14:paraId="2849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2" w:type="dxa"/>
            <w:tcBorders>
              <w:top w:val="single" w:color="auto" w:sz="4" w:space="0"/>
              <w:left w:val="single" w:color="auto" w:sz="4" w:space="0"/>
              <w:bottom w:val="single" w:color="auto" w:sz="4" w:space="0"/>
              <w:right w:val="single" w:color="auto" w:sz="4" w:space="0"/>
            </w:tcBorders>
            <w:vAlign w:val="center"/>
          </w:tcPr>
          <w:p w14:paraId="1D53D577">
            <w:pPr>
              <w:spacing w:line="576" w:lineRule="auto"/>
              <w:jc w:val="center"/>
              <w:outlineLvl w:val="0"/>
              <w:rPr>
                <w:rFonts w:ascii="宋体" w:hAnsi="宋体" w:cs="宋体"/>
                <w:sz w:val="21"/>
                <w:szCs w:val="21"/>
              </w:rPr>
            </w:pPr>
          </w:p>
        </w:tc>
        <w:tc>
          <w:tcPr>
            <w:tcW w:w="3068" w:type="dxa"/>
            <w:tcBorders>
              <w:top w:val="single" w:color="auto" w:sz="4" w:space="0"/>
              <w:left w:val="single" w:color="auto" w:sz="4" w:space="0"/>
              <w:bottom w:val="single" w:color="auto" w:sz="4" w:space="0"/>
              <w:right w:val="single" w:color="auto" w:sz="4" w:space="0"/>
            </w:tcBorders>
            <w:vAlign w:val="center"/>
          </w:tcPr>
          <w:p w14:paraId="26DC0206">
            <w:pPr>
              <w:spacing w:line="576" w:lineRule="auto"/>
              <w:jc w:val="center"/>
              <w:outlineLvl w:val="0"/>
              <w:rPr>
                <w:rFonts w:ascii="宋体" w:hAnsi="宋体" w:cs="宋体"/>
                <w:sz w:val="21"/>
                <w:szCs w:val="21"/>
              </w:rPr>
            </w:pPr>
          </w:p>
        </w:tc>
        <w:tc>
          <w:tcPr>
            <w:tcW w:w="1929" w:type="dxa"/>
            <w:tcBorders>
              <w:top w:val="single" w:color="auto" w:sz="4" w:space="0"/>
              <w:left w:val="single" w:color="auto" w:sz="4" w:space="0"/>
              <w:bottom w:val="single" w:color="auto" w:sz="4" w:space="0"/>
              <w:right w:val="single" w:color="auto" w:sz="4" w:space="0"/>
            </w:tcBorders>
            <w:vAlign w:val="center"/>
          </w:tcPr>
          <w:p w14:paraId="3C5C14BB">
            <w:pPr>
              <w:spacing w:line="576" w:lineRule="auto"/>
              <w:jc w:val="center"/>
              <w:outlineLvl w:val="0"/>
              <w:rPr>
                <w:rFonts w:ascii="宋体" w:hAnsi="宋体" w:cs="宋体"/>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14:paraId="4D35DFE5">
            <w:pPr>
              <w:spacing w:line="576" w:lineRule="auto"/>
              <w:jc w:val="center"/>
              <w:outlineLvl w:val="0"/>
              <w:rPr>
                <w:rFonts w:ascii="宋体" w:hAnsi="宋体" w:cs="宋体"/>
                <w:sz w:val="21"/>
                <w:szCs w:val="21"/>
              </w:rPr>
            </w:pPr>
          </w:p>
        </w:tc>
        <w:tc>
          <w:tcPr>
            <w:tcW w:w="1969" w:type="dxa"/>
            <w:tcBorders>
              <w:top w:val="single" w:color="auto" w:sz="4" w:space="0"/>
              <w:left w:val="single" w:color="auto" w:sz="4" w:space="0"/>
              <w:bottom w:val="single" w:color="auto" w:sz="4" w:space="0"/>
              <w:right w:val="single" w:color="auto" w:sz="4" w:space="0"/>
            </w:tcBorders>
            <w:vAlign w:val="center"/>
          </w:tcPr>
          <w:p w14:paraId="405A26DE">
            <w:pPr>
              <w:spacing w:line="576" w:lineRule="auto"/>
              <w:jc w:val="center"/>
              <w:outlineLvl w:val="0"/>
              <w:rPr>
                <w:rFonts w:ascii="宋体" w:hAnsi="宋体" w:cs="宋体"/>
                <w:sz w:val="21"/>
                <w:szCs w:val="21"/>
              </w:rPr>
            </w:pPr>
          </w:p>
        </w:tc>
      </w:tr>
      <w:tr w14:paraId="37BDD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2" w:type="dxa"/>
            <w:tcBorders>
              <w:top w:val="single" w:color="auto" w:sz="4" w:space="0"/>
              <w:left w:val="single" w:color="auto" w:sz="4" w:space="0"/>
              <w:bottom w:val="single" w:color="auto" w:sz="4" w:space="0"/>
              <w:right w:val="single" w:color="auto" w:sz="4" w:space="0"/>
            </w:tcBorders>
            <w:vAlign w:val="center"/>
          </w:tcPr>
          <w:p w14:paraId="479F4AB5">
            <w:pPr>
              <w:spacing w:line="576" w:lineRule="auto"/>
              <w:jc w:val="center"/>
              <w:outlineLvl w:val="0"/>
              <w:rPr>
                <w:rFonts w:ascii="宋体" w:hAnsi="宋体" w:cs="宋体"/>
                <w:sz w:val="21"/>
                <w:szCs w:val="21"/>
              </w:rPr>
            </w:pPr>
          </w:p>
        </w:tc>
        <w:tc>
          <w:tcPr>
            <w:tcW w:w="3068" w:type="dxa"/>
            <w:tcBorders>
              <w:top w:val="single" w:color="auto" w:sz="4" w:space="0"/>
              <w:left w:val="single" w:color="auto" w:sz="4" w:space="0"/>
              <w:bottom w:val="single" w:color="auto" w:sz="4" w:space="0"/>
              <w:right w:val="single" w:color="auto" w:sz="4" w:space="0"/>
            </w:tcBorders>
            <w:vAlign w:val="center"/>
          </w:tcPr>
          <w:p w14:paraId="6B5C639B">
            <w:pPr>
              <w:spacing w:line="576" w:lineRule="auto"/>
              <w:jc w:val="center"/>
              <w:outlineLvl w:val="0"/>
              <w:rPr>
                <w:rFonts w:ascii="宋体" w:hAnsi="宋体" w:cs="宋体"/>
                <w:sz w:val="21"/>
                <w:szCs w:val="21"/>
              </w:rPr>
            </w:pPr>
          </w:p>
        </w:tc>
        <w:tc>
          <w:tcPr>
            <w:tcW w:w="1929" w:type="dxa"/>
            <w:tcBorders>
              <w:top w:val="single" w:color="auto" w:sz="4" w:space="0"/>
              <w:left w:val="single" w:color="auto" w:sz="4" w:space="0"/>
              <w:bottom w:val="single" w:color="auto" w:sz="4" w:space="0"/>
              <w:right w:val="single" w:color="auto" w:sz="4" w:space="0"/>
            </w:tcBorders>
            <w:vAlign w:val="center"/>
          </w:tcPr>
          <w:p w14:paraId="47A9E91A">
            <w:pPr>
              <w:spacing w:line="576" w:lineRule="auto"/>
              <w:jc w:val="center"/>
              <w:outlineLvl w:val="0"/>
              <w:rPr>
                <w:rFonts w:ascii="宋体" w:hAnsi="宋体" w:cs="宋体"/>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14:paraId="1BB4B1DC">
            <w:pPr>
              <w:spacing w:line="576" w:lineRule="auto"/>
              <w:jc w:val="center"/>
              <w:outlineLvl w:val="0"/>
              <w:rPr>
                <w:rFonts w:ascii="宋体" w:hAnsi="宋体" w:cs="宋体"/>
                <w:sz w:val="21"/>
                <w:szCs w:val="21"/>
              </w:rPr>
            </w:pPr>
          </w:p>
        </w:tc>
        <w:tc>
          <w:tcPr>
            <w:tcW w:w="1969" w:type="dxa"/>
            <w:tcBorders>
              <w:top w:val="single" w:color="auto" w:sz="4" w:space="0"/>
              <w:left w:val="single" w:color="auto" w:sz="4" w:space="0"/>
              <w:bottom w:val="single" w:color="auto" w:sz="4" w:space="0"/>
              <w:right w:val="single" w:color="auto" w:sz="4" w:space="0"/>
            </w:tcBorders>
            <w:vAlign w:val="center"/>
          </w:tcPr>
          <w:p w14:paraId="13C39128">
            <w:pPr>
              <w:spacing w:line="576" w:lineRule="auto"/>
              <w:jc w:val="center"/>
              <w:outlineLvl w:val="0"/>
              <w:rPr>
                <w:rFonts w:ascii="宋体" w:hAnsi="宋体" w:cs="宋体"/>
                <w:sz w:val="21"/>
                <w:szCs w:val="21"/>
              </w:rPr>
            </w:pPr>
          </w:p>
        </w:tc>
      </w:tr>
      <w:tr w14:paraId="1523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2" w:type="dxa"/>
            <w:tcBorders>
              <w:top w:val="single" w:color="auto" w:sz="4" w:space="0"/>
              <w:left w:val="single" w:color="auto" w:sz="4" w:space="0"/>
              <w:bottom w:val="single" w:color="auto" w:sz="4" w:space="0"/>
              <w:right w:val="single" w:color="auto" w:sz="4" w:space="0"/>
            </w:tcBorders>
            <w:vAlign w:val="center"/>
          </w:tcPr>
          <w:p w14:paraId="5D24A602">
            <w:pPr>
              <w:spacing w:line="576" w:lineRule="auto"/>
              <w:jc w:val="center"/>
              <w:outlineLvl w:val="0"/>
              <w:rPr>
                <w:rFonts w:ascii="宋体" w:hAnsi="宋体" w:cs="宋体"/>
                <w:sz w:val="21"/>
                <w:szCs w:val="21"/>
              </w:rPr>
            </w:pPr>
          </w:p>
        </w:tc>
        <w:tc>
          <w:tcPr>
            <w:tcW w:w="3068" w:type="dxa"/>
            <w:tcBorders>
              <w:top w:val="single" w:color="auto" w:sz="4" w:space="0"/>
              <w:left w:val="single" w:color="auto" w:sz="4" w:space="0"/>
              <w:bottom w:val="single" w:color="auto" w:sz="4" w:space="0"/>
              <w:right w:val="single" w:color="auto" w:sz="4" w:space="0"/>
            </w:tcBorders>
            <w:vAlign w:val="center"/>
          </w:tcPr>
          <w:p w14:paraId="066BD2B5">
            <w:pPr>
              <w:spacing w:line="576" w:lineRule="auto"/>
              <w:jc w:val="center"/>
              <w:outlineLvl w:val="0"/>
              <w:rPr>
                <w:rFonts w:ascii="宋体" w:hAnsi="宋体" w:cs="宋体"/>
                <w:sz w:val="21"/>
                <w:szCs w:val="21"/>
              </w:rPr>
            </w:pPr>
          </w:p>
        </w:tc>
        <w:tc>
          <w:tcPr>
            <w:tcW w:w="1929" w:type="dxa"/>
            <w:tcBorders>
              <w:top w:val="single" w:color="auto" w:sz="4" w:space="0"/>
              <w:left w:val="single" w:color="auto" w:sz="4" w:space="0"/>
              <w:bottom w:val="single" w:color="auto" w:sz="4" w:space="0"/>
              <w:right w:val="single" w:color="auto" w:sz="4" w:space="0"/>
            </w:tcBorders>
            <w:vAlign w:val="center"/>
          </w:tcPr>
          <w:p w14:paraId="49F9324E">
            <w:pPr>
              <w:spacing w:line="576" w:lineRule="auto"/>
              <w:jc w:val="center"/>
              <w:outlineLvl w:val="0"/>
              <w:rPr>
                <w:rFonts w:ascii="宋体" w:hAnsi="宋体" w:cs="宋体"/>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14:paraId="3AF8E3C9">
            <w:pPr>
              <w:spacing w:line="576" w:lineRule="auto"/>
              <w:jc w:val="center"/>
              <w:outlineLvl w:val="0"/>
              <w:rPr>
                <w:rFonts w:ascii="宋体" w:hAnsi="宋体" w:cs="宋体"/>
                <w:sz w:val="21"/>
                <w:szCs w:val="21"/>
              </w:rPr>
            </w:pPr>
          </w:p>
        </w:tc>
        <w:tc>
          <w:tcPr>
            <w:tcW w:w="1969" w:type="dxa"/>
            <w:tcBorders>
              <w:top w:val="single" w:color="auto" w:sz="4" w:space="0"/>
              <w:left w:val="single" w:color="auto" w:sz="4" w:space="0"/>
              <w:bottom w:val="single" w:color="auto" w:sz="4" w:space="0"/>
              <w:right w:val="single" w:color="auto" w:sz="4" w:space="0"/>
            </w:tcBorders>
            <w:vAlign w:val="center"/>
          </w:tcPr>
          <w:p w14:paraId="2B68A618">
            <w:pPr>
              <w:spacing w:line="576" w:lineRule="auto"/>
              <w:jc w:val="center"/>
              <w:outlineLvl w:val="0"/>
              <w:rPr>
                <w:rFonts w:ascii="宋体" w:hAnsi="宋体" w:cs="宋体"/>
                <w:sz w:val="21"/>
                <w:szCs w:val="21"/>
              </w:rPr>
            </w:pPr>
          </w:p>
        </w:tc>
      </w:tr>
      <w:tr w14:paraId="0149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2" w:type="dxa"/>
            <w:tcBorders>
              <w:top w:val="single" w:color="auto" w:sz="4" w:space="0"/>
              <w:left w:val="single" w:color="auto" w:sz="4" w:space="0"/>
              <w:bottom w:val="single" w:color="auto" w:sz="4" w:space="0"/>
              <w:right w:val="single" w:color="auto" w:sz="4" w:space="0"/>
            </w:tcBorders>
            <w:vAlign w:val="center"/>
          </w:tcPr>
          <w:p w14:paraId="41428E93">
            <w:pPr>
              <w:spacing w:line="576" w:lineRule="auto"/>
              <w:jc w:val="center"/>
              <w:outlineLvl w:val="0"/>
              <w:rPr>
                <w:rFonts w:ascii="宋体" w:hAnsi="宋体" w:cs="宋体"/>
                <w:sz w:val="21"/>
                <w:szCs w:val="21"/>
              </w:rPr>
            </w:pPr>
          </w:p>
        </w:tc>
        <w:tc>
          <w:tcPr>
            <w:tcW w:w="3068" w:type="dxa"/>
            <w:tcBorders>
              <w:top w:val="single" w:color="auto" w:sz="4" w:space="0"/>
              <w:left w:val="single" w:color="auto" w:sz="4" w:space="0"/>
              <w:bottom w:val="single" w:color="auto" w:sz="4" w:space="0"/>
              <w:right w:val="single" w:color="auto" w:sz="4" w:space="0"/>
            </w:tcBorders>
            <w:vAlign w:val="center"/>
          </w:tcPr>
          <w:p w14:paraId="6D8E9F56">
            <w:pPr>
              <w:spacing w:line="576" w:lineRule="auto"/>
              <w:jc w:val="center"/>
              <w:outlineLvl w:val="0"/>
              <w:rPr>
                <w:rFonts w:ascii="宋体" w:hAnsi="宋体" w:cs="宋体"/>
                <w:sz w:val="21"/>
                <w:szCs w:val="21"/>
              </w:rPr>
            </w:pPr>
          </w:p>
        </w:tc>
        <w:tc>
          <w:tcPr>
            <w:tcW w:w="1929" w:type="dxa"/>
            <w:tcBorders>
              <w:top w:val="single" w:color="auto" w:sz="4" w:space="0"/>
              <w:left w:val="single" w:color="auto" w:sz="4" w:space="0"/>
              <w:bottom w:val="single" w:color="auto" w:sz="4" w:space="0"/>
              <w:right w:val="single" w:color="auto" w:sz="4" w:space="0"/>
            </w:tcBorders>
            <w:vAlign w:val="center"/>
          </w:tcPr>
          <w:p w14:paraId="13A636D7">
            <w:pPr>
              <w:spacing w:line="576" w:lineRule="auto"/>
              <w:jc w:val="center"/>
              <w:outlineLvl w:val="0"/>
              <w:rPr>
                <w:rFonts w:ascii="宋体" w:hAnsi="宋体" w:cs="宋体"/>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14:paraId="689E4F0A">
            <w:pPr>
              <w:spacing w:line="576" w:lineRule="auto"/>
              <w:jc w:val="center"/>
              <w:outlineLvl w:val="0"/>
              <w:rPr>
                <w:rFonts w:ascii="宋体" w:hAnsi="宋体" w:cs="宋体"/>
                <w:sz w:val="21"/>
                <w:szCs w:val="21"/>
              </w:rPr>
            </w:pPr>
          </w:p>
        </w:tc>
        <w:tc>
          <w:tcPr>
            <w:tcW w:w="1969" w:type="dxa"/>
            <w:tcBorders>
              <w:top w:val="single" w:color="auto" w:sz="4" w:space="0"/>
              <w:left w:val="single" w:color="auto" w:sz="4" w:space="0"/>
              <w:bottom w:val="single" w:color="auto" w:sz="4" w:space="0"/>
              <w:right w:val="single" w:color="auto" w:sz="4" w:space="0"/>
            </w:tcBorders>
            <w:vAlign w:val="center"/>
          </w:tcPr>
          <w:p w14:paraId="6425FFF0">
            <w:pPr>
              <w:spacing w:line="576" w:lineRule="auto"/>
              <w:jc w:val="center"/>
              <w:outlineLvl w:val="0"/>
              <w:rPr>
                <w:rFonts w:ascii="宋体" w:hAnsi="宋体" w:cs="宋体"/>
                <w:sz w:val="21"/>
                <w:szCs w:val="21"/>
              </w:rPr>
            </w:pPr>
          </w:p>
        </w:tc>
      </w:tr>
      <w:tr w14:paraId="31A8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2" w:type="dxa"/>
            <w:tcBorders>
              <w:top w:val="single" w:color="auto" w:sz="4" w:space="0"/>
              <w:left w:val="single" w:color="auto" w:sz="4" w:space="0"/>
              <w:bottom w:val="single" w:color="auto" w:sz="4" w:space="0"/>
              <w:right w:val="single" w:color="auto" w:sz="4" w:space="0"/>
            </w:tcBorders>
            <w:vAlign w:val="center"/>
          </w:tcPr>
          <w:p w14:paraId="5E77B48C">
            <w:pPr>
              <w:spacing w:line="576" w:lineRule="auto"/>
              <w:jc w:val="center"/>
              <w:outlineLvl w:val="0"/>
              <w:rPr>
                <w:rFonts w:ascii="宋体" w:hAnsi="宋体" w:cs="宋体"/>
                <w:sz w:val="21"/>
                <w:szCs w:val="21"/>
              </w:rPr>
            </w:pPr>
          </w:p>
        </w:tc>
        <w:tc>
          <w:tcPr>
            <w:tcW w:w="3068" w:type="dxa"/>
            <w:tcBorders>
              <w:top w:val="single" w:color="auto" w:sz="4" w:space="0"/>
              <w:left w:val="single" w:color="auto" w:sz="4" w:space="0"/>
              <w:bottom w:val="single" w:color="auto" w:sz="4" w:space="0"/>
              <w:right w:val="single" w:color="auto" w:sz="4" w:space="0"/>
            </w:tcBorders>
            <w:vAlign w:val="center"/>
          </w:tcPr>
          <w:p w14:paraId="2CCD5DCA">
            <w:pPr>
              <w:spacing w:line="576" w:lineRule="auto"/>
              <w:jc w:val="center"/>
              <w:outlineLvl w:val="0"/>
              <w:rPr>
                <w:rFonts w:ascii="宋体" w:hAnsi="宋体" w:cs="宋体"/>
                <w:sz w:val="21"/>
                <w:szCs w:val="21"/>
              </w:rPr>
            </w:pPr>
          </w:p>
        </w:tc>
        <w:tc>
          <w:tcPr>
            <w:tcW w:w="1929" w:type="dxa"/>
            <w:tcBorders>
              <w:top w:val="single" w:color="auto" w:sz="4" w:space="0"/>
              <w:left w:val="single" w:color="auto" w:sz="4" w:space="0"/>
              <w:bottom w:val="single" w:color="auto" w:sz="4" w:space="0"/>
              <w:right w:val="single" w:color="auto" w:sz="4" w:space="0"/>
            </w:tcBorders>
            <w:vAlign w:val="center"/>
          </w:tcPr>
          <w:p w14:paraId="6430DEDA">
            <w:pPr>
              <w:spacing w:line="576" w:lineRule="auto"/>
              <w:jc w:val="center"/>
              <w:outlineLvl w:val="0"/>
              <w:rPr>
                <w:rFonts w:ascii="宋体" w:hAnsi="宋体" w:cs="宋体"/>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14:paraId="1004454E">
            <w:pPr>
              <w:spacing w:line="576" w:lineRule="auto"/>
              <w:jc w:val="center"/>
              <w:outlineLvl w:val="0"/>
              <w:rPr>
                <w:rFonts w:ascii="宋体" w:hAnsi="宋体" w:cs="宋体"/>
                <w:sz w:val="21"/>
                <w:szCs w:val="21"/>
              </w:rPr>
            </w:pPr>
          </w:p>
        </w:tc>
        <w:tc>
          <w:tcPr>
            <w:tcW w:w="1969" w:type="dxa"/>
            <w:tcBorders>
              <w:top w:val="single" w:color="auto" w:sz="4" w:space="0"/>
              <w:left w:val="single" w:color="auto" w:sz="4" w:space="0"/>
              <w:bottom w:val="single" w:color="auto" w:sz="4" w:space="0"/>
              <w:right w:val="single" w:color="auto" w:sz="4" w:space="0"/>
            </w:tcBorders>
            <w:vAlign w:val="center"/>
          </w:tcPr>
          <w:p w14:paraId="3F6FAFD2">
            <w:pPr>
              <w:spacing w:line="576" w:lineRule="auto"/>
              <w:jc w:val="center"/>
              <w:outlineLvl w:val="0"/>
              <w:rPr>
                <w:rFonts w:ascii="宋体" w:hAnsi="宋体" w:cs="宋体"/>
                <w:sz w:val="21"/>
                <w:szCs w:val="21"/>
              </w:rPr>
            </w:pPr>
          </w:p>
        </w:tc>
      </w:tr>
      <w:tr w14:paraId="53FD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2" w:type="dxa"/>
            <w:tcBorders>
              <w:top w:val="single" w:color="auto" w:sz="4" w:space="0"/>
              <w:left w:val="single" w:color="auto" w:sz="4" w:space="0"/>
              <w:bottom w:val="single" w:color="auto" w:sz="4" w:space="0"/>
              <w:right w:val="single" w:color="auto" w:sz="4" w:space="0"/>
            </w:tcBorders>
            <w:vAlign w:val="center"/>
          </w:tcPr>
          <w:p w14:paraId="36228156">
            <w:pPr>
              <w:spacing w:line="576" w:lineRule="auto"/>
              <w:jc w:val="center"/>
              <w:outlineLvl w:val="0"/>
              <w:rPr>
                <w:rFonts w:ascii="宋体" w:hAnsi="宋体" w:cs="宋体"/>
                <w:sz w:val="21"/>
                <w:szCs w:val="21"/>
              </w:rPr>
            </w:pPr>
          </w:p>
        </w:tc>
        <w:tc>
          <w:tcPr>
            <w:tcW w:w="3068" w:type="dxa"/>
            <w:tcBorders>
              <w:top w:val="single" w:color="auto" w:sz="4" w:space="0"/>
              <w:left w:val="single" w:color="auto" w:sz="4" w:space="0"/>
              <w:bottom w:val="single" w:color="auto" w:sz="4" w:space="0"/>
              <w:right w:val="single" w:color="auto" w:sz="4" w:space="0"/>
            </w:tcBorders>
            <w:vAlign w:val="center"/>
          </w:tcPr>
          <w:p w14:paraId="4EA971C8">
            <w:pPr>
              <w:spacing w:line="576" w:lineRule="auto"/>
              <w:jc w:val="center"/>
              <w:outlineLvl w:val="0"/>
              <w:rPr>
                <w:rFonts w:ascii="宋体" w:hAnsi="宋体" w:cs="宋体"/>
                <w:sz w:val="21"/>
                <w:szCs w:val="21"/>
              </w:rPr>
            </w:pPr>
          </w:p>
        </w:tc>
        <w:tc>
          <w:tcPr>
            <w:tcW w:w="1929" w:type="dxa"/>
            <w:tcBorders>
              <w:top w:val="single" w:color="auto" w:sz="4" w:space="0"/>
              <w:left w:val="single" w:color="auto" w:sz="4" w:space="0"/>
              <w:bottom w:val="single" w:color="auto" w:sz="4" w:space="0"/>
              <w:right w:val="single" w:color="auto" w:sz="4" w:space="0"/>
            </w:tcBorders>
            <w:vAlign w:val="center"/>
          </w:tcPr>
          <w:p w14:paraId="513253CB">
            <w:pPr>
              <w:spacing w:line="576" w:lineRule="auto"/>
              <w:jc w:val="center"/>
              <w:outlineLvl w:val="0"/>
              <w:rPr>
                <w:rFonts w:ascii="宋体" w:hAnsi="宋体" w:cs="宋体"/>
                <w:sz w:val="21"/>
                <w:szCs w:val="21"/>
              </w:rPr>
            </w:pPr>
          </w:p>
        </w:tc>
        <w:tc>
          <w:tcPr>
            <w:tcW w:w="1493" w:type="dxa"/>
            <w:tcBorders>
              <w:top w:val="single" w:color="auto" w:sz="4" w:space="0"/>
              <w:left w:val="single" w:color="auto" w:sz="4" w:space="0"/>
              <w:bottom w:val="single" w:color="auto" w:sz="4" w:space="0"/>
              <w:right w:val="single" w:color="auto" w:sz="4" w:space="0"/>
            </w:tcBorders>
            <w:vAlign w:val="center"/>
          </w:tcPr>
          <w:p w14:paraId="450EAB01">
            <w:pPr>
              <w:spacing w:line="576" w:lineRule="auto"/>
              <w:jc w:val="center"/>
              <w:outlineLvl w:val="0"/>
              <w:rPr>
                <w:rFonts w:ascii="宋体" w:hAnsi="宋体" w:cs="宋体"/>
                <w:sz w:val="21"/>
                <w:szCs w:val="21"/>
              </w:rPr>
            </w:pPr>
          </w:p>
        </w:tc>
        <w:tc>
          <w:tcPr>
            <w:tcW w:w="1969" w:type="dxa"/>
            <w:tcBorders>
              <w:top w:val="single" w:color="auto" w:sz="4" w:space="0"/>
              <w:left w:val="single" w:color="auto" w:sz="4" w:space="0"/>
              <w:bottom w:val="single" w:color="auto" w:sz="4" w:space="0"/>
              <w:right w:val="single" w:color="auto" w:sz="4" w:space="0"/>
            </w:tcBorders>
            <w:vAlign w:val="center"/>
          </w:tcPr>
          <w:p w14:paraId="3102D98C">
            <w:pPr>
              <w:spacing w:line="576" w:lineRule="auto"/>
              <w:jc w:val="center"/>
              <w:outlineLvl w:val="0"/>
              <w:rPr>
                <w:rFonts w:ascii="宋体" w:hAnsi="宋体" w:cs="宋体"/>
                <w:sz w:val="21"/>
                <w:szCs w:val="21"/>
              </w:rPr>
            </w:pPr>
          </w:p>
        </w:tc>
      </w:tr>
      <w:tr w14:paraId="2ECA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9261" w:type="dxa"/>
            <w:gridSpan w:val="5"/>
            <w:tcBorders>
              <w:top w:val="single" w:color="auto" w:sz="4" w:space="0"/>
              <w:left w:val="single" w:color="auto" w:sz="4" w:space="0"/>
              <w:bottom w:val="single" w:color="auto" w:sz="4" w:space="0"/>
              <w:right w:val="single" w:color="auto" w:sz="4" w:space="0"/>
            </w:tcBorders>
            <w:vAlign w:val="center"/>
          </w:tcPr>
          <w:p w14:paraId="05613CBE">
            <w:pPr>
              <w:rPr>
                <w:rFonts w:ascii="宋体" w:hAnsi="宋体" w:cs="宋体"/>
                <w:sz w:val="21"/>
                <w:szCs w:val="21"/>
              </w:rPr>
            </w:pPr>
            <w:r>
              <w:rPr>
                <w:rFonts w:hint="eastAsia" w:ascii="宋体" w:hAnsi="宋体" w:cs="宋体"/>
                <w:sz w:val="21"/>
                <w:szCs w:val="21"/>
              </w:rPr>
              <w:t>评标委员会全体成员签字：</w:t>
            </w:r>
          </w:p>
          <w:p w14:paraId="2057828F">
            <w:pPr>
              <w:spacing w:line="480" w:lineRule="auto"/>
              <w:outlineLvl w:val="2"/>
              <w:rPr>
                <w:rFonts w:ascii="宋体" w:hAnsi="宋体" w:cs="宋体"/>
                <w:sz w:val="21"/>
                <w:szCs w:val="21"/>
              </w:rPr>
            </w:pPr>
          </w:p>
          <w:p w14:paraId="4894F8CD">
            <w:pPr>
              <w:jc w:val="right"/>
              <w:rPr>
                <w:rFonts w:ascii="宋体" w:hAnsi="宋体" w:cs="宋体"/>
                <w:sz w:val="21"/>
                <w:szCs w:val="21"/>
              </w:rPr>
            </w:pPr>
            <w:r>
              <w:rPr>
                <w:rFonts w:hint="eastAsia" w:ascii="宋体" w:hAnsi="宋体" w:cs="宋体"/>
                <w:kern w:val="0"/>
                <w:sz w:val="21"/>
                <w:szCs w:val="21"/>
              </w:rPr>
              <w:t xml:space="preserve">  </w:t>
            </w:r>
            <w:r>
              <w:rPr>
                <w:rFonts w:ascii="宋体" w:hAnsi="宋体" w:cs="宋体"/>
                <w:kern w:val="0"/>
                <w:sz w:val="21"/>
                <w:szCs w:val="21"/>
              </w:rPr>
              <w:t>年</w:t>
            </w:r>
            <w:r>
              <w:rPr>
                <w:rFonts w:hint="eastAsia" w:ascii="宋体" w:hAnsi="宋体" w:cs="宋体"/>
                <w:kern w:val="0"/>
                <w:sz w:val="21"/>
                <w:szCs w:val="21"/>
              </w:rPr>
              <w:t xml:space="preserve">   月   日</w:t>
            </w:r>
          </w:p>
        </w:tc>
      </w:tr>
    </w:tbl>
    <w:p w14:paraId="2520B9B8">
      <w:pPr>
        <w:pStyle w:val="5"/>
        <w:spacing w:after="240" w:afterLines="100"/>
        <w:rPr>
          <w:rFonts w:ascii="宋体" w:hAnsi="宋体"/>
        </w:rPr>
      </w:pPr>
      <w:r>
        <w:rPr>
          <w:rFonts w:hint="eastAsia" w:ascii="宋体" w:hAnsi="宋体" w:cs="宋体"/>
          <w:szCs w:val="21"/>
        </w:rPr>
        <w:br w:type="page"/>
      </w:r>
      <w:r>
        <w:rPr>
          <w:rFonts w:hint="eastAsia" w:ascii="宋体" w:hAnsi="宋体"/>
          <w:bCs w:val="0"/>
          <w:kern w:val="2"/>
          <w:szCs w:val="24"/>
        </w:rPr>
        <w:t>附件5-1：问题澄清通知</w:t>
      </w:r>
    </w:p>
    <w:p w14:paraId="5F4F10FE">
      <w:pPr>
        <w:jc w:val="center"/>
        <w:rPr>
          <w:rFonts w:ascii="宋体" w:hAnsi="宋体"/>
          <w:b/>
          <w:sz w:val="30"/>
          <w:szCs w:val="30"/>
        </w:rPr>
      </w:pPr>
      <w:r>
        <w:rPr>
          <w:rFonts w:ascii="宋体" w:hAnsi="宋体"/>
          <w:b/>
          <w:sz w:val="30"/>
          <w:szCs w:val="30"/>
        </w:rPr>
        <w:t>问题澄清通知</w:t>
      </w:r>
      <w:r>
        <w:rPr>
          <w:rFonts w:ascii="宋体" w:hAnsi="宋体"/>
        </w:rPr>
        <w:t>（编号：）</w:t>
      </w:r>
    </w:p>
    <w:p w14:paraId="29FF189A">
      <w:pPr>
        <w:rPr>
          <w:sz w:val="21"/>
          <w:szCs w:val="21"/>
        </w:rPr>
      </w:pPr>
    </w:p>
    <w:p w14:paraId="5302786A">
      <w:pPr>
        <w:snapToGrid w:val="0"/>
      </w:pPr>
      <w:r>
        <w:rPr>
          <w:rFonts w:hint="eastAsia"/>
          <w:u w:val="single"/>
        </w:rPr>
        <w:t>（投标人名称）</w:t>
      </w:r>
      <w:r>
        <w:rPr>
          <w:rFonts w:hint="eastAsia"/>
        </w:rPr>
        <w:t>：</w:t>
      </w:r>
    </w:p>
    <w:p w14:paraId="441A223D">
      <w:pPr>
        <w:snapToGrid w:val="0"/>
        <w:rPr>
          <w:sz w:val="21"/>
          <w:szCs w:val="21"/>
        </w:rPr>
      </w:pPr>
      <w:r>
        <w:rPr>
          <w:rFonts w:hint="eastAsia"/>
        </w:rPr>
        <w:t>　　</w:t>
      </w:r>
      <w:r>
        <w:rPr>
          <w:rFonts w:hint="eastAsia"/>
          <w:u w:val="single"/>
        </w:rPr>
        <w:t>（招标项目名称）</w:t>
      </w:r>
      <w:r>
        <w:rPr>
          <w:rFonts w:hint="eastAsia"/>
        </w:rPr>
        <w:t>评标委员会对你方的投标文件进行了审查，现需你方对下列问题予以澄清：</w:t>
      </w:r>
    </w:p>
    <w:p w14:paraId="2882A803">
      <w:pPr>
        <w:snapToGrid w:val="0"/>
        <w:ind w:firstLine="480" w:firstLineChars="200"/>
        <w:rPr>
          <w:rFonts w:ascii="宋体" w:hAnsi="宋体"/>
        </w:rPr>
      </w:pPr>
      <w:r>
        <w:rPr>
          <w:rFonts w:ascii="宋体" w:hAnsi="宋体"/>
        </w:rPr>
        <w:t>1.</w:t>
      </w:r>
    </w:p>
    <w:p w14:paraId="58A868D0">
      <w:pPr>
        <w:snapToGrid w:val="0"/>
        <w:ind w:firstLine="480" w:firstLineChars="200"/>
        <w:rPr>
          <w:rFonts w:ascii="宋体" w:hAnsi="宋体"/>
        </w:rPr>
      </w:pPr>
      <w:r>
        <w:rPr>
          <w:rFonts w:ascii="宋体" w:hAnsi="宋体"/>
        </w:rPr>
        <w:t>2.</w:t>
      </w:r>
    </w:p>
    <w:p w14:paraId="749FE8B5">
      <w:pPr>
        <w:snapToGrid w:val="0"/>
        <w:rPr>
          <w:rFonts w:ascii="宋体" w:hAnsi="宋体"/>
        </w:rPr>
      </w:pPr>
      <w:r>
        <w:rPr>
          <w:rFonts w:ascii="宋体" w:hAnsi="宋体"/>
        </w:rPr>
        <w:t xml:space="preserve">     ......   </w:t>
      </w:r>
    </w:p>
    <w:p w14:paraId="44269560">
      <w:pPr>
        <w:snapToGrid w:val="0"/>
        <w:rPr>
          <w:rFonts w:ascii="宋体" w:hAnsi="宋体"/>
        </w:rPr>
      </w:pPr>
      <w:r>
        <w:rPr>
          <w:rFonts w:ascii="宋体" w:hAnsi="宋体"/>
        </w:rPr>
        <w:t>　　　</w:t>
      </w:r>
    </w:p>
    <w:p w14:paraId="42B57D7D">
      <w:pPr>
        <w:snapToGrid w:val="0"/>
        <w:rPr>
          <w:rFonts w:ascii="宋体" w:hAnsi="宋体"/>
        </w:rPr>
      </w:pPr>
      <w:r>
        <w:rPr>
          <w:rFonts w:ascii="宋体" w:hAnsi="宋体"/>
        </w:rPr>
        <w:t>　　</w:t>
      </w:r>
    </w:p>
    <w:p w14:paraId="7899F160">
      <w:pPr>
        <w:snapToGrid w:val="0"/>
        <w:rPr>
          <w:rFonts w:ascii="宋体" w:hAnsi="宋体"/>
        </w:rPr>
      </w:pPr>
    </w:p>
    <w:p w14:paraId="2C6ADAD1">
      <w:pPr>
        <w:wordWrap w:val="0"/>
        <w:snapToGrid w:val="0"/>
        <w:jc w:val="right"/>
        <w:rPr>
          <w:rFonts w:ascii="宋体" w:hAnsi="宋体"/>
        </w:rPr>
      </w:pPr>
      <w:r>
        <w:rPr>
          <w:rFonts w:hint="eastAsia" w:ascii="宋体" w:hAnsi="宋体" w:cs="宋体"/>
        </w:rPr>
        <w:t>评标委员会</w:t>
      </w:r>
    </w:p>
    <w:p w14:paraId="40B8B4BB">
      <w:pPr>
        <w:wordWrap w:val="0"/>
        <w:snapToGrid w:val="0"/>
        <w:spacing w:line="480" w:lineRule="auto"/>
        <w:ind w:right="55" w:firstLine="480" w:firstLineChars="200"/>
        <w:jc w:val="right"/>
      </w:pPr>
      <w:r>
        <w:rPr>
          <w:rFonts w:hint="eastAsia"/>
        </w:rPr>
        <w:t xml:space="preserve">      年   月   日</w:t>
      </w:r>
    </w:p>
    <w:p w14:paraId="3743C86B">
      <w:pPr>
        <w:snapToGrid w:val="0"/>
        <w:spacing w:line="480" w:lineRule="auto"/>
        <w:rPr>
          <w:szCs w:val="21"/>
        </w:rPr>
      </w:pPr>
    </w:p>
    <w:p w14:paraId="783CFC88">
      <w:pPr>
        <w:spacing w:after="240" w:afterLines="100"/>
        <w:outlineLvl w:val="1"/>
        <w:rPr>
          <w:rFonts w:ascii="宋体" w:hAnsi="宋体"/>
        </w:rPr>
      </w:pPr>
      <w:r>
        <w:rPr>
          <w:szCs w:val="21"/>
        </w:rPr>
        <w:br w:type="page"/>
      </w:r>
      <w:r>
        <w:rPr>
          <w:rFonts w:hint="eastAsia" w:ascii="宋体" w:hAnsi="宋体"/>
          <w:b/>
        </w:rPr>
        <w:t>附件5-2：问题的澄清</w:t>
      </w:r>
    </w:p>
    <w:p w14:paraId="540CD09F">
      <w:pPr>
        <w:jc w:val="center"/>
        <w:rPr>
          <w:rFonts w:ascii="宋体" w:hAnsi="宋体"/>
          <w:b/>
          <w:sz w:val="30"/>
          <w:szCs w:val="30"/>
        </w:rPr>
      </w:pPr>
      <w:r>
        <w:rPr>
          <w:rFonts w:hint="eastAsia" w:ascii="宋体" w:hAnsi="宋体"/>
          <w:b/>
          <w:sz w:val="30"/>
          <w:szCs w:val="30"/>
        </w:rPr>
        <w:t>问题的澄清</w:t>
      </w:r>
    </w:p>
    <w:p w14:paraId="2E3273FB">
      <w:pPr>
        <w:rPr>
          <w:rFonts w:ascii="宋体" w:hAnsi="宋体"/>
        </w:rPr>
      </w:pPr>
    </w:p>
    <w:p w14:paraId="75271580">
      <w:pPr>
        <w:rPr>
          <w:rFonts w:ascii="宋体" w:hAnsi="宋体"/>
        </w:rPr>
      </w:pPr>
      <w:r>
        <w:rPr>
          <w:rFonts w:hint="eastAsia"/>
          <w:u w:val="single"/>
        </w:rPr>
        <w:t>（招标项目名称）</w:t>
      </w:r>
      <w:r>
        <w:rPr>
          <w:rFonts w:ascii="宋体" w:hAnsi="宋体"/>
        </w:rPr>
        <w:t>评标委员会：</w:t>
      </w:r>
    </w:p>
    <w:p w14:paraId="63DACF47">
      <w:pPr>
        <w:rPr>
          <w:rFonts w:ascii="宋体" w:hAnsi="宋体"/>
        </w:rPr>
      </w:pPr>
    </w:p>
    <w:p w14:paraId="12547CBB">
      <w:pPr>
        <w:rPr>
          <w:rFonts w:ascii="宋体" w:hAnsi="宋体"/>
        </w:rPr>
      </w:pPr>
      <w:r>
        <w:rPr>
          <w:rFonts w:ascii="宋体" w:hAnsi="宋体"/>
        </w:rPr>
        <w:t>　　问题澄清通知（编号：）已收悉，现澄清如下：</w:t>
      </w:r>
    </w:p>
    <w:p w14:paraId="5A6DD07A">
      <w:pPr>
        <w:rPr>
          <w:rFonts w:ascii="宋体" w:hAnsi="宋体"/>
        </w:rPr>
      </w:pPr>
      <w:r>
        <w:rPr>
          <w:rFonts w:ascii="宋体" w:hAnsi="宋体"/>
        </w:rPr>
        <w:t>　  1.</w:t>
      </w:r>
    </w:p>
    <w:p w14:paraId="3D57D5B2">
      <w:pPr>
        <w:rPr>
          <w:rFonts w:ascii="宋体" w:hAnsi="宋体"/>
        </w:rPr>
      </w:pPr>
      <w:r>
        <w:rPr>
          <w:rFonts w:ascii="宋体" w:hAnsi="宋体"/>
        </w:rPr>
        <w:t>　  2.</w:t>
      </w:r>
    </w:p>
    <w:p w14:paraId="41EA7C92">
      <w:pPr>
        <w:rPr>
          <w:rFonts w:ascii="宋体" w:hAnsi="宋体"/>
        </w:rPr>
      </w:pPr>
      <w:r>
        <w:rPr>
          <w:rFonts w:ascii="宋体" w:hAnsi="宋体"/>
        </w:rPr>
        <w:t xml:space="preserve">　   </w:t>
      </w:r>
    </w:p>
    <w:p w14:paraId="0FAE26EA">
      <w:pPr>
        <w:rPr>
          <w:rFonts w:ascii="宋体" w:hAnsi="宋体"/>
        </w:rPr>
      </w:pPr>
      <w:r>
        <w:rPr>
          <w:rFonts w:ascii="宋体" w:hAnsi="宋体"/>
        </w:rPr>
        <w:t>　    .....</w:t>
      </w:r>
    </w:p>
    <w:p w14:paraId="34DFAF8E">
      <w:pPr>
        <w:rPr>
          <w:rFonts w:ascii="宋体" w:hAnsi="宋体"/>
        </w:rPr>
      </w:pPr>
    </w:p>
    <w:p w14:paraId="6F7606AA">
      <w:pPr>
        <w:rPr>
          <w:rFonts w:ascii="宋体" w:hAnsi="宋体"/>
        </w:rPr>
      </w:pPr>
      <w:r>
        <w:rPr>
          <w:rFonts w:ascii="宋体" w:hAnsi="宋体"/>
        </w:rPr>
        <w:t>　</w:t>
      </w:r>
    </w:p>
    <w:p w14:paraId="5F049806">
      <w:pPr>
        <w:wordWrap w:val="0"/>
        <w:snapToGrid w:val="0"/>
        <w:jc w:val="right"/>
        <w:rPr>
          <w:rFonts w:ascii="宋体" w:hAnsi="宋体"/>
        </w:rPr>
      </w:pPr>
      <w:r>
        <w:rPr>
          <w:rFonts w:ascii="宋体" w:hAnsi="宋体"/>
        </w:rPr>
        <w:t>　　　　　　　　　　　　　　投标人：</w:t>
      </w:r>
      <w:r>
        <w:rPr>
          <w:rFonts w:hint="eastAsia" w:ascii="宋体" w:hAnsi="宋体"/>
          <w:u w:val="single"/>
        </w:rPr>
        <w:t xml:space="preserve">  （盖公章）   </w:t>
      </w:r>
    </w:p>
    <w:p w14:paraId="2C50DE20">
      <w:pPr>
        <w:wordWrap w:val="0"/>
        <w:snapToGrid w:val="0"/>
        <w:spacing w:line="480" w:lineRule="auto"/>
        <w:ind w:right="55" w:firstLine="480" w:firstLineChars="200"/>
        <w:jc w:val="right"/>
        <w:rPr>
          <w:rFonts w:ascii="宋体" w:hAnsi="宋体"/>
        </w:rPr>
      </w:pPr>
      <w:r>
        <w:rPr>
          <w:rFonts w:ascii="宋体" w:hAnsi="宋体"/>
        </w:rPr>
        <w:t>年</w:t>
      </w:r>
      <w:r>
        <w:rPr>
          <w:rFonts w:hint="eastAsia" w:ascii="宋体" w:hAnsi="宋体"/>
        </w:rPr>
        <w:t xml:space="preserve">   </w:t>
      </w:r>
      <w:r>
        <w:rPr>
          <w:rFonts w:ascii="宋体" w:hAnsi="宋体"/>
        </w:rPr>
        <w:t>月</w:t>
      </w:r>
      <w:r>
        <w:rPr>
          <w:rFonts w:hint="eastAsia" w:ascii="宋体" w:hAnsi="宋体"/>
        </w:rPr>
        <w:t xml:space="preserve">   日</w:t>
      </w:r>
    </w:p>
    <w:p w14:paraId="070BDD45">
      <w:pPr>
        <w:rPr>
          <w:rFonts w:ascii="宋体" w:hAnsi="宋体"/>
          <w:b/>
        </w:rPr>
      </w:pPr>
      <w:r>
        <w:rPr>
          <w:rFonts w:hint="eastAsia" w:ascii="宋体" w:hAnsi="宋体"/>
        </w:rPr>
        <w:br w:type="page"/>
      </w:r>
      <w:r>
        <w:rPr>
          <w:rFonts w:hint="eastAsia" w:ascii="宋体" w:hAnsi="宋体"/>
          <w:b/>
        </w:rPr>
        <w:t>附件6：评标报告</w:t>
      </w:r>
    </w:p>
    <w:p w14:paraId="67A1B100">
      <w:pPr>
        <w:jc w:val="center"/>
        <w:rPr>
          <w:rFonts w:ascii="宋体" w:hAnsi="宋体"/>
          <w:bCs/>
          <w:sz w:val="22"/>
          <w:szCs w:val="22"/>
        </w:rPr>
      </w:pPr>
      <w:r>
        <w:rPr>
          <w:rFonts w:hint="eastAsia" w:ascii="宋体" w:hAnsi="宋体" w:cs="宋体"/>
          <w:b/>
          <w:sz w:val="30"/>
        </w:rPr>
        <w:t>评标报告</w:t>
      </w:r>
    </w:p>
    <w:p w14:paraId="1B6E6C04">
      <w:pPr>
        <w:tabs>
          <w:tab w:val="left" w:pos="4680"/>
        </w:tabs>
        <w:snapToGrid w:val="0"/>
        <w:spacing w:line="240" w:lineRule="auto"/>
        <w:ind w:firstLine="105" w:firstLineChars="50"/>
        <w:rPr>
          <w:rFonts w:ascii="宋体" w:hAnsi="宋体"/>
          <w:bCs/>
          <w:sz w:val="21"/>
          <w:szCs w:val="21"/>
        </w:rPr>
      </w:pPr>
      <w:r>
        <w:rPr>
          <w:rFonts w:hint="eastAsia" w:ascii="宋体" w:hAnsi="宋体"/>
          <w:bCs/>
          <w:sz w:val="21"/>
          <w:szCs w:val="21"/>
        </w:rPr>
        <w:t xml:space="preserve">招标项目名称：                           </w:t>
      </w:r>
      <w:r>
        <w:rPr>
          <w:rFonts w:ascii="宋体" w:hAnsi="宋体"/>
          <w:bCs/>
          <w:sz w:val="21"/>
          <w:szCs w:val="21"/>
        </w:rPr>
        <w:t xml:space="preserve">        </w:t>
      </w:r>
    </w:p>
    <w:p w14:paraId="115648FF">
      <w:pPr>
        <w:tabs>
          <w:tab w:val="left" w:pos="4680"/>
        </w:tabs>
        <w:snapToGrid w:val="0"/>
        <w:spacing w:line="240" w:lineRule="auto"/>
        <w:ind w:firstLine="105" w:firstLineChars="50"/>
        <w:rPr>
          <w:rFonts w:ascii="宋体" w:hAnsi="宋体"/>
          <w:b/>
          <w:bCs/>
          <w:sz w:val="21"/>
          <w:szCs w:val="21"/>
        </w:rPr>
      </w:pPr>
      <w:r>
        <w:rPr>
          <w:rFonts w:hint="eastAsia" w:ascii="宋体" w:hAnsi="宋体"/>
          <w:bCs/>
          <w:sz w:val="21"/>
          <w:szCs w:val="21"/>
        </w:rPr>
        <w:t xml:space="preserve">招标项目编号：                           </w:t>
      </w:r>
      <w:r>
        <w:rPr>
          <w:rFonts w:ascii="宋体" w:hAnsi="宋体"/>
          <w:bCs/>
          <w:sz w:val="21"/>
          <w:szCs w:val="21"/>
        </w:rPr>
        <w:t xml:space="preserve">        </w:t>
      </w:r>
    </w:p>
    <w:tbl>
      <w:tblPr>
        <w:tblStyle w:val="63"/>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9"/>
        <w:gridCol w:w="1417"/>
        <w:gridCol w:w="2799"/>
        <w:gridCol w:w="1118"/>
        <w:gridCol w:w="992"/>
      </w:tblGrid>
      <w:tr w14:paraId="7B7A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55D71F92">
            <w:pPr>
              <w:widowControl/>
              <w:jc w:val="left"/>
              <w:rPr>
                <w:rFonts w:ascii="宋体" w:hAnsi="宋体" w:cs="宋体"/>
                <w:kern w:val="0"/>
              </w:rPr>
            </w:pPr>
            <w:r>
              <w:rPr>
                <w:rFonts w:hint="eastAsia" w:ascii="宋体" w:hAnsi="宋体" w:cs="宋体"/>
                <w:kern w:val="0"/>
              </w:rPr>
              <w:t>招标人</w:t>
            </w:r>
          </w:p>
        </w:tc>
        <w:tc>
          <w:tcPr>
            <w:tcW w:w="6326" w:type="dxa"/>
            <w:gridSpan w:val="4"/>
            <w:noWrap/>
            <w:vAlign w:val="center"/>
          </w:tcPr>
          <w:p w14:paraId="2EB45C4A">
            <w:pPr>
              <w:snapToGrid w:val="0"/>
              <w:spacing w:line="264" w:lineRule="auto"/>
              <w:jc w:val="left"/>
              <w:rPr>
                <w:rFonts w:ascii="宋体" w:hAnsi="宋体" w:cs="宋体"/>
                <w:kern w:val="0"/>
              </w:rPr>
            </w:pPr>
            <w:r>
              <w:rPr>
                <w:rFonts w:hint="eastAsia" w:ascii="宋体" w:hAnsi="宋体" w:cs="宋体"/>
                <w:kern w:val="0"/>
              </w:rPr>
              <w:t>广东中粤通油品经营有限公司</w:t>
            </w:r>
          </w:p>
        </w:tc>
      </w:tr>
      <w:tr w14:paraId="3793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29B3B0C2">
            <w:pPr>
              <w:widowControl/>
              <w:spacing w:line="240" w:lineRule="auto"/>
              <w:jc w:val="left"/>
              <w:rPr>
                <w:rFonts w:ascii="宋体" w:hAnsi="宋体" w:cs="宋体"/>
                <w:kern w:val="0"/>
              </w:rPr>
            </w:pPr>
            <w:r>
              <w:rPr>
                <w:rFonts w:hint="eastAsia" w:ascii="宋体" w:hAnsi="宋体" w:cs="宋体"/>
                <w:kern w:val="0"/>
              </w:rPr>
              <w:t>招标代理机构</w:t>
            </w:r>
          </w:p>
        </w:tc>
        <w:tc>
          <w:tcPr>
            <w:tcW w:w="6326" w:type="dxa"/>
            <w:gridSpan w:val="4"/>
            <w:noWrap/>
            <w:vAlign w:val="center"/>
          </w:tcPr>
          <w:p w14:paraId="476D335C">
            <w:pPr>
              <w:snapToGrid w:val="0"/>
              <w:spacing w:line="264" w:lineRule="auto"/>
              <w:jc w:val="left"/>
              <w:rPr>
                <w:rFonts w:ascii="宋体" w:hAnsi="宋体" w:cs="宋体"/>
                <w:kern w:val="0"/>
              </w:rPr>
            </w:pPr>
            <w:r>
              <w:rPr>
                <w:rFonts w:hint="eastAsia" w:ascii="宋体" w:hAnsi="宋体" w:cs="宋体"/>
                <w:kern w:val="0"/>
              </w:rPr>
              <w:t>广州诚建项目管理咨询有限公司</w:t>
            </w:r>
          </w:p>
        </w:tc>
      </w:tr>
      <w:tr w14:paraId="041F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662374B8">
            <w:pPr>
              <w:widowControl/>
              <w:spacing w:line="240" w:lineRule="auto"/>
              <w:jc w:val="left"/>
              <w:rPr>
                <w:rFonts w:ascii="宋体" w:hAnsi="宋体" w:cs="宋体"/>
                <w:kern w:val="0"/>
              </w:rPr>
            </w:pPr>
            <w:r>
              <w:rPr>
                <w:rFonts w:hint="eastAsia" w:ascii="宋体" w:hAnsi="宋体" w:cs="宋体"/>
                <w:kern w:val="0"/>
              </w:rPr>
              <w:t>开标情况</w:t>
            </w:r>
          </w:p>
        </w:tc>
        <w:tc>
          <w:tcPr>
            <w:tcW w:w="6326" w:type="dxa"/>
            <w:gridSpan w:val="4"/>
            <w:noWrap/>
            <w:vAlign w:val="center"/>
          </w:tcPr>
          <w:p w14:paraId="201F8795">
            <w:pPr>
              <w:widowControl/>
              <w:spacing w:line="240" w:lineRule="auto"/>
              <w:jc w:val="left"/>
              <w:rPr>
                <w:rFonts w:ascii="宋体" w:hAnsi="宋体" w:cs="宋体"/>
                <w:kern w:val="0"/>
              </w:rPr>
            </w:pPr>
            <w:r>
              <w:rPr>
                <w:rFonts w:hint="eastAsia" w:ascii="宋体" w:hAnsi="宋体" w:cs="宋体"/>
                <w:kern w:val="0"/>
              </w:rPr>
              <w:t>详见“开标汇总表”</w:t>
            </w:r>
          </w:p>
        </w:tc>
      </w:tr>
      <w:tr w14:paraId="044A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68C46815">
            <w:pPr>
              <w:widowControl/>
              <w:spacing w:line="240" w:lineRule="auto"/>
              <w:jc w:val="left"/>
              <w:rPr>
                <w:rFonts w:ascii="宋体" w:hAnsi="宋体" w:cs="宋体"/>
                <w:kern w:val="0"/>
              </w:rPr>
            </w:pPr>
            <w:r>
              <w:rPr>
                <w:rFonts w:hint="eastAsia" w:ascii="宋体" w:hAnsi="宋体" w:cs="宋体"/>
                <w:kern w:val="0"/>
              </w:rPr>
              <w:t>评标地址及场所</w:t>
            </w:r>
          </w:p>
        </w:tc>
        <w:tc>
          <w:tcPr>
            <w:tcW w:w="6326" w:type="dxa"/>
            <w:gridSpan w:val="4"/>
            <w:noWrap/>
            <w:vAlign w:val="center"/>
          </w:tcPr>
          <w:p w14:paraId="43135584">
            <w:pPr>
              <w:widowControl/>
              <w:spacing w:line="240" w:lineRule="auto"/>
              <w:jc w:val="left"/>
              <w:rPr>
                <w:rFonts w:ascii="宋体" w:hAnsi="宋体" w:cs="宋体"/>
                <w:kern w:val="0"/>
              </w:rPr>
            </w:pPr>
          </w:p>
        </w:tc>
      </w:tr>
      <w:tr w14:paraId="4847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0CFB8C9C">
            <w:pPr>
              <w:widowControl/>
              <w:spacing w:line="240" w:lineRule="auto"/>
              <w:jc w:val="left"/>
              <w:rPr>
                <w:rFonts w:ascii="宋体" w:hAnsi="宋体" w:cs="宋体"/>
                <w:kern w:val="0"/>
              </w:rPr>
            </w:pPr>
            <w:r>
              <w:rPr>
                <w:rFonts w:hint="eastAsia" w:ascii="宋体" w:hAnsi="宋体" w:cs="宋体"/>
                <w:kern w:val="0"/>
              </w:rPr>
              <w:t>评标时间</w:t>
            </w:r>
          </w:p>
        </w:tc>
        <w:tc>
          <w:tcPr>
            <w:tcW w:w="6326" w:type="dxa"/>
            <w:gridSpan w:val="4"/>
            <w:noWrap/>
            <w:vAlign w:val="center"/>
          </w:tcPr>
          <w:p w14:paraId="005AFECF">
            <w:pPr>
              <w:widowControl/>
              <w:spacing w:line="240" w:lineRule="auto"/>
              <w:jc w:val="left"/>
              <w:rPr>
                <w:rFonts w:ascii="宋体" w:hAnsi="宋体" w:cs="宋体"/>
                <w:kern w:val="0"/>
              </w:rPr>
            </w:pPr>
            <w:r>
              <w:rPr>
                <w:rFonts w:hint="eastAsia" w:ascii="宋体" w:hAnsi="宋体" w:cs="宋体"/>
                <w:kern w:val="0"/>
              </w:rPr>
              <w:t>开始：</w:t>
            </w:r>
            <w:r>
              <w:rPr>
                <w:rFonts w:ascii="宋体" w:hAnsi="宋体" w:cs="宋体"/>
                <w:kern w:val="0"/>
              </w:rPr>
              <w:t>20</w:t>
            </w:r>
            <w:r>
              <w:rPr>
                <w:rFonts w:hint="eastAsia" w:ascii="宋体" w:hAnsi="宋体" w:cs="宋体"/>
                <w:kern w:val="0"/>
                <w:u w:val="single"/>
              </w:rPr>
              <w:t xml:space="preserve">   </w:t>
            </w:r>
            <w:r>
              <w:rPr>
                <w:rFonts w:hint="eastAsia" w:ascii="宋体" w:hAnsi="宋体" w:cs="宋体"/>
                <w:kern w:val="0"/>
              </w:rPr>
              <w:t>年</w:t>
            </w:r>
            <w:r>
              <w:rPr>
                <w:rFonts w:hint="eastAsia" w:ascii="宋体" w:hAnsi="宋体" w:cs="宋体"/>
                <w:kern w:val="0"/>
                <w:u w:val="single"/>
              </w:rPr>
              <w:t xml:space="preserve">   </w:t>
            </w:r>
            <w:r>
              <w:rPr>
                <w:rFonts w:hint="eastAsia" w:ascii="宋体" w:hAnsi="宋体" w:cs="宋体"/>
                <w:kern w:val="0"/>
              </w:rPr>
              <w:t>月</w:t>
            </w:r>
            <w:r>
              <w:rPr>
                <w:rFonts w:hint="eastAsia" w:ascii="宋体" w:hAnsi="宋体" w:cs="宋体"/>
                <w:kern w:val="0"/>
                <w:u w:val="single"/>
              </w:rPr>
              <w:t xml:space="preserve">   </w:t>
            </w:r>
            <w:r>
              <w:rPr>
                <w:rFonts w:hint="eastAsia" w:ascii="宋体" w:hAnsi="宋体" w:cs="宋体"/>
                <w:kern w:val="0"/>
              </w:rPr>
              <w:t>日</w:t>
            </w:r>
            <w:r>
              <w:rPr>
                <w:rFonts w:hint="eastAsia" w:ascii="宋体" w:hAnsi="宋体" w:cs="宋体"/>
                <w:kern w:val="0"/>
                <w:u w:val="single"/>
              </w:rPr>
              <w:t xml:space="preserve">   </w:t>
            </w:r>
            <w:r>
              <w:rPr>
                <w:rFonts w:hint="eastAsia" w:ascii="宋体" w:hAnsi="宋体" w:cs="宋体"/>
                <w:kern w:val="0"/>
              </w:rPr>
              <w:t>时</w:t>
            </w:r>
            <w:r>
              <w:rPr>
                <w:rFonts w:hint="eastAsia" w:ascii="宋体" w:hAnsi="宋体" w:cs="宋体"/>
                <w:kern w:val="0"/>
                <w:u w:val="single"/>
              </w:rPr>
              <w:t xml:space="preserve">   </w:t>
            </w:r>
            <w:r>
              <w:rPr>
                <w:rFonts w:hint="eastAsia" w:ascii="宋体" w:hAnsi="宋体" w:cs="宋体"/>
                <w:kern w:val="0"/>
              </w:rPr>
              <w:t>分</w:t>
            </w:r>
          </w:p>
          <w:p w14:paraId="7D87DD7E">
            <w:pPr>
              <w:widowControl/>
              <w:spacing w:line="240" w:lineRule="auto"/>
              <w:jc w:val="left"/>
              <w:rPr>
                <w:rFonts w:ascii="宋体" w:hAnsi="宋体" w:cs="宋体"/>
                <w:kern w:val="0"/>
              </w:rPr>
            </w:pPr>
            <w:r>
              <w:rPr>
                <w:rFonts w:hint="eastAsia" w:ascii="宋体" w:hAnsi="宋体" w:cs="宋体"/>
                <w:kern w:val="0"/>
              </w:rPr>
              <w:t>结束：</w:t>
            </w:r>
            <w:r>
              <w:rPr>
                <w:rFonts w:ascii="宋体" w:hAnsi="宋体" w:cs="宋体"/>
                <w:kern w:val="0"/>
              </w:rPr>
              <w:t>20</w:t>
            </w:r>
            <w:r>
              <w:rPr>
                <w:rFonts w:hint="eastAsia" w:ascii="宋体" w:hAnsi="宋体" w:cs="宋体"/>
                <w:kern w:val="0"/>
                <w:u w:val="single"/>
              </w:rPr>
              <w:t xml:space="preserve">   </w:t>
            </w:r>
            <w:r>
              <w:rPr>
                <w:rFonts w:hint="eastAsia" w:ascii="宋体" w:hAnsi="宋体" w:cs="宋体"/>
                <w:kern w:val="0"/>
              </w:rPr>
              <w:t>年</w:t>
            </w:r>
            <w:r>
              <w:rPr>
                <w:rFonts w:hint="eastAsia" w:ascii="宋体" w:hAnsi="宋体" w:cs="宋体"/>
                <w:kern w:val="0"/>
                <w:u w:val="single"/>
              </w:rPr>
              <w:t xml:space="preserve">   </w:t>
            </w:r>
            <w:r>
              <w:rPr>
                <w:rFonts w:hint="eastAsia" w:ascii="宋体" w:hAnsi="宋体" w:cs="宋体"/>
                <w:kern w:val="0"/>
              </w:rPr>
              <w:t>月</w:t>
            </w:r>
            <w:r>
              <w:rPr>
                <w:rFonts w:hint="eastAsia" w:ascii="宋体" w:hAnsi="宋体" w:cs="宋体"/>
                <w:kern w:val="0"/>
                <w:u w:val="single"/>
              </w:rPr>
              <w:t xml:space="preserve">   </w:t>
            </w:r>
            <w:r>
              <w:rPr>
                <w:rFonts w:hint="eastAsia" w:ascii="宋体" w:hAnsi="宋体" w:cs="宋体"/>
                <w:kern w:val="0"/>
              </w:rPr>
              <w:t>日</w:t>
            </w:r>
            <w:r>
              <w:rPr>
                <w:rFonts w:hint="eastAsia" w:ascii="宋体" w:hAnsi="宋体" w:cs="宋体"/>
                <w:kern w:val="0"/>
                <w:u w:val="single"/>
              </w:rPr>
              <w:t xml:space="preserve">   </w:t>
            </w:r>
            <w:r>
              <w:rPr>
                <w:rFonts w:hint="eastAsia" w:ascii="宋体" w:hAnsi="宋体" w:cs="宋体"/>
                <w:kern w:val="0"/>
              </w:rPr>
              <w:t>时</w:t>
            </w:r>
            <w:r>
              <w:rPr>
                <w:rFonts w:hint="eastAsia" w:ascii="宋体" w:hAnsi="宋体" w:cs="宋体"/>
                <w:kern w:val="0"/>
                <w:u w:val="single"/>
              </w:rPr>
              <w:t xml:space="preserve">   </w:t>
            </w:r>
            <w:r>
              <w:rPr>
                <w:rFonts w:hint="eastAsia" w:ascii="宋体" w:hAnsi="宋体" w:cs="宋体"/>
                <w:kern w:val="0"/>
              </w:rPr>
              <w:t>分</w:t>
            </w:r>
          </w:p>
        </w:tc>
      </w:tr>
      <w:tr w14:paraId="5254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1384B5BA">
            <w:pPr>
              <w:widowControl/>
              <w:spacing w:line="240" w:lineRule="auto"/>
              <w:jc w:val="left"/>
              <w:rPr>
                <w:rFonts w:ascii="宋体" w:hAnsi="宋体" w:cs="宋体"/>
                <w:kern w:val="0"/>
              </w:rPr>
            </w:pPr>
            <w:r>
              <w:rPr>
                <w:rFonts w:hint="eastAsia" w:ascii="宋体" w:hAnsi="宋体" w:cs="宋体"/>
                <w:kern w:val="0"/>
              </w:rPr>
              <w:t>评标委员会成员及声明</w:t>
            </w:r>
          </w:p>
        </w:tc>
        <w:tc>
          <w:tcPr>
            <w:tcW w:w="6326" w:type="dxa"/>
            <w:gridSpan w:val="4"/>
            <w:vAlign w:val="center"/>
          </w:tcPr>
          <w:p w14:paraId="2360492B">
            <w:pPr>
              <w:widowControl/>
              <w:spacing w:line="240" w:lineRule="auto"/>
              <w:jc w:val="left"/>
              <w:rPr>
                <w:rFonts w:ascii="宋体" w:hAnsi="宋体" w:cs="宋体"/>
                <w:kern w:val="0"/>
              </w:rPr>
            </w:pPr>
            <w:r>
              <w:rPr>
                <w:rFonts w:hint="eastAsia" w:ascii="宋体" w:hAnsi="宋体" w:cs="宋体"/>
                <w:kern w:val="0"/>
              </w:rPr>
              <w:t>评标委员会成员名单：</w:t>
            </w:r>
            <w:r>
              <w:rPr>
                <w:rFonts w:hint="eastAsia" w:ascii="宋体" w:hAnsi="宋体" w:cs="宋体"/>
                <w:kern w:val="0"/>
                <w:u w:val="single"/>
              </w:rPr>
              <w:t xml:space="preserve">                 </w:t>
            </w:r>
            <w:r>
              <w:rPr>
                <w:rFonts w:hint="eastAsia" w:ascii="宋体" w:hAnsi="宋体" w:cs="宋体"/>
                <w:kern w:val="0"/>
              </w:rPr>
              <w:t>，经评标委员会民主推选，一致推选</w:t>
            </w:r>
            <w:r>
              <w:rPr>
                <w:rFonts w:hint="eastAsia" w:ascii="宋体" w:hAnsi="宋体" w:cs="宋体"/>
                <w:kern w:val="0"/>
                <w:u w:val="single"/>
              </w:rPr>
              <w:t xml:space="preserve">      </w:t>
            </w:r>
            <w:r>
              <w:rPr>
                <w:rFonts w:hint="eastAsia" w:ascii="宋体" w:hAnsi="宋体" w:cs="宋体"/>
                <w:kern w:val="0"/>
              </w:rPr>
              <w:t>专家为评标委员会组长。</w:t>
            </w:r>
          </w:p>
          <w:p w14:paraId="3AD5A7D2">
            <w:pPr>
              <w:widowControl/>
              <w:spacing w:line="240" w:lineRule="auto"/>
              <w:jc w:val="left"/>
              <w:rPr>
                <w:rFonts w:ascii="宋体" w:hAnsi="宋体" w:cs="宋体"/>
                <w:kern w:val="0"/>
              </w:rPr>
            </w:pPr>
            <w:r>
              <w:rPr>
                <w:rFonts w:hint="eastAsia" w:ascii="宋体" w:hAnsi="宋体" w:cs="宋体"/>
                <w:kern w:val="0"/>
              </w:rPr>
              <w:t>详见“评标委员会声明书”</w:t>
            </w:r>
          </w:p>
        </w:tc>
      </w:tr>
      <w:tr w14:paraId="26C4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2808B3B7">
            <w:pPr>
              <w:widowControl/>
              <w:spacing w:line="240" w:lineRule="auto"/>
              <w:jc w:val="left"/>
              <w:rPr>
                <w:rFonts w:ascii="宋体" w:hAnsi="宋体" w:cs="宋体"/>
                <w:kern w:val="0"/>
              </w:rPr>
            </w:pPr>
            <w:r>
              <w:rPr>
                <w:rFonts w:hint="eastAsia" w:ascii="宋体" w:hAnsi="宋体" w:cs="宋体"/>
                <w:kern w:val="0"/>
              </w:rPr>
              <w:t>初步评审情况</w:t>
            </w:r>
          </w:p>
        </w:tc>
        <w:tc>
          <w:tcPr>
            <w:tcW w:w="6326" w:type="dxa"/>
            <w:gridSpan w:val="4"/>
            <w:noWrap/>
            <w:vAlign w:val="center"/>
          </w:tcPr>
          <w:p w14:paraId="10B81C62">
            <w:pPr>
              <w:widowControl/>
              <w:spacing w:line="240" w:lineRule="auto"/>
              <w:rPr>
                <w:rFonts w:ascii="宋体" w:hAnsi="宋体" w:cs="宋体"/>
                <w:kern w:val="0"/>
              </w:rPr>
            </w:pPr>
            <w:r>
              <w:rPr>
                <w:rFonts w:hint="eastAsia" w:ascii="宋体" w:hAnsi="宋体" w:cs="宋体"/>
                <w:kern w:val="0"/>
              </w:rPr>
              <w:t>详见“初步评审标准及记录表”</w:t>
            </w:r>
          </w:p>
        </w:tc>
      </w:tr>
      <w:tr w14:paraId="5607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0240CA60">
            <w:pPr>
              <w:spacing w:line="240" w:lineRule="auto"/>
              <w:rPr>
                <w:rFonts w:ascii="宋体" w:hAnsi="宋体" w:cs="宋体"/>
              </w:rPr>
            </w:pPr>
            <w:r>
              <w:rPr>
                <w:rFonts w:hint="eastAsia" w:ascii="宋体" w:hAnsi="宋体"/>
              </w:rPr>
              <w:t>未通过初步评审的情况</w:t>
            </w:r>
          </w:p>
        </w:tc>
        <w:tc>
          <w:tcPr>
            <w:tcW w:w="6326" w:type="dxa"/>
            <w:gridSpan w:val="4"/>
            <w:noWrap/>
            <w:vAlign w:val="center"/>
          </w:tcPr>
          <w:p w14:paraId="4998CB6C">
            <w:pPr>
              <w:spacing w:line="240" w:lineRule="auto"/>
              <w:rPr>
                <w:rFonts w:ascii="宋体" w:hAnsi="宋体" w:cs="宋体"/>
              </w:rPr>
            </w:pPr>
            <w:r>
              <w:rPr>
                <w:rFonts w:hint="eastAsia" w:ascii="宋体" w:hAnsi="宋体"/>
              </w:rPr>
              <w:t>详见“未通过初步评审等情况汇总表”</w:t>
            </w:r>
          </w:p>
        </w:tc>
      </w:tr>
      <w:tr w14:paraId="0FA1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2DB74BE3">
            <w:pPr>
              <w:widowControl/>
              <w:spacing w:line="240" w:lineRule="auto"/>
              <w:jc w:val="left"/>
              <w:rPr>
                <w:rFonts w:ascii="宋体" w:hAnsi="宋体" w:cs="宋体"/>
                <w:kern w:val="0"/>
              </w:rPr>
            </w:pPr>
            <w:r>
              <w:rPr>
                <w:rFonts w:hint="eastAsia" w:ascii="宋体" w:hAnsi="宋体" w:cs="宋体"/>
                <w:kern w:val="0"/>
              </w:rPr>
              <w:t>详细评审情况</w:t>
            </w:r>
          </w:p>
        </w:tc>
        <w:tc>
          <w:tcPr>
            <w:tcW w:w="6326" w:type="dxa"/>
            <w:gridSpan w:val="4"/>
            <w:noWrap/>
            <w:vAlign w:val="center"/>
          </w:tcPr>
          <w:p w14:paraId="4CA5AB5B">
            <w:pPr>
              <w:widowControl/>
              <w:spacing w:line="240" w:lineRule="auto"/>
              <w:jc w:val="left"/>
              <w:rPr>
                <w:rFonts w:ascii="宋体" w:hAnsi="宋体" w:cs="宋体"/>
                <w:kern w:val="0"/>
              </w:rPr>
            </w:pPr>
            <w:r>
              <w:rPr>
                <w:rFonts w:hint="eastAsia" w:ascii="宋体" w:hAnsi="宋体" w:cs="宋体"/>
                <w:kern w:val="0"/>
              </w:rPr>
              <w:t xml:space="preserve">详见“详细评审标准及计分表” </w:t>
            </w:r>
          </w:p>
          <w:p w14:paraId="71792F8D">
            <w:pPr>
              <w:widowControl/>
              <w:spacing w:line="240" w:lineRule="auto"/>
              <w:jc w:val="left"/>
              <w:rPr>
                <w:rFonts w:ascii="宋体" w:hAnsi="宋体" w:cs="宋体"/>
                <w:kern w:val="0"/>
              </w:rPr>
            </w:pPr>
            <w:r>
              <w:rPr>
                <w:rFonts w:hint="eastAsia" w:ascii="宋体" w:hAnsi="宋体" w:cs="宋体"/>
                <w:kern w:val="0"/>
              </w:rPr>
              <w:t xml:space="preserve">    “评分汇总及得分记录表”</w:t>
            </w:r>
          </w:p>
          <w:p w14:paraId="5AA9D2FD">
            <w:pPr>
              <w:widowControl/>
              <w:spacing w:line="240" w:lineRule="auto"/>
              <w:jc w:val="left"/>
              <w:rPr>
                <w:rFonts w:ascii="宋体" w:hAnsi="宋体" w:cs="宋体"/>
                <w:kern w:val="0"/>
              </w:rPr>
            </w:pPr>
            <w:r>
              <w:rPr>
                <w:rFonts w:hint="eastAsia" w:ascii="宋体" w:hAnsi="宋体" w:cs="宋体"/>
                <w:kern w:val="0"/>
              </w:rPr>
              <w:t xml:space="preserve">    “投标人排序表”等</w:t>
            </w:r>
          </w:p>
        </w:tc>
      </w:tr>
      <w:tr w14:paraId="46A1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6DC0B116">
            <w:pPr>
              <w:widowControl/>
              <w:spacing w:line="240" w:lineRule="auto"/>
              <w:jc w:val="left"/>
              <w:rPr>
                <w:rFonts w:ascii="宋体" w:hAnsi="宋体" w:cs="宋体"/>
                <w:kern w:val="0"/>
              </w:rPr>
            </w:pPr>
            <w:r>
              <w:rPr>
                <w:rFonts w:hint="eastAsia" w:ascii="宋体" w:hAnsi="宋体" w:cs="宋体"/>
                <w:kern w:val="0"/>
              </w:rPr>
              <w:t>澄清、说明</w:t>
            </w:r>
          </w:p>
        </w:tc>
        <w:tc>
          <w:tcPr>
            <w:tcW w:w="6326" w:type="dxa"/>
            <w:gridSpan w:val="4"/>
            <w:noWrap/>
            <w:vAlign w:val="center"/>
          </w:tcPr>
          <w:p w14:paraId="3CA19322">
            <w:pPr>
              <w:widowControl/>
              <w:spacing w:line="240" w:lineRule="auto"/>
              <w:jc w:val="left"/>
              <w:rPr>
                <w:rFonts w:ascii="宋体" w:hAnsi="宋体" w:cs="宋体"/>
                <w:kern w:val="0"/>
              </w:rPr>
            </w:pPr>
            <w:r>
              <w:rPr>
                <w:rFonts w:hint="eastAsia" w:ascii="宋体" w:hAnsi="宋体" w:cs="宋体"/>
                <w:kern w:val="0"/>
              </w:rPr>
              <w:t>详见“问题澄清通知”和“问题的澄清”</w:t>
            </w:r>
          </w:p>
        </w:tc>
      </w:tr>
      <w:tr w14:paraId="36AA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vMerge w:val="restart"/>
            <w:noWrap/>
            <w:vAlign w:val="center"/>
          </w:tcPr>
          <w:p w14:paraId="5DB3234B">
            <w:pPr>
              <w:widowControl/>
              <w:spacing w:line="240" w:lineRule="auto"/>
              <w:jc w:val="left"/>
              <w:rPr>
                <w:rFonts w:ascii="宋体" w:hAnsi="宋体" w:cs="宋体"/>
                <w:kern w:val="0"/>
              </w:rPr>
            </w:pPr>
            <w:r>
              <w:rPr>
                <w:rFonts w:hint="eastAsia" w:ascii="宋体" w:hAnsi="宋体" w:cs="宋体"/>
                <w:kern w:val="0"/>
              </w:rPr>
              <w:t>中标候选人推荐</w:t>
            </w:r>
          </w:p>
        </w:tc>
        <w:tc>
          <w:tcPr>
            <w:tcW w:w="1417" w:type="dxa"/>
            <w:noWrap/>
            <w:vAlign w:val="center"/>
          </w:tcPr>
          <w:p w14:paraId="37AB61C6">
            <w:pPr>
              <w:widowControl/>
              <w:spacing w:line="240" w:lineRule="auto"/>
              <w:jc w:val="center"/>
              <w:rPr>
                <w:rFonts w:ascii="宋体" w:hAnsi="宋体" w:cs="宋体"/>
                <w:kern w:val="0"/>
              </w:rPr>
            </w:pPr>
            <w:r>
              <w:rPr>
                <w:rFonts w:hint="eastAsia" w:ascii="宋体" w:hAnsi="宋体" w:cs="宋体"/>
                <w:kern w:val="0"/>
              </w:rPr>
              <w:t>名  次</w:t>
            </w:r>
          </w:p>
        </w:tc>
        <w:tc>
          <w:tcPr>
            <w:tcW w:w="2799" w:type="dxa"/>
            <w:vAlign w:val="center"/>
          </w:tcPr>
          <w:p w14:paraId="60DAD8E4">
            <w:pPr>
              <w:widowControl/>
              <w:spacing w:line="240" w:lineRule="auto"/>
              <w:jc w:val="center"/>
              <w:rPr>
                <w:rFonts w:ascii="宋体" w:hAnsi="宋体" w:cs="宋体"/>
                <w:kern w:val="0"/>
              </w:rPr>
            </w:pPr>
            <w:r>
              <w:rPr>
                <w:rFonts w:hint="eastAsia" w:ascii="宋体" w:hAnsi="宋体" w:cs="宋体"/>
                <w:kern w:val="0"/>
              </w:rPr>
              <w:t>中标候选人名称</w:t>
            </w:r>
          </w:p>
        </w:tc>
        <w:tc>
          <w:tcPr>
            <w:tcW w:w="1118" w:type="dxa"/>
            <w:vAlign w:val="center"/>
          </w:tcPr>
          <w:p w14:paraId="5FE4627E">
            <w:pPr>
              <w:widowControl/>
              <w:spacing w:line="240" w:lineRule="auto"/>
              <w:jc w:val="center"/>
              <w:rPr>
                <w:rFonts w:ascii="宋体" w:hAnsi="宋体" w:cs="宋体"/>
                <w:kern w:val="0"/>
              </w:rPr>
            </w:pPr>
            <w:r>
              <w:rPr>
                <w:rFonts w:hint="eastAsia" w:ascii="宋体" w:hAnsi="宋体" w:cs="宋体"/>
                <w:kern w:val="0"/>
              </w:rPr>
              <w:t>投标报价</w:t>
            </w:r>
          </w:p>
        </w:tc>
        <w:tc>
          <w:tcPr>
            <w:tcW w:w="992" w:type="dxa"/>
            <w:vAlign w:val="center"/>
          </w:tcPr>
          <w:p w14:paraId="5931675D">
            <w:pPr>
              <w:widowControl/>
              <w:spacing w:line="240" w:lineRule="auto"/>
              <w:jc w:val="center"/>
              <w:rPr>
                <w:rFonts w:ascii="宋体" w:hAnsi="宋体" w:cs="宋体"/>
                <w:kern w:val="0"/>
                <w:u w:val="single"/>
              </w:rPr>
            </w:pPr>
            <w:r>
              <w:rPr>
                <w:rFonts w:hint="eastAsia" w:ascii="宋体" w:hAnsi="宋体" w:cs="宋体"/>
                <w:kern w:val="0"/>
              </w:rPr>
              <w:t>得分</w:t>
            </w:r>
          </w:p>
        </w:tc>
      </w:tr>
      <w:tr w14:paraId="0989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vMerge w:val="continue"/>
            <w:noWrap/>
            <w:vAlign w:val="center"/>
          </w:tcPr>
          <w:p w14:paraId="303077B3">
            <w:pPr>
              <w:widowControl/>
              <w:spacing w:line="240" w:lineRule="auto"/>
              <w:jc w:val="left"/>
              <w:rPr>
                <w:rFonts w:ascii="宋体" w:hAnsi="宋体" w:cs="宋体"/>
                <w:kern w:val="0"/>
              </w:rPr>
            </w:pPr>
          </w:p>
        </w:tc>
        <w:tc>
          <w:tcPr>
            <w:tcW w:w="1417" w:type="dxa"/>
            <w:noWrap/>
            <w:vAlign w:val="center"/>
          </w:tcPr>
          <w:p w14:paraId="4C5FA960">
            <w:pPr>
              <w:widowControl/>
              <w:spacing w:line="240" w:lineRule="auto"/>
              <w:jc w:val="left"/>
              <w:rPr>
                <w:rFonts w:ascii="宋体" w:hAnsi="宋体" w:cs="宋体"/>
                <w:kern w:val="0"/>
              </w:rPr>
            </w:pPr>
            <w:r>
              <w:rPr>
                <w:rFonts w:hint="eastAsia" w:ascii="宋体" w:hAnsi="宋体" w:cs="宋体"/>
                <w:kern w:val="0"/>
              </w:rPr>
              <w:t>第一名</w:t>
            </w:r>
          </w:p>
        </w:tc>
        <w:tc>
          <w:tcPr>
            <w:tcW w:w="2799" w:type="dxa"/>
            <w:vAlign w:val="center"/>
          </w:tcPr>
          <w:p w14:paraId="40FD9B58">
            <w:pPr>
              <w:widowControl/>
              <w:spacing w:line="240" w:lineRule="auto"/>
              <w:jc w:val="left"/>
              <w:rPr>
                <w:rFonts w:ascii="宋体" w:hAnsi="宋体" w:cs="宋体"/>
                <w:kern w:val="0"/>
              </w:rPr>
            </w:pPr>
          </w:p>
        </w:tc>
        <w:tc>
          <w:tcPr>
            <w:tcW w:w="1118" w:type="dxa"/>
            <w:vAlign w:val="center"/>
          </w:tcPr>
          <w:p w14:paraId="080A71A2">
            <w:pPr>
              <w:widowControl/>
              <w:spacing w:line="240" w:lineRule="auto"/>
              <w:jc w:val="left"/>
              <w:rPr>
                <w:rFonts w:ascii="宋体" w:hAnsi="宋体" w:cs="宋体"/>
                <w:kern w:val="0"/>
              </w:rPr>
            </w:pPr>
          </w:p>
        </w:tc>
        <w:tc>
          <w:tcPr>
            <w:tcW w:w="992" w:type="dxa"/>
            <w:vAlign w:val="center"/>
          </w:tcPr>
          <w:p w14:paraId="5645613F">
            <w:pPr>
              <w:widowControl/>
              <w:spacing w:line="240" w:lineRule="auto"/>
              <w:jc w:val="left"/>
              <w:rPr>
                <w:rFonts w:ascii="宋体" w:hAnsi="宋体" w:cs="宋体"/>
                <w:kern w:val="0"/>
              </w:rPr>
            </w:pPr>
          </w:p>
        </w:tc>
      </w:tr>
      <w:tr w14:paraId="79A1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vMerge w:val="continue"/>
            <w:noWrap/>
            <w:vAlign w:val="center"/>
          </w:tcPr>
          <w:p w14:paraId="56DF6349">
            <w:pPr>
              <w:widowControl/>
              <w:spacing w:line="240" w:lineRule="auto"/>
              <w:jc w:val="left"/>
              <w:rPr>
                <w:rFonts w:ascii="宋体" w:hAnsi="宋体" w:cs="宋体"/>
                <w:kern w:val="0"/>
              </w:rPr>
            </w:pPr>
          </w:p>
        </w:tc>
        <w:tc>
          <w:tcPr>
            <w:tcW w:w="1417" w:type="dxa"/>
            <w:noWrap/>
            <w:vAlign w:val="center"/>
          </w:tcPr>
          <w:p w14:paraId="2EA39118">
            <w:pPr>
              <w:widowControl/>
              <w:spacing w:line="240" w:lineRule="auto"/>
              <w:jc w:val="left"/>
              <w:rPr>
                <w:rFonts w:ascii="宋体" w:hAnsi="宋体" w:cs="宋体"/>
                <w:kern w:val="0"/>
              </w:rPr>
            </w:pPr>
            <w:r>
              <w:rPr>
                <w:rFonts w:hint="eastAsia" w:ascii="宋体" w:hAnsi="宋体" w:cs="宋体"/>
                <w:kern w:val="0"/>
              </w:rPr>
              <w:t>第二名</w:t>
            </w:r>
          </w:p>
        </w:tc>
        <w:tc>
          <w:tcPr>
            <w:tcW w:w="2799" w:type="dxa"/>
            <w:vAlign w:val="center"/>
          </w:tcPr>
          <w:p w14:paraId="403E37A5">
            <w:pPr>
              <w:widowControl/>
              <w:spacing w:line="240" w:lineRule="auto"/>
              <w:jc w:val="left"/>
              <w:rPr>
                <w:rFonts w:ascii="宋体" w:hAnsi="宋体" w:cs="宋体"/>
                <w:kern w:val="0"/>
              </w:rPr>
            </w:pPr>
          </w:p>
        </w:tc>
        <w:tc>
          <w:tcPr>
            <w:tcW w:w="1118" w:type="dxa"/>
            <w:vAlign w:val="center"/>
          </w:tcPr>
          <w:p w14:paraId="4A0F878F">
            <w:pPr>
              <w:widowControl/>
              <w:spacing w:line="240" w:lineRule="auto"/>
              <w:jc w:val="left"/>
              <w:rPr>
                <w:rFonts w:ascii="宋体" w:hAnsi="宋体" w:cs="宋体"/>
                <w:kern w:val="0"/>
              </w:rPr>
            </w:pPr>
          </w:p>
        </w:tc>
        <w:tc>
          <w:tcPr>
            <w:tcW w:w="992" w:type="dxa"/>
            <w:vAlign w:val="center"/>
          </w:tcPr>
          <w:p w14:paraId="344C201F">
            <w:pPr>
              <w:widowControl/>
              <w:spacing w:line="240" w:lineRule="auto"/>
              <w:jc w:val="left"/>
              <w:rPr>
                <w:rFonts w:ascii="宋体" w:hAnsi="宋体" w:cs="宋体"/>
                <w:kern w:val="0"/>
              </w:rPr>
            </w:pPr>
          </w:p>
        </w:tc>
      </w:tr>
      <w:tr w14:paraId="43C0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vMerge w:val="continue"/>
            <w:noWrap/>
            <w:vAlign w:val="center"/>
          </w:tcPr>
          <w:p w14:paraId="51962919">
            <w:pPr>
              <w:widowControl/>
              <w:spacing w:line="240" w:lineRule="auto"/>
              <w:jc w:val="left"/>
              <w:rPr>
                <w:rFonts w:ascii="宋体" w:hAnsi="宋体" w:cs="宋体"/>
                <w:kern w:val="0"/>
              </w:rPr>
            </w:pPr>
          </w:p>
        </w:tc>
        <w:tc>
          <w:tcPr>
            <w:tcW w:w="1417" w:type="dxa"/>
            <w:noWrap/>
            <w:vAlign w:val="center"/>
          </w:tcPr>
          <w:p w14:paraId="17FD4BFB">
            <w:pPr>
              <w:widowControl/>
              <w:spacing w:line="240" w:lineRule="auto"/>
              <w:jc w:val="left"/>
              <w:rPr>
                <w:rFonts w:ascii="宋体" w:hAnsi="宋体" w:cs="宋体"/>
                <w:kern w:val="0"/>
              </w:rPr>
            </w:pPr>
            <w:r>
              <w:rPr>
                <w:rFonts w:hint="eastAsia" w:ascii="宋体" w:hAnsi="宋体" w:cs="宋体"/>
                <w:kern w:val="0"/>
              </w:rPr>
              <w:t>第三名</w:t>
            </w:r>
          </w:p>
        </w:tc>
        <w:tc>
          <w:tcPr>
            <w:tcW w:w="2799" w:type="dxa"/>
            <w:vAlign w:val="center"/>
          </w:tcPr>
          <w:p w14:paraId="3230138C">
            <w:pPr>
              <w:widowControl/>
              <w:spacing w:line="240" w:lineRule="auto"/>
              <w:jc w:val="left"/>
              <w:rPr>
                <w:rFonts w:ascii="宋体" w:hAnsi="宋体" w:cs="宋体"/>
                <w:kern w:val="0"/>
              </w:rPr>
            </w:pPr>
          </w:p>
        </w:tc>
        <w:tc>
          <w:tcPr>
            <w:tcW w:w="1118" w:type="dxa"/>
            <w:vAlign w:val="center"/>
          </w:tcPr>
          <w:p w14:paraId="124F9A4C">
            <w:pPr>
              <w:widowControl/>
              <w:spacing w:line="240" w:lineRule="auto"/>
              <w:jc w:val="left"/>
              <w:rPr>
                <w:rFonts w:ascii="宋体" w:hAnsi="宋体" w:cs="宋体"/>
                <w:kern w:val="0"/>
              </w:rPr>
            </w:pPr>
          </w:p>
        </w:tc>
        <w:tc>
          <w:tcPr>
            <w:tcW w:w="992" w:type="dxa"/>
            <w:vAlign w:val="center"/>
          </w:tcPr>
          <w:p w14:paraId="443CD30A">
            <w:pPr>
              <w:widowControl/>
              <w:spacing w:line="240" w:lineRule="auto"/>
              <w:jc w:val="left"/>
              <w:rPr>
                <w:rFonts w:ascii="宋体" w:hAnsi="宋体" w:cs="宋体"/>
                <w:kern w:val="0"/>
              </w:rPr>
            </w:pPr>
          </w:p>
        </w:tc>
      </w:tr>
      <w:tr w14:paraId="66B1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09" w:type="dxa"/>
            <w:noWrap/>
            <w:vAlign w:val="center"/>
          </w:tcPr>
          <w:p w14:paraId="0C4A2F06">
            <w:pPr>
              <w:widowControl/>
              <w:spacing w:line="240" w:lineRule="auto"/>
              <w:jc w:val="left"/>
              <w:rPr>
                <w:rFonts w:ascii="宋体" w:hAnsi="宋体" w:cs="宋体"/>
                <w:kern w:val="0"/>
              </w:rPr>
            </w:pPr>
            <w:r>
              <w:rPr>
                <w:rFonts w:hint="eastAsia" w:ascii="宋体" w:hAnsi="宋体" w:cs="宋体"/>
                <w:kern w:val="0"/>
              </w:rPr>
              <w:t>其他需要说明的事项</w:t>
            </w:r>
          </w:p>
        </w:tc>
        <w:tc>
          <w:tcPr>
            <w:tcW w:w="6326" w:type="dxa"/>
            <w:gridSpan w:val="4"/>
            <w:noWrap/>
            <w:vAlign w:val="center"/>
          </w:tcPr>
          <w:p w14:paraId="0F88B7F7">
            <w:pPr>
              <w:widowControl/>
              <w:spacing w:line="240" w:lineRule="auto"/>
              <w:jc w:val="left"/>
              <w:rPr>
                <w:rFonts w:ascii="宋体" w:hAnsi="宋体" w:cs="宋体"/>
                <w:kern w:val="0"/>
              </w:rPr>
            </w:pPr>
          </w:p>
        </w:tc>
      </w:tr>
      <w:tr w14:paraId="0535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jc w:val="center"/>
        </w:trPr>
        <w:tc>
          <w:tcPr>
            <w:tcW w:w="3109" w:type="dxa"/>
            <w:noWrap/>
            <w:vAlign w:val="center"/>
          </w:tcPr>
          <w:p w14:paraId="63AEEBBA">
            <w:pPr>
              <w:widowControl/>
              <w:spacing w:line="240" w:lineRule="auto"/>
              <w:jc w:val="left"/>
              <w:rPr>
                <w:rFonts w:ascii="宋体" w:hAnsi="宋体" w:cs="宋体"/>
                <w:kern w:val="0"/>
              </w:rPr>
            </w:pPr>
            <w:r>
              <w:rPr>
                <w:rFonts w:hint="eastAsia" w:ascii="宋体" w:hAnsi="宋体" w:cs="宋体"/>
                <w:kern w:val="0"/>
              </w:rPr>
              <w:t>评标委员会全体成员签名：</w:t>
            </w:r>
          </w:p>
        </w:tc>
        <w:tc>
          <w:tcPr>
            <w:tcW w:w="6326" w:type="dxa"/>
            <w:gridSpan w:val="4"/>
            <w:noWrap/>
            <w:vAlign w:val="center"/>
          </w:tcPr>
          <w:p w14:paraId="3D5093D8">
            <w:pPr>
              <w:widowControl/>
              <w:spacing w:line="240" w:lineRule="auto"/>
              <w:jc w:val="right"/>
              <w:rPr>
                <w:rFonts w:ascii="宋体" w:hAnsi="宋体" w:cs="宋体"/>
                <w:kern w:val="0"/>
              </w:rPr>
            </w:pPr>
          </w:p>
          <w:p w14:paraId="46137956">
            <w:pPr>
              <w:widowControl/>
              <w:spacing w:line="240" w:lineRule="auto"/>
              <w:jc w:val="right"/>
              <w:rPr>
                <w:rFonts w:ascii="宋体" w:hAnsi="宋体" w:cs="宋体"/>
                <w:kern w:val="0"/>
              </w:rPr>
            </w:pPr>
          </w:p>
          <w:p w14:paraId="12242DF5">
            <w:pPr>
              <w:jc w:val="right"/>
              <w:rPr>
                <w:rFonts w:ascii="宋体" w:hAnsi="宋体" w:cs="宋体"/>
                <w:kern w:val="0"/>
              </w:rPr>
            </w:pPr>
            <w:r>
              <w:rPr>
                <w:rFonts w:hint="eastAsia" w:ascii="宋体" w:hAnsi="宋体" w:cs="宋体"/>
                <w:kern w:val="0"/>
              </w:rPr>
              <w:t xml:space="preserve">  年   月   日</w:t>
            </w:r>
          </w:p>
        </w:tc>
      </w:tr>
    </w:tbl>
    <w:p w14:paraId="7BFC22D9">
      <w:r>
        <w:rPr>
          <w:rFonts w:hint="eastAsia" w:ascii="宋体" w:hAnsi="宋体" w:cs="宋体"/>
          <w:szCs w:val="21"/>
        </w:rPr>
        <w:br w:type="page"/>
      </w:r>
      <w:bookmarkEnd w:id="269"/>
      <w:bookmarkEnd w:id="270"/>
      <w:bookmarkEnd w:id="271"/>
    </w:p>
    <w:p w14:paraId="768F9E20">
      <w:pPr>
        <w:pStyle w:val="4"/>
        <w:spacing w:before="0" w:after="0" w:line="276" w:lineRule="auto"/>
        <w:ind w:left="2760" w:leftChars="1150" w:right="2760" w:rightChars="1150"/>
        <w:rPr>
          <w:bCs w:val="0"/>
        </w:rPr>
      </w:pPr>
      <w:bookmarkStart w:id="275" w:name="_Toc152045609"/>
      <w:bookmarkStart w:id="276" w:name="_Toc152042387"/>
      <w:bookmarkStart w:id="277" w:name="_Toc324338067"/>
      <w:bookmarkStart w:id="278" w:name="_Toc179632627"/>
      <w:bookmarkStart w:id="279" w:name="_Toc489214202"/>
      <w:bookmarkStart w:id="280" w:name="OLE_LINK76"/>
      <w:bookmarkStart w:id="281" w:name="_Toc144974577"/>
      <w:bookmarkStart w:id="282" w:name="_Toc29870"/>
      <w:bookmarkStart w:id="283" w:name="_Toc26642"/>
      <w:bookmarkStart w:id="284" w:name="_Toc402858988"/>
      <w:bookmarkStart w:id="285" w:name="_Toc297884604"/>
      <w:bookmarkStart w:id="286" w:name="_Toc439166164"/>
      <w:bookmarkStart w:id="287" w:name="OLE_LINK75"/>
      <w:bookmarkStart w:id="288" w:name="_Toc386206214"/>
      <w:bookmarkStart w:id="289" w:name="_Toc16770"/>
      <w:bookmarkStart w:id="290" w:name="_Toc22855"/>
      <w:bookmarkStart w:id="291" w:name="_Toc402888079"/>
      <w:bookmarkStart w:id="292" w:name="_Toc1786"/>
      <w:bookmarkStart w:id="293" w:name="_Toc402863918"/>
    </w:p>
    <w:p w14:paraId="20A9CAE1">
      <w:pPr>
        <w:pStyle w:val="4"/>
        <w:spacing w:before="0" w:after="0" w:line="276" w:lineRule="auto"/>
        <w:ind w:left="2760" w:leftChars="1150" w:right="2760" w:rightChars="1150"/>
        <w:rPr>
          <w:bCs w:val="0"/>
        </w:rPr>
      </w:pPr>
    </w:p>
    <w:p w14:paraId="033A7462">
      <w:pPr>
        <w:pStyle w:val="4"/>
        <w:spacing w:before="0" w:after="0" w:line="276" w:lineRule="auto"/>
        <w:ind w:left="2760" w:leftChars="1150" w:right="2760" w:rightChars="1150"/>
        <w:rPr>
          <w:bCs w:val="0"/>
        </w:rPr>
      </w:pPr>
    </w:p>
    <w:p w14:paraId="3B0CCB51">
      <w:pPr>
        <w:pStyle w:val="4"/>
        <w:spacing w:before="0" w:after="0" w:line="276" w:lineRule="auto"/>
        <w:ind w:left="2760" w:leftChars="1150" w:right="2760" w:rightChars="1150"/>
        <w:rPr>
          <w:bCs w:val="0"/>
        </w:rPr>
      </w:pPr>
    </w:p>
    <w:p w14:paraId="7EB25D65">
      <w:pPr>
        <w:pStyle w:val="4"/>
        <w:spacing w:before="0" w:after="0" w:line="276" w:lineRule="auto"/>
        <w:ind w:left="2760" w:leftChars="1150" w:right="2760" w:rightChars="1150"/>
        <w:rPr>
          <w:bCs w:val="0"/>
        </w:rPr>
      </w:pPr>
    </w:p>
    <w:p w14:paraId="162F1EE9">
      <w:pPr>
        <w:pStyle w:val="4"/>
        <w:spacing w:before="0" w:after="0" w:line="276" w:lineRule="auto"/>
        <w:ind w:left="2760" w:leftChars="1150" w:right="2760" w:rightChars="1150"/>
        <w:rPr>
          <w:bCs w:val="0"/>
        </w:rPr>
      </w:pPr>
    </w:p>
    <w:p w14:paraId="47898574">
      <w:pPr>
        <w:pStyle w:val="4"/>
        <w:spacing w:before="0" w:after="0" w:line="276" w:lineRule="auto"/>
        <w:ind w:left="2760" w:leftChars="1150" w:right="2760" w:rightChars="1150"/>
        <w:rPr>
          <w:bCs w:val="0"/>
        </w:rPr>
      </w:pPr>
    </w:p>
    <w:p w14:paraId="1A03B589">
      <w:pPr>
        <w:pStyle w:val="4"/>
        <w:spacing w:before="0" w:after="0" w:line="276" w:lineRule="auto"/>
        <w:ind w:left="2760" w:leftChars="1150" w:right="2760" w:rightChars="1150"/>
        <w:rPr>
          <w:bCs w:val="0"/>
        </w:rPr>
      </w:pPr>
    </w:p>
    <w:p w14:paraId="77CE2B5F">
      <w:pPr>
        <w:pStyle w:val="4"/>
        <w:spacing w:before="0" w:after="0" w:line="276" w:lineRule="auto"/>
        <w:ind w:left="2760" w:leftChars="1150" w:right="2760" w:rightChars="1150"/>
        <w:rPr>
          <w:bCs w:val="0"/>
        </w:rPr>
      </w:pPr>
    </w:p>
    <w:p w14:paraId="27FB27F0">
      <w:pPr>
        <w:ind w:left="-10" w:firstLine="10"/>
        <w:jc w:val="center"/>
        <w:outlineLvl w:val="0"/>
        <w:rPr>
          <w:b/>
          <w:bCs/>
          <w:sz w:val="44"/>
          <w:szCs w:val="44"/>
        </w:rPr>
      </w:pPr>
      <w:bookmarkStart w:id="294" w:name="_Toc20039"/>
      <w:r>
        <w:rPr>
          <w:rFonts w:hint="eastAsia"/>
          <w:b/>
          <w:bCs/>
          <w:sz w:val="44"/>
          <w:szCs w:val="44"/>
        </w:rPr>
        <w:t>第五章 合同</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Start w:id="295" w:name="_Toc258910989"/>
      <w:bookmarkStart w:id="296" w:name="_Toc161757656"/>
      <w:bookmarkStart w:id="297" w:name="_Toc138475028"/>
      <w:bookmarkStart w:id="298" w:name="_Toc206551847"/>
      <w:bookmarkStart w:id="299" w:name="_Toc206551858"/>
      <w:bookmarkStart w:id="300" w:name="_Toc202258389"/>
      <w:bookmarkStart w:id="301" w:name="_Toc205019542"/>
      <w:bookmarkStart w:id="302" w:name="_Toc205023366"/>
      <w:r>
        <w:rPr>
          <w:rFonts w:hint="eastAsia"/>
          <w:b/>
          <w:bCs/>
          <w:sz w:val="44"/>
          <w:szCs w:val="44"/>
        </w:rPr>
        <w:t>条款及格式</w:t>
      </w:r>
      <w:bookmarkEnd w:id="294"/>
    </w:p>
    <w:bookmarkEnd w:id="145"/>
    <w:bookmarkEnd w:id="295"/>
    <w:bookmarkEnd w:id="296"/>
    <w:bookmarkEnd w:id="297"/>
    <w:bookmarkEnd w:id="298"/>
    <w:bookmarkEnd w:id="299"/>
    <w:bookmarkEnd w:id="300"/>
    <w:bookmarkEnd w:id="301"/>
    <w:bookmarkEnd w:id="302"/>
    <w:p w14:paraId="71A99FA4">
      <w:pPr>
        <w:rPr>
          <w:sz w:val="32"/>
          <w:szCs w:val="32"/>
        </w:rPr>
      </w:pPr>
      <w:bookmarkStart w:id="303" w:name="_Toc27062"/>
      <w:r>
        <w:rPr>
          <w:rFonts w:hint="eastAsia"/>
          <w:sz w:val="32"/>
          <w:szCs w:val="32"/>
        </w:rPr>
        <w:br w:type="page"/>
      </w:r>
    </w:p>
    <w:p w14:paraId="2ECA6100">
      <w:pPr>
        <w:snapToGrid w:val="0"/>
        <w:spacing w:line="276" w:lineRule="auto"/>
        <w:rPr>
          <w:rFonts w:ascii="宋体" w:hAnsi="宋体"/>
          <w:bCs/>
        </w:rPr>
      </w:pPr>
      <w:r>
        <w:rPr>
          <w:rFonts w:hint="eastAsia" w:ascii="宋体" w:hAnsi="宋体"/>
          <w:bCs/>
        </w:rPr>
        <w:t>发包人合同编号：</w:t>
      </w:r>
    </w:p>
    <w:p w14:paraId="6FF94771">
      <w:pPr>
        <w:snapToGrid w:val="0"/>
        <w:rPr>
          <w:rFonts w:ascii="宋体" w:hAnsi="宋体"/>
        </w:rPr>
      </w:pPr>
      <w:r>
        <w:rPr>
          <w:rFonts w:hint="eastAsia" w:ascii="宋体" w:hAnsi="宋体"/>
        </w:rPr>
        <w:t>承包人合同编号：</w:t>
      </w:r>
    </w:p>
    <w:p w14:paraId="16E583BE">
      <w:pPr>
        <w:snapToGrid w:val="0"/>
        <w:jc w:val="right"/>
        <w:rPr>
          <w:rFonts w:ascii="宋体" w:hAnsi="宋体"/>
          <w:b/>
          <w:sz w:val="36"/>
          <w:szCs w:val="36"/>
        </w:rPr>
      </w:pPr>
    </w:p>
    <w:p w14:paraId="3FC9A838">
      <w:pPr>
        <w:snapToGrid w:val="0"/>
        <w:jc w:val="right"/>
        <w:rPr>
          <w:rFonts w:ascii="宋体" w:hAnsi="宋体"/>
          <w:b/>
          <w:sz w:val="36"/>
          <w:szCs w:val="36"/>
        </w:rPr>
      </w:pPr>
    </w:p>
    <w:p w14:paraId="4BBE0642">
      <w:pPr>
        <w:snapToGrid w:val="0"/>
        <w:jc w:val="center"/>
        <w:rPr>
          <w:rFonts w:ascii="宋体" w:hAnsi="宋体" w:cs="宋体"/>
          <w:b/>
          <w:spacing w:val="4"/>
          <w:kern w:val="13"/>
          <w:position w:val="2"/>
          <w:sz w:val="52"/>
          <w:szCs w:val="52"/>
          <w:u w:val="single"/>
        </w:rPr>
      </w:pPr>
      <w:r>
        <w:rPr>
          <w:rFonts w:hint="eastAsia" w:ascii="宋体" w:hAnsi="宋体" w:cs="宋体"/>
          <w:b/>
          <w:spacing w:val="4"/>
          <w:kern w:val="13"/>
          <w:position w:val="2"/>
          <w:sz w:val="52"/>
          <w:szCs w:val="52"/>
          <w:u w:val="single"/>
        </w:rPr>
        <w:t>广澳高速中山服务区西区加油站重建</w:t>
      </w:r>
    </w:p>
    <w:p w14:paraId="47BC7939">
      <w:pPr>
        <w:snapToGrid w:val="0"/>
        <w:jc w:val="center"/>
        <w:rPr>
          <w:rFonts w:ascii="宋体" w:hAnsi="宋体" w:cs="宋体"/>
          <w:b/>
          <w:spacing w:val="4"/>
          <w:kern w:val="13"/>
          <w:position w:val="2"/>
          <w:sz w:val="52"/>
          <w:szCs w:val="52"/>
        </w:rPr>
      </w:pPr>
      <w:r>
        <w:rPr>
          <w:rFonts w:hint="eastAsia" w:ascii="宋体" w:hAnsi="宋体" w:cs="宋体"/>
          <w:b/>
          <w:spacing w:val="4"/>
          <w:kern w:val="13"/>
          <w:position w:val="2"/>
          <w:sz w:val="52"/>
          <w:szCs w:val="52"/>
          <w:u w:val="single"/>
        </w:rPr>
        <w:t>项目土建工程</w:t>
      </w:r>
      <w:r>
        <w:rPr>
          <w:rFonts w:hint="eastAsia" w:ascii="宋体" w:hAnsi="宋体" w:cs="宋体"/>
          <w:b/>
          <w:spacing w:val="4"/>
          <w:kern w:val="13"/>
          <w:position w:val="2"/>
          <w:sz w:val="52"/>
          <w:szCs w:val="52"/>
        </w:rPr>
        <w:t>施工合同</w:t>
      </w:r>
    </w:p>
    <w:p w14:paraId="3C716070">
      <w:pPr>
        <w:snapToGrid w:val="0"/>
      </w:pPr>
    </w:p>
    <w:p w14:paraId="47BBC37D">
      <w:pPr>
        <w:snapToGrid w:val="0"/>
      </w:pPr>
    </w:p>
    <w:p w14:paraId="0DC47A05">
      <w:pPr>
        <w:snapToGrid w:val="0"/>
      </w:pPr>
    </w:p>
    <w:p w14:paraId="31732C58">
      <w:pPr>
        <w:snapToGrid w:val="0"/>
      </w:pPr>
    </w:p>
    <w:p w14:paraId="70FAB3C0">
      <w:pPr>
        <w:snapToGrid w:val="0"/>
      </w:pPr>
    </w:p>
    <w:p w14:paraId="5754C9EB">
      <w:pPr>
        <w:snapToGrid w:val="0"/>
      </w:pPr>
    </w:p>
    <w:p w14:paraId="1F4ABB06">
      <w:pPr>
        <w:snapToGrid w:val="0"/>
      </w:pPr>
    </w:p>
    <w:p w14:paraId="7C20DE09">
      <w:pPr>
        <w:snapToGrid w:val="0"/>
      </w:pPr>
    </w:p>
    <w:p w14:paraId="7B09B7A5">
      <w:pPr>
        <w:snapToGrid w:val="0"/>
      </w:pPr>
    </w:p>
    <w:p w14:paraId="236DFAE8">
      <w:pPr>
        <w:snapToGrid w:val="0"/>
      </w:pPr>
    </w:p>
    <w:p w14:paraId="06FAF017">
      <w:pPr>
        <w:snapToGrid w:val="0"/>
        <w:spacing w:line="600" w:lineRule="auto"/>
      </w:pPr>
    </w:p>
    <w:p w14:paraId="0326FAE2">
      <w:pPr>
        <w:snapToGrid w:val="0"/>
        <w:spacing w:line="600" w:lineRule="auto"/>
        <w:ind w:firstLine="960" w:firstLineChars="300"/>
      </w:pPr>
      <w:r>
        <w:rPr>
          <w:rFonts w:hint="eastAsia" w:ascii="宋体" w:hAnsi="宋体"/>
          <w:bCs/>
          <w:sz w:val="32"/>
          <w:szCs w:val="32"/>
        </w:rPr>
        <w:t>建设单位</w:t>
      </w:r>
      <w:r>
        <w:rPr>
          <w:rFonts w:ascii="宋体" w:hAnsi="宋体"/>
          <w:bCs/>
          <w:sz w:val="32"/>
          <w:szCs w:val="32"/>
        </w:rPr>
        <w:t>：</w:t>
      </w:r>
      <w:r>
        <w:rPr>
          <w:rFonts w:hint="eastAsia" w:ascii="宋体" w:hAnsi="宋体"/>
          <w:bCs/>
          <w:sz w:val="32"/>
          <w:szCs w:val="32"/>
          <w:u w:val="single"/>
        </w:rPr>
        <w:t xml:space="preserve">                      </w:t>
      </w:r>
    </w:p>
    <w:p w14:paraId="07D128C2">
      <w:pPr>
        <w:snapToGrid w:val="0"/>
        <w:spacing w:line="600" w:lineRule="auto"/>
        <w:ind w:firstLine="640" w:firstLineChars="200"/>
        <w:jc w:val="left"/>
        <w:rPr>
          <w:rFonts w:ascii="宋体" w:hAnsi="宋体"/>
          <w:bCs/>
          <w:sz w:val="28"/>
          <w:szCs w:val="28"/>
        </w:rPr>
      </w:pPr>
      <w:r>
        <w:rPr>
          <w:rFonts w:hint="eastAsia" w:ascii="宋体" w:hAnsi="宋体"/>
          <w:bCs/>
          <w:sz w:val="32"/>
          <w:szCs w:val="32"/>
        </w:rPr>
        <w:t>发</w:t>
      </w:r>
      <w:r>
        <w:rPr>
          <w:rFonts w:ascii="宋体" w:hAnsi="宋体"/>
          <w:bCs/>
          <w:sz w:val="32"/>
          <w:szCs w:val="32"/>
        </w:rPr>
        <w:t xml:space="preserve"> </w:t>
      </w:r>
      <w:r>
        <w:rPr>
          <w:rFonts w:hint="eastAsia" w:ascii="宋体" w:hAnsi="宋体"/>
          <w:bCs/>
          <w:sz w:val="32"/>
          <w:szCs w:val="32"/>
        </w:rPr>
        <w:t>包</w:t>
      </w:r>
      <w:r>
        <w:rPr>
          <w:rFonts w:ascii="宋体" w:hAnsi="宋体"/>
          <w:bCs/>
          <w:sz w:val="32"/>
          <w:szCs w:val="32"/>
        </w:rPr>
        <w:t xml:space="preserve"> </w:t>
      </w:r>
      <w:r>
        <w:rPr>
          <w:rFonts w:hint="eastAsia" w:ascii="宋体" w:hAnsi="宋体"/>
          <w:bCs/>
          <w:sz w:val="32"/>
          <w:szCs w:val="32"/>
        </w:rPr>
        <w:t>人</w:t>
      </w:r>
      <w:r>
        <w:rPr>
          <w:rFonts w:ascii="宋体" w:hAnsi="宋体"/>
          <w:bCs/>
          <w:sz w:val="32"/>
          <w:szCs w:val="32"/>
        </w:rPr>
        <w:t>：</w:t>
      </w:r>
      <w:r>
        <w:rPr>
          <w:rFonts w:hint="eastAsia" w:ascii="宋体" w:hAnsi="宋体"/>
          <w:bCs/>
          <w:sz w:val="28"/>
          <w:szCs w:val="28"/>
        </w:rPr>
        <w:t>广东中粤通油品经营有限公司 </w:t>
      </w:r>
    </w:p>
    <w:p w14:paraId="2E7E5734">
      <w:pPr>
        <w:snapToGrid w:val="0"/>
        <w:spacing w:line="600" w:lineRule="auto"/>
        <w:ind w:firstLine="640" w:firstLineChars="200"/>
        <w:jc w:val="left"/>
        <w:rPr>
          <w:rFonts w:ascii="宋体" w:hAnsi="宋体"/>
          <w:b/>
          <w:spacing w:val="10"/>
          <w:u w:val="single"/>
        </w:rPr>
      </w:pPr>
      <w:r>
        <w:rPr>
          <w:rFonts w:hint="eastAsia" w:ascii="宋体" w:hAnsi="宋体"/>
          <w:bCs/>
          <w:sz w:val="32"/>
          <w:szCs w:val="32"/>
        </w:rPr>
        <w:t>承</w:t>
      </w:r>
      <w:r>
        <w:rPr>
          <w:rFonts w:ascii="宋体" w:hAnsi="宋体"/>
          <w:bCs/>
          <w:sz w:val="32"/>
          <w:szCs w:val="32"/>
        </w:rPr>
        <w:t xml:space="preserve"> </w:t>
      </w:r>
      <w:r>
        <w:rPr>
          <w:rFonts w:hint="eastAsia" w:ascii="宋体" w:hAnsi="宋体"/>
          <w:bCs/>
          <w:sz w:val="32"/>
          <w:szCs w:val="32"/>
        </w:rPr>
        <w:t>包</w:t>
      </w:r>
      <w:r>
        <w:rPr>
          <w:rFonts w:ascii="宋体" w:hAnsi="宋体"/>
          <w:bCs/>
          <w:sz w:val="32"/>
          <w:szCs w:val="32"/>
        </w:rPr>
        <w:t xml:space="preserve"> </w:t>
      </w:r>
      <w:r>
        <w:rPr>
          <w:rFonts w:hint="eastAsia" w:ascii="宋体" w:hAnsi="宋体"/>
          <w:bCs/>
          <w:sz w:val="32"/>
          <w:szCs w:val="32"/>
        </w:rPr>
        <w:t>人</w:t>
      </w:r>
      <w:r>
        <w:rPr>
          <w:rFonts w:ascii="宋体" w:hAnsi="宋体"/>
          <w:bCs/>
          <w:sz w:val="32"/>
          <w:szCs w:val="32"/>
        </w:rPr>
        <w:t>：</w:t>
      </w:r>
      <w:r>
        <w:rPr>
          <w:rFonts w:hint="eastAsia" w:ascii="宋体" w:hAnsi="宋体"/>
          <w:u w:val="single"/>
        </w:rPr>
        <w:t xml:space="preserve">                             </w:t>
      </w:r>
    </w:p>
    <w:p w14:paraId="538DD6BA">
      <w:pPr>
        <w:snapToGrid w:val="0"/>
        <w:spacing w:line="600" w:lineRule="auto"/>
        <w:ind w:firstLine="640" w:firstLineChars="200"/>
        <w:rPr>
          <w:rFonts w:ascii="宋体" w:hAnsi="宋体"/>
          <w:bCs/>
          <w:sz w:val="32"/>
          <w:szCs w:val="32"/>
          <w:u w:val="single"/>
        </w:rPr>
      </w:pPr>
    </w:p>
    <w:p w14:paraId="460F3D57">
      <w:pPr>
        <w:snapToGrid w:val="0"/>
        <w:spacing w:line="600" w:lineRule="auto"/>
        <w:ind w:firstLine="992" w:firstLineChars="310"/>
        <w:rPr>
          <w:rFonts w:ascii="宋体" w:hAnsi="宋体"/>
          <w:bCs/>
          <w:sz w:val="32"/>
          <w:szCs w:val="32"/>
        </w:rPr>
      </w:pPr>
      <w:bookmarkStart w:id="304" w:name="_Toc439160015"/>
      <w:bookmarkStart w:id="305" w:name="_Toc410986357"/>
    </w:p>
    <w:p w14:paraId="2D8F95F4">
      <w:pPr>
        <w:jc w:val="center"/>
        <w:outlineLvl w:val="1"/>
        <w:rPr>
          <w:rFonts w:ascii="Arial" w:hAnsi="Arial"/>
          <w:b/>
          <w:bCs/>
          <w:kern w:val="0"/>
          <w:sz w:val="44"/>
          <w:szCs w:val="44"/>
        </w:rPr>
      </w:pPr>
      <w:bookmarkStart w:id="306" w:name="_Toc526793370"/>
      <w:bookmarkStart w:id="307" w:name="_Toc6241355"/>
      <w:bookmarkStart w:id="308" w:name="_Toc21802"/>
    </w:p>
    <w:p w14:paraId="0D0306FD">
      <w:pPr>
        <w:jc w:val="center"/>
        <w:outlineLvl w:val="1"/>
        <w:rPr>
          <w:rFonts w:ascii="Arial" w:hAnsi="Arial"/>
          <w:b/>
          <w:bCs/>
          <w:kern w:val="0"/>
          <w:sz w:val="44"/>
          <w:szCs w:val="44"/>
        </w:rPr>
      </w:pPr>
      <w:r>
        <w:rPr>
          <w:rFonts w:hint="eastAsia" w:ascii="Arial" w:hAnsi="Arial"/>
          <w:b/>
          <w:bCs/>
          <w:kern w:val="0"/>
          <w:sz w:val="44"/>
          <w:szCs w:val="44"/>
        </w:rPr>
        <w:t>第一部分</w:t>
      </w:r>
      <w:r>
        <w:rPr>
          <w:rFonts w:ascii="Arial" w:hAnsi="Arial"/>
          <w:b/>
          <w:bCs/>
          <w:kern w:val="0"/>
          <w:sz w:val="44"/>
          <w:szCs w:val="44"/>
        </w:rPr>
        <w:t xml:space="preserve"> </w:t>
      </w:r>
      <w:r>
        <w:rPr>
          <w:rFonts w:hint="eastAsia" w:ascii="Arial" w:hAnsi="Arial"/>
          <w:b/>
          <w:bCs/>
          <w:kern w:val="0"/>
          <w:sz w:val="44"/>
          <w:szCs w:val="44"/>
        </w:rPr>
        <w:t>合同协议书</w:t>
      </w:r>
      <w:bookmarkEnd w:id="304"/>
      <w:bookmarkEnd w:id="305"/>
      <w:bookmarkEnd w:id="306"/>
      <w:bookmarkEnd w:id="307"/>
      <w:bookmarkEnd w:id="308"/>
    </w:p>
    <w:p w14:paraId="2209CD14">
      <w:pPr>
        <w:snapToGrid w:val="0"/>
        <w:rPr>
          <w:rFonts w:ascii="宋体" w:hAnsi="宋体"/>
          <w:b/>
          <w:u w:val="single"/>
        </w:rPr>
      </w:pPr>
      <w:r>
        <w:rPr>
          <w:rFonts w:hint="eastAsia" w:ascii="宋体" w:hAnsi="宋体"/>
        </w:rPr>
        <w:t>发包人（全称）：</w:t>
      </w:r>
      <w:r>
        <w:rPr>
          <w:rFonts w:hint="eastAsia" w:ascii="宋体" w:hAnsi="宋体" w:cs="宋体"/>
        </w:rPr>
        <w:t>广东中粤通油品经营有限公司</w:t>
      </w:r>
      <w:r>
        <w:rPr>
          <w:rFonts w:ascii="宋体" w:hAnsi="宋体" w:cs="宋体"/>
        </w:rPr>
        <w:t> </w:t>
      </w:r>
    </w:p>
    <w:p w14:paraId="3DD609B0">
      <w:pPr>
        <w:snapToGrid w:val="0"/>
        <w:rPr>
          <w:rFonts w:ascii="宋体" w:hAnsi="宋体"/>
          <w:b/>
          <w:spacing w:val="10"/>
          <w:u w:val="single"/>
        </w:rPr>
      </w:pPr>
      <w:r>
        <w:rPr>
          <w:rFonts w:hint="eastAsia" w:ascii="宋体" w:hAnsi="宋体"/>
        </w:rPr>
        <w:t>负责人：</w:t>
      </w:r>
      <w:r>
        <w:rPr>
          <w:rFonts w:hint="eastAsia" w:ascii="宋体" w:hAnsi="宋体"/>
          <w:u w:val="single"/>
        </w:rPr>
        <w:t xml:space="preserve">                             </w:t>
      </w:r>
    </w:p>
    <w:p w14:paraId="4CD8EABA">
      <w:pPr>
        <w:snapToGrid w:val="0"/>
        <w:rPr>
          <w:rFonts w:ascii="宋体" w:hAnsi="宋体"/>
          <w:b/>
        </w:rPr>
      </w:pPr>
    </w:p>
    <w:p w14:paraId="25AEFEE4">
      <w:pPr>
        <w:snapToGrid w:val="0"/>
        <w:rPr>
          <w:rFonts w:ascii="宋体" w:hAnsi="宋体"/>
          <w:b/>
          <w:spacing w:val="10"/>
          <w:u w:val="single"/>
        </w:rPr>
      </w:pPr>
      <w:r>
        <w:rPr>
          <w:rFonts w:hint="eastAsia" w:ascii="宋体" w:hAnsi="宋体"/>
        </w:rPr>
        <w:t>承包人（全称）：</w:t>
      </w:r>
      <w:r>
        <w:rPr>
          <w:rFonts w:hint="eastAsia" w:ascii="宋体" w:hAnsi="宋体"/>
          <w:u w:val="single"/>
        </w:rPr>
        <w:t xml:space="preserve">                             </w:t>
      </w:r>
    </w:p>
    <w:p w14:paraId="7318B1F2">
      <w:pPr>
        <w:snapToGrid w:val="0"/>
        <w:rPr>
          <w:rFonts w:ascii="宋体" w:hAnsi="宋体"/>
          <w:b/>
          <w:spacing w:val="10"/>
          <w:u w:val="single"/>
        </w:rPr>
      </w:pPr>
      <w:r>
        <w:rPr>
          <w:rFonts w:hint="eastAsia" w:ascii="宋体" w:hAnsi="宋体"/>
        </w:rPr>
        <w:t>法定代表人：</w:t>
      </w:r>
      <w:r>
        <w:rPr>
          <w:rFonts w:hint="eastAsia" w:ascii="宋体" w:hAnsi="宋体"/>
          <w:u w:val="single"/>
        </w:rPr>
        <w:t xml:space="preserve">                             </w:t>
      </w:r>
    </w:p>
    <w:p w14:paraId="010B08DD">
      <w:pPr>
        <w:snapToGrid w:val="0"/>
        <w:rPr>
          <w:rFonts w:ascii="宋体" w:hAnsi="宋体"/>
        </w:rPr>
      </w:pPr>
    </w:p>
    <w:p w14:paraId="149F06BD">
      <w:pPr>
        <w:adjustRightInd w:val="0"/>
        <w:snapToGrid w:val="0"/>
        <w:ind w:firstLine="480"/>
        <w:rPr>
          <w:rFonts w:ascii="宋体" w:hAnsi="宋体"/>
        </w:rPr>
      </w:pPr>
      <w:bookmarkStart w:id="309" w:name="_Toc511126498"/>
      <w:bookmarkStart w:id="310" w:name="_Toc511142875"/>
      <w:bookmarkStart w:id="311" w:name="_Toc514166944"/>
      <w:r>
        <w:rPr>
          <w:rFonts w:hint="eastAsia" w:ascii="宋体" w:hAnsi="宋体"/>
        </w:rPr>
        <w:t>依照《中华人民共和国建筑法》、《中华人民共和国招标投标法》、《中华人民共和国民法典》以及其他有关法律、行政法规的有关规定</w:t>
      </w:r>
      <w:r>
        <w:rPr>
          <w:rFonts w:ascii="宋体" w:hAnsi="宋体"/>
        </w:rPr>
        <w:t>,遵循平等、自愿、公平和诚实信用的原则，双方共同达成并签订如下协议。</w:t>
      </w:r>
    </w:p>
    <w:bookmarkEnd w:id="309"/>
    <w:bookmarkEnd w:id="310"/>
    <w:bookmarkEnd w:id="311"/>
    <w:p w14:paraId="489734D8">
      <w:pPr>
        <w:snapToGrid w:val="0"/>
        <w:ind w:firstLine="482" w:firstLineChars="200"/>
        <w:rPr>
          <w:rFonts w:ascii="宋体"/>
          <w:b/>
        </w:rPr>
      </w:pPr>
      <w:bookmarkStart w:id="312" w:name="_Toc514166946"/>
      <w:bookmarkStart w:id="313" w:name="_Toc511126500"/>
      <w:bookmarkStart w:id="314" w:name="_Toc511142877"/>
      <w:r>
        <w:rPr>
          <w:rFonts w:hint="eastAsia" w:ascii="宋体" w:hAnsi="宋体"/>
          <w:b/>
        </w:rPr>
        <w:t>一、工程概况</w:t>
      </w:r>
    </w:p>
    <w:p w14:paraId="150C3C46">
      <w:pPr>
        <w:snapToGrid w:val="0"/>
        <w:ind w:firstLine="480" w:firstLineChars="200"/>
        <w:jc w:val="left"/>
        <w:rPr>
          <w:rFonts w:ascii="宋体"/>
        </w:rPr>
      </w:pPr>
      <w:r>
        <w:rPr>
          <w:rFonts w:hint="eastAsia" w:ascii="宋体" w:hAnsi="宋体"/>
        </w:rPr>
        <w:t>工程名称：广澳高速中山服务区西区加油站重建项目。</w:t>
      </w:r>
    </w:p>
    <w:p w14:paraId="3C092471">
      <w:pPr>
        <w:snapToGrid w:val="0"/>
        <w:ind w:firstLine="480" w:firstLineChars="200"/>
        <w:rPr>
          <w:rFonts w:ascii="宋体"/>
        </w:rPr>
      </w:pPr>
      <w:r>
        <w:rPr>
          <w:rFonts w:hint="eastAsia" w:ascii="宋体" w:hAnsi="宋体"/>
        </w:rPr>
        <w:t>工程地点：中山市火炬开发区民众街道京珠高速公路广珠浪网路段K63路牌南行300米处（中山火炬高技术产业开发区）。</w:t>
      </w:r>
    </w:p>
    <w:p w14:paraId="40A8A40B">
      <w:pPr>
        <w:adjustRightInd w:val="0"/>
        <w:snapToGrid w:val="0"/>
        <w:ind w:firstLine="480" w:firstLineChars="200"/>
        <w:rPr>
          <w:rFonts w:ascii="宋体" w:hAnsi="宋体"/>
        </w:rPr>
      </w:pPr>
      <w:r>
        <w:rPr>
          <w:rFonts w:hint="eastAsia" w:ascii="宋体" w:hAnsi="宋体"/>
        </w:rPr>
        <w:t>工程内容：新建加油站位于广澳高速中山服务区西区，总用地面积2961.10平方米，建设混凝土框架结构站房一座（1层），建筑面积：200平方米 ，钢结构罩棚1座，面积：275.66平方米（投影面积：763平方米）;容量分别为50立方米柴油罐1个，50立方米汽油罐2个，20立方米汽油罐1个，总罐容170立方米，折合汽油容积145立方米，拟设置6枪加油机4台（含油气回收在线监测系统，共24支加油枪），尾气处理液加注机及储罐一套。</w:t>
      </w:r>
    </w:p>
    <w:p w14:paraId="052752FB">
      <w:pPr>
        <w:snapToGrid w:val="0"/>
        <w:ind w:firstLine="480" w:firstLineChars="200"/>
        <w:rPr>
          <w:rFonts w:ascii="宋体"/>
        </w:rPr>
      </w:pPr>
      <w:r>
        <w:rPr>
          <w:rFonts w:hint="eastAsia" w:ascii="宋体" w:hAnsi="宋体"/>
        </w:rPr>
        <w:t>资金来源：企业自筹。</w:t>
      </w:r>
    </w:p>
    <w:p w14:paraId="5B2413FB">
      <w:pPr>
        <w:snapToGrid w:val="0"/>
        <w:ind w:firstLine="482" w:firstLineChars="200"/>
        <w:rPr>
          <w:rFonts w:ascii="宋体"/>
          <w:b/>
        </w:rPr>
      </w:pPr>
      <w:r>
        <w:rPr>
          <w:rFonts w:hint="eastAsia" w:ascii="宋体" w:hAnsi="宋体"/>
          <w:b/>
        </w:rPr>
        <w:t>二、工程承包范围</w:t>
      </w:r>
    </w:p>
    <w:p w14:paraId="131E65D4">
      <w:pPr>
        <w:ind w:firstLine="480" w:firstLineChars="200"/>
        <w:rPr>
          <w:rFonts w:ascii="宋体" w:hAnsi="宋体"/>
        </w:rPr>
      </w:pPr>
      <w:r>
        <w:rPr>
          <w:rFonts w:hint="eastAsia" w:ascii="宋体" w:hAnsi="宋体"/>
        </w:rPr>
        <w:t>承包范围：广澳高速中山服务区西区加油站重建项目土建工程划分为 1个标段，工程内容包括但不仅限于土建工程、装修工程、室外道路工程、给排水工程、弱电气工程、罩棚檐口标识工程、防雷工程、设备安装等，从施工安装开始到竣工验收并投入运行后2年质保期满所含全部工程内容及工程质量保修服务。具体工程量详见发包人提供的招标文件、招标答疑文件、招标施工图纸、工程量清单、设计说明及补充说明有关资料。</w:t>
      </w:r>
    </w:p>
    <w:p w14:paraId="511169A7">
      <w:pPr>
        <w:snapToGrid w:val="0"/>
        <w:ind w:firstLine="482" w:firstLineChars="200"/>
        <w:rPr>
          <w:rFonts w:ascii="宋体"/>
          <w:b/>
        </w:rPr>
      </w:pPr>
      <w:r>
        <w:rPr>
          <w:rFonts w:hint="eastAsia" w:ascii="宋体" w:hAnsi="宋体"/>
          <w:b/>
        </w:rPr>
        <w:t>三、合同工期</w:t>
      </w:r>
    </w:p>
    <w:p w14:paraId="7422A84E">
      <w:pPr>
        <w:snapToGrid w:val="0"/>
        <w:ind w:firstLine="480" w:firstLineChars="200"/>
        <w:jc w:val="left"/>
        <w:rPr>
          <w:rFonts w:ascii="宋体" w:hAnsi="宋体"/>
        </w:rPr>
      </w:pPr>
      <w:r>
        <w:rPr>
          <w:rFonts w:hint="eastAsia" w:ascii="宋体" w:hAnsi="宋体"/>
        </w:rPr>
        <w:t>总工期：</w:t>
      </w:r>
      <w:r>
        <w:rPr>
          <w:rFonts w:hint="eastAsia" w:ascii="宋体" w:hAnsi="宋体"/>
          <w:u w:val="single"/>
        </w:rPr>
        <w:t xml:space="preserve">     </w:t>
      </w:r>
      <w:r>
        <w:rPr>
          <w:rFonts w:hint="eastAsia" w:ascii="宋体" w:hAnsi="宋体"/>
        </w:rPr>
        <w:t>天，主要工期节点：</w:t>
      </w:r>
    </w:p>
    <w:p w14:paraId="2B7A6713">
      <w:pPr>
        <w:snapToGrid w:val="0"/>
        <w:ind w:firstLine="480" w:firstLineChars="200"/>
        <w:rPr>
          <w:rFonts w:ascii="宋体" w:hAnsi="宋体"/>
        </w:rPr>
      </w:pPr>
      <w:r>
        <w:rPr>
          <w:rFonts w:hint="eastAsia" w:ascii="宋体" w:hAnsi="宋体"/>
        </w:rPr>
        <w:t>计划开工日期：</w:t>
      </w:r>
      <w:r>
        <w:rPr>
          <w:rFonts w:ascii="宋体" w:hAnsi="宋体"/>
        </w:rPr>
        <w:t>202</w:t>
      </w:r>
      <w:r>
        <w:rPr>
          <w:rFonts w:ascii="宋体" w:hAnsi="宋体"/>
          <w:u w:val="single"/>
        </w:rPr>
        <w:t xml:space="preserve">  </w:t>
      </w:r>
      <w:r>
        <w:rPr>
          <w:rFonts w:hint="eastAsia" w:ascii="宋体" w:hAnsi="宋体"/>
        </w:rPr>
        <w:t>年</w:t>
      </w:r>
      <w:r>
        <w:rPr>
          <w:rFonts w:ascii="宋体" w:hAnsi="宋体"/>
          <w:u w:val="single"/>
        </w:rPr>
        <w:t xml:space="preserve">  </w:t>
      </w:r>
      <w:r>
        <w:rPr>
          <w:rFonts w:hint="eastAsia" w:ascii="宋体" w:hAnsi="宋体"/>
        </w:rPr>
        <w:t>月</w:t>
      </w:r>
      <w:r>
        <w:rPr>
          <w:rFonts w:ascii="宋体" w:hAnsi="宋体"/>
          <w:u w:val="single"/>
        </w:rPr>
        <w:t xml:space="preserve">  </w:t>
      </w:r>
      <w:r>
        <w:rPr>
          <w:rFonts w:hint="eastAsia" w:ascii="宋体" w:hAnsi="宋体"/>
        </w:rPr>
        <w:t>日，实际开工日期以监理人发出的开工通知中载明的开工日期为准。</w:t>
      </w:r>
    </w:p>
    <w:p w14:paraId="012A2D7B">
      <w:pPr>
        <w:snapToGrid w:val="0"/>
        <w:ind w:firstLine="480" w:firstLineChars="200"/>
        <w:rPr>
          <w:rFonts w:ascii="宋体" w:hAnsi="宋体"/>
        </w:rPr>
      </w:pPr>
      <w:r>
        <w:rPr>
          <w:rFonts w:hint="eastAsia" w:ascii="宋体" w:hAnsi="宋体"/>
        </w:rPr>
        <w:t>计划交工日期：</w:t>
      </w:r>
      <w:r>
        <w:rPr>
          <w:rFonts w:ascii="宋体" w:hAnsi="宋体"/>
        </w:rPr>
        <w:t>202</w:t>
      </w:r>
      <w:r>
        <w:rPr>
          <w:rFonts w:ascii="宋体" w:hAnsi="宋体"/>
          <w:u w:val="single"/>
        </w:rPr>
        <w:t xml:space="preserve">  </w:t>
      </w:r>
      <w:r>
        <w:rPr>
          <w:rFonts w:hint="eastAsia" w:ascii="宋体" w:hAnsi="宋体"/>
        </w:rPr>
        <w:t>年</w:t>
      </w:r>
      <w:r>
        <w:rPr>
          <w:rFonts w:ascii="宋体" w:hAnsi="宋体"/>
          <w:u w:val="single"/>
        </w:rPr>
        <w:t xml:space="preserve">  </w:t>
      </w:r>
      <w:r>
        <w:rPr>
          <w:rFonts w:hint="eastAsia" w:ascii="宋体" w:hAnsi="宋体"/>
        </w:rPr>
        <w:t>月</w:t>
      </w:r>
      <w:r>
        <w:rPr>
          <w:rFonts w:ascii="宋体" w:hAnsi="宋体"/>
          <w:u w:val="single"/>
        </w:rPr>
        <w:t xml:space="preserve">  </w:t>
      </w:r>
      <w:r>
        <w:rPr>
          <w:rFonts w:hint="eastAsia" w:ascii="宋体" w:hAnsi="宋体"/>
        </w:rPr>
        <w:t>日，实际交工日期以发包人签署的工程交工证书的日期为准。</w:t>
      </w:r>
    </w:p>
    <w:p w14:paraId="5A638280">
      <w:pPr>
        <w:snapToGrid w:val="0"/>
        <w:ind w:firstLine="482" w:firstLineChars="200"/>
        <w:rPr>
          <w:rFonts w:ascii="宋体"/>
          <w:b/>
        </w:rPr>
      </w:pPr>
      <w:r>
        <w:rPr>
          <w:rFonts w:hint="eastAsia" w:ascii="宋体" w:hAnsi="宋体"/>
          <w:b/>
        </w:rPr>
        <w:t>四、质量标准</w:t>
      </w:r>
    </w:p>
    <w:p w14:paraId="28FF2E0A">
      <w:pPr>
        <w:snapToGrid w:val="0"/>
        <w:ind w:firstLine="480" w:firstLineChars="200"/>
        <w:rPr>
          <w:rFonts w:ascii="宋体" w:hAnsi="宋体"/>
        </w:rPr>
      </w:pPr>
      <w:r>
        <w:rPr>
          <w:rFonts w:hint="eastAsia" w:ascii="宋体" w:hAnsi="宋体"/>
        </w:rPr>
        <w:t>工程质量标准：合格。</w:t>
      </w:r>
      <w:r>
        <w:rPr>
          <w:rFonts w:ascii="宋体" w:hAnsi="宋体"/>
        </w:rPr>
        <w:t xml:space="preserve">    </w:t>
      </w:r>
    </w:p>
    <w:p w14:paraId="64A99C8D">
      <w:pPr>
        <w:snapToGrid w:val="0"/>
        <w:ind w:firstLine="482" w:firstLineChars="200"/>
        <w:rPr>
          <w:rFonts w:ascii="华文楷体" w:hAnsi="华文楷体" w:eastAsia="华文楷体"/>
        </w:rPr>
      </w:pPr>
      <w:r>
        <w:rPr>
          <w:rFonts w:hint="eastAsia" w:ascii="宋体" w:hAnsi="宋体"/>
          <w:b/>
        </w:rPr>
        <w:t>五、签约合同价款</w:t>
      </w:r>
    </w:p>
    <w:p w14:paraId="0C419D3C">
      <w:pPr>
        <w:snapToGrid w:val="0"/>
        <w:ind w:firstLine="480" w:firstLineChars="200"/>
        <w:rPr>
          <w:rFonts w:ascii="宋体" w:hAnsi="宋体"/>
        </w:rPr>
      </w:pPr>
      <w:r>
        <w:rPr>
          <w:rFonts w:ascii="宋体" w:hAnsi="宋体"/>
        </w:rPr>
        <w:t>1.本合同价款形式为：</w:t>
      </w:r>
      <w:r>
        <w:rPr>
          <w:rFonts w:ascii="宋体" w:hAnsi="宋体"/>
          <w:u w:val="single"/>
        </w:rPr>
        <w:t>综合单价包干、项目措施费包干、包工、包料、包设备、包工期、包质量、包设计深化、包安全生产、包文明施工、包竣工验收、包移交（含竣工资料）、包结算、包材料和设备检验和实验、包现场总体组织和管理配合服务、包质保期内工程质量保修</w:t>
      </w:r>
      <w:r>
        <w:rPr>
          <w:rFonts w:ascii="宋体" w:hAnsi="宋体"/>
        </w:rPr>
        <w:t>。</w:t>
      </w:r>
    </w:p>
    <w:p w14:paraId="64BA3EDC">
      <w:pPr>
        <w:snapToGrid w:val="0"/>
        <w:ind w:firstLine="480" w:firstLineChars="200"/>
        <w:rPr>
          <w:rFonts w:ascii="宋体" w:hAnsi="宋体"/>
        </w:rPr>
      </w:pPr>
      <w:r>
        <w:rPr>
          <w:rFonts w:ascii="宋体" w:hAnsi="宋体"/>
        </w:rPr>
        <w:t>2.签约合同价款（含税）为：人民币（大写</w:t>
      </w:r>
      <w:r>
        <w:rPr>
          <w:rFonts w:hint="eastAsia" w:ascii="宋体" w:hAnsi="宋体"/>
          <w:u w:val="single"/>
        </w:rPr>
        <w:t xml:space="preserve">      </w:t>
      </w:r>
      <w:r>
        <w:rPr>
          <w:rFonts w:ascii="宋体" w:hAnsi="宋体"/>
        </w:rPr>
        <w:t>）（¥</w:t>
      </w:r>
      <w:r>
        <w:rPr>
          <w:rFonts w:hint="eastAsia" w:ascii="宋体" w:hAnsi="宋体"/>
          <w:u w:val="single"/>
        </w:rPr>
        <w:t xml:space="preserve">      </w:t>
      </w:r>
      <w:r>
        <w:rPr>
          <w:rFonts w:ascii="宋体" w:hAnsi="宋体"/>
        </w:rPr>
        <w:t>元）。其中：</w:t>
      </w:r>
    </w:p>
    <w:p w14:paraId="42042174">
      <w:pPr>
        <w:snapToGrid w:val="0"/>
        <w:ind w:firstLine="480" w:firstLineChars="200"/>
        <w:rPr>
          <w:rFonts w:ascii="宋体" w:hAnsi="宋体"/>
        </w:rPr>
      </w:pPr>
      <w:r>
        <w:rPr>
          <w:rFonts w:hint="eastAsia" w:ascii="宋体" w:hAnsi="宋体"/>
        </w:rPr>
        <w:t>（</w:t>
      </w:r>
      <w:r>
        <w:rPr>
          <w:rFonts w:ascii="宋体" w:hAnsi="宋体"/>
        </w:rPr>
        <w:t>1）绿色施工安全防护措施费：人民币</w:t>
      </w:r>
      <w:r>
        <w:rPr>
          <w:rFonts w:hint="eastAsia" w:ascii="宋体" w:hAnsi="宋体"/>
        </w:rPr>
        <w:t>（大写</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元）</w:t>
      </w:r>
      <w:r>
        <w:rPr>
          <w:rFonts w:ascii="宋体" w:hAnsi="宋体"/>
        </w:rPr>
        <w:t>。</w:t>
      </w:r>
    </w:p>
    <w:p w14:paraId="30C5E842">
      <w:pPr>
        <w:snapToGrid w:val="0"/>
        <w:ind w:firstLine="480" w:firstLineChars="200"/>
        <w:rPr>
          <w:rFonts w:ascii="宋体" w:hAnsi="宋体"/>
        </w:rPr>
      </w:pPr>
      <w:r>
        <w:rPr>
          <w:rFonts w:hint="eastAsia" w:ascii="宋体" w:hAnsi="宋体"/>
        </w:rPr>
        <w:t>（</w:t>
      </w:r>
      <w:r>
        <w:rPr>
          <w:rFonts w:ascii="宋体" w:hAnsi="宋体"/>
        </w:rPr>
        <w:t>2）暂估价和暂列金额：</w:t>
      </w:r>
    </w:p>
    <w:p w14:paraId="1C171DE0">
      <w:pPr>
        <w:snapToGrid w:val="0"/>
        <w:ind w:firstLine="480" w:firstLineChars="200"/>
        <w:rPr>
          <w:rFonts w:ascii="宋体" w:hAnsi="宋体"/>
        </w:rPr>
      </w:pPr>
      <w:r>
        <w:rPr>
          <w:rFonts w:hint="eastAsia" w:ascii="宋体" w:hAnsi="宋体"/>
        </w:rPr>
        <w:t>专业工程暂估价（含税）：人民币（大写</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元）；</w:t>
      </w:r>
    </w:p>
    <w:p w14:paraId="13230A6F">
      <w:pPr>
        <w:snapToGrid w:val="0"/>
        <w:ind w:firstLine="480" w:firstLineChars="200"/>
        <w:rPr>
          <w:rFonts w:ascii="宋体" w:hAnsi="宋体"/>
        </w:rPr>
      </w:pPr>
      <w:r>
        <w:rPr>
          <w:rFonts w:hint="eastAsia" w:ascii="宋体" w:hAnsi="宋体"/>
        </w:rPr>
        <w:t>暂列金额（含税）：人民币（大写</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元）。</w:t>
      </w:r>
    </w:p>
    <w:p w14:paraId="49138C93">
      <w:pPr>
        <w:adjustRightInd w:val="0"/>
        <w:snapToGrid w:val="0"/>
        <w:ind w:firstLine="480" w:firstLineChars="200"/>
        <w:rPr>
          <w:rFonts w:ascii="宋体" w:hAnsi="宋体"/>
        </w:rPr>
      </w:pPr>
      <w:r>
        <w:rPr>
          <w:rFonts w:ascii="宋体" w:hAnsi="宋体"/>
        </w:rPr>
        <w:t xml:space="preserve">3. </w:t>
      </w:r>
      <w:r>
        <w:rPr>
          <w:rFonts w:hint="eastAsia" w:ascii="宋体" w:hAnsi="宋体"/>
        </w:rPr>
        <w:t>报价说明见合同附件</w:t>
      </w:r>
      <w:r>
        <w:rPr>
          <w:rFonts w:ascii="宋体" w:hAnsi="宋体"/>
        </w:rPr>
        <w:t>1。</w:t>
      </w:r>
    </w:p>
    <w:bookmarkEnd w:id="312"/>
    <w:bookmarkEnd w:id="313"/>
    <w:bookmarkEnd w:id="314"/>
    <w:p w14:paraId="4B9579DF">
      <w:pPr>
        <w:ind w:left="480" w:leftChars="200"/>
        <w:rPr>
          <w:rFonts w:ascii="宋体" w:hAnsi="宋体"/>
          <w:b/>
        </w:rPr>
      </w:pPr>
      <w:bookmarkStart w:id="315" w:name="_Toc511142878"/>
      <w:bookmarkStart w:id="316" w:name="_Toc514166947"/>
      <w:r>
        <w:rPr>
          <w:rFonts w:hint="eastAsia" w:ascii="宋体" w:hAnsi="宋体"/>
          <w:b/>
        </w:rPr>
        <w:t>六、承包人项目经理</w:t>
      </w:r>
      <w:bookmarkEnd w:id="315"/>
      <w:bookmarkEnd w:id="316"/>
    </w:p>
    <w:p w14:paraId="4DBA0140">
      <w:pPr>
        <w:snapToGrid w:val="0"/>
        <w:ind w:firstLine="480" w:firstLineChars="200"/>
        <w:rPr>
          <w:rFonts w:ascii="宋体" w:hAnsi="宋体"/>
        </w:rPr>
      </w:pPr>
      <w:r>
        <w:rPr>
          <w:rFonts w:hint="eastAsia" w:ascii="宋体" w:hAnsi="宋体"/>
        </w:rPr>
        <w:t>姓名：</w:t>
      </w:r>
      <w:r>
        <w:rPr>
          <w:rFonts w:hint="eastAsia" w:ascii="宋体" w:hAnsi="宋体"/>
          <w:u w:val="single"/>
        </w:rPr>
        <w:t xml:space="preserve">      </w:t>
      </w:r>
      <w:r>
        <w:rPr>
          <w:rFonts w:hint="eastAsia" w:ascii="宋体" w:hAnsi="宋体"/>
        </w:rPr>
        <w:t>；职称：</w:t>
      </w:r>
      <w:r>
        <w:rPr>
          <w:rFonts w:hint="eastAsia" w:ascii="宋体" w:hAnsi="宋体"/>
          <w:u w:val="single"/>
        </w:rPr>
        <w:t xml:space="preserve">      </w:t>
      </w:r>
      <w:r>
        <w:rPr>
          <w:rFonts w:hint="eastAsia" w:ascii="宋体" w:hAnsi="宋体"/>
        </w:rPr>
        <w:t>；</w:t>
      </w:r>
    </w:p>
    <w:p w14:paraId="6789179A">
      <w:pPr>
        <w:snapToGrid w:val="0"/>
        <w:ind w:firstLine="480" w:firstLineChars="200"/>
        <w:rPr>
          <w:rFonts w:ascii="宋体" w:hAnsi="宋体"/>
        </w:rPr>
      </w:pPr>
      <w:r>
        <w:rPr>
          <w:rFonts w:hint="eastAsia" w:ascii="宋体" w:hAnsi="宋体"/>
        </w:rPr>
        <w:t>身份证号：</w:t>
      </w:r>
      <w:r>
        <w:rPr>
          <w:rFonts w:hint="eastAsia" w:ascii="宋体" w:hAnsi="宋体"/>
          <w:u w:val="single"/>
        </w:rPr>
        <w:t xml:space="preserve">      </w:t>
      </w:r>
      <w:r>
        <w:rPr>
          <w:rFonts w:hint="eastAsia" w:ascii="宋体" w:hAnsi="宋体"/>
        </w:rPr>
        <w:t>；注册建造师专业及级别：</w:t>
      </w:r>
      <w:r>
        <w:rPr>
          <w:rFonts w:hint="eastAsia" w:ascii="宋体" w:hAnsi="宋体"/>
          <w:u w:val="single"/>
        </w:rPr>
        <w:t xml:space="preserve">       </w:t>
      </w:r>
      <w:r>
        <w:rPr>
          <w:rFonts w:hint="eastAsia" w:ascii="宋体" w:hAnsi="宋体"/>
        </w:rPr>
        <w:t>。</w:t>
      </w:r>
    </w:p>
    <w:p w14:paraId="1B0BA1DE">
      <w:pPr>
        <w:snapToGrid w:val="0"/>
        <w:ind w:firstLine="480" w:firstLineChars="200"/>
        <w:rPr>
          <w:rFonts w:ascii="宋体" w:hAnsi="宋体"/>
        </w:rPr>
      </w:pPr>
      <w:r>
        <w:rPr>
          <w:rFonts w:hint="eastAsia" w:ascii="宋体" w:hAnsi="宋体"/>
        </w:rPr>
        <w:t>注册执业证书编号：</w:t>
      </w:r>
      <w:r>
        <w:rPr>
          <w:rFonts w:hint="eastAsia" w:ascii="宋体" w:hAnsi="宋体"/>
          <w:u w:val="single"/>
        </w:rPr>
        <w:t xml:space="preserve">        </w:t>
      </w:r>
      <w:r>
        <w:rPr>
          <w:rFonts w:hint="eastAsia" w:ascii="宋体" w:hAnsi="宋体"/>
        </w:rPr>
        <w:t>。</w:t>
      </w:r>
    </w:p>
    <w:p w14:paraId="213849C2">
      <w:pPr>
        <w:snapToGrid w:val="0"/>
        <w:ind w:firstLine="480" w:firstLineChars="200"/>
        <w:rPr>
          <w:rFonts w:ascii="宋体" w:hAnsi="宋体"/>
        </w:rPr>
      </w:pPr>
      <w:r>
        <w:rPr>
          <w:rFonts w:hint="eastAsia" w:ascii="宋体" w:hAnsi="宋体"/>
        </w:rPr>
        <w:t>注册执业印章号：</w:t>
      </w:r>
      <w:r>
        <w:rPr>
          <w:rFonts w:hint="eastAsia" w:ascii="宋体" w:hAnsi="宋体"/>
          <w:u w:val="single"/>
        </w:rPr>
        <w:t xml:space="preserve">          </w:t>
      </w:r>
      <w:r>
        <w:rPr>
          <w:rFonts w:hint="eastAsia" w:ascii="宋体" w:hAnsi="宋体"/>
        </w:rPr>
        <w:t>。</w:t>
      </w:r>
    </w:p>
    <w:p w14:paraId="4D20C391">
      <w:pPr>
        <w:snapToGrid w:val="0"/>
        <w:ind w:firstLine="480" w:firstLineChars="200"/>
        <w:rPr>
          <w:rFonts w:ascii="宋体" w:hAnsi="宋体"/>
        </w:rPr>
      </w:pPr>
      <w:r>
        <w:rPr>
          <w:rFonts w:hint="eastAsia" w:ascii="宋体" w:hAnsi="宋体"/>
        </w:rPr>
        <w:t>职称证书名称及编号：</w:t>
      </w:r>
      <w:r>
        <w:rPr>
          <w:rFonts w:hint="eastAsia" w:ascii="宋体" w:hAnsi="宋体"/>
          <w:u w:val="single"/>
        </w:rPr>
        <w:t xml:space="preserve">          </w:t>
      </w:r>
      <w:r>
        <w:rPr>
          <w:rFonts w:hint="eastAsia" w:ascii="宋体" w:hAnsi="宋体"/>
        </w:rPr>
        <w:t>。</w:t>
      </w:r>
    </w:p>
    <w:p w14:paraId="14030779">
      <w:pPr>
        <w:snapToGrid w:val="0"/>
        <w:ind w:firstLine="480" w:firstLineChars="200"/>
        <w:rPr>
          <w:rFonts w:ascii="宋体" w:hAnsi="宋体"/>
        </w:rPr>
      </w:pPr>
      <w:r>
        <w:rPr>
          <w:rFonts w:hint="eastAsia" w:ascii="宋体" w:hAnsi="宋体"/>
        </w:rPr>
        <w:t>安全生产考核合格证书编号：</w:t>
      </w:r>
      <w:r>
        <w:rPr>
          <w:rFonts w:hint="eastAsia" w:ascii="宋体" w:hAnsi="宋体"/>
          <w:u w:val="single"/>
        </w:rPr>
        <w:t xml:space="preserve">           </w:t>
      </w:r>
      <w:r>
        <w:rPr>
          <w:rFonts w:hint="eastAsia" w:ascii="宋体" w:hAnsi="宋体"/>
        </w:rPr>
        <w:t>。</w:t>
      </w:r>
    </w:p>
    <w:p w14:paraId="451AC9E2">
      <w:pPr>
        <w:snapToGrid w:val="0"/>
        <w:ind w:firstLine="480" w:firstLineChars="200"/>
        <w:rPr>
          <w:rFonts w:ascii="宋体" w:hAnsi="宋体"/>
        </w:rPr>
      </w:pPr>
      <w:r>
        <w:rPr>
          <w:rFonts w:hint="eastAsia" w:ascii="宋体" w:hAnsi="宋体"/>
        </w:rPr>
        <w:t>本合同生效后，承包人法定代表人应立即任命项目经理，向发包人提交任命书，明确授权范围、期限和内容。</w:t>
      </w:r>
    </w:p>
    <w:p w14:paraId="5382DE50">
      <w:pPr>
        <w:ind w:left="480" w:leftChars="200"/>
        <w:rPr>
          <w:rFonts w:ascii="宋体" w:hAnsi="宋体"/>
          <w:b/>
        </w:rPr>
      </w:pPr>
      <w:r>
        <w:rPr>
          <w:rFonts w:hint="eastAsia" w:ascii="宋体" w:hAnsi="宋体"/>
          <w:b/>
        </w:rPr>
        <w:t>七、承包人安全负责人</w:t>
      </w:r>
    </w:p>
    <w:p w14:paraId="46039906">
      <w:pPr>
        <w:snapToGrid w:val="0"/>
        <w:ind w:firstLine="480" w:firstLineChars="200"/>
        <w:rPr>
          <w:rFonts w:ascii="宋体" w:hAnsi="宋体"/>
        </w:rPr>
      </w:pPr>
      <w:r>
        <w:rPr>
          <w:rFonts w:hint="eastAsia" w:ascii="宋体" w:hAnsi="宋体"/>
        </w:rPr>
        <w:t>姓名：</w:t>
      </w:r>
      <w:r>
        <w:rPr>
          <w:rFonts w:hint="eastAsia" w:ascii="宋体" w:hAnsi="宋体"/>
          <w:u w:val="single"/>
        </w:rPr>
        <w:t xml:space="preserve">          </w:t>
      </w:r>
      <w:r>
        <w:rPr>
          <w:rFonts w:hint="eastAsia" w:ascii="宋体" w:hAnsi="宋体"/>
        </w:rPr>
        <w:t>；</w:t>
      </w:r>
    </w:p>
    <w:p w14:paraId="773CDBDD">
      <w:pPr>
        <w:snapToGrid w:val="0"/>
        <w:ind w:firstLine="480" w:firstLineChars="200"/>
        <w:rPr>
          <w:rFonts w:ascii="宋体" w:hAnsi="宋体"/>
        </w:rPr>
      </w:pPr>
      <w:r>
        <w:rPr>
          <w:rFonts w:hint="eastAsia" w:ascii="宋体" w:hAnsi="宋体"/>
        </w:rPr>
        <w:t>身份证号：</w:t>
      </w:r>
      <w:r>
        <w:rPr>
          <w:rFonts w:hint="eastAsia" w:ascii="宋体" w:hAnsi="宋体"/>
          <w:u w:val="single"/>
        </w:rPr>
        <w:t xml:space="preserve">           </w:t>
      </w:r>
      <w:r>
        <w:rPr>
          <w:rFonts w:hint="eastAsia" w:ascii="宋体" w:hAnsi="宋体"/>
        </w:rPr>
        <w:t>；</w:t>
      </w:r>
    </w:p>
    <w:p w14:paraId="13914B68">
      <w:pPr>
        <w:snapToGrid w:val="0"/>
        <w:ind w:firstLine="480" w:firstLineChars="200"/>
        <w:rPr>
          <w:rFonts w:ascii="宋体" w:hAnsi="宋体"/>
        </w:rPr>
      </w:pPr>
      <w:r>
        <w:rPr>
          <w:rFonts w:hint="eastAsia" w:ascii="宋体" w:hAnsi="宋体"/>
        </w:rPr>
        <w:t>单位职务、职称：</w:t>
      </w:r>
      <w:r>
        <w:rPr>
          <w:rFonts w:hint="eastAsia" w:ascii="宋体" w:hAnsi="宋体"/>
          <w:u w:val="single"/>
        </w:rPr>
        <w:t xml:space="preserve">               </w:t>
      </w:r>
      <w:r>
        <w:rPr>
          <w:rFonts w:hint="eastAsia" w:ascii="宋体" w:hAnsi="宋体"/>
        </w:rPr>
        <w:t>；</w:t>
      </w:r>
    </w:p>
    <w:p w14:paraId="20E6164C">
      <w:pPr>
        <w:snapToGrid w:val="0"/>
        <w:ind w:firstLine="480" w:firstLineChars="200"/>
        <w:rPr>
          <w:rFonts w:ascii="宋体" w:hAnsi="宋体"/>
        </w:rPr>
      </w:pPr>
      <w:r>
        <w:rPr>
          <w:rFonts w:hint="eastAsia" w:ascii="宋体" w:hAnsi="宋体"/>
        </w:rPr>
        <w:t>安全工程师执业证书名称及编号：</w:t>
      </w:r>
      <w:r>
        <w:rPr>
          <w:rFonts w:hint="eastAsia" w:ascii="宋体" w:hAnsi="宋体"/>
          <w:u w:val="single"/>
        </w:rPr>
        <w:t xml:space="preserve">            </w:t>
      </w:r>
      <w:r>
        <w:rPr>
          <w:rFonts w:hint="eastAsia" w:ascii="宋体" w:hAnsi="宋体"/>
        </w:rPr>
        <w:t>。</w:t>
      </w:r>
    </w:p>
    <w:p w14:paraId="629A74EB">
      <w:pPr>
        <w:ind w:left="480" w:leftChars="200"/>
        <w:rPr>
          <w:rFonts w:ascii="宋体" w:hAnsi="宋体"/>
          <w:b/>
        </w:rPr>
      </w:pPr>
      <w:bookmarkStart w:id="317" w:name="_Toc511142879"/>
      <w:bookmarkStart w:id="318" w:name="_Toc514166948"/>
      <w:r>
        <w:rPr>
          <w:rFonts w:hint="eastAsia" w:ascii="宋体" w:hAnsi="宋体"/>
          <w:b/>
        </w:rPr>
        <w:t>八、承包人技术负责人</w:t>
      </w:r>
      <w:bookmarkEnd w:id="317"/>
      <w:bookmarkEnd w:id="318"/>
    </w:p>
    <w:p w14:paraId="513CAE0A">
      <w:pPr>
        <w:snapToGrid w:val="0"/>
        <w:ind w:firstLine="480" w:firstLineChars="200"/>
        <w:rPr>
          <w:rFonts w:ascii="宋体" w:hAnsi="宋体"/>
        </w:rPr>
      </w:pPr>
      <w:r>
        <w:rPr>
          <w:rFonts w:hint="eastAsia" w:ascii="宋体" w:hAnsi="宋体"/>
        </w:rPr>
        <w:t>姓名：</w:t>
      </w:r>
      <w:r>
        <w:rPr>
          <w:rFonts w:hint="eastAsia" w:ascii="宋体" w:hAnsi="宋体"/>
          <w:u w:val="single"/>
        </w:rPr>
        <w:t xml:space="preserve">         </w:t>
      </w:r>
      <w:r>
        <w:rPr>
          <w:rFonts w:hint="eastAsia" w:ascii="宋体" w:hAnsi="宋体"/>
        </w:rPr>
        <w:t>；</w:t>
      </w:r>
    </w:p>
    <w:p w14:paraId="3A449E88">
      <w:pPr>
        <w:snapToGrid w:val="0"/>
        <w:ind w:firstLine="480" w:firstLineChars="200"/>
        <w:rPr>
          <w:rFonts w:ascii="宋体" w:hAnsi="宋体"/>
        </w:rPr>
      </w:pPr>
      <w:r>
        <w:rPr>
          <w:rFonts w:hint="eastAsia" w:ascii="宋体" w:hAnsi="宋体"/>
        </w:rPr>
        <w:t>身份证号：</w:t>
      </w:r>
      <w:r>
        <w:rPr>
          <w:rFonts w:hint="eastAsia" w:ascii="宋体" w:hAnsi="宋体"/>
          <w:u w:val="single"/>
        </w:rPr>
        <w:t xml:space="preserve">               </w:t>
      </w:r>
      <w:r>
        <w:rPr>
          <w:rFonts w:hint="eastAsia" w:ascii="宋体" w:hAnsi="宋体"/>
        </w:rPr>
        <w:t>；</w:t>
      </w:r>
    </w:p>
    <w:p w14:paraId="174BF17B">
      <w:pPr>
        <w:snapToGrid w:val="0"/>
        <w:ind w:firstLine="480" w:firstLineChars="200"/>
        <w:rPr>
          <w:rFonts w:ascii="宋体" w:hAnsi="宋体"/>
        </w:rPr>
      </w:pPr>
      <w:r>
        <w:rPr>
          <w:rFonts w:hint="eastAsia" w:ascii="宋体" w:hAnsi="宋体"/>
        </w:rPr>
        <w:t>单位职务、职称：</w:t>
      </w:r>
      <w:r>
        <w:rPr>
          <w:rFonts w:hint="eastAsia" w:ascii="宋体" w:hAnsi="宋体"/>
          <w:u w:val="single"/>
        </w:rPr>
        <w:t xml:space="preserve">            </w:t>
      </w:r>
      <w:r>
        <w:rPr>
          <w:rFonts w:hint="eastAsia" w:ascii="宋体" w:hAnsi="宋体"/>
        </w:rPr>
        <w:t>；</w:t>
      </w:r>
    </w:p>
    <w:p w14:paraId="3FE3AF05">
      <w:pPr>
        <w:snapToGrid w:val="0"/>
        <w:ind w:firstLine="480" w:firstLineChars="200"/>
        <w:rPr>
          <w:rFonts w:ascii="宋体" w:hAnsi="宋体"/>
        </w:rPr>
      </w:pPr>
      <w:r>
        <w:rPr>
          <w:rFonts w:hint="eastAsia" w:ascii="宋体" w:hAnsi="宋体"/>
        </w:rPr>
        <w:t>注册执业证书名称及专业、级别：</w:t>
      </w:r>
      <w:r>
        <w:rPr>
          <w:rFonts w:hint="eastAsia" w:ascii="宋体" w:hAnsi="宋体"/>
          <w:u w:val="single"/>
        </w:rPr>
        <w:t xml:space="preserve">              </w:t>
      </w:r>
      <w:r>
        <w:rPr>
          <w:rFonts w:hint="eastAsia" w:ascii="宋体" w:hAnsi="宋体"/>
        </w:rPr>
        <w:t>；</w:t>
      </w:r>
    </w:p>
    <w:p w14:paraId="49982287">
      <w:pPr>
        <w:snapToGrid w:val="0"/>
        <w:ind w:firstLine="480" w:firstLineChars="200"/>
        <w:rPr>
          <w:rFonts w:ascii="宋体" w:hAnsi="宋体"/>
        </w:rPr>
      </w:pPr>
      <w:r>
        <w:rPr>
          <w:rFonts w:hint="eastAsia" w:ascii="宋体" w:hAnsi="宋体"/>
        </w:rPr>
        <w:t>注册证书编号：</w:t>
      </w:r>
      <w:r>
        <w:rPr>
          <w:rFonts w:ascii="宋体" w:hAnsi="宋体"/>
        </w:rPr>
        <w:t>/</w:t>
      </w:r>
      <w:r>
        <w:rPr>
          <w:rFonts w:hint="eastAsia" w:ascii="宋体" w:hAnsi="宋体"/>
        </w:rPr>
        <w:t>。</w:t>
      </w:r>
    </w:p>
    <w:p w14:paraId="6BA52205">
      <w:pPr>
        <w:ind w:left="480" w:leftChars="200"/>
        <w:rPr>
          <w:rFonts w:ascii="宋体" w:hAnsi="宋体"/>
          <w:b/>
        </w:rPr>
      </w:pPr>
      <w:bookmarkStart w:id="319" w:name="_Toc511142881"/>
      <w:bookmarkStart w:id="320" w:name="_Toc400485368"/>
      <w:bookmarkStart w:id="321" w:name="_Toc399776161"/>
      <w:bookmarkStart w:id="322" w:name="_Toc514166950"/>
      <w:bookmarkStart w:id="323" w:name="_Toc399775094"/>
      <w:bookmarkStart w:id="324" w:name="_Toc399775714"/>
      <w:bookmarkStart w:id="325" w:name="_Toc511126502"/>
      <w:bookmarkStart w:id="326" w:name="_Toc351203487"/>
      <w:bookmarkStart w:id="327" w:name="_Toc400522349"/>
      <w:bookmarkStart w:id="328" w:name="_Toc400486341"/>
      <w:r>
        <w:rPr>
          <w:rFonts w:hint="eastAsia" w:ascii="宋体" w:hAnsi="宋体"/>
          <w:b/>
        </w:rPr>
        <w:t>九</w:t>
      </w:r>
      <w:r>
        <w:rPr>
          <w:rFonts w:ascii="宋体" w:hAnsi="宋体"/>
          <w:b/>
        </w:rPr>
        <w:t>、承诺</w:t>
      </w:r>
      <w:bookmarkEnd w:id="319"/>
      <w:bookmarkEnd w:id="320"/>
      <w:bookmarkEnd w:id="321"/>
      <w:bookmarkEnd w:id="322"/>
      <w:bookmarkEnd w:id="323"/>
      <w:bookmarkEnd w:id="324"/>
      <w:bookmarkEnd w:id="325"/>
      <w:bookmarkEnd w:id="326"/>
      <w:bookmarkEnd w:id="327"/>
      <w:bookmarkEnd w:id="328"/>
    </w:p>
    <w:p w14:paraId="03AE0557">
      <w:pPr>
        <w:snapToGrid w:val="0"/>
        <w:ind w:firstLine="480" w:firstLineChars="200"/>
        <w:rPr>
          <w:rFonts w:ascii="宋体" w:hAnsi="宋体"/>
          <w:bCs/>
        </w:rPr>
      </w:pPr>
      <w:r>
        <w:rPr>
          <w:rFonts w:ascii="宋体" w:hAnsi="宋体"/>
          <w:bCs/>
        </w:rPr>
        <w:t>1.发包人承诺按照法律规定履行项目审批手续、筹集工程建设资金并按照合同约定的期限和方式支付合同价款。</w:t>
      </w:r>
    </w:p>
    <w:p w14:paraId="545C04BA">
      <w:pPr>
        <w:snapToGrid w:val="0"/>
        <w:ind w:firstLine="480" w:firstLineChars="200"/>
        <w:rPr>
          <w:rFonts w:ascii="宋体" w:hAnsi="宋体"/>
          <w:bCs/>
        </w:rPr>
      </w:pPr>
      <w:r>
        <w:rPr>
          <w:rFonts w:ascii="宋体" w:hAnsi="宋体"/>
          <w:bCs/>
        </w:rPr>
        <w:t>2.承包人承诺</w:t>
      </w:r>
      <w:r>
        <w:rPr>
          <w:rFonts w:hint="eastAsia" w:ascii="宋体" w:hAnsi="宋体"/>
          <w:bCs/>
        </w:rPr>
        <w:t>认真贯彻质量、健康、安全、环境保护管理体系。</w:t>
      </w:r>
    </w:p>
    <w:p w14:paraId="27A071FF">
      <w:pPr>
        <w:snapToGrid w:val="0"/>
        <w:ind w:firstLine="480" w:firstLineChars="200"/>
        <w:rPr>
          <w:rFonts w:ascii="宋体" w:hAnsi="宋体"/>
          <w:bCs/>
        </w:rPr>
      </w:pPr>
      <w:r>
        <w:rPr>
          <w:rFonts w:ascii="宋体" w:hAnsi="宋体"/>
          <w:bCs/>
        </w:rPr>
        <w:t>3.承包人承诺按照法律规定及合同约定</w:t>
      </w:r>
      <w:r>
        <w:rPr>
          <w:rFonts w:hint="eastAsia" w:ascii="宋体" w:hAnsi="宋体"/>
          <w:bCs/>
        </w:rPr>
        <w:t>进行</w:t>
      </w:r>
      <w:r>
        <w:rPr>
          <w:rFonts w:ascii="宋体" w:hAnsi="宋体"/>
          <w:bCs/>
        </w:rPr>
        <w:t>施工</w:t>
      </w:r>
      <w:r>
        <w:rPr>
          <w:rFonts w:hint="eastAsia" w:ascii="宋体" w:hAnsi="宋体"/>
          <w:bCs/>
        </w:rPr>
        <w:t>，确保</w:t>
      </w:r>
      <w:r>
        <w:rPr>
          <w:rFonts w:ascii="宋体" w:hAnsi="宋体"/>
          <w:bCs/>
        </w:rPr>
        <w:t>工程</w:t>
      </w:r>
      <w:r>
        <w:rPr>
          <w:rFonts w:hint="eastAsia" w:ascii="宋体" w:hAnsi="宋体"/>
          <w:bCs/>
        </w:rPr>
        <w:t>施工</w:t>
      </w:r>
      <w:r>
        <w:rPr>
          <w:rFonts w:ascii="宋体" w:hAnsi="宋体"/>
          <w:bCs/>
        </w:rPr>
        <w:t>质量，</w:t>
      </w:r>
      <w:r>
        <w:rPr>
          <w:rFonts w:hint="eastAsia" w:ascii="宋体" w:hAnsi="宋体"/>
          <w:bCs/>
        </w:rPr>
        <w:t>承担工程</w:t>
      </w:r>
      <w:r>
        <w:rPr>
          <w:rFonts w:ascii="宋体" w:hAnsi="宋体"/>
          <w:bCs/>
        </w:rPr>
        <w:t>缺陷</w:t>
      </w:r>
      <w:r>
        <w:rPr>
          <w:rFonts w:hint="eastAsia" w:ascii="宋体" w:hAnsi="宋体"/>
          <w:bCs/>
        </w:rPr>
        <w:t>修复</w:t>
      </w:r>
      <w:r>
        <w:rPr>
          <w:rFonts w:ascii="宋体" w:hAnsi="宋体"/>
          <w:bCs/>
        </w:rPr>
        <w:t>责任</w:t>
      </w:r>
      <w:r>
        <w:rPr>
          <w:rFonts w:hint="eastAsia" w:ascii="宋体" w:hAnsi="宋体"/>
          <w:bCs/>
        </w:rPr>
        <w:t>；全权负责并</w:t>
      </w:r>
      <w:r>
        <w:rPr>
          <w:rFonts w:ascii="宋体" w:hAnsi="宋体"/>
          <w:bCs/>
        </w:rPr>
        <w:t>确保工程</w:t>
      </w:r>
      <w:r>
        <w:rPr>
          <w:rFonts w:hint="eastAsia" w:ascii="宋体" w:hAnsi="宋体"/>
          <w:bCs/>
        </w:rPr>
        <w:t>施工、运行安全；</w:t>
      </w:r>
      <w:r>
        <w:rPr>
          <w:rFonts w:ascii="宋体" w:hAnsi="宋体"/>
          <w:bCs/>
        </w:rPr>
        <w:t>不进行转包</w:t>
      </w:r>
      <w:r>
        <w:rPr>
          <w:rFonts w:hint="eastAsia" w:ascii="宋体" w:hAnsi="宋体"/>
          <w:bCs/>
        </w:rPr>
        <w:t>和</w:t>
      </w:r>
      <w:r>
        <w:rPr>
          <w:rFonts w:ascii="宋体" w:hAnsi="宋体"/>
          <w:bCs/>
        </w:rPr>
        <w:t>违法分包。</w:t>
      </w:r>
    </w:p>
    <w:p w14:paraId="2D895455">
      <w:pPr>
        <w:snapToGrid w:val="0"/>
        <w:ind w:firstLine="480" w:firstLineChars="200"/>
        <w:rPr>
          <w:rFonts w:ascii="宋体" w:hAnsi="宋体"/>
          <w:bCs/>
        </w:rPr>
      </w:pPr>
      <w:r>
        <w:rPr>
          <w:rFonts w:ascii="宋体" w:hAnsi="宋体"/>
          <w:bCs/>
        </w:rPr>
        <w:t>4.承包人承诺</w:t>
      </w:r>
      <w:r>
        <w:rPr>
          <w:rFonts w:hint="eastAsia" w:ascii="宋体" w:hAnsi="宋体"/>
          <w:bCs/>
        </w:rPr>
        <w:t>在合同约定的期限内完成并移交全部合同工程。</w:t>
      </w:r>
    </w:p>
    <w:p w14:paraId="6FF3F4BD">
      <w:pPr>
        <w:snapToGrid w:val="0"/>
        <w:ind w:firstLine="480" w:firstLineChars="200"/>
        <w:rPr>
          <w:rFonts w:ascii="宋体" w:hAnsi="宋体"/>
          <w:bCs/>
        </w:rPr>
      </w:pPr>
      <w:r>
        <w:rPr>
          <w:rFonts w:ascii="宋体" w:hAnsi="宋体"/>
          <w:bCs/>
        </w:rPr>
        <w:t>5.</w:t>
      </w:r>
      <w:r>
        <w:rPr>
          <w:rFonts w:hint="eastAsia" w:ascii="宋体" w:hAnsi="宋体"/>
          <w:bCs/>
        </w:rPr>
        <w:t>双方承诺绿色施工安全防护措施费足额计取、专款专用。</w:t>
      </w:r>
    </w:p>
    <w:p w14:paraId="367593DE">
      <w:pPr>
        <w:snapToGrid w:val="0"/>
        <w:ind w:firstLine="480" w:firstLineChars="200"/>
        <w:rPr>
          <w:rFonts w:ascii="宋体" w:hAnsi="宋体"/>
          <w:bCs/>
        </w:rPr>
      </w:pPr>
      <w:r>
        <w:rPr>
          <w:rFonts w:ascii="宋体" w:hAnsi="宋体"/>
          <w:bCs/>
        </w:rPr>
        <w:t>6.双方承诺脚手架费用</w:t>
      </w:r>
      <w:r>
        <w:rPr>
          <w:rFonts w:hint="eastAsia" w:ascii="宋体" w:hAnsi="宋体"/>
        </w:rPr>
        <w:t>单独计价、</w:t>
      </w:r>
      <w:r>
        <w:rPr>
          <w:rFonts w:hint="eastAsia" w:ascii="宋体" w:hAnsi="宋体"/>
          <w:bCs/>
        </w:rPr>
        <w:t>专款专用。</w:t>
      </w:r>
    </w:p>
    <w:p w14:paraId="1C39753B">
      <w:pPr>
        <w:snapToGrid w:val="0"/>
        <w:ind w:firstLine="480" w:firstLineChars="200"/>
        <w:rPr>
          <w:rFonts w:ascii="宋体" w:hAnsi="宋体"/>
        </w:rPr>
      </w:pPr>
      <w:r>
        <w:rPr>
          <w:rFonts w:ascii="宋体" w:hAnsi="宋体"/>
          <w:bCs/>
        </w:rPr>
        <w:t>7.发包人和承包人双方理解并</w:t>
      </w:r>
      <w:r>
        <w:rPr>
          <w:rFonts w:hint="eastAsia" w:ascii="宋体" w:hAnsi="宋体"/>
          <w:bCs/>
        </w:rPr>
        <w:t>承诺</w:t>
      </w:r>
      <w:r>
        <w:rPr>
          <w:rFonts w:ascii="宋体" w:hAnsi="宋体"/>
          <w:bCs/>
        </w:rPr>
        <w:t>不再就同一工程另行签订与</w:t>
      </w:r>
      <w:r>
        <w:rPr>
          <w:rFonts w:hint="eastAsia" w:ascii="宋体" w:hAnsi="宋体"/>
          <w:bCs/>
        </w:rPr>
        <w:t>本</w:t>
      </w:r>
      <w:r>
        <w:rPr>
          <w:rFonts w:ascii="宋体" w:hAnsi="宋体"/>
          <w:bCs/>
        </w:rPr>
        <w:t>合同实质性内容相背离的协议。</w:t>
      </w:r>
    </w:p>
    <w:p w14:paraId="65AC595F">
      <w:pPr>
        <w:ind w:left="480" w:leftChars="200"/>
        <w:rPr>
          <w:rFonts w:ascii="宋体" w:hAnsi="宋体"/>
          <w:b/>
        </w:rPr>
      </w:pPr>
      <w:bookmarkStart w:id="329" w:name="_Toc511142882"/>
      <w:bookmarkStart w:id="330" w:name="_Toc511126503"/>
      <w:bookmarkStart w:id="331" w:name="_Toc514166951"/>
      <w:r>
        <w:rPr>
          <w:rFonts w:hint="eastAsia" w:ascii="宋体" w:hAnsi="宋体"/>
          <w:b/>
        </w:rPr>
        <w:t>十、合同文件构成</w:t>
      </w:r>
      <w:bookmarkEnd w:id="329"/>
      <w:bookmarkEnd w:id="330"/>
      <w:bookmarkEnd w:id="331"/>
    </w:p>
    <w:p w14:paraId="6D607EFC">
      <w:pPr>
        <w:snapToGrid w:val="0"/>
        <w:ind w:firstLine="480" w:firstLineChars="200"/>
        <w:rPr>
          <w:rFonts w:ascii="宋体"/>
        </w:rPr>
      </w:pPr>
      <w:r>
        <w:rPr>
          <w:rFonts w:hint="eastAsia" w:ascii="宋体" w:hAnsi="宋体"/>
        </w:rPr>
        <w:t>本协议书与下列文件一起构成合同文件：</w:t>
      </w:r>
    </w:p>
    <w:p w14:paraId="7C251F1F">
      <w:pPr>
        <w:adjustRightInd w:val="0"/>
        <w:snapToGrid w:val="0"/>
        <w:ind w:firstLine="480" w:firstLineChars="200"/>
        <w:rPr>
          <w:rFonts w:ascii="宋体"/>
        </w:rPr>
      </w:pPr>
      <w:r>
        <w:rPr>
          <w:rFonts w:ascii="宋体" w:hAnsi="宋体"/>
        </w:rPr>
        <w:t>1.</w:t>
      </w:r>
      <w:r>
        <w:rPr>
          <w:rFonts w:hint="eastAsia" w:ascii="宋体" w:hAnsi="宋体"/>
        </w:rPr>
        <w:t>中标通知书</w:t>
      </w:r>
      <w:r>
        <w:rPr>
          <w:rFonts w:ascii="宋体" w:hAnsi="宋体"/>
        </w:rPr>
        <w:t xml:space="preserve">  </w:t>
      </w:r>
      <w:r>
        <w:rPr>
          <w:rFonts w:hint="eastAsia" w:ascii="宋体" w:hAnsi="宋体"/>
        </w:rPr>
        <w:t>；</w:t>
      </w:r>
    </w:p>
    <w:p w14:paraId="2EBFC9B5">
      <w:pPr>
        <w:adjustRightInd w:val="0"/>
        <w:snapToGrid w:val="0"/>
        <w:ind w:firstLine="480" w:firstLineChars="200"/>
        <w:rPr>
          <w:rFonts w:ascii="宋体"/>
        </w:rPr>
      </w:pPr>
      <w:r>
        <w:rPr>
          <w:rFonts w:ascii="宋体" w:hAnsi="宋体"/>
        </w:rPr>
        <w:t>2.</w:t>
      </w:r>
      <w:r>
        <w:rPr>
          <w:rFonts w:hint="eastAsia" w:ascii="宋体" w:hAnsi="宋体"/>
        </w:rPr>
        <w:t>投标函及附录；</w:t>
      </w:r>
    </w:p>
    <w:p w14:paraId="6AD52740">
      <w:pPr>
        <w:adjustRightInd w:val="0"/>
        <w:snapToGrid w:val="0"/>
        <w:ind w:firstLine="480" w:firstLineChars="200"/>
        <w:rPr>
          <w:rFonts w:ascii="宋体"/>
        </w:rPr>
      </w:pPr>
      <w:r>
        <w:rPr>
          <w:rFonts w:ascii="宋体" w:hAnsi="宋体"/>
        </w:rPr>
        <w:t>3.</w:t>
      </w:r>
      <w:r>
        <w:rPr>
          <w:rFonts w:hint="eastAsia" w:ascii="宋体" w:hAnsi="宋体"/>
        </w:rPr>
        <w:t>专用合同条款；</w:t>
      </w:r>
    </w:p>
    <w:p w14:paraId="02C2E431">
      <w:pPr>
        <w:adjustRightInd w:val="0"/>
        <w:snapToGrid w:val="0"/>
        <w:ind w:firstLine="480" w:firstLineChars="200"/>
        <w:rPr>
          <w:rFonts w:ascii="宋体"/>
        </w:rPr>
      </w:pPr>
      <w:r>
        <w:rPr>
          <w:rFonts w:ascii="宋体" w:hAnsi="宋体"/>
        </w:rPr>
        <w:t>4.</w:t>
      </w:r>
      <w:r>
        <w:rPr>
          <w:rFonts w:hint="eastAsia" w:ascii="宋体" w:hAnsi="宋体"/>
        </w:rPr>
        <w:t>通用合同条款；</w:t>
      </w:r>
    </w:p>
    <w:p w14:paraId="30CB3AC2">
      <w:pPr>
        <w:adjustRightInd w:val="0"/>
        <w:snapToGrid w:val="0"/>
        <w:ind w:firstLine="480" w:firstLineChars="200"/>
        <w:rPr>
          <w:rFonts w:ascii="宋体"/>
        </w:rPr>
      </w:pPr>
      <w:r>
        <w:rPr>
          <w:rFonts w:ascii="宋体" w:hAnsi="宋体"/>
        </w:rPr>
        <w:t>5.</w:t>
      </w:r>
      <w:r>
        <w:rPr>
          <w:rFonts w:hint="eastAsia" w:ascii="宋体" w:hAnsi="宋体"/>
        </w:rPr>
        <w:t>招标需求；</w:t>
      </w:r>
    </w:p>
    <w:p w14:paraId="16741370">
      <w:pPr>
        <w:adjustRightInd w:val="0"/>
        <w:snapToGrid w:val="0"/>
        <w:ind w:firstLine="480" w:firstLineChars="200"/>
        <w:rPr>
          <w:rFonts w:ascii="宋体"/>
        </w:rPr>
      </w:pPr>
      <w:r>
        <w:rPr>
          <w:rFonts w:ascii="宋体" w:hAnsi="宋体"/>
        </w:rPr>
        <w:t>6.</w:t>
      </w:r>
      <w:r>
        <w:rPr>
          <w:rFonts w:hint="eastAsia" w:ascii="宋体" w:hAnsi="宋体"/>
        </w:rPr>
        <w:t>合同附件；</w:t>
      </w:r>
    </w:p>
    <w:p w14:paraId="62F3AF23">
      <w:pPr>
        <w:adjustRightInd w:val="0"/>
        <w:snapToGrid w:val="0"/>
        <w:ind w:firstLine="480" w:firstLineChars="200"/>
        <w:rPr>
          <w:rFonts w:ascii="宋体" w:hAnsi="宋体"/>
        </w:rPr>
      </w:pPr>
      <w:r>
        <w:rPr>
          <w:rFonts w:ascii="宋体" w:hAnsi="宋体"/>
        </w:rPr>
        <w:t>7.</w:t>
      </w:r>
      <w:r>
        <w:rPr>
          <w:rFonts w:hint="eastAsia" w:ascii="宋体" w:hAnsi="宋体"/>
        </w:rPr>
        <w:t>招标文件及招标补充文件；</w:t>
      </w:r>
    </w:p>
    <w:p w14:paraId="13388667">
      <w:pPr>
        <w:adjustRightInd w:val="0"/>
        <w:snapToGrid w:val="0"/>
        <w:ind w:firstLine="480" w:firstLineChars="200"/>
        <w:rPr>
          <w:rFonts w:ascii="宋体"/>
        </w:rPr>
      </w:pPr>
      <w:r>
        <w:rPr>
          <w:rFonts w:ascii="宋体" w:hAnsi="宋体"/>
        </w:rPr>
        <w:t>8.</w:t>
      </w:r>
      <w:r>
        <w:rPr>
          <w:rFonts w:hint="eastAsia" w:ascii="宋体" w:hAnsi="宋体"/>
        </w:rPr>
        <w:t>投标文件；</w:t>
      </w:r>
    </w:p>
    <w:p w14:paraId="28422FAF">
      <w:pPr>
        <w:adjustRightInd w:val="0"/>
        <w:snapToGrid w:val="0"/>
        <w:ind w:firstLine="480" w:firstLineChars="200"/>
        <w:rPr>
          <w:rFonts w:ascii="宋体"/>
        </w:rPr>
      </w:pPr>
      <w:r>
        <w:rPr>
          <w:rFonts w:ascii="宋体" w:hAnsi="宋体"/>
        </w:rPr>
        <w:t>9.</w:t>
      </w:r>
      <w:r>
        <w:rPr>
          <w:rFonts w:hint="eastAsia" w:ascii="宋体" w:hAnsi="宋体"/>
        </w:rPr>
        <w:t>其他合同文件。</w:t>
      </w:r>
    </w:p>
    <w:p w14:paraId="6B5CF1DD">
      <w:pPr>
        <w:autoSpaceDE w:val="0"/>
        <w:autoSpaceDN w:val="0"/>
        <w:snapToGrid w:val="0"/>
        <w:ind w:firstLine="480" w:firstLineChars="200"/>
        <w:jc w:val="left"/>
        <w:rPr>
          <w:rFonts w:ascii="宋体" w:hAnsi="宋体"/>
          <w:kern w:val="0"/>
        </w:rPr>
      </w:pPr>
      <w:r>
        <w:rPr>
          <w:rFonts w:hint="eastAsia" w:ascii="宋体" w:hAnsi="宋体"/>
          <w:kern w:val="0"/>
        </w:rPr>
        <w:t>在采购、</w:t>
      </w:r>
      <w:r>
        <w:rPr>
          <w:rFonts w:ascii="宋体" w:hAnsi="宋体"/>
          <w:kern w:val="0"/>
        </w:rPr>
        <w:t>合同订立及履行过程中形成的与合同有关的文件均构成合同文件组成部分。</w:t>
      </w:r>
    </w:p>
    <w:p w14:paraId="4779D0C8">
      <w:pPr>
        <w:autoSpaceDE w:val="0"/>
        <w:autoSpaceDN w:val="0"/>
        <w:snapToGrid w:val="0"/>
        <w:ind w:firstLine="480" w:firstLineChars="200"/>
        <w:jc w:val="left"/>
        <w:rPr>
          <w:rFonts w:ascii="宋体" w:hAnsi="宋体"/>
          <w:kern w:val="0"/>
        </w:rPr>
      </w:pPr>
      <w:r>
        <w:rPr>
          <w:rFonts w:ascii="宋体" w:hAnsi="宋体"/>
          <w:kern w:val="0"/>
        </w:rPr>
        <w:t>上述各项合同文件包括合同当事人就该项合同文件所作出的补充和修改，属于同一类内容的文件，应以最新签署的为准。</w:t>
      </w:r>
    </w:p>
    <w:p w14:paraId="01E5F0E2">
      <w:pPr>
        <w:snapToGrid w:val="0"/>
        <w:ind w:firstLine="480" w:firstLineChars="200"/>
        <w:rPr>
          <w:rFonts w:ascii="宋体" w:hAnsi="宋体"/>
          <w:kern w:val="0"/>
        </w:rPr>
      </w:pPr>
      <w:r>
        <w:rPr>
          <w:rFonts w:hint="eastAsia" w:ascii="宋体" w:hAnsi="宋体"/>
          <w:kern w:val="0"/>
        </w:rPr>
        <w:t>十一、本协议书中有关词语定义与通用合同条款中的定义相同。</w:t>
      </w:r>
    </w:p>
    <w:p w14:paraId="1D03F739">
      <w:pPr>
        <w:snapToGrid w:val="0"/>
        <w:ind w:firstLine="480" w:firstLineChars="200"/>
        <w:rPr>
          <w:rFonts w:ascii="宋体" w:hAnsi="宋体"/>
          <w:kern w:val="0"/>
        </w:rPr>
      </w:pPr>
      <w:r>
        <w:rPr>
          <w:rFonts w:hint="eastAsia" w:ascii="宋体" w:hAnsi="宋体"/>
          <w:kern w:val="0"/>
        </w:rPr>
        <w:t>十二、本协议书连同其他合同文件一式陆份，发包人执肆份，承包人执贰份。</w:t>
      </w:r>
    </w:p>
    <w:p w14:paraId="52C61A2E">
      <w:pPr>
        <w:snapToGrid w:val="0"/>
        <w:ind w:firstLine="480" w:firstLineChars="200"/>
        <w:rPr>
          <w:rFonts w:ascii="宋体" w:hAnsi="宋体"/>
        </w:rPr>
      </w:pPr>
      <w:r>
        <w:rPr>
          <w:rFonts w:hint="eastAsia" w:ascii="宋体" w:hAnsi="宋体"/>
          <w:kern w:val="0"/>
        </w:rPr>
        <w:t>十三、合同未尽事宜，双方签订补充协议，但不得背离本合同的实质性内容。</w:t>
      </w:r>
    </w:p>
    <w:p w14:paraId="056ABB55">
      <w:pPr>
        <w:snapToGrid w:val="0"/>
        <w:ind w:firstLine="480" w:firstLineChars="200"/>
        <w:rPr>
          <w:rFonts w:ascii="宋体" w:hAnsi="宋体"/>
          <w:kern w:val="0"/>
        </w:rPr>
      </w:pPr>
      <w:r>
        <w:rPr>
          <w:rFonts w:hint="eastAsia" w:ascii="宋体" w:hAnsi="宋体"/>
          <w:kern w:val="0"/>
        </w:rPr>
        <w:t>十四、合同生效</w:t>
      </w:r>
    </w:p>
    <w:p w14:paraId="1F9B0743">
      <w:pPr>
        <w:snapToGrid w:val="0"/>
        <w:ind w:firstLine="480" w:firstLineChars="200"/>
        <w:rPr>
          <w:rFonts w:ascii="宋体" w:hAnsi="宋体"/>
          <w:kern w:val="0"/>
        </w:rPr>
      </w:pPr>
      <w:r>
        <w:rPr>
          <w:rFonts w:hint="eastAsia" w:ascii="宋体" w:hAnsi="宋体"/>
          <w:kern w:val="0"/>
        </w:rPr>
        <w:t>合同订立时间：</w:t>
      </w:r>
      <w:r>
        <w:rPr>
          <w:rFonts w:ascii="宋体" w:hAnsi="宋体"/>
          <w:kern w:val="0"/>
        </w:rPr>
        <w:t>202</w:t>
      </w:r>
      <w:r>
        <w:rPr>
          <w:rFonts w:hint="eastAsia" w:ascii="宋体" w:hAnsi="宋体"/>
          <w:kern w:val="0"/>
          <w:u w:val="single"/>
        </w:rPr>
        <w:t xml:space="preserve">  </w:t>
      </w:r>
      <w:r>
        <w:rPr>
          <w:rFonts w:hint="eastAsia" w:ascii="宋体" w:hAnsi="宋体"/>
          <w:kern w:val="0"/>
        </w:rPr>
        <w:t>年</w:t>
      </w:r>
      <w:r>
        <w:rPr>
          <w:rFonts w:hint="eastAsia" w:ascii="宋体" w:hAnsi="宋体"/>
          <w:kern w:val="0"/>
          <w:u w:val="single"/>
        </w:rPr>
        <w:t xml:space="preserve">     </w:t>
      </w:r>
      <w:r>
        <w:rPr>
          <w:rFonts w:hint="eastAsia" w:ascii="宋体" w:hAnsi="宋体"/>
          <w:kern w:val="0"/>
        </w:rPr>
        <w:t>月</w:t>
      </w:r>
      <w:r>
        <w:rPr>
          <w:rFonts w:hint="eastAsia" w:ascii="宋体" w:hAnsi="宋体"/>
          <w:kern w:val="0"/>
          <w:u w:val="single"/>
        </w:rPr>
        <w:t xml:space="preserve">     </w:t>
      </w:r>
      <w:r>
        <w:rPr>
          <w:rFonts w:hint="eastAsia" w:ascii="宋体" w:hAnsi="宋体"/>
          <w:kern w:val="0"/>
        </w:rPr>
        <w:t>日。</w:t>
      </w:r>
    </w:p>
    <w:p w14:paraId="57EDEEFD">
      <w:pPr>
        <w:snapToGrid w:val="0"/>
        <w:ind w:firstLine="480" w:firstLineChars="200"/>
        <w:rPr>
          <w:rFonts w:ascii="宋体" w:hAnsi="宋体"/>
          <w:kern w:val="0"/>
        </w:rPr>
      </w:pPr>
      <w:r>
        <w:rPr>
          <w:rFonts w:hint="eastAsia" w:ascii="宋体" w:hAnsi="宋体"/>
          <w:kern w:val="0"/>
        </w:rPr>
        <w:t>合同订立地点：广州市。</w:t>
      </w:r>
    </w:p>
    <w:p w14:paraId="5321AF5A">
      <w:pPr>
        <w:snapToGrid w:val="0"/>
        <w:ind w:firstLine="480" w:firstLineChars="200"/>
      </w:pPr>
      <w:r>
        <w:rPr>
          <w:rFonts w:hint="eastAsia" w:ascii="宋体" w:hAnsi="宋体"/>
          <w:kern w:val="0"/>
        </w:rPr>
        <w:t>本合同双方签字并加盖合同专用章后生效</w:t>
      </w:r>
      <w:r>
        <w:t>/</w:t>
      </w:r>
      <w:r>
        <w:rPr>
          <w:rFonts w:hint="eastAsia"/>
        </w:rPr>
        <w:t>（生效条件）</w:t>
      </w:r>
      <w:r>
        <w:rPr>
          <w:rFonts w:hint="eastAsia" w:ascii="宋体" w:hAnsi="宋体"/>
          <w:kern w:val="0"/>
        </w:rPr>
        <w:t>生效。</w:t>
      </w:r>
    </w:p>
    <w:p w14:paraId="377FB7C8">
      <w:pPr>
        <w:snapToGrid w:val="0"/>
        <w:ind w:firstLine="480" w:firstLineChars="200"/>
        <w:rPr>
          <w:rFonts w:ascii="宋体" w:hAnsi="宋体"/>
        </w:rPr>
      </w:pPr>
    </w:p>
    <w:p w14:paraId="3C5517E1">
      <w:pPr>
        <w:snapToGrid w:val="0"/>
        <w:ind w:firstLine="480" w:firstLineChars="200"/>
        <w:rPr>
          <w:rFonts w:ascii="宋体" w:hAnsi="宋体"/>
          <w:kern w:val="0"/>
        </w:rPr>
      </w:pPr>
      <w:r>
        <w:rPr>
          <w:rFonts w:ascii="宋体" w:hAnsi="宋体"/>
        </w:rPr>
        <w:br w:type="page"/>
      </w:r>
      <w:r>
        <w:rPr>
          <w:rFonts w:hint="eastAsia" w:ascii="宋体" w:hAnsi="宋体"/>
          <w:kern w:val="0"/>
        </w:rPr>
        <w:t>（签字盖章页）</w:t>
      </w:r>
    </w:p>
    <w:p w14:paraId="1133EA57">
      <w:pPr>
        <w:snapToGrid w:val="0"/>
        <w:rPr>
          <w:rFonts w:ascii="宋体" w:hAnsi="宋体"/>
          <w:kern w:val="0"/>
        </w:rPr>
      </w:pPr>
    </w:p>
    <w:p w14:paraId="3B278A29">
      <w:pPr>
        <w:overflowPunct w:val="0"/>
        <w:autoSpaceDE w:val="0"/>
        <w:autoSpaceDN w:val="0"/>
        <w:snapToGrid w:val="0"/>
        <w:ind w:firstLine="230" w:firstLineChars="96"/>
        <w:jc w:val="left"/>
        <w:rPr>
          <w:rFonts w:ascii="宋体" w:hAnsi="宋体"/>
          <w:kern w:val="0"/>
          <w:u w:val="single"/>
        </w:rPr>
      </w:pPr>
      <w:r>
        <w:rPr>
          <w:rFonts w:hint="eastAsia" w:ascii="宋体" w:hAnsi="宋体"/>
          <w:kern w:val="0"/>
        </w:rPr>
        <w:t>发包人：                            承包人：</w:t>
      </w:r>
    </w:p>
    <w:p w14:paraId="051A1635">
      <w:pPr>
        <w:overflowPunct w:val="0"/>
        <w:autoSpaceDE w:val="0"/>
        <w:autoSpaceDN w:val="0"/>
        <w:snapToGrid w:val="0"/>
        <w:ind w:firstLine="230" w:firstLineChars="96"/>
        <w:rPr>
          <w:rFonts w:ascii="宋体"/>
          <w:kern w:val="0"/>
        </w:rPr>
      </w:pPr>
      <w:r>
        <w:rPr>
          <w:rFonts w:hint="eastAsia" w:ascii="宋体" w:hAnsi="宋体"/>
          <w:kern w:val="0"/>
        </w:rPr>
        <w:t>法定代表人或其                      法定代表人或其</w:t>
      </w:r>
    </w:p>
    <w:p w14:paraId="31CFD0EF">
      <w:pPr>
        <w:overflowPunct w:val="0"/>
        <w:autoSpaceDE w:val="0"/>
        <w:autoSpaceDN w:val="0"/>
        <w:snapToGrid w:val="0"/>
        <w:ind w:firstLine="230" w:firstLineChars="96"/>
        <w:rPr>
          <w:rFonts w:ascii="宋体"/>
          <w:kern w:val="0"/>
          <w:u w:val="single"/>
        </w:rPr>
      </w:pPr>
      <w:r>
        <w:rPr>
          <w:rFonts w:hint="eastAsia" w:ascii="宋体" w:hAnsi="宋体"/>
          <w:kern w:val="0"/>
        </w:rPr>
        <w:t>委托代理人：</w:t>
      </w:r>
      <w:r>
        <w:rPr>
          <w:rFonts w:hint="eastAsia" w:ascii="宋体" w:hAnsi="宋体"/>
          <w:kern w:val="0"/>
          <w:u w:val="single"/>
        </w:rPr>
        <w:t xml:space="preserve">（签字）  </w:t>
      </w:r>
      <w:r>
        <w:rPr>
          <w:rFonts w:hint="eastAsia" w:ascii="宋体" w:hAnsi="宋体"/>
          <w:kern w:val="0"/>
        </w:rPr>
        <w:t xml:space="preserve">              委托代理人：</w:t>
      </w:r>
      <w:r>
        <w:rPr>
          <w:rFonts w:hint="eastAsia" w:ascii="宋体" w:hAnsi="宋体"/>
          <w:kern w:val="0"/>
          <w:u w:val="single"/>
        </w:rPr>
        <w:t>（签字）</w:t>
      </w:r>
    </w:p>
    <w:p w14:paraId="57F20785">
      <w:pPr>
        <w:overflowPunct w:val="0"/>
        <w:autoSpaceDE w:val="0"/>
        <w:autoSpaceDN w:val="0"/>
        <w:snapToGrid w:val="0"/>
        <w:ind w:firstLine="230" w:firstLineChars="96"/>
        <w:rPr>
          <w:rFonts w:ascii="宋体" w:hAnsi="宋体"/>
          <w:kern w:val="0"/>
          <w:u w:val="single"/>
        </w:rPr>
      </w:pPr>
      <w:r>
        <w:rPr>
          <w:rFonts w:hint="eastAsia" w:ascii="宋体" w:hAnsi="宋体"/>
          <w:kern w:val="0"/>
        </w:rPr>
        <w:t>统一社会信用代码：                  统一社会信用代码：</w:t>
      </w:r>
    </w:p>
    <w:p w14:paraId="7E628C10">
      <w:pPr>
        <w:overflowPunct w:val="0"/>
        <w:autoSpaceDE w:val="0"/>
        <w:autoSpaceDN w:val="0"/>
        <w:snapToGrid w:val="0"/>
        <w:ind w:firstLine="230" w:firstLineChars="96"/>
        <w:rPr>
          <w:rFonts w:ascii="宋体" w:hAnsi="宋体"/>
          <w:kern w:val="0"/>
          <w:u w:val="single"/>
        </w:rPr>
      </w:pPr>
      <w:r>
        <w:rPr>
          <w:rFonts w:hint="eastAsia" w:ascii="宋体" w:hAnsi="宋体"/>
          <w:kern w:val="0"/>
        </w:rPr>
        <w:t>注册地址：                          注册地址：</w:t>
      </w:r>
    </w:p>
    <w:p w14:paraId="4DB26327">
      <w:pPr>
        <w:overflowPunct w:val="0"/>
        <w:autoSpaceDE w:val="0"/>
        <w:autoSpaceDN w:val="0"/>
        <w:snapToGrid w:val="0"/>
        <w:ind w:firstLine="230" w:firstLineChars="96"/>
        <w:rPr>
          <w:rFonts w:ascii="宋体" w:hAnsi="宋体"/>
          <w:kern w:val="0"/>
          <w:u w:val="single"/>
        </w:rPr>
      </w:pPr>
      <w:r>
        <w:rPr>
          <w:rFonts w:hint="eastAsia" w:ascii="宋体" w:hAnsi="宋体"/>
          <w:kern w:val="0"/>
        </w:rPr>
        <w:t>通讯地址：                          通讯地址：</w:t>
      </w:r>
    </w:p>
    <w:p w14:paraId="412F69BE">
      <w:pPr>
        <w:overflowPunct w:val="0"/>
        <w:autoSpaceDE w:val="0"/>
        <w:autoSpaceDN w:val="0"/>
        <w:snapToGrid w:val="0"/>
        <w:ind w:firstLine="230" w:firstLineChars="96"/>
        <w:rPr>
          <w:rFonts w:ascii="宋体"/>
          <w:kern w:val="0"/>
          <w:u w:val="single"/>
        </w:rPr>
      </w:pPr>
      <w:r>
        <w:rPr>
          <w:rFonts w:hint="eastAsia" w:ascii="宋体" w:hAnsi="宋体"/>
          <w:kern w:val="0"/>
        </w:rPr>
        <w:t>邮政编码：                          邮政编码：</w:t>
      </w:r>
    </w:p>
    <w:p w14:paraId="19BA6AF8">
      <w:pPr>
        <w:overflowPunct w:val="0"/>
        <w:autoSpaceDE w:val="0"/>
        <w:autoSpaceDN w:val="0"/>
        <w:snapToGrid w:val="0"/>
        <w:ind w:firstLine="230" w:firstLineChars="96"/>
        <w:rPr>
          <w:rFonts w:ascii="宋体"/>
          <w:kern w:val="0"/>
          <w:u w:val="single"/>
        </w:rPr>
      </w:pPr>
      <w:r>
        <w:rPr>
          <w:rFonts w:hint="eastAsia" w:ascii="宋体" w:hAnsi="宋体"/>
          <w:kern w:val="0"/>
        </w:rPr>
        <w:t>电话：                              电话：</w:t>
      </w:r>
    </w:p>
    <w:p w14:paraId="30DB32F5">
      <w:pPr>
        <w:overflowPunct w:val="0"/>
        <w:autoSpaceDE w:val="0"/>
        <w:autoSpaceDN w:val="0"/>
        <w:snapToGrid w:val="0"/>
        <w:ind w:firstLine="230" w:firstLineChars="96"/>
        <w:rPr>
          <w:rFonts w:ascii="宋体"/>
          <w:kern w:val="0"/>
          <w:u w:val="single"/>
        </w:rPr>
      </w:pPr>
      <w:r>
        <w:rPr>
          <w:rFonts w:hint="eastAsia" w:ascii="宋体" w:hAnsi="宋体"/>
          <w:kern w:val="0"/>
        </w:rPr>
        <w:t>传真：                              传真：</w:t>
      </w:r>
    </w:p>
    <w:p w14:paraId="7F269126">
      <w:pPr>
        <w:overflowPunct w:val="0"/>
        <w:autoSpaceDE w:val="0"/>
        <w:autoSpaceDN w:val="0"/>
        <w:snapToGrid w:val="0"/>
        <w:ind w:firstLine="230" w:firstLineChars="96"/>
        <w:rPr>
          <w:rFonts w:ascii="宋体"/>
          <w:kern w:val="0"/>
          <w:u w:val="single"/>
        </w:rPr>
      </w:pPr>
      <w:r>
        <w:rPr>
          <w:rFonts w:hint="eastAsia" w:ascii="宋体" w:hAnsi="宋体"/>
          <w:kern w:val="0"/>
        </w:rPr>
        <w:t>电子邮箱：                          电子邮箱：</w:t>
      </w:r>
    </w:p>
    <w:p w14:paraId="2609FA13">
      <w:pPr>
        <w:overflowPunct w:val="0"/>
        <w:autoSpaceDE w:val="0"/>
        <w:autoSpaceDN w:val="0"/>
        <w:snapToGrid w:val="0"/>
        <w:ind w:firstLine="230" w:firstLineChars="96"/>
        <w:rPr>
          <w:rFonts w:ascii="宋体" w:hAnsi="宋体"/>
          <w:kern w:val="0"/>
          <w:u w:val="single"/>
        </w:rPr>
      </w:pPr>
      <w:r>
        <w:rPr>
          <w:rFonts w:hint="eastAsia" w:ascii="宋体" w:hAnsi="宋体"/>
          <w:kern w:val="0"/>
        </w:rPr>
        <w:t>开户银行：                          开户银行：</w:t>
      </w:r>
    </w:p>
    <w:p w14:paraId="11FE9C28">
      <w:pPr>
        <w:overflowPunct w:val="0"/>
        <w:autoSpaceDE w:val="0"/>
        <w:autoSpaceDN w:val="0"/>
        <w:snapToGrid w:val="0"/>
        <w:ind w:firstLine="230" w:firstLineChars="96"/>
        <w:rPr>
          <w:rFonts w:ascii="宋体" w:hAnsi="宋体"/>
          <w:kern w:val="0"/>
          <w:u w:val="single"/>
        </w:rPr>
      </w:pPr>
      <w:r>
        <w:rPr>
          <w:rFonts w:hint="eastAsia" w:ascii="宋体" w:hAnsi="宋体"/>
          <w:kern w:val="0"/>
        </w:rPr>
        <w:t>账号：                              账号：</w:t>
      </w:r>
    </w:p>
    <w:p w14:paraId="7F7964E2">
      <w:pPr>
        <w:overflowPunct w:val="0"/>
        <w:autoSpaceDE w:val="0"/>
        <w:autoSpaceDN w:val="0"/>
        <w:snapToGrid w:val="0"/>
        <w:ind w:firstLine="230" w:firstLineChars="96"/>
        <w:rPr>
          <w:rFonts w:ascii="宋体" w:hAnsi="宋体"/>
          <w:kern w:val="0"/>
          <w:u w:val="single"/>
        </w:rPr>
      </w:pPr>
    </w:p>
    <w:p w14:paraId="55CD57BA">
      <w:pPr>
        <w:overflowPunct w:val="0"/>
        <w:autoSpaceDE w:val="0"/>
        <w:autoSpaceDN w:val="0"/>
        <w:snapToGrid w:val="0"/>
        <w:ind w:firstLine="230" w:firstLineChars="96"/>
        <w:rPr>
          <w:rFonts w:ascii="宋体"/>
          <w:kern w:val="0"/>
        </w:rPr>
      </w:pPr>
    </w:p>
    <w:p w14:paraId="5541C13F">
      <w:pPr>
        <w:snapToGrid w:val="0"/>
        <w:rPr>
          <w:rFonts w:ascii="宋体" w:hAnsi="宋体"/>
          <w:kern w:val="0"/>
        </w:rPr>
      </w:pPr>
    </w:p>
    <w:p w14:paraId="3BA7F6BE">
      <w:pPr>
        <w:snapToGrid w:val="0"/>
        <w:rPr>
          <w:rFonts w:ascii="宋体" w:hAnsi="宋体"/>
          <w:kern w:val="0"/>
        </w:rPr>
      </w:pPr>
    </w:p>
    <w:p w14:paraId="53C951E3">
      <w:pPr>
        <w:snapToGrid w:val="0"/>
        <w:rPr>
          <w:rFonts w:ascii="宋体" w:hAnsi="宋体"/>
          <w:kern w:val="0"/>
        </w:rPr>
      </w:pPr>
    </w:p>
    <w:p w14:paraId="1255521C">
      <w:pPr>
        <w:snapToGrid w:val="0"/>
        <w:rPr>
          <w:rFonts w:ascii="宋体" w:hAnsi="宋体"/>
          <w:kern w:val="0"/>
        </w:rPr>
      </w:pPr>
    </w:p>
    <w:p w14:paraId="46B9E9B9">
      <w:pPr>
        <w:snapToGrid w:val="0"/>
        <w:rPr>
          <w:rFonts w:ascii="宋体" w:hAnsi="宋体"/>
          <w:kern w:val="0"/>
        </w:rPr>
      </w:pPr>
    </w:p>
    <w:p w14:paraId="44276384">
      <w:pPr>
        <w:snapToGrid w:val="0"/>
        <w:rPr>
          <w:rFonts w:ascii="宋体" w:hAnsi="宋体"/>
          <w:kern w:val="0"/>
        </w:rPr>
      </w:pPr>
    </w:p>
    <w:p w14:paraId="0AAFE680">
      <w:pPr>
        <w:snapToGrid w:val="0"/>
        <w:rPr>
          <w:rFonts w:ascii="宋体" w:hAnsi="宋体"/>
          <w:kern w:val="0"/>
        </w:rPr>
      </w:pPr>
    </w:p>
    <w:p w14:paraId="75D64089">
      <w:pPr>
        <w:ind w:left="41" w:leftChars="17"/>
        <w:jc w:val="center"/>
        <w:outlineLvl w:val="1"/>
        <w:rPr>
          <w:rFonts w:ascii="Arial" w:hAnsi="Arial"/>
          <w:b/>
          <w:bCs/>
          <w:kern w:val="0"/>
          <w:sz w:val="44"/>
          <w:szCs w:val="44"/>
        </w:rPr>
      </w:pPr>
      <w:bookmarkStart w:id="332" w:name="_Toc401303318"/>
      <w:bookmarkStart w:id="333" w:name="_Toc489084304"/>
      <w:bookmarkStart w:id="334" w:name="_Toc410986358"/>
      <w:bookmarkStart w:id="335" w:name="_Toc6241356"/>
      <w:bookmarkStart w:id="336" w:name="_Toc526793371"/>
      <w:bookmarkStart w:id="337" w:name="_Toc439160159"/>
      <w:bookmarkStart w:id="338" w:name="_Toc439160053"/>
      <w:bookmarkStart w:id="339" w:name="_Toc410986394"/>
      <w:r>
        <w:rPr>
          <w:rFonts w:ascii="Arial" w:hAnsi="Arial"/>
          <w:b/>
          <w:bCs/>
          <w:kern w:val="0"/>
        </w:rPr>
        <w:br w:type="page"/>
      </w:r>
      <w:bookmarkStart w:id="340" w:name="_Toc31570"/>
      <w:r>
        <w:rPr>
          <w:rFonts w:hint="eastAsia" w:ascii="Arial" w:hAnsi="Arial"/>
          <w:b/>
          <w:bCs/>
          <w:kern w:val="0"/>
          <w:sz w:val="44"/>
          <w:szCs w:val="44"/>
        </w:rPr>
        <w:t>第二部分</w:t>
      </w:r>
      <w:r>
        <w:rPr>
          <w:rFonts w:ascii="Arial" w:hAnsi="Arial"/>
          <w:b/>
          <w:bCs/>
          <w:kern w:val="0"/>
          <w:sz w:val="44"/>
          <w:szCs w:val="44"/>
        </w:rPr>
        <w:t xml:space="preserve"> </w:t>
      </w:r>
      <w:r>
        <w:rPr>
          <w:rFonts w:hint="eastAsia" w:ascii="Arial" w:hAnsi="Arial"/>
          <w:b/>
          <w:bCs/>
          <w:kern w:val="0"/>
          <w:sz w:val="44"/>
          <w:szCs w:val="44"/>
        </w:rPr>
        <w:t>通用合同条款</w:t>
      </w:r>
      <w:bookmarkEnd w:id="332"/>
      <w:bookmarkEnd w:id="333"/>
      <w:bookmarkEnd w:id="334"/>
      <w:bookmarkEnd w:id="335"/>
      <w:bookmarkEnd w:id="336"/>
      <w:bookmarkEnd w:id="337"/>
      <w:bookmarkEnd w:id="340"/>
    </w:p>
    <w:p w14:paraId="1B05D7FD">
      <w:pPr>
        <w:ind w:left="41" w:leftChars="17"/>
        <w:outlineLvl w:val="1"/>
        <w:rPr>
          <w:rFonts w:ascii="宋体" w:hAnsi="宋体"/>
          <w:b/>
          <w:bCs/>
          <w:kern w:val="0"/>
        </w:rPr>
      </w:pPr>
      <w:bookmarkStart w:id="341" w:name="_Toc296602499"/>
      <w:bookmarkStart w:id="342" w:name="_Toc526793372"/>
      <w:bookmarkStart w:id="343" w:name="_Toc2400"/>
      <w:bookmarkStart w:id="344" w:name="_Toc439160160"/>
      <w:bookmarkStart w:id="345" w:name="_Toc247085769"/>
      <w:bookmarkStart w:id="346" w:name="_Toc489084305"/>
      <w:bookmarkStart w:id="347" w:name="_Toc410986359"/>
      <w:bookmarkStart w:id="348" w:name="_Toc184635098"/>
      <w:bookmarkStart w:id="349" w:name="_Toc246996997"/>
      <w:bookmarkStart w:id="350" w:name="_Toc246996254"/>
      <w:bookmarkStart w:id="351" w:name="_Toc6241357"/>
      <w:r>
        <w:rPr>
          <w:rFonts w:ascii="宋体" w:hAnsi="宋体"/>
          <w:b/>
          <w:bCs/>
          <w:kern w:val="0"/>
        </w:rPr>
        <w:t xml:space="preserve">1. </w:t>
      </w:r>
      <w:r>
        <w:rPr>
          <w:rFonts w:hint="eastAsia" w:ascii="宋体" w:hAnsi="宋体"/>
          <w:b/>
          <w:bCs/>
          <w:kern w:val="0"/>
        </w:rPr>
        <w:t>一般约定</w:t>
      </w:r>
      <w:bookmarkEnd w:id="341"/>
      <w:bookmarkEnd w:id="342"/>
      <w:bookmarkEnd w:id="343"/>
      <w:bookmarkEnd w:id="344"/>
      <w:bookmarkEnd w:id="345"/>
      <w:bookmarkEnd w:id="346"/>
      <w:bookmarkEnd w:id="347"/>
      <w:bookmarkEnd w:id="348"/>
      <w:bookmarkEnd w:id="349"/>
      <w:bookmarkEnd w:id="350"/>
      <w:bookmarkEnd w:id="351"/>
    </w:p>
    <w:p w14:paraId="53598C1E">
      <w:pPr>
        <w:snapToGrid w:val="0"/>
        <w:ind w:left="41" w:leftChars="17"/>
        <w:rPr>
          <w:rFonts w:ascii="宋体" w:hAnsi="宋体"/>
          <w:b/>
        </w:rPr>
      </w:pPr>
      <w:bookmarkStart w:id="352" w:name="_Toc246996255"/>
      <w:bookmarkStart w:id="353" w:name="_Toc296602500"/>
      <w:bookmarkStart w:id="354" w:name="_Toc247085770"/>
      <w:bookmarkStart w:id="355" w:name="_Toc246996998"/>
      <w:r>
        <w:rPr>
          <w:rFonts w:ascii="宋体" w:hAnsi="宋体"/>
          <w:b/>
        </w:rPr>
        <w:t xml:space="preserve">    1.1 词语定义</w:t>
      </w:r>
      <w:bookmarkEnd w:id="352"/>
      <w:bookmarkEnd w:id="353"/>
      <w:bookmarkEnd w:id="354"/>
      <w:bookmarkEnd w:id="355"/>
      <w:r>
        <w:rPr>
          <w:rFonts w:hint="eastAsia" w:ascii="宋体" w:hAnsi="宋体"/>
          <w:b/>
        </w:rPr>
        <w:t>与解释</w:t>
      </w:r>
    </w:p>
    <w:p w14:paraId="29555607">
      <w:pPr>
        <w:autoSpaceDE w:val="0"/>
        <w:autoSpaceDN w:val="0"/>
        <w:snapToGrid w:val="0"/>
        <w:ind w:left="41" w:leftChars="17" w:firstLine="480" w:firstLineChars="200"/>
        <w:rPr>
          <w:rFonts w:ascii="宋体"/>
          <w:kern w:val="0"/>
        </w:rPr>
      </w:pPr>
      <w:r>
        <w:rPr>
          <w:rFonts w:hint="eastAsia" w:ascii="宋体" w:hAnsi="宋体"/>
          <w:kern w:val="0"/>
        </w:rPr>
        <w:t>通用合同条款、专用合同条款、合同附件中的下列词语应具有本款所赋予的含义。</w:t>
      </w:r>
    </w:p>
    <w:p w14:paraId="1769FDFA">
      <w:pPr>
        <w:snapToGrid w:val="0"/>
        <w:ind w:left="41" w:leftChars="17" w:firstLine="480" w:firstLineChars="200"/>
        <w:rPr>
          <w:rFonts w:ascii="宋体"/>
        </w:rPr>
      </w:pPr>
      <w:r>
        <w:rPr>
          <w:rFonts w:ascii="宋体" w:hAnsi="宋体"/>
        </w:rPr>
        <w:t xml:space="preserve">1.1.1 </w:t>
      </w:r>
      <w:r>
        <w:rPr>
          <w:rFonts w:hint="eastAsia" w:ascii="宋体" w:hAnsi="宋体"/>
        </w:rPr>
        <w:t>合同</w:t>
      </w:r>
    </w:p>
    <w:p w14:paraId="62383AA0">
      <w:pPr>
        <w:adjustRightInd w:val="0"/>
        <w:snapToGrid w:val="0"/>
        <w:ind w:firstLine="480" w:firstLineChars="200"/>
        <w:rPr>
          <w:rFonts w:ascii="宋体"/>
        </w:rPr>
      </w:pPr>
      <w:r>
        <w:rPr>
          <w:rFonts w:ascii="宋体" w:hAnsi="宋体"/>
        </w:rPr>
        <w:t>1.1.1.1</w:t>
      </w:r>
      <w:r>
        <w:rPr>
          <w:rFonts w:hint="eastAsia" w:ascii="宋体" w:hAnsi="宋体"/>
        </w:rPr>
        <w:t>合同文件（或称合同）：指合同协议书、中标通知书</w:t>
      </w:r>
      <w:r>
        <w:rPr>
          <w:rFonts w:ascii="宋体" w:hAnsi="宋体"/>
        </w:rPr>
        <w:t xml:space="preserve">  </w:t>
      </w:r>
      <w:r>
        <w:rPr>
          <w:rFonts w:hint="eastAsia" w:ascii="宋体" w:hAnsi="宋体"/>
        </w:rPr>
        <w:t>、投标函及附录、专用合同条款、通用合同条款、招标需求、合同附件、招标文件及招标补充文件、投标文件，以及其他合同文件。</w:t>
      </w:r>
    </w:p>
    <w:p w14:paraId="72B4C623">
      <w:pPr>
        <w:adjustRightInd w:val="0"/>
        <w:snapToGrid w:val="0"/>
        <w:ind w:firstLine="480" w:firstLineChars="200"/>
        <w:rPr>
          <w:rFonts w:ascii="宋体"/>
        </w:rPr>
      </w:pPr>
      <w:r>
        <w:rPr>
          <w:rFonts w:ascii="宋体" w:hAnsi="宋体"/>
        </w:rPr>
        <w:t xml:space="preserve">1.1.1.2 </w:t>
      </w:r>
      <w:r>
        <w:rPr>
          <w:rFonts w:hint="eastAsia" w:ascii="宋体" w:hAnsi="宋体"/>
        </w:rPr>
        <w:t>合同协议书：承包人按中标通知书</w:t>
      </w:r>
      <w:r>
        <w:rPr>
          <w:rFonts w:ascii="宋体" w:hAnsi="宋体"/>
        </w:rPr>
        <w:t xml:space="preserve">  </w:t>
      </w:r>
      <w:r>
        <w:rPr>
          <w:rFonts w:hint="eastAsia" w:ascii="宋体" w:hAnsi="宋体"/>
        </w:rPr>
        <w:t>规定的时间与发包人签订的合同协议书。</w:t>
      </w:r>
    </w:p>
    <w:p w14:paraId="0BBB2724">
      <w:pPr>
        <w:adjustRightInd w:val="0"/>
        <w:snapToGrid w:val="0"/>
        <w:ind w:firstLine="480" w:firstLineChars="200"/>
        <w:rPr>
          <w:rFonts w:ascii="宋体"/>
        </w:rPr>
      </w:pPr>
      <w:r>
        <w:rPr>
          <w:rFonts w:ascii="宋体" w:hAnsi="宋体"/>
        </w:rPr>
        <w:t xml:space="preserve">1.1.1.3 </w:t>
      </w:r>
      <w:r>
        <w:rPr>
          <w:rFonts w:hint="eastAsia" w:ascii="宋体" w:hAnsi="宋体"/>
        </w:rPr>
        <w:t>中标通知书</w:t>
      </w:r>
      <w:r>
        <w:rPr>
          <w:rFonts w:ascii="宋体" w:hAnsi="宋体"/>
        </w:rPr>
        <w:t xml:space="preserve">  </w:t>
      </w:r>
      <w:r>
        <w:rPr>
          <w:rFonts w:hint="eastAsia" w:ascii="宋体" w:hAnsi="宋体"/>
        </w:rPr>
        <w:t>：指发包人通知承包人成交的函件。</w:t>
      </w:r>
    </w:p>
    <w:p w14:paraId="1374FC90">
      <w:pPr>
        <w:adjustRightInd w:val="0"/>
        <w:snapToGrid w:val="0"/>
        <w:ind w:firstLine="480" w:firstLineChars="200"/>
        <w:rPr>
          <w:rFonts w:ascii="宋体"/>
        </w:rPr>
      </w:pPr>
      <w:r>
        <w:rPr>
          <w:rFonts w:ascii="宋体" w:hAnsi="宋体"/>
        </w:rPr>
        <w:t xml:space="preserve">1.1.1.4 </w:t>
      </w:r>
      <w:r>
        <w:rPr>
          <w:rFonts w:hint="eastAsia" w:ascii="宋体" w:hAnsi="宋体"/>
        </w:rPr>
        <w:t>响应函：指由承包人填写并签署的响应函。</w:t>
      </w:r>
    </w:p>
    <w:p w14:paraId="2318EDE1">
      <w:pPr>
        <w:snapToGrid w:val="0"/>
        <w:ind w:left="41" w:leftChars="17" w:firstLine="480" w:firstLineChars="200"/>
        <w:rPr>
          <w:rFonts w:ascii="宋体"/>
        </w:rPr>
      </w:pPr>
      <w:r>
        <w:rPr>
          <w:rFonts w:ascii="宋体" w:hAnsi="宋体"/>
        </w:rPr>
        <w:t>1.1.1.5专用合同条款：发包人与承包人根据法律、行政法规规定，结合具体工程实际，经协商达成一致意见的条款，是对通用合同条款的具体化、补充或修改。</w:t>
      </w:r>
    </w:p>
    <w:p w14:paraId="3C41F352">
      <w:pPr>
        <w:snapToGrid w:val="0"/>
        <w:ind w:left="41" w:leftChars="17" w:firstLine="480" w:firstLineChars="200"/>
        <w:rPr>
          <w:rFonts w:ascii="宋体"/>
        </w:rPr>
      </w:pPr>
      <w:r>
        <w:rPr>
          <w:rFonts w:ascii="宋体" w:hAnsi="宋体"/>
        </w:rPr>
        <w:t>1.1.1.6通用合同条款：根据法律、行政法规规定及建设工程项目实施的需要订立，通用于建设工程项目实施的条款。</w:t>
      </w:r>
    </w:p>
    <w:p w14:paraId="13B8D478">
      <w:pPr>
        <w:snapToGrid w:val="0"/>
        <w:ind w:left="41" w:leftChars="17" w:firstLine="480" w:firstLineChars="200"/>
        <w:rPr>
          <w:rFonts w:ascii="宋体" w:hAnsi="宋体"/>
        </w:rPr>
      </w:pPr>
      <w:r>
        <w:rPr>
          <w:rFonts w:ascii="宋体" w:hAnsi="宋体"/>
        </w:rPr>
        <w:t xml:space="preserve">1.1.1.7招标需求: </w:t>
      </w:r>
      <w:r>
        <w:rPr>
          <w:rFonts w:hint="eastAsia" w:ascii="宋体" w:hAnsi="宋体"/>
        </w:rPr>
        <w:t>是工程施工、试验、运行、验收的依据，指图纸、中华人民共和国国家标准和行业标准、规范、规程等，以及发包人有关工程施工、试验、运行、验收的其他书面要求。</w:t>
      </w:r>
    </w:p>
    <w:p w14:paraId="78518B3A">
      <w:pPr>
        <w:snapToGrid w:val="0"/>
        <w:ind w:left="41" w:leftChars="17" w:firstLine="360" w:firstLineChars="150"/>
        <w:rPr>
          <w:rFonts w:ascii="宋体" w:hAnsi="宋体"/>
        </w:rPr>
      </w:pPr>
      <w:r>
        <w:rPr>
          <w:rFonts w:ascii="宋体" w:hAnsi="宋体"/>
        </w:rPr>
        <w:t xml:space="preserve"> 1.1.1.8 图纸：指包含在合同中的工程图纸，以及由发包人按合同约定提供的任何补充和修改的图纸，包括配套的说明。</w:t>
      </w:r>
    </w:p>
    <w:p w14:paraId="2C99DE1B">
      <w:pPr>
        <w:snapToGrid w:val="0"/>
        <w:ind w:left="41" w:leftChars="17" w:firstLine="480" w:firstLineChars="200"/>
        <w:rPr>
          <w:rFonts w:ascii="宋体" w:hAnsi="宋体"/>
        </w:rPr>
      </w:pPr>
      <w:r>
        <w:rPr>
          <w:rFonts w:ascii="宋体" w:hAnsi="宋体"/>
        </w:rPr>
        <w:t>1.1.1.9已标价工程量清单：指构成合同文件组成部分的由承包人按照规定的格式和要求填写并标明价格的工程量清单。</w:t>
      </w:r>
    </w:p>
    <w:p w14:paraId="2F7236C4">
      <w:pPr>
        <w:snapToGrid w:val="0"/>
        <w:ind w:left="41" w:leftChars="17" w:firstLine="480" w:firstLineChars="200"/>
        <w:rPr>
          <w:rFonts w:ascii="宋体"/>
        </w:rPr>
      </w:pPr>
      <w:r>
        <w:rPr>
          <w:rFonts w:ascii="宋体" w:hAnsi="宋体"/>
        </w:rPr>
        <w:t>1.1.1.10合同附件：指构成合同文件组成部分的附件。</w:t>
      </w:r>
    </w:p>
    <w:p w14:paraId="31434402">
      <w:pPr>
        <w:snapToGrid w:val="0"/>
        <w:ind w:left="41" w:leftChars="17" w:firstLine="480" w:firstLineChars="200"/>
        <w:rPr>
          <w:rFonts w:ascii="宋体"/>
        </w:rPr>
      </w:pPr>
      <w:r>
        <w:rPr>
          <w:rFonts w:ascii="宋体" w:hAnsi="宋体"/>
        </w:rPr>
        <w:t>1.1.1.1</w:t>
      </w:r>
      <w:r>
        <w:rPr>
          <w:rFonts w:ascii="宋体"/>
        </w:rPr>
        <w:t>1</w:t>
      </w:r>
      <w:r>
        <w:rPr>
          <w:rFonts w:hint="eastAsia" w:ascii="宋体" w:hAnsi="宋体"/>
        </w:rPr>
        <w:t>其他合同文件：</w:t>
      </w:r>
      <w:r>
        <w:rPr>
          <w:rFonts w:hint="eastAsia" w:ascii="宋体" w:hAnsi="宋体"/>
          <w:kern w:val="0"/>
        </w:rPr>
        <w:t>指经合同当事人约定的与工程有关的具有合同约束力的文件或书面协议。</w:t>
      </w:r>
    </w:p>
    <w:p w14:paraId="6DA1E86A">
      <w:pPr>
        <w:snapToGrid w:val="0"/>
        <w:ind w:left="41" w:leftChars="17" w:firstLine="480" w:firstLineChars="200"/>
        <w:rPr>
          <w:rFonts w:ascii="宋体"/>
        </w:rPr>
      </w:pPr>
      <w:r>
        <w:rPr>
          <w:rFonts w:ascii="宋体" w:hAnsi="宋体"/>
        </w:rPr>
        <w:t xml:space="preserve">1.1.2 </w:t>
      </w:r>
      <w:r>
        <w:rPr>
          <w:rFonts w:hint="eastAsia" w:ascii="宋体" w:hAnsi="宋体"/>
        </w:rPr>
        <w:t>合同当事人和人员</w:t>
      </w:r>
    </w:p>
    <w:p w14:paraId="17867216">
      <w:pPr>
        <w:snapToGrid w:val="0"/>
        <w:ind w:left="41" w:leftChars="17" w:firstLine="480" w:firstLineChars="200"/>
        <w:rPr>
          <w:rFonts w:ascii="宋体"/>
        </w:rPr>
      </w:pPr>
      <w:r>
        <w:rPr>
          <w:rFonts w:ascii="宋体" w:hAnsi="宋体"/>
        </w:rPr>
        <w:t xml:space="preserve">1.1.2.1 </w:t>
      </w:r>
      <w:r>
        <w:rPr>
          <w:rFonts w:hint="eastAsia" w:ascii="宋体" w:hAnsi="宋体"/>
        </w:rPr>
        <w:t>合同当事人：指发包人和（或）承包人。</w:t>
      </w:r>
    </w:p>
    <w:p w14:paraId="4AA77EED">
      <w:pPr>
        <w:snapToGrid w:val="0"/>
        <w:ind w:left="41" w:leftChars="17" w:firstLine="480" w:firstLineChars="200"/>
        <w:rPr>
          <w:rFonts w:ascii="宋体"/>
        </w:rPr>
      </w:pPr>
      <w:r>
        <w:rPr>
          <w:rFonts w:ascii="宋体" w:hAnsi="宋体"/>
        </w:rPr>
        <w:t xml:space="preserve">1.1.2.2 </w:t>
      </w:r>
      <w:r>
        <w:rPr>
          <w:rFonts w:hint="eastAsia" w:ascii="宋体" w:hAnsi="宋体"/>
        </w:rPr>
        <w:t>发包人：指本合同中与承包人签订合同协议书的当事人及取得该当事人资格的合法继承人。</w:t>
      </w:r>
    </w:p>
    <w:p w14:paraId="510FA70C">
      <w:pPr>
        <w:snapToGrid w:val="0"/>
        <w:ind w:left="41" w:leftChars="17" w:firstLine="480" w:firstLineChars="200"/>
        <w:rPr>
          <w:rFonts w:ascii="宋体"/>
          <w:kern w:val="0"/>
        </w:rPr>
      </w:pPr>
      <w:r>
        <w:rPr>
          <w:rFonts w:ascii="宋体" w:hAnsi="宋体"/>
        </w:rPr>
        <w:t xml:space="preserve">1.1.2.3 </w:t>
      </w:r>
      <w:r>
        <w:rPr>
          <w:rFonts w:hint="eastAsia" w:ascii="宋体" w:hAnsi="宋体"/>
        </w:rPr>
        <w:t>承包人：指与发包人签订合同协议书的，具有相应工程施工资质的当事人及取得该当事人资格的合法继承人。</w:t>
      </w:r>
    </w:p>
    <w:p w14:paraId="19A46263">
      <w:pPr>
        <w:snapToGrid w:val="0"/>
        <w:ind w:left="41" w:leftChars="17" w:firstLine="480" w:firstLineChars="200"/>
        <w:rPr>
          <w:rFonts w:ascii="宋体"/>
          <w:kern w:val="0"/>
        </w:rPr>
      </w:pPr>
      <w:r>
        <w:rPr>
          <w:rFonts w:ascii="宋体" w:hAnsi="宋体"/>
        </w:rPr>
        <w:t>1.1.2.4监理人：</w:t>
      </w:r>
      <w:r>
        <w:rPr>
          <w:rFonts w:hint="eastAsia" w:ascii="宋体" w:hAnsi="宋体"/>
          <w:kern w:val="0"/>
        </w:rPr>
        <w:t>指受发包人委托按照法律规定进行工程监督管理并</w:t>
      </w:r>
      <w:r>
        <w:rPr>
          <w:rFonts w:hint="eastAsia" w:ascii="宋体" w:hAnsi="宋体"/>
        </w:rPr>
        <w:t>取得相应工程监理资质</w:t>
      </w:r>
      <w:r>
        <w:rPr>
          <w:rFonts w:hint="eastAsia" w:ascii="宋体" w:hAnsi="宋体"/>
          <w:kern w:val="0"/>
        </w:rPr>
        <w:t>的法人或其他组织。</w:t>
      </w:r>
    </w:p>
    <w:p w14:paraId="41A23E64">
      <w:pPr>
        <w:snapToGrid w:val="0"/>
        <w:ind w:left="41" w:leftChars="17" w:firstLine="480" w:firstLineChars="200"/>
        <w:rPr>
          <w:rFonts w:ascii="宋体" w:hAnsi="宋体"/>
        </w:rPr>
      </w:pPr>
      <w:r>
        <w:rPr>
          <w:rFonts w:ascii="宋体" w:hAnsi="宋体"/>
        </w:rPr>
        <w:t>1.1.2.5承包人项目经理：指承包人法定代表人书面授权，全面履行本合同义务的负责人。</w:t>
      </w:r>
    </w:p>
    <w:p w14:paraId="45CAB282">
      <w:pPr>
        <w:snapToGrid w:val="0"/>
        <w:ind w:left="41" w:leftChars="17" w:firstLine="480" w:firstLineChars="200"/>
        <w:rPr>
          <w:rFonts w:ascii="宋体"/>
        </w:rPr>
      </w:pPr>
      <w:r>
        <w:rPr>
          <w:rFonts w:ascii="宋体" w:hAnsi="宋体"/>
        </w:rPr>
        <w:t>1.1.2.6技术负责人：指承包人指定负责组织指导协调技术工作并具有相应资格的人员。</w:t>
      </w:r>
    </w:p>
    <w:p w14:paraId="7DBDF755">
      <w:pPr>
        <w:snapToGrid w:val="0"/>
        <w:ind w:left="41" w:leftChars="17" w:firstLine="480" w:firstLineChars="200"/>
        <w:rPr>
          <w:rFonts w:ascii="宋体"/>
        </w:rPr>
      </w:pPr>
      <w:r>
        <w:rPr>
          <w:rFonts w:ascii="宋体" w:hAnsi="宋体"/>
        </w:rPr>
        <w:t>1.1.2.7总监理工程师：</w:t>
      </w:r>
      <w:r>
        <w:rPr>
          <w:rFonts w:hint="eastAsia" w:ascii="宋体" w:hAnsi="宋体"/>
          <w:kern w:val="0"/>
        </w:rPr>
        <w:t>指监理人任命并派驻施工现场进行工程监理的总负责人。</w:t>
      </w:r>
    </w:p>
    <w:p w14:paraId="5561FA55">
      <w:pPr>
        <w:snapToGrid w:val="0"/>
        <w:ind w:left="41" w:leftChars="17" w:firstLine="480" w:firstLineChars="200"/>
        <w:rPr>
          <w:rFonts w:ascii="宋体" w:hAnsi="宋体"/>
        </w:rPr>
      </w:pPr>
      <w:r>
        <w:rPr>
          <w:rFonts w:ascii="宋体" w:hAnsi="宋体"/>
        </w:rPr>
        <w:t>1.1.2.8分包人：指按照法律规定和合同约定，从承包人处分包合同中部分工程或工作，并与承包人签订分包合同的具有相应资质的法人。</w:t>
      </w:r>
    </w:p>
    <w:p w14:paraId="63AC33F1">
      <w:pPr>
        <w:snapToGrid w:val="0"/>
        <w:ind w:left="41" w:leftChars="17" w:firstLine="480" w:firstLineChars="200"/>
        <w:rPr>
          <w:rFonts w:ascii="宋体" w:hAnsi="宋体"/>
        </w:rPr>
      </w:pPr>
      <w:r>
        <w:rPr>
          <w:rFonts w:ascii="宋体" w:hAnsi="宋体"/>
        </w:rPr>
        <w:t>1.1.2.9质量监督机构：本合同指石油化工工程质量监督总站或其下属的分站。</w:t>
      </w:r>
    </w:p>
    <w:p w14:paraId="5263BB79">
      <w:pPr>
        <w:snapToGrid w:val="0"/>
        <w:ind w:left="41" w:leftChars="17" w:firstLine="480" w:firstLineChars="200"/>
        <w:rPr>
          <w:rFonts w:ascii="宋体"/>
        </w:rPr>
      </w:pPr>
      <w:r>
        <w:rPr>
          <w:rFonts w:ascii="宋体" w:hAnsi="宋体"/>
        </w:rPr>
        <w:t xml:space="preserve">1.1.3 </w:t>
      </w:r>
      <w:r>
        <w:rPr>
          <w:rFonts w:hint="eastAsia" w:ascii="宋体" w:hAnsi="宋体"/>
        </w:rPr>
        <w:t>工程和设备</w:t>
      </w:r>
    </w:p>
    <w:p w14:paraId="12292649">
      <w:pPr>
        <w:adjustRightInd w:val="0"/>
        <w:snapToGrid w:val="0"/>
        <w:ind w:left="41" w:leftChars="17" w:firstLine="480" w:firstLineChars="200"/>
        <w:rPr>
          <w:rFonts w:ascii="宋体"/>
        </w:rPr>
      </w:pPr>
      <w:r>
        <w:rPr>
          <w:rFonts w:ascii="宋体" w:hAnsi="宋体"/>
        </w:rPr>
        <w:t>1.1.3.1</w:t>
      </w:r>
      <w:r>
        <w:rPr>
          <w:rFonts w:hint="eastAsia" w:ascii="宋体" w:hAnsi="宋体"/>
          <w:kern w:val="0"/>
        </w:rPr>
        <w:t>工程：指永久工程和（或）临时工程。</w:t>
      </w:r>
    </w:p>
    <w:p w14:paraId="7F7FB31B">
      <w:pPr>
        <w:adjustRightInd w:val="0"/>
        <w:snapToGrid w:val="0"/>
        <w:ind w:left="41" w:leftChars="17" w:firstLine="480" w:firstLineChars="200"/>
        <w:rPr>
          <w:rFonts w:ascii="宋体"/>
          <w:kern w:val="0"/>
        </w:rPr>
      </w:pPr>
      <w:r>
        <w:rPr>
          <w:rFonts w:ascii="宋体" w:hAnsi="宋体"/>
        </w:rPr>
        <w:t>1.1.3.2</w:t>
      </w:r>
      <w:r>
        <w:rPr>
          <w:rFonts w:hint="eastAsia" w:ascii="宋体" w:hAnsi="宋体"/>
          <w:kern w:val="0"/>
        </w:rPr>
        <w:t>永久工程：指按合同约定建造并移交给发包人的工程，包括工程设备。</w:t>
      </w:r>
    </w:p>
    <w:p w14:paraId="1CBDA0C9">
      <w:pPr>
        <w:adjustRightInd w:val="0"/>
        <w:snapToGrid w:val="0"/>
        <w:ind w:left="41" w:leftChars="17" w:firstLine="480" w:firstLineChars="200"/>
        <w:rPr>
          <w:rFonts w:ascii="宋体"/>
          <w:kern w:val="0"/>
        </w:rPr>
      </w:pPr>
      <w:r>
        <w:rPr>
          <w:rFonts w:ascii="宋体" w:hAnsi="宋体"/>
        </w:rPr>
        <w:t>1.1.3.3</w:t>
      </w:r>
      <w:r>
        <w:rPr>
          <w:rFonts w:hint="eastAsia" w:ascii="宋体" w:hAnsi="宋体"/>
          <w:kern w:val="0"/>
        </w:rPr>
        <w:t>临时工程：指为完成合同约定的永久工程所修建的各类临时性工程，不包括施工设备。</w:t>
      </w:r>
    </w:p>
    <w:p w14:paraId="3C60CB56">
      <w:pPr>
        <w:adjustRightInd w:val="0"/>
        <w:snapToGrid w:val="0"/>
        <w:ind w:left="41" w:leftChars="17" w:firstLine="480" w:firstLineChars="200"/>
        <w:rPr>
          <w:rFonts w:ascii="宋体"/>
          <w:kern w:val="0"/>
        </w:rPr>
      </w:pPr>
      <w:r>
        <w:rPr>
          <w:rFonts w:ascii="宋体" w:hAnsi="宋体"/>
        </w:rPr>
        <w:t>1.1.3.4工程设备：</w:t>
      </w:r>
      <w:r>
        <w:rPr>
          <w:rFonts w:hint="eastAsia" w:ascii="宋体" w:hAnsi="宋体"/>
          <w:kern w:val="0"/>
        </w:rPr>
        <w:t>指构成或计划构成永久工程的机电设备、仪器装置、运输工具及其他类似的设备和装置。</w:t>
      </w:r>
    </w:p>
    <w:p w14:paraId="4C7A39F4">
      <w:pPr>
        <w:adjustRightInd w:val="0"/>
        <w:snapToGrid w:val="0"/>
        <w:ind w:left="41" w:leftChars="17" w:firstLine="480" w:firstLineChars="200"/>
        <w:rPr>
          <w:rFonts w:ascii="宋体"/>
          <w:kern w:val="0"/>
        </w:rPr>
      </w:pPr>
      <w:r>
        <w:rPr>
          <w:rFonts w:ascii="宋体" w:hAnsi="宋体"/>
        </w:rPr>
        <w:t>1.1.3.5</w:t>
      </w:r>
      <w:r>
        <w:rPr>
          <w:rFonts w:hint="eastAsia" w:ascii="宋体" w:hAnsi="宋体"/>
          <w:kern w:val="0"/>
        </w:rPr>
        <w:t>施工设备：指为完成合同约定的各项工作所需的设备、器具和其他物品，但不包括临时工程和材料。</w:t>
      </w:r>
    </w:p>
    <w:p w14:paraId="343C913D">
      <w:pPr>
        <w:adjustRightInd w:val="0"/>
        <w:snapToGrid w:val="0"/>
        <w:ind w:left="41" w:leftChars="17" w:firstLine="480" w:firstLineChars="200"/>
        <w:rPr>
          <w:rFonts w:ascii="宋体"/>
          <w:kern w:val="0"/>
        </w:rPr>
      </w:pPr>
      <w:r>
        <w:rPr>
          <w:rFonts w:ascii="宋体" w:hAnsi="宋体"/>
        </w:rPr>
        <w:t>1.1.3.6</w:t>
      </w:r>
      <w:r>
        <w:rPr>
          <w:rFonts w:hint="eastAsia" w:ascii="宋体" w:hAnsi="宋体"/>
          <w:kern w:val="0"/>
        </w:rPr>
        <w:t>临时设施：指为完成合同约定的各项工作所服务的临时性生产和生活设施。</w:t>
      </w:r>
    </w:p>
    <w:p w14:paraId="2A6F1310">
      <w:pPr>
        <w:adjustRightInd w:val="0"/>
        <w:snapToGrid w:val="0"/>
        <w:ind w:left="41" w:leftChars="17" w:firstLine="480" w:firstLineChars="200"/>
        <w:rPr>
          <w:rFonts w:ascii="宋体"/>
          <w:kern w:val="0"/>
        </w:rPr>
      </w:pPr>
      <w:r>
        <w:rPr>
          <w:rFonts w:ascii="宋体" w:hAnsi="宋体"/>
        </w:rPr>
        <w:t>1.1.3.7</w:t>
      </w:r>
      <w:r>
        <w:rPr>
          <w:rFonts w:hint="eastAsia" w:ascii="宋体" w:hAnsi="宋体"/>
          <w:kern w:val="0"/>
        </w:rPr>
        <w:t>承包人设备：指承包人为工程实施提供的施工设备。</w:t>
      </w:r>
    </w:p>
    <w:p w14:paraId="057038D2">
      <w:pPr>
        <w:adjustRightInd w:val="0"/>
        <w:snapToGrid w:val="0"/>
        <w:ind w:left="41" w:leftChars="17" w:firstLine="480" w:firstLineChars="200"/>
        <w:rPr>
          <w:rFonts w:ascii="宋体"/>
          <w:kern w:val="0"/>
        </w:rPr>
      </w:pPr>
      <w:r>
        <w:rPr>
          <w:rFonts w:ascii="宋体" w:hAnsi="宋体"/>
        </w:rPr>
        <w:t>1.1.3.8</w:t>
      </w:r>
      <w:r>
        <w:rPr>
          <w:rFonts w:hint="eastAsia" w:ascii="宋体" w:hAnsi="宋体"/>
          <w:kern w:val="0"/>
        </w:rPr>
        <w:t>施工场地（或称工地、现场）：指用于合同工程施工的场所，以及在合同中指定作为施工场地组成部分的其他场所，包括永久占地和临时占地。</w:t>
      </w:r>
    </w:p>
    <w:p w14:paraId="1D24BEB6">
      <w:pPr>
        <w:adjustRightInd w:val="0"/>
        <w:snapToGrid w:val="0"/>
        <w:ind w:left="41" w:leftChars="17" w:firstLine="480" w:firstLineChars="200"/>
        <w:rPr>
          <w:rFonts w:ascii="宋体"/>
          <w:kern w:val="0"/>
        </w:rPr>
      </w:pPr>
      <w:r>
        <w:rPr>
          <w:rFonts w:ascii="宋体" w:hAnsi="宋体"/>
        </w:rPr>
        <w:t>1.1.3.9</w:t>
      </w:r>
      <w:r>
        <w:rPr>
          <w:rFonts w:hint="eastAsia" w:ascii="宋体" w:hAnsi="宋体"/>
          <w:kern w:val="0"/>
        </w:rPr>
        <w:t>永久占地：是专用合同条款中指明为实施合同工程需永久占用的土地。</w:t>
      </w:r>
    </w:p>
    <w:p w14:paraId="5186C1DC">
      <w:pPr>
        <w:adjustRightInd w:val="0"/>
        <w:snapToGrid w:val="0"/>
        <w:ind w:left="41" w:leftChars="17" w:firstLine="480" w:firstLineChars="200"/>
        <w:rPr>
          <w:rFonts w:ascii="宋体"/>
          <w:kern w:val="0"/>
        </w:rPr>
      </w:pPr>
      <w:r>
        <w:rPr>
          <w:rFonts w:ascii="宋体" w:hAnsi="宋体"/>
        </w:rPr>
        <w:t>1.1.3.10</w:t>
      </w:r>
      <w:r>
        <w:rPr>
          <w:rFonts w:hint="eastAsia" w:ascii="宋体" w:hAnsi="宋体"/>
          <w:kern w:val="0"/>
        </w:rPr>
        <w:t>临时占地：是专用合同条款中指明为实施合同工程需临时占用的土地。</w:t>
      </w:r>
    </w:p>
    <w:p w14:paraId="4C9BC0EB">
      <w:pPr>
        <w:snapToGrid w:val="0"/>
        <w:ind w:left="41" w:leftChars="17" w:firstLine="480" w:firstLineChars="200"/>
        <w:rPr>
          <w:rFonts w:ascii="宋体" w:hAnsi="宋体"/>
        </w:rPr>
      </w:pPr>
      <w:r>
        <w:rPr>
          <w:rFonts w:ascii="宋体" w:hAnsi="宋体"/>
        </w:rPr>
        <w:t xml:space="preserve">1.1.4 </w:t>
      </w:r>
      <w:r>
        <w:rPr>
          <w:rFonts w:hint="eastAsia" w:ascii="宋体" w:hAnsi="宋体"/>
        </w:rPr>
        <w:t>日期、期限</w:t>
      </w:r>
    </w:p>
    <w:p w14:paraId="314DD0B9">
      <w:pPr>
        <w:adjustRightInd w:val="0"/>
        <w:snapToGrid w:val="0"/>
        <w:ind w:left="41" w:leftChars="17" w:firstLine="480" w:firstLineChars="200"/>
        <w:rPr>
          <w:rFonts w:ascii="宋体" w:hAnsi="宋体"/>
        </w:rPr>
      </w:pPr>
      <w:bookmarkStart w:id="356" w:name="_Toc246996999"/>
      <w:bookmarkStart w:id="357" w:name="_Toc296602501"/>
      <w:bookmarkStart w:id="358" w:name="_Toc246996256"/>
      <w:bookmarkStart w:id="359" w:name="_Toc247085771"/>
      <w:bookmarkStart w:id="360" w:name="_Toc246996258"/>
      <w:bookmarkStart w:id="361" w:name="_Toc246997001"/>
      <w:bookmarkStart w:id="362" w:name="_Toc296602503"/>
      <w:bookmarkStart w:id="363" w:name="_Toc247085773"/>
      <w:r>
        <w:rPr>
          <w:rFonts w:ascii="宋体" w:hAnsi="宋体"/>
        </w:rPr>
        <w:t>1.1.4.1</w:t>
      </w:r>
      <w:r>
        <w:rPr>
          <w:rFonts w:hint="eastAsia" w:ascii="宋体" w:hAnsi="宋体"/>
        </w:rPr>
        <w:t>工期：指在合同协议书约定的承包人完成合同工程所需的期限，包括按照合同约定所作的期限变更。</w:t>
      </w:r>
    </w:p>
    <w:p w14:paraId="54607BDA">
      <w:pPr>
        <w:adjustRightInd w:val="0"/>
        <w:snapToGrid w:val="0"/>
        <w:ind w:left="41" w:leftChars="17" w:firstLine="480" w:firstLineChars="200"/>
        <w:rPr>
          <w:rFonts w:ascii="宋体" w:hAnsi="宋体"/>
        </w:rPr>
      </w:pPr>
      <w:r>
        <w:rPr>
          <w:rFonts w:ascii="宋体" w:hAnsi="宋体"/>
        </w:rPr>
        <w:t xml:space="preserve">1.1.4.2 </w:t>
      </w:r>
      <w:r>
        <w:rPr>
          <w:rFonts w:hint="eastAsia" w:ascii="宋体" w:hAnsi="宋体"/>
        </w:rPr>
        <w:t>开工通知：指监理人通知承包人开工的函件。</w:t>
      </w:r>
    </w:p>
    <w:p w14:paraId="6997355A">
      <w:pPr>
        <w:adjustRightInd w:val="0"/>
        <w:snapToGrid w:val="0"/>
        <w:ind w:left="41" w:leftChars="17" w:firstLine="480" w:firstLineChars="200"/>
        <w:rPr>
          <w:rFonts w:ascii="宋体" w:hAnsi="宋体"/>
        </w:rPr>
      </w:pPr>
      <w:r>
        <w:rPr>
          <w:rFonts w:ascii="宋体" w:hAnsi="宋体"/>
        </w:rPr>
        <w:t>1.1.4.3开工日期：包括计划开工日期和实际开工日期。计划开工日期是指合同协议书约定的开工日期；实际开工日期是指监理人经发包人同意向承包人发出的施工开工通知中写明的开工日期。</w:t>
      </w:r>
    </w:p>
    <w:p w14:paraId="15DD99EC">
      <w:pPr>
        <w:adjustRightInd w:val="0"/>
        <w:snapToGrid w:val="0"/>
        <w:ind w:left="41" w:leftChars="17" w:firstLine="480" w:firstLineChars="200"/>
        <w:rPr>
          <w:rFonts w:ascii="宋体" w:hAnsi="宋体"/>
        </w:rPr>
      </w:pPr>
      <w:r>
        <w:rPr>
          <w:rFonts w:ascii="宋体" w:hAnsi="宋体"/>
        </w:rPr>
        <w:t xml:space="preserve">1.1.4.4 </w:t>
      </w:r>
      <w:r>
        <w:rPr>
          <w:rFonts w:hint="eastAsia" w:ascii="宋体" w:hAnsi="宋体"/>
        </w:rPr>
        <w:t>交工日期：包括计划交工日期和实际交工日期。计划交工日期是指合同协议书约定的交工日期；实际交工日期是指工程交工证书中写明的日期。</w:t>
      </w:r>
    </w:p>
    <w:p w14:paraId="55EDCCC8">
      <w:pPr>
        <w:adjustRightInd w:val="0"/>
        <w:snapToGrid w:val="0"/>
        <w:ind w:left="41" w:leftChars="17" w:firstLine="480" w:firstLineChars="200"/>
        <w:rPr>
          <w:rFonts w:ascii="宋体" w:hAnsi="宋体"/>
        </w:rPr>
      </w:pPr>
      <w:r>
        <w:rPr>
          <w:rFonts w:ascii="宋体" w:hAnsi="宋体"/>
        </w:rPr>
        <w:t>1.1.4.5缺陷责任期：指承包人按照合同约定承担缺陷修复义务，且发包人预留质量保证金的期限，自工程实际交工日期起计算。</w:t>
      </w:r>
    </w:p>
    <w:p w14:paraId="3E3EE798">
      <w:pPr>
        <w:adjustRightInd w:val="0"/>
        <w:snapToGrid w:val="0"/>
        <w:ind w:left="41" w:leftChars="17" w:firstLine="480" w:firstLineChars="200"/>
        <w:rPr>
          <w:rFonts w:ascii="宋体" w:hAnsi="宋体"/>
        </w:rPr>
      </w:pPr>
      <w:r>
        <w:rPr>
          <w:rFonts w:ascii="宋体" w:hAnsi="宋体"/>
        </w:rPr>
        <w:t>1.1.4.6保修期：是指承包人按照合同约定对工程承担保修责任的期限，从工程交工验收合格之日起计算。</w:t>
      </w:r>
    </w:p>
    <w:p w14:paraId="7BE5512F">
      <w:pPr>
        <w:adjustRightInd w:val="0"/>
        <w:snapToGrid w:val="0"/>
        <w:ind w:left="41" w:leftChars="17" w:firstLine="480" w:firstLineChars="200"/>
        <w:rPr>
          <w:rFonts w:ascii="宋体" w:hAnsi="宋体"/>
        </w:rPr>
      </w:pPr>
      <w:r>
        <w:rPr>
          <w:rFonts w:ascii="宋体" w:hAnsi="宋体"/>
        </w:rPr>
        <w:t>1.1.4.7基准日期：以响应文件递交截止日前28</w:t>
      </w:r>
      <w:r>
        <w:rPr>
          <w:rFonts w:hint="eastAsia" w:ascii="宋体" w:hAnsi="宋体"/>
        </w:rPr>
        <w:t>天的日期为基准日期。</w:t>
      </w:r>
    </w:p>
    <w:p w14:paraId="01EB1348">
      <w:pPr>
        <w:adjustRightInd w:val="0"/>
        <w:snapToGrid w:val="0"/>
        <w:ind w:left="41" w:leftChars="17" w:firstLine="480" w:firstLineChars="200"/>
        <w:rPr>
          <w:rFonts w:ascii="宋体" w:hAnsi="宋体"/>
        </w:rPr>
      </w:pPr>
      <w:r>
        <w:rPr>
          <w:rFonts w:ascii="宋体" w:hAnsi="宋体"/>
        </w:rPr>
        <w:t>1.1.4.8天：除特别指明外，均指日历天。合同中按天计算时间的，开始当天不计入，从次日开始计算。期限最后一天的截止时间为当天24</w:t>
      </w:r>
      <w:r>
        <w:rPr>
          <w:rFonts w:hint="eastAsia" w:ascii="宋体" w:hAnsi="宋体"/>
        </w:rPr>
        <w:t>：</w:t>
      </w:r>
      <w:r>
        <w:rPr>
          <w:rFonts w:ascii="宋体" w:hAnsi="宋体"/>
        </w:rPr>
        <w:t>00</w:t>
      </w:r>
      <w:r>
        <w:rPr>
          <w:rFonts w:hint="eastAsia" w:ascii="宋体" w:hAnsi="宋体"/>
        </w:rPr>
        <w:t>时。</w:t>
      </w:r>
    </w:p>
    <w:p w14:paraId="3A77CC44">
      <w:pPr>
        <w:snapToGrid w:val="0"/>
        <w:ind w:left="41" w:leftChars="17" w:firstLine="480" w:firstLineChars="200"/>
        <w:rPr>
          <w:rFonts w:ascii="宋体" w:hAnsi="宋体"/>
        </w:rPr>
      </w:pPr>
      <w:r>
        <w:rPr>
          <w:rFonts w:ascii="宋体" w:hAnsi="宋体"/>
        </w:rPr>
        <w:t xml:space="preserve">1.1.5 </w:t>
      </w:r>
      <w:r>
        <w:rPr>
          <w:rFonts w:hint="eastAsia" w:ascii="宋体" w:hAnsi="宋体"/>
        </w:rPr>
        <w:t>检验和验收</w:t>
      </w:r>
    </w:p>
    <w:p w14:paraId="3A2F5D66">
      <w:pPr>
        <w:snapToGrid w:val="0"/>
        <w:ind w:left="41" w:leftChars="17" w:firstLine="480" w:firstLineChars="200"/>
        <w:rPr>
          <w:rFonts w:ascii="宋体" w:hAnsi="宋体"/>
        </w:rPr>
      </w:pPr>
      <w:r>
        <w:rPr>
          <w:rFonts w:ascii="宋体" w:hAnsi="宋体"/>
        </w:rPr>
        <w:t>1.1.5.1生产考核:工程通过规定期限的连续运行，对设计的运行能力、工艺指标、设备性能、自控水平、消耗指标及环保指标等数据实施测量、采集并与设计值进行对比、分析与评价的活动。</w:t>
      </w:r>
    </w:p>
    <w:p w14:paraId="7E6C1C2D">
      <w:pPr>
        <w:snapToGrid w:val="0"/>
        <w:ind w:left="41" w:leftChars="17" w:firstLine="480" w:firstLineChars="200"/>
        <w:rPr>
          <w:rFonts w:ascii="宋体" w:hAnsi="宋体"/>
        </w:rPr>
      </w:pPr>
      <w:r>
        <w:rPr>
          <w:rFonts w:ascii="宋体" w:hAnsi="宋体"/>
        </w:rPr>
        <w:t>1.1.5.2专项验收：政府行政主管部门对建设工程项目消防、防雷、职业卫生、安全、环境保护等设施及其实施效果的验收。</w:t>
      </w:r>
    </w:p>
    <w:p w14:paraId="46D29A80">
      <w:pPr>
        <w:snapToGrid w:val="0"/>
        <w:ind w:left="41" w:leftChars="17" w:firstLine="480" w:firstLineChars="200"/>
        <w:rPr>
          <w:rFonts w:ascii="宋体" w:hAnsi="宋体"/>
        </w:rPr>
      </w:pPr>
      <w:r>
        <w:rPr>
          <w:rFonts w:ascii="宋体" w:hAnsi="宋体"/>
        </w:rPr>
        <w:t>1.1.5.3交工验收：指承包人完成全部工程建设内容，通过投产试运行、生产考核、移交全部交工文件后，发包人组织相关方按合同要求进行的验收。</w:t>
      </w:r>
    </w:p>
    <w:p w14:paraId="1D93F81B">
      <w:pPr>
        <w:snapToGrid w:val="0"/>
        <w:ind w:left="41" w:leftChars="17" w:firstLine="480" w:firstLineChars="200"/>
        <w:rPr>
          <w:rFonts w:ascii="宋体" w:hAnsi="宋体"/>
        </w:rPr>
      </w:pPr>
      <w:r>
        <w:rPr>
          <w:rFonts w:ascii="宋体" w:hAnsi="宋体"/>
        </w:rPr>
        <w:t>1.1.5.4竣工验收：工程项目完成交工验收、专项验收、生产考核、竣工决算审计、档案验收，项目批准部门或其授权单位组织项目有关单位和部门进行工程验收，验收合格并签署竣工验收证书的过程。</w:t>
      </w:r>
    </w:p>
    <w:p w14:paraId="31495618">
      <w:pPr>
        <w:adjustRightInd w:val="0"/>
        <w:snapToGrid w:val="0"/>
        <w:ind w:left="41" w:leftChars="17" w:firstLine="480" w:firstLineChars="200"/>
        <w:rPr>
          <w:rFonts w:ascii="宋体" w:hAnsi="宋体"/>
        </w:rPr>
      </w:pPr>
      <w:r>
        <w:rPr>
          <w:rFonts w:ascii="宋体" w:hAnsi="宋体"/>
        </w:rPr>
        <w:t xml:space="preserve">1.1.5.5竣工决算：工程项目交工验收后，发包人按照国家有关规定，以实物数量和货币指标为计量单位，编制综合反映竣工项目从筹建开始到项目交付使用为止的全部建设费用、建设成果和财务情况的文件的过程，最终形成竣工决算报告。 </w:t>
      </w:r>
    </w:p>
    <w:p w14:paraId="022892CE">
      <w:pPr>
        <w:adjustRightInd w:val="0"/>
        <w:snapToGrid w:val="0"/>
        <w:ind w:left="41" w:leftChars="17" w:firstLine="480" w:firstLineChars="200"/>
        <w:rPr>
          <w:rFonts w:ascii="宋体" w:hAnsi="宋体"/>
        </w:rPr>
      </w:pPr>
      <w:r>
        <w:rPr>
          <w:rFonts w:ascii="宋体" w:hAnsi="宋体"/>
        </w:rPr>
        <w:t>1.1.5.6竣工决算审计：1.承包人采购或报价范围内的工程项目单价按照承包人的报价单价不做调整，工程量按实际发生计取并需经发包人和施工现场代表二级确认；</w:t>
      </w:r>
    </w:p>
    <w:p w14:paraId="3A861769">
      <w:pPr>
        <w:adjustRightInd w:val="0"/>
        <w:snapToGrid w:val="0"/>
        <w:ind w:left="41" w:leftChars="17" w:firstLine="480" w:firstLineChars="200"/>
        <w:rPr>
          <w:rFonts w:ascii="宋体" w:hAnsi="宋体"/>
        </w:rPr>
      </w:pPr>
      <w:r>
        <w:rPr>
          <w:rFonts w:ascii="宋体" w:hAnsi="宋体"/>
        </w:rPr>
        <w:t>2.超出采购或报价范围内的工程项目，需按规定办理审批手续并确定单价。单价的确定有以下三种方法：</w:t>
      </w:r>
    </w:p>
    <w:p w14:paraId="7E2CF693">
      <w:pPr>
        <w:adjustRightInd w:val="0"/>
        <w:snapToGrid w:val="0"/>
        <w:ind w:left="41" w:leftChars="17" w:firstLine="480" w:firstLineChars="200"/>
        <w:rPr>
          <w:rFonts w:ascii="宋体" w:hAnsi="宋体"/>
        </w:rPr>
      </w:pPr>
      <w:r>
        <w:rPr>
          <w:rFonts w:ascii="宋体" w:hAnsi="宋体"/>
        </w:rPr>
        <w:t>2.1合同中已有适用于变更工程的单价或总价，按合同已有的价格执行；但分部分项单项工程量变更超过5%，并且该分部分项单项工程费变更超过总分部分项工程费的l%时，综合单价应由施工单位提供结算价和结算依据，经发包人或发包1.承包人采购或报价范围内的工程项目单价按照承包人的报价单价不做调整，工程量按实际发生计取并需经发包人和施工现场代表二级确认；</w:t>
      </w:r>
    </w:p>
    <w:p w14:paraId="05E072B2">
      <w:pPr>
        <w:adjustRightInd w:val="0"/>
        <w:snapToGrid w:val="0"/>
        <w:ind w:left="41" w:leftChars="17" w:firstLine="480" w:firstLineChars="200"/>
        <w:rPr>
          <w:rFonts w:ascii="宋体" w:hAnsi="宋体"/>
        </w:rPr>
      </w:pPr>
      <w:r>
        <w:rPr>
          <w:rFonts w:ascii="宋体" w:hAnsi="宋体"/>
        </w:rPr>
        <w:t>2.超出采购或报价范围内的工程项目，需按规定办理审批手续并确定单价。单价的确定有以下三种方法：</w:t>
      </w:r>
    </w:p>
    <w:p w14:paraId="425FB4EC">
      <w:pPr>
        <w:adjustRightInd w:val="0"/>
        <w:snapToGrid w:val="0"/>
        <w:ind w:left="41" w:leftChars="17" w:firstLine="480" w:firstLineChars="200"/>
        <w:rPr>
          <w:rFonts w:ascii="宋体" w:hAnsi="宋体"/>
        </w:rPr>
      </w:pPr>
      <w:r>
        <w:rPr>
          <w:rFonts w:ascii="宋体" w:hAnsi="宋体"/>
        </w:rPr>
        <w:t>2.1合同中已有适用于变更工程的单价或总价，按合同已有的价格执行；但分部分项单项工程量变更超过5%，并且该分部分项单项工程费变更超过总分部分项工程费的l%时，综合单价应由施工单位提供结算价和结算依据，经发包人或发包人委托的中介咨询公司审核后确定。</w:t>
      </w:r>
    </w:p>
    <w:p w14:paraId="74E034ED">
      <w:pPr>
        <w:adjustRightInd w:val="0"/>
        <w:snapToGrid w:val="0"/>
        <w:ind w:left="41" w:leftChars="17" w:firstLine="480" w:firstLineChars="200"/>
        <w:rPr>
          <w:rFonts w:ascii="宋体" w:hAnsi="宋体"/>
        </w:rPr>
      </w:pPr>
      <w:r>
        <w:rPr>
          <w:rFonts w:ascii="宋体" w:hAnsi="宋体"/>
        </w:rPr>
        <w:t>2.2合同中只有类似于变更工程的单价或总价，可以参照类似价格；</w:t>
      </w:r>
    </w:p>
    <w:p w14:paraId="48570864">
      <w:pPr>
        <w:adjustRightInd w:val="0"/>
        <w:snapToGrid w:val="0"/>
        <w:ind w:left="41" w:leftChars="17" w:firstLine="480" w:firstLineChars="200"/>
        <w:rPr>
          <w:rFonts w:ascii="宋体" w:hAnsi="宋体"/>
        </w:rPr>
      </w:pPr>
      <w:r>
        <w:rPr>
          <w:rFonts w:ascii="宋体" w:hAnsi="宋体"/>
        </w:rPr>
        <w:t>2.3合同中没有适用或类似于变更工程的单价或总价，由承包人依据变更工程资料、计量规则和计价办法（按属地原则取费）、工程造价管理机构发布的参考价格并根据自身的实力提出变更工程单价或总价，经发包人或发包人委托的中介咨询公司审核后确定。</w:t>
      </w:r>
    </w:p>
    <w:p w14:paraId="7F966421">
      <w:pPr>
        <w:snapToGrid w:val="0"/>
        <w:ind w:left="41" w:leftChars="17" w:firstLine="480" w:firstLineChars="200"/>
        <w:rPr>
          <w:rFonts w:ascii="宋体"/>
        </w:rPr>
      </w:pPr>
      <w:r>
        <w:rPr>
          <w:rFonts w:ascii="宋体" w:hAnsi="宋体"/>
        </w:rPr>
        <w:t xml:space="preserve">1.1.6 </w:t>
      </w:r>
      <w:r>
        <w:rPr>
          <w:rFonts w:hint="eastAsia" w:ascii="宋体" w:hAnsi="宋体"/>
        </w:rPr>
        <w:t>合同价款和费用</w:t>
      </w:r>
    </w:p>
    <w:p w14:paraId="05954F14">
      <w:pPr>
        <w:snapToGrid w:val="0"/>
        <w:ind w:left="41" w:leftChars="17" w:firstLine="480" w:firstLineChars="200"/>
        <w:rPr>
          <w:rFonts w:ascii="宋体"/>
        </w:rPr>
      </w:pPr>
      <w:r>
        <w:rPr>
          <w:rFonts w:ascii="宋体" w:hAnsi="宋体"/>
        </w:rPr>
        <w:t xml:space="preserve">1.1.6.1 </w:t>
      </w:r>
      <w:r>
        <w:rPr>
          <w:rFonts w:hint="eastAsia" w:ascii="宋体" w:hAnsi="宋体"/>
        </w:rPr>
        <w:t>签约合同价款：</w:t>
      </w:r>
      <w:r>
        <w:rPr>
          <w:rFonts w:hint="eastAsia" w:ascii="宋体" w:hAnsi="宋体"/>
          <w:kern w:val="0"/>
        </w:rPr>
        <w:t>指</w:t>
      </w:r>
      <w:r>
        <w:rPr>
          <w:rFonts w:hint="eastAsia" w:ascii="宋体" w:hAnsi="宋体"/>
        </w:rPr>
        <w:t>发包人和承包人在合同协议书中确定的总金额，包括绿色施工安全防护措施费、暂估价及暂列金额等。</w:t>
      </w:r>
    </w:p>
    <w:p w14:paraId="51FE01FF">
      <w:pPr>
        <w:snapToGrid w:val="0"/>
        <w:ind w:left="41" w:leftChars="17" w:firstLine="480" w:firstLineChars="200"/>
        <w:rPr>
          <w:rFonts w:ascii="宋体"/>
        </w:rPr>
      </w:pPr>
      <w:r>
        <w:rPr>
          <w:rFonts w:ascii="宋体" w:hAnsi="宋体"/>
        </w:rPr>
        <w:t xml:space="preserve">1.1.6.2 </w:t>
      </w:r>
      <w:r>
        <w:rPr>
          <w:rFonts w:hint="eastAsia" w:ascii="宋体" w:hAnsi="宋体"/>
        </w:rPr>
        <w:t>合同价款：</w:t>
      </w:r>
      <w:r>
        <w:rPr>
          <w:rFonts w:hint="eastAsia" w:ascii="宋体" w:hAnsi="宋体"/>
          <w:kern w:val="0"/>
        </w:rPr>
        <w:t>指发包人用于支付承包人按照合同约定完成承包范围内全部工作的金额，包括合同履行过程中按合同约定发生的价款调整。</w:t>
      </w:r>
    </w:p>
    <w:p w14:paraId="155F8FE4">
      <w:pPr>
        <w:snapToGrid w:val="0"/>
        <w:ind w:left="41" w:leftChars="17" w:firstLine="480" w:firstLineChars="200"/>
        <w:rPr>
          <w:rFonts w:ascii="宋体"/>
        </w:rPr>
      </w:pPr>
      <w:r>
        <w:rPr>
          <w:rFonts w:ascii="宋体" w:hAnsi="宋体"/>
        </w:rPr>
        <w:t xml:space="preserve">1.1.6.3 </w:t>
      </w:r>
      <w:r>
        <w:rPr>
          <w:rFonts w:hint="eastAsia" w:ascii="宋体" w:hAnsi="宋体"/>
        </w:rPr>
        <w:t>费用：指为履行合同所发生的或将要发生的所有合理的开支，包括管理费和应分摊的其他费用，但不包括利润。</w:t>
      </w:r>
    </w:p>
    <w:p w14:paraId="6B8DB546">
      <w:pPr>
        <w:snapToGrid w:val="0"/>
        <w:ind w:left="41" w:leftChars="17" w:firstLine="480" w:firstLineChars="200"/>
        <w:rPr>
          <w:rFonts w:ascii="宋体"/>
        </w:rPr>
      </w:pPr>
      <w:r>
        <w:rPr>
          <w:rFonts w:ascii="宋体" w:hAnsi="宋体"/>
        </w:rPr>
        <w:t xml:space="preserve">1.1.6.4 </w:t>
      </w:r>
      <w:r>
        <w:rPr>
          <w:rFonts w:hint="eastAsia" w:ascii="宋体" w:hAnsi="宋体"/>
          <w:kern w:val="0"/>
        </w:rPr>
        <w:t>暂估价：指发包人在工程量清单中提供的用于支付必然发生但暂时不能确定价格的材料、工程设备的单价、专业工程以及服务工作的金额。</w:t>
      </w:r>
    </w:p>
    <w:p w14:paraId="4A0A5157">
      <w:pPr>
        <w:snapToGrid w:val="0"/>
        <w:ind w:left="41" w:leftChars="17" w:firstLine="480" w:firstLineChars="200"/>
        <w:rPr>
          <w:rFonts w:ascii="宋体"/>
        </w:rPr>
      </w:pPr>
      <w:r>
        <w:rPr>
          <w:rFonts w:ascii="宋体" w:hAnsi="宋体"/>
        </w:rPr>
        <w:t xml:space="preserve">1.1.6.5 </w:t>
      </w:r>
      <w:r>
        <w:rPr>
          <w:rFonts w:hint="eastAsia" w:ascii="宋体" w:hAnsi="宋体"/>
        </w:rPr>
        <w:t>暂列金额：</w:t>
      </w:r>
      <w:r>
        <w:rPr>
          <w:rFonts w:hint="eastAsia" w:ascii="宋体" w:hAnsi="宋体"/>
          <w:kern w:val="0"/>
        </w:rPr>
        <w:t>指发包人在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0C0DCF0D">
      <w:pPr>
        <w:snapToGrid w:val="0"/>
        <w:ind w:left="41" w:leftChars="17" w:firstLine="480" w:firstLineChars="200"/>
        <w:rPr>
          <w:rFonts w:ascii="宋体" w:hAnsi="宋体"/>
          <w:kern w:val="0"/>
        </w:rPr>
      </w:pPr>
      <w:r>
        <w:rPr>
          <w:rFonts w:ascii="宋体" w:hAnsi="宋体"/>
        </w:rPr>
        <w:t xml:space="preserve">1.1.6.6 </w:t>
      </w:r>
      <w:r>
        <w:rPr>
          <w:rFonts w:hint="eastAsia" w:ascii="宋体" w:hAnsi="宋体"/>
        </w:rPr>
        <w:t>计日工：</w:t>
      </w:r>
      <w:r>
        <w:rPr>
          <w:rFonts w:hint="eastAsia" w:ascii="宋体" w:hAnsi="宋体"/>
          <w:kern w:val="0"/>
        </w:rPr>
        <w:t>指合同履行过程中，承包人完成发包人提出的零星工作或需要采用计日工计价的变更工作时，按合同中约定的单价计价的一种方式。</w:t>
      </w:r>
    </w:p>
    <w:p w14:paraId="35E07472">
      <w:pPr>
        <w:snapToGrid w:val="0"/>
        <w:ind w:left="41" w:leftChars="17" w:firstLine="480" w:firstLineChars="200"/>
        <w:rPr>
          <w:rFonts w:ascii="宋体" w:hAnsi="宋体"/>
          <w:kern w:val="0"/>
        </w:rPr>
      </w:pPr>
      <w:r>
        <w:rPr>
          <w:rFonts w:ascii="宋体" w:hAnsi="宋体"/>
          <w:kern w:val="0"/>
        </w:rPr>
        <w:t>1.1.6.7工程结算：承包人按合同规定的内容完成所承包的工程，经验收合格，与发包人进行的最终工程价款结算。</w:t>
      </w:r>
    </w:p>
    <w:p w14:paraId="1E9273F6">
      <w:pPr>
        <w:snapToGrid w:val="0"/>
        <w:ind w:left="41" w:leftChars="17" w:firstLine="480" w:firstLineChars="200"/>
        <w:rPr>
          <w:rFonts w:ascii="宋体"/>
        </w:rPr>
      </w:pPr>
      <w:r>
        <w:rPr>
          <w:rFonts w:ascii="宋体" w:hAnsi="宋体"/>
        </w:rPr>
        <w:t>1.1.6.8质量保证金：</w:t>
      </w:r>
      <w:r>
        <w:rPr>
          <w:rFonts w:hint="eastAsia" w:ascii="宋体" w:hAnsi="宋体"/>
          <w:kern w:val="0"/>
        </w:rPr>
        <w:t>指按照合同约定承包人用于保证其在缺陷责任期内履行缺陷修补义务的担保</w:t>
      </w:r>
      <w:r>
        <w:rPr>
          <w:rFonts w:hint="eastAsia" w:ascii="宋体" w:hAnsi="宋体"/>
        </w:rPr>
        <w:t>。</w:t>
      </w:r>
    </w:p>
    <w:p w14:paraId="36F52A8B">
      <w:pPr>
        <w:adjustRightInd w:val="0"/>
        <w:snapToGrid w:val="0"/>
        <w:ind w:left="41" w:leftChars="17" w:firstLine="480" w:firstLineChars="200"/>
        <w:rPr>
          <w:rFonts w:ascii="宋体"/>
        </w:rPr>
      </w:pPr>
      <w:r>
        <w:rPr>
          <w:rFonts w:ascii="宋体" w:hAnsi="宋体"/>
        </w:rPr>
        <w:t>1.1.7其他</w:t>
      </w:r>
    </w:p>
    <w:p w14:paraId="1AE23EBC">
      <w:pPr>
        <w:adjustRightInd w:val="0"/>
        <w:snapToGrid w:val="0"/>
        <w:ind w:left="41" w:leftChars="17" w:firstLine="480" w:firstLineChars="200"/>
        <w:rPr>
          <w:rFonts w:ascii="宋体"/>
        </w:rPr>
      </w:pPr>
      <w:r>
        <w:rPr>
          <w:rFonts w:ascii="宋体" w:hAnsi="宋体"/>
        </w:rPr>
        <w:t xml:space="preserve">1.1.7.1 </w:t>
      </w:r>
      <w:r>
        <w:rPr>
          <w:rFonts w:hint="eastAsia" w:ascii="宋体" w:hAnsi="宋体"/>
        </w:rPr>
        <w:t>书面形式：指合同文件、信函、电报、传真、电子数据交换和电子邮件等可以有形地表现所载内容的形式。</w:t>
      </w:r>
    </w:p>
    <w:p w14:paraId="44DAA214">
      <w:pPr>
        <w:adjustRightInd w:val="0"/>
        <w:snapToGrid w:val="0"/>
        <w:ind w:left="41" w:leftChars="17" w:firstLine="480" w:firstLineChars="200"/>
        <w:rPr>
          <w:rFonts w:ascii="宋体" w:hAnsi="宋体"/>
        </w:rPr>
      </w:pPr>
      <w:r>
        <w:rPr>
          <w:rFonts w:ascii="宋体" w:hAnsi="宋体"/>
        </w:rPr>
        <w:t>1.1.7</w:t>
      </w:r>
      <w:r>
        <w:rPr>
          <w:rFonts w:ascii="宋体"/>
        </w:rPr>
        <w:t>.</w:t>
      </w:r>
      <w:r>
        <w:rPr>
          <w:rFonts w:ascii="宋体" w:hAnsi="宋体"/>
        </w:rPr>
        <w:t xml:space="preserve">2 </w:t>
      </w:r>
      <w:r>
        <w:rPr>
          <w:rFonts w:hint="eastAsia" w:ascii="宋体" w:hAnsi="宋体"/>
        </w:rPr>
        <w:t>承包人文件：是指由承包人根据合同应提交的所有图纸、手册、模型、计算书、软件和其他文件。</w:t>
      </w:r>
    </w:p>
    <w:p w14:paraId="43AA4763">
      <w:pPr>
        <w:snapToGrid w:val="0"/>
        <w:ind w:left="41" w:leftChars="17"/>
        <w:rPr>
          <w:rFonts w:ascii="宋体" w:hAnsi="宋体"/>
          <w:b/>
        </w:rPr>
      </w:pPr>
      <w:r>
        <w:rPr>
          <w:rFonts w:ascii="宋体" w:hAnsi="宋体"/>
          <w:b/>
        </w:rPr>
        <w:t xml:space="preserve">    1.2 语言文字</w:t>
      </w:r>
      <w:bookmarkEnd w:id="356"/>
      <w:bookmarkEnd w:id="357"/>
      <w:bookmarkEnd w:id="358"/>
      <w:bookmarkEnd w:id="359"/>
    </w:p>
    <w:p w14:paraId="1063075A">
      <w:pPr>
        <w:snapToGrid w:val="0"/>
        <w:ind w:left="41" w:leftChars="17" w:firstLine="480" w:firstLineChars="200"/>
        <w:rPr>
          <w:rFonts w:ascii="宋体" w:hAnsi="宋体"/>
        </w:rPr>
      </w:pPr>
      <w:bookmarkStart w:id="364" w:name="_Toc246996257"/>
      <w:bookmarkStart w:id="365" w:name="_Toc247085772"/>
      <w:bookmarkStart w:id="366" w:name="_Toc246997000"/>
      <w:r>
        <w:rPr>
          <w:rFonts w:ascii="宋体" w:hAnsi="宋体"/>
        </w:rPr>
        <w:t>1.2.1合同使用的语言文字为中文。专用术语使用外文的，应附有中文注释。</w:t>
      </w:r>
    </w:p>
    <w:p w14:paraId="11F2E0D8">
      <w:pPr>
        <w:snapToGrid w:val="0"/>
        <w:ind w:left="41" w:leftChars="17" w:firstLine="480" w:firstLineChars="200"/>
        <w:rPr>
          <w:rFonts w:ascii="宋体" w:hAnsi="宋体"/>
        </w:rPr>
      </w:pPr>
      <w:r>
        <w:rPr>
          <w:rFonts w:ascii="宋体" w:hAnsi="宋体"/>
        </w:rPr>
        <w:t>1.2.2合同文本以及合同履行过程中出现中文与外文不一致时，应以中文为主。</w:t>
      </w:r>
    </w:p>
    <w:bookmarkEnd w:id="364"/>
    <w:bookmarkEnd w:id="365"/>
    <w:bookmarkEnd w:id="366"/>
    <w:p w14:paraId="1FC58793">
      <w:pPr>
        <w:snapToGrid w:val="0"/>
        <w:ind w:left="41" w:leftChars="17"/>
        <w:rPr>
          <w:rFonts w:ascii="宋体" w:hAnsi="宋体"/>
          <w:b/>
        </w:rPr>
      </w:pPr>
      <w:r>
        <w:rPr>
          <w:rFonts w:ascii="宋体" w:hAnsi="宋体"/>
          <w:b/>
        </w:rPr>
        <w:t xml:space="preserve">1.3 </w:t>
      </w:r>
      <w:r>
        <w:rPr>
          <w:rFonts w:hint="eastAsia" w:ascii="宋体" w:hAnsi="宋体"/>
          <w:b/>
        </w:rPr>
        <w:t>法律、标准及规范</w:t>
      </w:r>
    </w:p>
    <w:p w14:paraId="1FD08B66">
      <w:pPr>
        <w:snapToGrid w:val="0"/>
        <w:ind w:left="41" w:leftChars="17" w:firstLine="480" w:firstLineChars="200"/>
        <w:rPr>
          <w:rFonts w:ascii="宋体"/>
        </w:rPr>
      </w:pPr>
      <w:r>
        <w:rPr>
          <w:rFonts w:ascii="宋体" w:hAnsi="宋体"/>
        </w:rPr>
        <w:t xml:space="preserve">1.3.1 </w:t>
      </w:r>
      <w:r>
        <w:rPr>
          <w:rFonts w:hint="eastAsia" w:ascii="宋体" w:hAnsi="宋体"/>
        </w:rPr>
        <w:t>法律</w:t>
      </w:r>
    </w:p>
    <w:p w14:paraId="75F7BB4D">
      <w:pPr>
        <w:snapToGrid w:val="0"/>
        <w:ind w:left="41" w:leftChars="17" w:firstLine="480" w:firstLineChars="200"/>
        <w:rPr>
          <w:rFonts w:ascii="宋体"/>
        </w:rPr>
      </w:pPr>
      <w:r>
        <w:rPr>
          <w:rFonts w:hint="eastAsia" w:ascii="宋体" w:hAnsi="宋体"/>
        </w:rPr>
        <w:t>合同所称法律是指中华人民共和国法律、行政法规、部门规章，以及工程所在地的地方法规、自治条例、单行条例和地方政府规章等。</w:t>
      </w:r>
    </w:p>
    <w:p w14:paraId="2DD7C337">
      <w:pPr>
        <w:snapToGrid w:val="0"/>
        <w:ind w:left="41" w:leftChars="17" w:firstLine="480" w:firstLineChars="200"/>
        <w:rPr>
          <w:rFonts w:ascii="宋体"/>
        </w:rPr>
      </w:pPr>
      <w:r>
        <w:rPr>
          <w:rFonts w:ascii="宋体" w:hAnsi="宋体"/>
        </w:rPr>
        <w:t xml:space="preserve">1.3.2 </w:t>
      </w:r>
      <w:r>
        <w:rPr>
          <w:rFonts w:hint="eastAsia" w:ascii="宋体" w:hAnsi="宋体"/>
        </w:rPr>
        <w:t>标准及规范</w:t>
      </w:r>
    </w:p>
    <w:p w14:paraId="4211A263">
      <w:pPr>
        <w:snapToGrid w:val="0"/>
        <w:ind w:left="41" w:leftChars="17" w:firstLine="480" w:firstLineChars="200"/>
        <w:rPr>
          <w:rFonts w:ascii="宋体"/>
        </w:rPr>
      </w:pPr>
      <w:r>
        <w:rPr>
          <w:rFonts w:ascii="宋体" w:hAnsi="宋体"/>
        </w:rPr>
        <w:t xml:space="preserve">1.3.2.1 </w:t>
      </w:r>
      <w:r>
        <w:rPr>
          <w:rFonts w:hint="eastAsia" w:ascii="宋体" w:hAnsi="宋体"/>
        </w:rPr>
        <w:t>适用于工程的国家标准、行业标准、工程所在地的地方性标准，以及相应的规范、规程等，合同当事人有特别要求的，应在专用合同条款中约定。</w:t>
      </w:r>
    </w:p>
    <w:p w14:paraId="4A1F0F0A">
      <w:pPr>
        <w:snapToGrid w:val="0"/>
        <w:ind w:left="41" w:leftChars="17" w:firstLine="480" w:firstLineChars="200"/>
        <w:rPr>
          <w:rFonts w:ascii="宋体"/>
        </w:rPr>
      </w:pPr>
      <w:r>
        <w:rPr>
          <w:rFonts w:ascii="宋体" w:hAnsi="宋体"/>
        </w:rPr>
        <w:t xml:space="preserve">1.3.2.2 </w:t>
      </w:r>
      <w:r>
        <w:rPr>
          <w:rFonts w:hint="eastAsia" w:ascii="宋体" w:hAnsi="宋体"/>
        </w:rPr>
        <w:t>发包人要求使用国外标准、规范的，发包人负责提供原文版本和中文译本，并在专用合同条款中约定提供标准规范的名称、份数和时间。</w:t>
      </w:r>
    </w:p>
    <w:p w14:paraId="4BD2C942">
      <w:pPr>
        <w:snapToGrid w:val="0"/>
        <w:ind w:left="41" w:leftChars="17" w:firstLine="480" w:firstLineChars="200"/>
        <w:rPr>
          <w:rFonts w:ascii="宋体"/>
        </w:rPr>
      </w:pPr>
      <w:r>
        <w:rPr>
          <w:rFonts w:ascii="宋体" w:hAnsi="宋体"/>
        </w:rPr>
        <w:t xml:space="preserve">1.3.2.3 </w:t>
      </w:r>
      <w:r>
        <w:rPr>
          <w:rFonts w:hint="eastAsia" w:ascii="宋体" w:hAnsi="宋体"/>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序，签约合同价款中已包含由此产生的费用。</w:t>
      </w:r>
    </w:p>
    <w:p w14:paraId="145F1BA1">
      <w:pPr>
        <w:snapToGrid w:val="0"/>
        <w:ind w:left="41" w:leftChars="17"/>
        <w:rPr>
          <w:rFonts w:ascii="宋体" w:hAnsi="宋体"/>
          <w:b/>
        </w:rPr>
      </w:pPr>
      <w:bookmarkStart w:id="367" w:name="_Toc402871999"/>
      <w:r>
        <w:rPr>
          <w:rFonts w:ascii="宋体" w:hAnsi="宋体"/>
          <w:b/>
        </w:rPr>
        <w:t xml:space="preserve">1.4 </w:t>
      </w:r>
      <w:r>
        <w:rPr>
          <w:rFonts w:hint="eastAsia" w:ascii="宋体" w:hAnsi="宋体"/>
          <w:b/>
        </w:rPr>
        <w:t>合同文件的优先顺序</w:t>
      </w:r>
      <w:bookmarkEnd w:id="367"/>
    </w:p>
    <w:p w14:paraId="48B242BE">
      <w:pPr>
        <w:snapToGrid w:val="0"/>
        <w:ind w:left="41" w:leftChars="17" w:firstLine="480" w:firstLineChars="200"/>
        <w:rPr>
          <w:rFonts w:ascii="宋体"/>
        </w:rPr>
      </w:pPr>
      <w:r>
        <w:rPr>
          <w:rFonts w:hint="eastAsia" w:ascii="宋体" w:hAnsi="宋体"/>
        </w:rPr>
        <w:t>组成合同的各项文件应互相解释，互为说明。除</w:t>
      </w:r>
      <w:r>
        <w:rPr>
          <w:rFonts w:hint="eastAsia" w:ascii="宋体" w:hAnsi="宋体"/>
          <w:kern w:val="0"/>
        </w:rPr>
        <w:t>专用合同条款</w:t>
      </w:r>
      <w:r>
        <w:rPr>
          <w:rFonts w:hint="eastAsia" w:ascii="宋体" w:hAnsi="宋体"/>
        </w:rPr>
        <w:t>另有约定外，解释合同文件的优先顺序如下：</w:t>
      </w:r>
    </w:p>
    <w:p w14:paraId="31575427">
      <w:pPr>
        <w:adjustRightInd w:val="0"/>
        <w:snapToGrid w:val="0"/>
        <w:ind w:firstLine="480" w:firstLineChars="200"/>
        <w:rPr>
          <w:rFonts w:ascii="宋体"/>
        </w:rPr>
      </w:pPr>
      <w:r>
        <w:rPr>
          <w:rFonts w:hint="eastAsia" w:ascii="宋体" w:hAnsi="宋体"/>
        </w:rPr>
        <w:t>（</w:t>
      </w:r>
      <w:r>
        <w:rPr>
          <w:rFonts w:ascii="宋体" w:hAnsi="宋体"/>
        </w:rPr>
        <w:t>1</w:t>
      </w:r>
      <w:r>
        <w:rPr>
          <w:rFonts w:hint="eastAsia" w:ascii="宋体" w:hAnsi="宋体"/>
        </w:rPr>
        <w:t>）合同协议书；</w:t>
      </w:r>
    </w:p>
    <w:p w14:paraId="39EA1039">
      <w:pPr>
        <w:adjustRightInd w:val="0"/>
        <w:snapToGrid w:val="0"/>
        <w:ind w:firstLine="480" w:firstLineChars="200"/>
        <w:rPr>
          <w:rFonts w:ascii="宋体"/>
        </w:rPr>
      </w:pPr>
      <w:r>
        <w:rPr>
          <w:rFonts w:hint="eastAsia" w:ascii="宋体" w:hAnsi="宋体"/>
        </w:rPr>
        <w:t>（</w:t>
      </w:r>
      <w:r>
        <w:rPr>
          <w:rFonts w:ascii="宋体" w:hAnsi="宋体"/>
        </w:rPr>
        <w:t>2</w:t>
      </w:r>
      <w:r>
        <w:rPr>
          <w:rFonts w:hint="eastAsia" w:ascii="宋体" w:hAnsi="宋体"/>
        </w:rPr>
        <w:t>）中标通知书</w:t>
      </w:r>
      <w:r>
        <w:rPr>
          <w:rFonts w:ascii="宋体" w:hAnsi="宋体"/>
        </w:rPr>
        <w:t xml:space="preserve">  </w:t>
      </w:r>
      <w:r>
        <w:rPr>
          <w:rFonts w:hint="eastAsia" w:ascii="宋体" w:hAnsi="宋体"/>
        </w:rPr>
        <w:t>；</w:t>
      </w:r>
    </w:p>
    <w:p w14:paraId="504AF999">
      <w:pPr>
        <w:adjustRightInd w:val="0"/>
        <w:snapToGrid w:val="0"/>
        <w:ind w:firstLine="480" w:firstLineChars="200"/>
        <w:rPr>
          <w:rFonts w:ascii="宋体"/>
        </w:rPr>
      </w:pPr>
      <w:r>
        <w:rPr>
          <w:rFonts w:hint="eastAsia" w:ascii="宋体" w:hAnsi="宋体"/>
        </w:rPr>
        <w:t>（</w:t>
      </w:r>
      <w:r>
        <w:rPr>
          <w:rFonts w:ascii="宋体" w:hAnsi="宋体"/>
        </w:rPr>
        <w:t>3</w:t>
      </w:r>
      <w:r>
        <w:rPr>
          <w:rFonts w:hint="eastAsia" w:ascii="宋体" w:hAnsi="宋体"/>
        </w:rPr>
        <w:t>）投标函及附录；</w:t>
      </w:r>
    </w:p>
    <w:p w14:paraId="285016F1">
      <w:pPr>
        <w:adjustRightInd w:val="0"/>
        <w:snapToGrid w:val="0"/>
        <w:ind w:firstLine="480" w:firstLineChars="200"/>
        <w:rPr>
          <w:rFonts w:ascii="宋体"/>
        </w:rPr>
      </w:pPr>
      <w:r>
        <w:rPr>
          <w:rFonts w:hint="eastAsia" w:ascii="宋体" w:hAnsi="宋体"/>
        </w:rPr>
        <w:t>（</w:t>
      </w:r>
      <w:r>
        <w:rPr>
          <w:rFonts w:ascii="宋体" w:hAnsi="宋体"/>
        </w:rPr>
        <w:t>4</w:t>
      </w:r>
      <w:r>
        <w:rPr>
          <w:rFonts w:hint="eastAsia" w:ascii="宋体" w:hAnsi="宋体"/>
        </w:rPr>
        <w:t>）专用合同条款；</w:t>
      </w:r>
    </w:p>
    <w:p w14:paraId="7183DE88">
      <w:pPr>
        <w:adjustRightInd w:val="0"/>
        <w:snapToGrid w:val="0"/>
        <w:ind w:firstLine="480" w:firstLineChars="200"/>
        <w:rPr>
          <w:rFonts w:ascii="宋体"/>
        </w:rPr>
      </w:pPr>
      <w:r>
        <w:rPr>
          <w:rFonts w:hint="eastAsia" w:ascii="宋体" w:hAnsi="宋体"/>
        </w:rPr>
        <w:t>（</w:t>
      </w:r>
      <w:r>
        <w:rPr>
          <w:rFonts w:ascii="宋体" w:hAnsi="宋体"/>
        </w:rPr>
        <w:t>5</w:t>
      </w:r>
      <w:r>
        <w:rPr>
          <w:rFonts w:hint="eastAsia" w:ascii="宋体" w:hAnsi="宋体"/>
        </w:rPr>
        <w:t>）通用合同条款；</w:t>
      </w:r>
    </w:p>
    <w:p w14:paraId="1A525207">
      <w:pPr>
        <w:adjustRightInd w:val="0"/>
        <w:snapToGrid w:val="0"/>
        <w:ind w:firstLine="480" w:firstLineChars="200"/>
        <w:rPr>
          <w:rFonts w:ascii="宋体"/>
        </w:rPr>
      </w:pPr>
      <w:r>
        <w:rPr>
          <w:rFonts w:hint="eastAsia" w:ascii="宋体" w:hAnsi="宋体"/>
        </w:rPr>
        <w:t>（</w:t>
      </w:r>
      <w:r>
        <w:rPr>
          <w:rFonts w:ascii="宋体" w:hAnsi="宋体"/>
        </w:rPr>
        <w:t>6</w:t>
      </w:r>
      <w:r>
        <w:rPr>
          <w:rFonts w:hint="eastAsia" w:ascii="宋体" w:hAnsi="宋体"/>
        </w:rPr>
        <w:t>）招标需求；</w:t>
      </w:r>
    </w:p>
    <w:p w14:paraId="39613369">
      <w:pPr>
        <w:adjustRightInd w:val="0"/>
        <w:snapToGrid w:val="0"/>
        <w:ind w:firstLine="480" w:firstLineChars="200"/>
        <w:rPr>
          <w:rFonts w:ascii="宋体" w:hAnsi="宋体"/>
        </w:rPr>
      </w:pPr>
      <w:r>
        <w:rPr>
          <w:rFonts w:hint="eastAsia" w:ascii="宋体" w:hAnsi="宋体"/>
        </w:rPr>
        <w:t>（</w:t>
      </w:r>
      <w:r>
        <w:rPr>
          <w:rFonts w:ascii="宋体" w:hAnsi="宋体"/>
        </w:rPr>
        <w:t>7</w:t>
      </w:r>
      <w:r>
        <w:rPr>
          <w:rFonts w:hint="eastAsia" w:ascii="宋体" w:hAnsi="宋体"/>
        </w:rPr>
        <w:t>）合同附件；</w:t>
      </w:r>
    </w:p>
    <w:p w14:paraId="582649DF">
      <w:pPr>
        <w:adjustRightInd w:val="0"/>
        <w:snapToGrid w:val="0"/>
        <w:ind w:firstLine="480" w:firstLineChars="200"/>
      </w:pPr>
      <w:r>
        <w:rPr>
          <w:rFonts w:hint="eastAsia" w:ascii="宋体" w:hAnsi="宋体"/>
        </w:rPr>
        <w:t>（</w:t>
      </w:r>
      <w:r>
        <w:rPr>
          <w:rFonts w:ascii="宋体" w:hAnsi="宋体"/>
        </w:rPr>
        <w:t>8</w:t>
      </w:r>
      <w:r>
        <w:rPr>
          <w:rFonts w:hint="eastAsia" w:ascii="宋体" w:hAnsi="宋体"/>
        </w:rPr>
        <w:t>）招标文件及招标补充文件；</w:t>
      </w:r>
    </w:p>
    <w:p w14:paraId="145AF005">
      <w:pPr>
        <w:adjustRightInd w:val="0"/>
        <w:snapToGrid w:val="0"/>
        <w:ind w:firstLine="480" w:firstLineChars="200"/>
        <w:rPr>
          <w:rFonts w:ascii="宋体"/>
        </w:rPr>
      </w:pPr>
      <w:r>
        <w:rPr>
          <w:rFonts w:hint="eastAsia" w:ascii="宋体" w:hAnsi="宋体"/>
        </w:rPr>
        <w:t>（</w:t>
      </w:r>
      <w:r>
        <w:rPr>
          <w:rFonts w:ascii="宋体" w:hAnsi="宋体"/>
        </w:rPr>
        <w:t>9）投标文件；</w:t>
      </w:r>
    </w:p>
    <w:p w14:paraId="56BA6FE0">
      <w:pPr>
        <w:adjustRightInd w:val="0"/>
        <w:snapToGrid w:val="0"/>
        <w:ind w:firstLine="480" w:firstLineChars="200"/>
        <w:rPr>
          <w:rFonts w:ascii="宋体"/>
        </w:rPr>
      </w:pPr>
      <w:r>
        <w:rPr>
          <w:rFonts w:hint="eastAsia" w:ascii="宋体" w:hAnsi="宋体"/>
        </w:rPr>
        <w:t>（</w:t>
      </w:r>
      <w:r>
        <w:rPr>
          <w:rFonts w:ascii="宋体" w:hAnsi="宋体"/>
        </w:rPr>
        <w:t>10）其他合同文件。</w:t>
      </w:r>
    </w:p>
    <w:p w14:paraId="369FEB96">
      <w:pPr>
        <w:snapToGrid w:val="0"/>
        <w:ind w:left="41" w:leftChars="17" w:firstLine="480" w:firstLineChars="200"/>
        <w:rPr>
          <w:rFonts w:ascii="宋体"/>
        </w:rPr>
      </w:pPr>
      <w:r>
        <w:rPr>
          <w:rFonts w:hint="eastAsia" w:ascii="宋体" w:hAnsi="宋体"/>
        </w:rPr>
        <w:t>上述各项合同文件包括合同当事人就该项合同文件所作出的补充和修改，属于同一类内容的文件，应以最新签署的为准。</w:t>
      </w:r>
    </w:p>
    <w:p w14:paraId="1A56D42E">
      <w:pPr>
        <w:snapToGrid w:val="0"/>
        <w:ind w:left="41" w:leftChars="17" w:firstLine="480" w:firstLineChars="200"/>
        <w:rPr>
          <w:rFonts w:ascii="宋体"/>
        </w:rPr>
      </w:pPr>
      <w:r>
        <w:rPr>
          <w:rFonts w:hint="eastAsia" w:ascii="宋体" w:hAnsi="宋体"/>
        </w:rPr>
        <w:t>在采购、合同订立及履行过程中形成的与合同有关的文件均构成合同文件组成部分，并根据其性质确定优先解释顺序。</w:t>
      </w:r>
    </w:p>
    <w:bookmarkEnd w:id="360"/>
    <w:bookmarkEnd w:id="361"/>
    <w:bookmarkEnd w:id="362"/>
    <w:bookmarkEnd w:id="363"/>
    <w:p w14:paraId="2987217C">
      <w:pPr>
        <w:snapToGrid w:val="0"/>
        <w:ind w:left="41" w:leftChars="17"/>
        <w:rPr>
          <w:rFonts w:ascii="宋体" w:hAnsi="宋体"/>
          <w:b/>
        </w:rPr>
      </w:pPr>
      <w:bookmarkStart w:id="368" w:name="_Toc246996260"/>
      <w:bookmarkStart w:id="369" w:name="_Toc247085775"/>
      <w:bookmarkStart w:id="370" w:name="_Toc246997003"/>
      <w:bookmarkStart w:id="371" w:name="_Toc296602505"/>
      <w:r>
        <w:rPr>
          <w:rFonts w:ascii="宋体" w:hAnsi="宋体"/>
          <w:b/>
        </w:rPr>
        <w:t xml:space="preserve">    1.5 图纸和承包人文件</w:t>
      </w:r>
      <w:bookmarkEnd w:id="368"/>
      <w:bookmarkEnd w:id="369"/>
      <w:bookmarkEnd w:id="370"/>
      <w:bookmarkEnd w:id="371"/>
    </w:p>
    <w:p w14:paraId="3AB03B3F">
      <w:pPr>
        <w:snapToGrid w:val="0"/>
        <w:ind w:left="41" w:leftChars="17" w:firstLine="480" w:firstLineChars="200"/>
        <w:rPr>
          <w:rFonts w:ascii="宋体" w:hAnsi="宋体"/>
          <w:kern w:val="0"/>
        </w:rPr>
      </w:pPr>
      <w:r>
        <w:rPr>
          <w:rFonts w:ascii="宋体" w:hAnsi="宋体"/>
        </w:rPr>
        <w:t>1.5.1</w:t>
      </w:r>
      <w:r>
        <w:rPr>
          <w:rFonts w:ascii="宋体" w:hAnsi="宋体"/>
          <w:kern w:val="0"/>
        </w:rPr>
        <w:t xml:space="preserve"> 图纸的提供和交底</w:t>
      </w:r>
    </w:p>
    <w:p w14:paraId="2C15C8E4">
      <w:pPr>
        <w:snapToGrid w:val="0"/>
        <w:ind w:left="41" w:leftChars="17" w:firstLine="480" w:firstLineChars="200"/>
        <w:rPr>
          <w:rFonts w:ascii="宋体" w:hAnsi="宋体"/>
        </w:rPr>
      </w:pPr>
      <w:r>
        <w:rPr>
          <w:rFonts w:ascii="宋体" w:hAnsi="宋体"/>
        </w:rPr>
        <w:t>发包人应按照专用合同条款约定的期限、数量和内容向承包人免费提供图纸，并组织承包人、监理人和设计人进行图纸会审和设计交底。发包人至迟不得晚</w:t>
      </w:r>
      <w:r>
        <w:rPr>
          <w:rFonts w:hint="eastAsia" w:ascii="宋体" w:hAnsi="宋体"/>
        </w:rPr>
        <w:t>于开工通知中</w:t>
      </w:r>
      <w:r>
        <w:rPr>
          <w:rFonts w:ascii="宋体" w:hAnsi="宋体"/>
        </w:rPr>
        <w:t>载明的开工日期前14天向承包人提供图纸。</w:t>
      </w:r>
    </w:p>
    <w:p w14:paraId="45BF2266">
      <w:pPr>
        <w:snapToGrid w:val="0"/>
        <w:ind w:left="41" w:leftChars="17" w:firstLine="480" w:firstLineChars="200"/>
        <w:rPr>
          <w:rFonts w:ascii="宋体" w:hAnsi="宋体"/>
        </w:rPr>
      </w:pPr>
      <w:r>
        <w:rPr>
          <w:rFonts w:ascii="宋体" w:hAnsi="宋体"/>
        </w:rPr>
        <w:t>因发包人未按合同约定提供图纸</w:t>
      </w:r>
      <w:r>
        <w:rPr>
          <w:rFonts w:hint="eastAsia" w:ascii="宋体" w:hAnsi="宋体"/>
        </w:rPr>
        <w:t>，由发包人承担由此延误的工期，按照合同约定承担增加的费用</w:t>
      </w:r>
      <w:r>
        <w:rPr>
          <w:rFonts w:ascii="宋体" w:hAnsi="宋体"/>
        </w:rPr>
        <w:t>。</w:t>
      </w:r>
    </w:p>
    <w:p w14:paraId="40021B8F">
      <w:pPr>
        <w:snapToGrid w:val="0"/>
        <w:ind w:left="41" w:leftChars="17" w:firstLine="480" w:firstLineChars="200"/>
        <w:rPr>
          <w:rFonts w:ascii="宋体" w:hAnsi="宋体"/>
          <w:kern w:val="0"/>
        </w:rPr>
      </w:pPr>
      <w:r>
        <w:rPr>
          <w:rFonts w:ascii="宋体" w:hAnsi="宋体"/>
        </w:rPr>
        <w:t>1.5.2</w:t>
      </w:r>
      <w:r>
        <w:rPr>
          <w:rFonts w:ascii="宋体" w:hAnsi="宋体"/>
          <w:kern w:val="0"/>
        </w:rPr>
        <w:t xml:space="preserve"> 图纸的错误</w:t>
      </w:r>
    </w:p>
    <w:p w14:paraId="23B9F9E6">
      <w:pPr>
        <w:snapToGrid w:val="0"/>
        <w:ind w:left="41" w:leftChars="17" w:firstLine="480" w:firstLineChars="200"/>
        <w:rPr>
          <w:rFonts w:ascii="宋体" w:hAnsi="宋体"/>
          <w:kern w:val="0"/>
        </w:rPr>
      </w:pPr>
      <w:r>
        <w:rPr>
          <w:rFonts w:ascii="宋体" w:hAnsi="宋体"/>
          <w:kern w:val="0"/>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宋体" w:hAnsi="宋体"/>
          <w:kern w:val="0"/>
        </w:rPr>
        <w:t>合理时间是指发包人在收到监理人的报送通知后，尽其努力且不懈怠地完成图纸修改补充所需的时间。</w:t>
      </w:r>
    </w:p>
    <w:p w14:paraId="41ADADD3">
      <w:pPr>
        <w:snapToGrid w:val="0"/>
        <w:ind w:left="41" w:leftChars="17" w:firstLine="480" w:firstLineChars="200"/>
        <w:rPr>
          <w:rFonts w:ascii="宋体" w:hAnsi="宋体"/>
          <w:kern w:val="0"/>
        </w:rPr>
      </w:pPr>
      <w:r>
        <w:rPr>
          <w:rFonts w:ascii="宋体" w:hAnsi="宋体"/>
        </w:rPr>
        <w:t>1.5.3</w:t>
      </w:r>
      <w:r>
        <w:rPr>
          <w:rFonts w:ascii="宋体" w:hAnsi="宋体"/>
          <w:kern w:val="0"/>
        </w:rPr>
        <w:t xml:space="preserve"> 图纸的修改和补充</w:t>
      </w:r>
    </w:p>
    <w:p w14:paraId="5059972C">
      <w:pPr>
        <w:snapToGrid w:val="0"/>
        <w:ind w:left="41" w:leftChars="17" w:firstLine="480" w:firstLineChars="200"/>
        <w:rPr>
          <w:rFonts w:ascii="宋体" w:hAnsi="宋体"/>
          <w:kern w:val="0"/>
        </w:rPr>
      </w:pPr>
      <w:r>
        <w:rPr>
          <w:rFonts w:ascii="宋体" w:hAnsi="宋体"/>
          <w:kern w:val="0"/>
        </w:rPr>
        <w:t>图纸需要修改和补充的，应经图纸原设计人及审批部门同意，并由监理人在工程或工程相应部位施工前将修改后的图纸或补充图纸提交给承包人，承包人应按修改或补充后的图纸施工。</w:t>
      </w:r>
    </w:p>
    <w:p w14:paraId="1BCCB4BB">
      <w:pPr>
        <w:snapToGrid w:val="0"/>
        <w:ind w:left="41" w:leftChars="17" w:firstLine="480" w:firstLineChars="200"/>
        <w:rPr>
          <w:rFonts w:ascii="宋体" w:hAnsi="宋体"/>
          <w:kern w:val="0"/>
        </w:rPr>
      </w:pPr>
      <w:r>
        <w:rPr>
          <w:rFonts w:ascii="宋体" w:hAnsi="宋体"/>
        </w:rPr>
        <w:t>1.5.4</w:t>
      </w:r>
      <w:r>
        <w:rPr>
          <w:rFonts w:ascii="宋体" w:hAnsi="宋体"/>
          <w:kern w:val="0"/>
        </w:rPr>
        <w:t xml:space="preserve"> 承包人文件</w:t>
      </w:r>
    </w:p>
    <w:p w14:paraId="642BC7A5">
      <w:pPr>
        <w:snapToGrid w:val="0"/>
        <w:ind w:left="41" w:leftChars="17" w:firstLine="480" w:firstLineChars="200"/>
        <w:rPr>
          <w:rFonts w:ascii="宋体" w:hAnsi="宋体"/>
          <w:kern w:val="0"/>
        </w:rPr>
      </w:pPr>
      <w:r>
        <w:rPr>
          <w:rFonts w:ascii="宋体" w:hAnsi="宋体"/>
          <w:kern w:val="0"/>
        </w:rPr>
        <w:t>承包人应按照专用合同条款的约定提供应当由其编制的与工程施工有关的文件，并按照专用合同条款约定的期限、数量和形式提交监理人，并由监理人报送发包人。</w:t>
      </w:r>
    </w:p>
    <w:p w14:paraId="262BA05A">
      <w:pPr>
        <w:snapToGrid w:val="0"/>
        <w:ind w:left="41" w:leftChars="17" w:firstLine="480" w:firstLineChars="200"/>
        <w:rPr>
          <w:rFonts w:ascii="宋体" w:hAnsi="宋体"/>
          <w:kern w:val="0"/>
        </w:rPr>
      </w:pPr>
      <w:r>
        <w:rPr>
          <w:rFonts w:ascii="宋体" w:hAnsi="宋体"/>
          <w:kern w:val="0"/>
        </w:rPr>
        <w:t>除专用合同条款另有约定外，监理人应在收到承包人文件后</w:t>
      </w:r>
      <w:r>
        <w:rPr>
          <w:rFonts w:ascii="宋体" w:hAnsi="宋体"/>
        </w:rPr>
        <w:t>7</w:t>
      </w:r>
      <w:r>
        <w:rPr>
          <w:rFonts w:ascii="宋体" w:hAnsi="宋体"/>
          <w:kern w:val="0"/>
        </w:rPr>
        <w:t>天内审查完毕，监理人对承包人文件有异议的，承包人应予以修改，并重新报送监理人。监理人的审查并不减轻或免除承包人根据合同约定应当承担的责任。</w:t>
      </w:r>
    </w:p>
    <w:p w14:paraId="44508CE8">
      <w:pPr>
        <w:snapToGrid w:val="0"/>
        <w:ind w:left="41" w:leftChars="17" w:firstLine="480" w:firstLineChars="200"/>
        <w:rPr>
          <w:rFonts w:ascii="宋体" w:hAnsi="宋体"/>
          <w:kern w:val="0"/>
        </w:rPr>
      </w:pPr>
      <w:r>
        <w:rPr>
          <w:rFonts w:ascii="宋体" w:hAnsi="宋体"/>
        </w:rPr>
        <w:t>1.5.5</w:t>
      </w:r>
      <w:r>
        <w:rPr>
          <w:rFonts w:ascii="宋体" w:hAnsi="宋体"/>
          <w:kern w:val="0"/>
        </w:rPr>
        <w:t xml:space="preserve"> 图纸和承包人文件的保管</w:t>
      </w:r>
    </w:p>
    <w:p w14:paraId="16A2B82C">
      <w:pPr>
        <w:snapToGrid w:val="0"/>
        <w:ind w:left="41" w:leftChars="17" w:firstLine="480" w:firstLineChars="200"/>
        <w:rPr>
          <w:rFonts w:ascii="宋体" w:hAnsi="宋体"/>
        </w:rPr>
      </w:pPr>
      <w:r>
        <w:rPr>
          <w:rFonts w:ascii="宋体" w:hAnsi="宋体"/>
          <w:kern w:val="0"/>
        </w:rPr>
        <w:t>除专用合同条款另有约定外，承包人应在施工现场另外保存一套完整的图纸和承包人文件，供发包人、监理人及有关人员进行工程检查时使用。</w:t>
      </w:r>
    </w:p>
    <w:p w14:paraId="7AB7AFC4">
      <w:pPr>
        <w:snapToGrid w:val="0"/>
        <w:ind w:left="41" w:leftChars="17"/>
        <w:rPr>
          <w:rFonts w:ascii="宋体" w:hAnsi="宋体"/>
          <w:b/>
        </w:rPr>
      </w:pPr>
      <w:bookmarkStart w:id="372" w:name="_Toc296602506"/>
      <w:bookmarkStart w:id="373" w:name="_Toc246997004"/>
      <w:bookmarkStart w:id="374" w:name="_Toc246996261"/>
      <w:bookmarkStart w:id="375" w:name="_Toc247085776"/>
      <w:r>
        <w:rPr>
          <w:rFonts w:ascii="宋体" w:hAnsi="宋体"/>
          <w:b/>
        </w:rPr>
        <w:t xml:space="preserve">    1.6 联络</w:t>
      </w:r>
      <w:bookmarkEnd w:id="372"/>
      <w:bookmarkEnd w:id="373"/>
      <w:bookmarkEnd w:id="374"/>
      <w:bookmarkEnd w:id="375"/>
    </w:p>
    <w:p w14:paraId="7E502EBF">
      <w:pPr>
        <w:snapToGrid w:val="0"/>
        <w:ind w:left="41" w:leftChars="17" w:firstLine="480" w:firstLineChars="200"/>
        <w:rPr>
          <w:rFonts w:ascii="宋体"/>
        </w:rPr>
      </w:pPr>
      <w:r>
        <w:rPr>
          <w:rFonts w:ascii="宋体" w:hAnsi="宋体"/>
        </w:rPr>
        <w:t>1.6.1</w:t>
      </w:r>
      <w:r>
        <w:rPr>
          <w:rFonts w:hint="eastAsia" w:ascii="宋体" w:hAnsi="宋体"/>
        </w:rPr>
        <w:t>与合同有关的通知、批准、证明、证书、指示、要求、请求、同意、意见、确定和决定等，均应采用书面形式。</w:t>
      </w:r>
    </w:p>
    <w:p w14:paraId="68F10B60">
      <w:pPr>
        <w:snapToGrid w:val="0"/>
        <w:ind w:left="41" w:leftChars="17" w:firstLine="480" w:firstLineChars="200"/>
        <w:rPr>
          <w:rFonts w:ascii="宋体"/>
        </w:rPr>
      </w:pPr>
      <w:r>
        <w:rPr>
          <w:rFonts w:ascii="宋体" w:hAnsi="宋体"/>
        </w:rPr>
        <w:t xml:space="preserve">1.6.2 </w:t>
      </w:r>
      <w:r>
        <w:rPr>
          <w:rFonts w:hint="eastAsia" w:ascii="宋体" w:hAnsi="宋体"/>
        </w:rPr>
        <w:t>第</w:t>
      </w:r>
      <w:r>
        <w:rPr>
          <w:rFonts w:ascii="宋体" w:hAnsi="宋体"/>
        </w:rPr>
        <w:t>1.6.1</w:t>
      </w:r>
      <w:r>
        <w:rPr>
          <w:rFonts w:hint="eastAsia" w:ascii="宋体" w:hAnsi="宋体"/>
        </w:rPr>
        <w:t>项中的通知、批准、证明、证书、指示、要求、请求、同意、意见、确定和决定等来往函件，均应在合同约定的期限内送达指定的地点和指定的接收人，并办理签收手续。</w:t>
      </w:r>
    </w:p>
    <w:p w14:paraId="2F731B17">
      <w:pPr>
        <w:snapToGrid w:val="0"/>
        <w:ind w:left="41" w:leftChars="17" w:firstLine="480" w:firstLineChars="200"/>
        <w:rPr>
          <w:rFonts w:ascii="宋体" w:hAnsi="宋体"/>
        </w:rPr>
      </w:pPr>
      <w:r>
        <w:rPr>
          <w:rFonts w:ascii="宋体" w:hAnsi="宋体"/>
        </w:rPr>
        <w:t xml:space="preserve">1.6.3 </w:t>
      </w:r>
      <w:r>
        <w:rPr>
          <w:rFonts w:hint="eastAsia" w:ascii="宋体" w:hAnsi="宋体"/>
        </w:rPr>
        <w:t>双方指定的联络人及其联系地址、电话、邮箱、传真发生变更时，应书面通知对方。</w:t>
      </w:r>
    </w:p>
    <w:p w14:paraId="4D4B122A">
      <w:pPr>
        <w:snapToGrid w:val="0"/>
        <w:ind w:left="41" w:leftChars="17"/>
        <w:rPr>
          <w:rFonts w:ascii="宋体" w:hAnsi="宋体"/>
          <w:b/>
        </w:rPr>
      </w:pPr>
      <w:r>
        <w:rPr>
          <w:rFonts w:ascii="宋体" w:hAnsi="宋体"/>
          <w:b/>
        </w:rPr>
        <w:t>1.7严禁贿赂</w:t>
      </w:r>
    </w:p>
    <w:p w14:paraId="5446DA85">
      <w:pPr>
        <w:autoSpaceDE w:val="0"/>
        <w:autoSpaceDN w:val="0"/>
        <w:snapToGrid w:val="0"/>
        <w:ind w:left="41" w:leftChars="17" w:firstLine="480" w:firstLineChars="200"/>
        <w:rPr>
          <w:rFonts w:ascii="宋体" w:hAnsi="宋体"/>
          <w:kern w:val="0"/>
        </w:rPr>
      </w:pPr>
      <w:r>
        <w:rPr>
          <w:rFonts w:ascii="宋体" w:hAnsi="宋体"/>
          <w:kern w:val="0"/>
        </w:rPr>
        <w:t>1.7.1承包人及其雇员、承包人的代理人、承包人选择的分包人不得采用贿赂等违法违规或不正当手段获取合同。对承包人违反本条款规定的，发包人有权立即解除合同。</w:t>
      </w:r>
    </w:p>
    <w:p w14:paraId="32C5A914">
      <w:pPr>
        <w:autoSpaceDE w:val="0"/>
        <w:autoSpaceDN w:val="0"/>
        <w:snapToGrid w:val="0"/>
        <w:ind w:left="41" w:leftChars="17" w:firstLine="480" w:firstLineChars="200"/>
        <w:rPr>
          <w:rFonts w:ascii="宋体" w:hAnsi="宋体"/>
          <w:kern w:val="0"/>
        </w:rPr>
      </w:pPr>
      <w:r>
        <w:rPr>
          <w:rFonts w:ascii="宋体" w:hAnsi="宋体"/>
        </w:rPr>
        <w:t>1.7.2</w:t>
      </w:r>
      <w:r>
        <w:rPr>
          <w:rFonts w:hint="eastAsia" w:ascii="宋体" w:hAnsi="宋体"/>
          <w:kern w:val="0"/>
        </w:rPr>
        <w:t>合同双方当事人不得以贿赂或变相贿赂的方式，谋取不当利益或损害对方权益。因贿赂造成对方损失的，行为人应赔偿损失，并承担相应的法律责任。</w:t>
      </w:r>
    </w:p>
    <w:p w14:paraId="5AA76D9A">
      <w:pPr>
        <w:autoSpaceDE w:val="0"/>
        <w:autoSpaceDN w:val="0"/>
        <w:snapToGrid w:val="0"/>
        <w:ind w:left="41" w:leftChars="17" w:firstLine="480" w:firstLineChars="200"/>
        <w:rPr>
          <w:rFonts w:ascii="宋体" w:hAnsi="宋体"/>
          <w:kern w:val="0"/>
        </w:rPr>
      </w:pPr>
      <w:r>
        <w:rPr>
          <w:rFonts w:ascii="宋体" w:hAnsi="宋体"/>
        </w:rPr>
        <w:t>1.7.3</w:t>
      </w:r>
      <w:r>
        <w:rPr>
          <w:rFonts w:hint="eastAsia" w:ascii="宋体" w:hAnsi="宋体"/>
          <w:kern w:val="0"/>
        </w:rPr>
        <w:t>承包人不得与监理人或发包人聘请的第三方串通损害发包人利益。未经发包人书面同意，承包人不得为监理人提供合同约定以外的通讯设备、交通工具及其他任何形式的利益，不得向监理人支付报酬。</w:t>
      </w:r>
    </w:p>
    <w:p w14:paraId="692EBDF1">
      <w:pPr>
        <w:snapToGrid w:val="0"/>
        <w:ind w:left="41" w:leftChars="17"/>
        <w:rPr>
          <w:rFonts w:ascii="宋体" w:hAnsi="宋体"/>
          <w:b/>
        </w:rPr>
      </w:pPr>
      <w:r>
        <w:rPr>
          <w:rFonts w:ascii="宋体" w:hAnsi="宋体"/>
          <w:b/>
        </w:rPr>
        <w:t xml:space="preserve">1.8知识产权 </w:t>
      </w:r>
    </w:p>
    <w:p w14:paraId="00D6D70D">
      <w:pPr>
        <w:snapToGrid w:val="0"/>
        <w:ind w:left="41" w:leftChars="17" w:firstLine="480" w:firstLineChars="200"/>
        <w:rPr>
          <w:rFonts w:ascii="宋体" w:hAnsi="宋体"/>
          <w:kern w:val="0"/>
        </w:rPr>
      </w:pPr>
      <w:r>
        <w:rPr>
          <w:rFonts w:ascii="宋体" w:hAnsi="宋体"/>
        </w:rPr>
        <w:t>1.8.1</w:t>
      </w:r>
      <w:r>
        <w:rPr>
          <w:rFonts w:ascii="宋体" w:hAnsi="宋体"/>
          <w:kern w:val="0"/>
        </w:rPr>
        <w:t xml:space="preserve">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0905FFE3">
      <w:pPr>
        <w:snapToGrid w:val="0"/>
        <w:ind w:left="41" w:leftChars="17" w:firstLine="480" w:firstLineChars="200"/>
        <w:rPr>
          <w:rFonts w:ascii="宋体" w:hAnsi="宋体"/>
          <w:kern w:val="0"/>
        </w:rPr>
      </w:pPr>
      <w:r>
        <w:rPr>
          <w:rFonts w:ascii="宋体" w:hAnsi="宋体"/>
        </w:rPr>
        <w:t>1.8.2</w:t>
      </w:r>
      <w:r>
        <w:rPr>
          <w:rFonts w:ascii="宋体" w:hAnsi="宋体"/>
          <w:kern w:val="0"/>
        </w:rPr>
        <w:t xml:space="preserve">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32C3D0DB">
      <w:pPr>
        <w:snapToGrid w:val="0"/>
        <w:ind w:left="41" w:leftChars="17" w:firstLine="480" w:firstLineChars="200"/>
        <w:rPr>
          <w:rFonts w:ascii="宋体" w:hAnsi="宋体"/>
          <w:kern w:val="0"/>
        </w:rPr>
      </w:pPr>
      <w:r>
        <w:rPr>
          <w:rFonts w:ascii="宋体" w:hAnsi="宋体"/>
        </w:rPr>
        <w:t>1.8.3</w:t>
      </w:r>
      <w:r>
        <w:rPr>
          <w:rFonts w:ascii="宋体" w:hAnsi="宋体"/>
          <w:kern w:val="0"/>
        </w:rPr>
        <w:t xml:space="preserve">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4F98D552">
      <w:pPr>
        <w:snapToGrid w:val="0"/>
        <w:ind w:left="41" w:leftChars="17" w:firstLine="480" w:firstLineChars="200"/>
        <w:rPr>
          <w:rFonts w:ascii="宋体" w:hAnsi="宋体"/>
          <w:kern w:val="0"/>
        </w:rPr>
      </w:pPr>
      <w:r>
        <w:rPr>
          <w:rFonts w:ascii="宋体" w:hAnsi="宋体"/>
        </w:rPr>
        <w:t>1.8.4</w:t>
      </w:r>
      <w:r>
        <w:rPr>
          <w:rFonts w:ascii="宋体" w:hAnsi="宋体"/>
          <w:kern w:val="0"/>
        </w:rPr>
        <w:t xml:space="preserve"> 除专用合同条款另有约定外，承包人在合同签订前和签订时已确定采用的专利、专有技术、技术秘密的使用费已包含在签约合同价</w:t>
      </w:r>
      <w:r>
        <w:rPr>
          <w:rFonts w:hint="eastAsia" w:ascii="宋体" w:hAnsi="宋体"/>
          <w:kern w:val="0"/>
        </w:rPr>
        <w:t>款</w:t>
      </w:r>
      <w:r>
        <w:rPr>
          <w:rFonts w:ascii="宋体" w:hAnsi="宋体"/>
          <w:kern w:val="0"/>
        </w:rPr>
        <w:t>中。</w:t>
      </w:r>
    </w:p>
    <w:p w14:paraId="0F6A8F0E">
      <w:pPr>
        <w:snapToGrid w:val="0"/>
        <w:ind w:left="41" w:leftChars="17" w:firstLine="480" w:firstLineChars="200"/>
        <w:rPr>
          <w:rFonts w:ascii="宋体" w:hAnsi="宋体"/>
        </w:rPr>
      </w:pPr>
      <w:r>
        <w:rPr>
          <w:rFonts w:ascii="宋体" w:hAnsi="宋体"/>
        </w:rPr>
        <w:t xml:space="preserve">1.8.5 </w:t>
      </w:r>
      <w:r>
        <w:rPr>
          <w:rFonts w:hint="eastAsia" w:ascii="宋体" w:hAnsi="宋体"/>
        </w:rPr>
        <w:t>发包人要求使用专利技术或特殊工艺，应负责办理相应的申报手续，承担申报、试验、使用等费用；承包人提出使用专利技术或特殊工艺，应取得发包人认可，承包人负责办理申报手续并承担有关费用。</w:t>
      </w:r>
    </w:p>
    <w:p w14:paraId="09E914BF">
      <w:pPr>
        <w:snapToGrid w:val="0"/>
        <w:ind w:left="41" w:leftChars="17"/>
        <w:rPr>
          <w:rFonts w:ascii="宋体" w:hAnsi="宋体"/>
          <w:b/>
        </w:rPr>
      </w:pPr>
      <w:r>
        <w:rPr>
          <w:rFonts w:ascii="宋体" w:hAnsi="宋体"/>
          <w:b/>
        </w:rPr>
        <w:t>1.9文件及信息的保密</w:t>
      </w:r>
    </w:p>
    <w:p w14:paraId="02125F13">
      <w:pPr>
        <w:snapToGrid w:val="0"/>
        <w:ind w:left="41" w:leftChars="17" w:firstLine="480" w:firstLineChars="200"/>
        <w:rPr>
          <w:rFonts w:ascii="宋体" w:hAnsi="宋体"/>
        </w:rPr>
      </w:pPr>
      <w:r>
        <w:rPr>
          <w:rFonts w:ascii="宋体" w:hAnsi="宋体"/>
        </w:rPr>
        <w:t>1.9.1未经对方同意，任何一方当事人不得将有关文件、技术秘密、需要保密的资料和信息泄露给他人或公开发表与引用。</w:t>
      </w:r>
    </w:p>
    <w:p w14:paraId="3B26005F">
      <w:pPr>
        <w:snapToGrid w:val="0"/>
        <w:ind w:left="41" w:leftChars="17" w:firstLine="480" w:firstLineChars="200"/>
        <w:rPr>
          <w:rFonts w:ascii="宋体" w:hAnsi="宋体"/>
        </w:rPr>
      </w:pPr>
      <w:r>
        <w:rPr>
          <w:rFonts w:ascii="宋体" w:hAnsi="宋体"/>
        </w:rPr>
        <w:t>1.9.2承包人提交了符合发包人要求的所有工程交工相关资料，且经发包人代表书面确认接受后的7天内,承包人应归还从发包人直接获得或间接获得的所有资料，如所有图纸、技术数据以及其它任何资料。</w:t>
      </w:r>
    </w:p>
    <w:p w14:paraId="0A6F4D4D">
      <w:pPr>
        <w:snapToGrid w:val="0"/>
        <w:ind w:left="41" w:leftChars="17" w:firstLine="480" w:firstLineChars="200"/>
        <w:rPr>
          <w:rFonts w:ascii="宋体"/>
        </w:rPr>
      </w:pPr>
      <w:r>
        <w:rPr>
          <w:rFonts w:ascii="宋体" w:hAnsi="宋体"/>
        </w:rPr>
        <w:t>1.9.3如因承包人原因扩散失密而引起的涉外纠纷由承包人完全负责。</w:t>
      </w:r>
    </w:p>
    <w:p w14:paraId="6342DAE5">
      <w:pPr>
        <w:ind w:left="41" w:leftChars="17"/>
        <w:outlineLvl w:val="1"/>
        <w:rPr>
          <w:rFonts w:ascii="宋体" w:hAnsi="宋体"/>
          <w:b/>
          <w:bCs/>
          <w:kern w:val="0"/>
        </w:rPr>
      </w:pPr>
      <w:bookmarkStart w:id="376" w:name="_Toc489084306"/>
      <w:bookmarkStart w:id="377" w:name="_Toc247085778"/>
      <w:bookmarkStart w:id="378" w:name="_Toc5338"/>
      <w:bookmarkStart w:id="379" w:name="_Toc246996263"/>
      <w:bookmarkStart w:id="380" w:name="_Toc184635099"/>
      <w:bookmarkStart w:id="381" w:name="_Toc439160161"/>
      <w:bookmarkStart w:id="382" w:name="_Toc410986360"/>
      <w:bookmarkStart w:id="383" w:name="_Toc296602507"/>
      <w:bookmarkStart w:id="384" w:name="_Toc246997006"/>
      <w:bookmarkStart w:id="385" w:name="_Toc526793373"/>
      <w:bookmarkStart w:id="386" w:name="_Toc6241358"/>
      <w:r>
        <w:rPr>
          <w:rFonts w:ascii="宋体" w:hAnsi="宋体"/>
          <w:b/>
          <w:bCs/>
          <w:kern w:val="0"/>
        </w:rPr>
        <w:t xml:space="preserve">2. </w:t>
      </w:r>
      <w:r>
        <w:rPr>
          <w:rFonts w:hint="eastAsia" w:ascii="宋体" w:hAnsi="宋体"/>
          <w:b/>
          <w:bCs/>
          <w:kern w:val="0"/>
        </w:rPr>
        <w:t>发包人义务</w:t>
      </w:r>
      <w:bookmarkEnd w:id="376"/>
      <w:bookmarkEnd w:id="377"/>
      <w:bookmarkEnd w:id="378"/>
      <w:bookmarkEnd w:id="379"/>
      <w:bookmarkEnd w:id="380"/>
      <w:bookmarkEnd w:id="381"/>
      <w:bookmarkEnd w:id="382"/>
      <w:bookmarkEnd w:id="383"/>
      <w:bookmarkEnd w:id="384"/>
      <w:bookmarkEnd w:id="385"/>
      <w:bookmarkEnd w:id="386"/>
    </w:p>
    <w:p w14:paraId="223AD6DD">
      <w:pPr>
        <w:snapToGrid w:val="0"/>
        <w:ind w:left="41" w:leftChars="17"/>
        <w:rPr>
          <w:rFonts w:ascii="宋体" w:hAnsi="宋体"/>
          <w:b/>
        </w:rPr>
      </w:pPr>
      <w:bookmarkStart w:id="387" w:name="_Toc300835049"/>
      <w:bookmarkStart w:id="388" w:name="_Toc247527651"/>
      <w:bookmarkStart w:id="389" w:name="_Toc247514050"/>
      <w:r>
        <w:rPr>
          <w:rFonts w:ascii="宋体" w:hAnsi="宋体"/>
          <w:b/>
        </w:rPr>
        <w:t xml:space="preserve">2.1 </w:t>
      </w:r>
      <w:r>
        <w:rPr>
          <w:rFonts w:hint="eastAsia" w:ascii="宋体" w:hAnsi="宋体"/>
          <w:b/>
        </w:rPr>
        <w:t>指派发包人代表</w:t>
      </w:r>
      <w:bookmarkEnd w:id="387"/>
      <w:bookmarkEnd w:id="388"/>
      <w:bookmarkEnd w:id="389"/>
    </w:p>
    <w:p w14:paraId="7D5D685C">
      <w:pPr>
        <w:snapToGrid w:val="0"/>
        <w:ind w:left="41" w:leftChars="17" w:firstLine="480" w:firstLineChars="200"/>
        <w:rPr>
          <w:rFonts w:ascii="宋体" w:hAnsi="宋体"/>
        </w:rPr>
      </w:pPr>
      <w:r>
        <w:rPr>
          <w:rFonts w:ascii="宋体" w:hAnsi="宋体"/>
        </w:rPr>
        <w:t xml:space="preserve">2.1.1 </w:t>
      </w:r>
      <w:r>
        <w:rPr>
          <w:rFonts w:hint="eastAsia" w:ascii="宋体" w:hAnsi="宋体"/>
        </w:rPr>
        <w:t>发包人应在专用合同条款中明确发包人代表的姓名、职务、联系方式及授权范围等事项。发包人代表负责与承包人联系，并在发包人的授权范围内，负责处理合同履行过程中与发包人有关的具体事宜。发包人代表在授权范围内的行为由发包人承担法律责任。发包人更换发包人代表的，应提前</w:t>
      </w:r>
      <w:r>
        <w:rPr>
          <w:rFonts w:ascii="宋体" w:hAnsi="宋体"/>
        </w:rPr>
        <w:t>7</w:t>
      </w:r>
      <w:r>
        <w:rPr>
          <w:rFonts w:hint="eastAsia" w:ascii="宋体" w:hAnsi="宋体"/>
        </w:rPr>
        <w:t>天书面通知承包人。</w:t>
      </w:r>
    </w:p>
    <w:p w14:paraId="0BBA615A">
      <w:pPr>
        <w:snapToGrid w:val="0"/>
        <w:ind w:left="41" w:leftChars="17" w:firstLine="480" w:firstLineChars="200"/>
        <w:rPr>
          <w:rFonts w:ascii="宋体" w:hAnsi="宋体"/>
        </w:rPr>
      </w:pPr>
      <w:r>
        <w:rPr>
          <w:rFonts w:ascii="宋体" w:hAnsi="宋体"/>
        </w:rPr>
        <w:t xml:space="preserve">2.1.2 </w:t>
      </w:r>
      <w:r>
        <w:rPr>
          <w:rFonts w:hint="eastAsia" w:ascii="宋体" w:hAnsi="宋体"/>
        </w:rPr>
        <w:t>发包人代表不能按照合同约定履行其职责及义务，并导致合同无法继续正常履行的，承包人可以要求发包人撤换发包人代表。</w:t>
      </w:r>
    </w:p>
    <w:p w14:paraId="0D753143">
      <w:pPr>
        <w:snapToGrid w:val="0"/>
        <w:ind w:left="41" w:leftChars="17"/>
        <w:rPr>
          <w:rFonts w:ascii="宋体" w:hAnsi="宋体"/>
          <w:b/>
        </w:rPr>
      </w:pPr>
      <w:bookmarkStart w:id="390" w:name="_Toc246997008"/>
      <w:bookmarkStart w:id="391" w:name="_Toc246996265"/>
      <w:bookmarkStart w:id="392" w:name="_Toc247085780"/>
      <w:bookmarkStart w:id="393" w:name="_Toc296602509"/>
      <w:r>
        <w:rPr>
          <w:rFonts w:ascii="宋体" w:hAnsi="宋体"/>
          <w:b/>
        </w:rPr>
        <w:t xml:space="preserve">    2.2 发出开工通知</w:t>
      </w:r>
      <w:bookmarkEnd w:id="390"/>
      <w:bookmarkEnd w:id="391"/>
      <w:bookmarkEnd w:id="392"/>
      <w:bookmarkEnd w:id="393"/>
    </w:p>
    <w:p w14:paraId="4D040292">
      <w:pPr>
        <w:snapToGrid w:val="0"/>
        <w:ind w:left="41" w:leftChars="17" w:firstLine="480" w:firstLineChars="200"/>
        <w:rPr>
          <w:rFonts w:ascii="宋体" w:hAnsi="宋体"/>
        </w:rPr>
      </w:pPr>
      <w:r>
        <w:rPr>
          <w:rFonts w:hint="eastAsia" w:ascii="宋体" w:hAnsi="宋体"/>
        </w:rPr>
        <w:t>发包人应委托监理人按第</w:t>
      </w:r>
      <w:r>
        <w:rPr>
          <w:rFonts w:ascii="宋体" w:hAnsi="宋体"/>
        </w:rPr>
        <w:t xml:space="preserve">6.2 </w:t>
      </w:r>
      <w:r>
        <w:rPr>
          <w:rFonts w:hint="eastAsia" w:ascii="宋体" w:hAnsi="宋体"/>
        </w:rPr>
        <w:t>款的约定向承包人发出开工通知。</w:t>
      </w:r>
    </w:p>
    <w:p w14:paraId="3672784F">
      <w:pPr>
        <w:snapToGrid w:val="0"/>
        <w:ind w:left="41" w:leftChars="17"/>
        <w:rPr>
          <w:rFonts w:ascii="宋体" w:hAnsi="宋体"/>
          <w:b/>
        </w:rPr>
      </w:pPr>
      <w:bookmarkStart w:id="394" w:name="_Toc246996266"/>
      <w:bookmarkStart w:id="395" w:name="_Toc247085781"/>
      <w:bookmarkStart w:id="396" w:name="_Toc296602510"/>
      <w:bookmarkStart w:id="397" w:name="_Toc246997009"/>
      <w:r>
        <w:rPr>
          <w:rFonts w:ascii="宋体" w:hAnsi="宋体"/>
          <w:b/>
        </w:rPr>
        <w:t xml:space="preserve">    2.3 提供施工场地</w:t>
      </w:r>
      <w:bookmarkEnd w:id="394"/>
      <w:bookmarkEnd w:id="395"/>
      <w:bookmarkEnd w:id="396"/>
      <w:bookmarkEnd w:id="397"/>
      <w:r>
        <w:rPr>
          <w:rFonts w:hint="eastAsia" w:ascii="宋体" w:hAnsi="宋体"/>
          <w:b/>
        </w:rPr>
        <w:t>、施工条件</w:t>
      </w:r>
    </w:p>
    <w:p w14:paraId="32AA1157">
      <w:pPr>
        <w:snapToGrid w:val="0"/>
        <w:ind w:left="41" w:leftChars="17" w:firstLine="480" w:firstLineChars="200"/>
        <w:rPr>
          <w:rFonts w:ascii="宋体" w:hAnsi="宋体"/>
        </w:rPr>
      </w:pPr>
      <w:r>
        <w:rPr>
          <w:rFonts w:hint="eastAsia" w:ascii="宋体" w:hAnsi="宋体"/>
        </w:rPr>
        <w:t>发包人应按专用合同条款约定向承包人提供施工场地、施工条件，以及施工场地内地下管线和地下设施等有关资料，并保证资料的真实、准确、完整。</w:t>
      </w:r>
    </w:p>
    <w:p w14:paraId="65103FED">
      <w:pPr>
        <w:snapToGrid w:val="0"/>
        <w:ind w:left="41" w:leftChars="17"/>
        <w:rPr>
          <w:rFonts w:ascii="宋体" w:hAnsi="宋体"/>
          <w:b/>
        </w:rPr>
      </w:pPr>
      <w:bookmarkStart w:id="398" w:name="_Toc246997010"/>
      <w:bookmarkStart w:id="399" w:name="_Toc246996267"/>
      <w:bookmarkStart w:id="400" w:name="_Toc247085782"/>
      <w:bookmarkStart w:id="401" w:name="_Toc296602511"/>
      <w:r>
        <w:rPr>
          <w:rFonts w:ascii="宋体" w:hAnsi="宋体"/>
          <w:b/>
        </w:rPr>
        <w:t xml:space="preserve">    2.4 协助承包人办理证件和批件</w:t>
      </w:r>
      <w:bookmarkEnd w:id="398"/>
      <w:bookmarkEnd w:id="399"/>
      <w:bookmarkEnd w:id="400"/>
      <w:bookmarkEnd w:id="401"/>
    </w:p>
    <w:p w14:paraId="2571D08F">
      <w:pPr>
        <w:snapToGrid w:val="0"/>
        <w:ind w:left="41" w:leftChars="17" w:firstLine="480" w:firstLineChars="200"/>
        <w:rPr>
          <w:rFonts w:ascii="宋体" w:hAnsi="宋体"/>
        </w:rPr>
      </w:pPr>
      <w:r>
        <w:rPr>
          <w:rFonts w:hint="eastAsia" w:ascii="宋体" w:hAnsi="宋体"/>
        </w:rPr>
        <w:t>发包人应协助承包人办理法律规定的有关施工证件和批件。</w:t>
      </w:r>
    </w:p>
    <w:p w14:paraId="7E9EB7A0">
      <w:pPr>
        <w:snapToGrid w:val="0"/>
        <w:ind w:left="41" w:leftChars="17"/>
        <w:rPr>
          <w:rFonts w:ascii="宋体" w:hAnsi="宋体"/>
          <w:b/>
        </w:rPr>
      </w:pPr>
      <w:bookmarkStart w:id="402" w:name="_Toc247085783"/>
      <w:bookmarkStart w:id="403" w:name="_Toc246996268"/>
      <w:bookmarkStart w:id="404" w:name="_Toc296602512"/>
      <w:bookmarkStart w:id="405" w:name="_Toc246997011"/>
      <w:r>
        <w:rPr>
          <w:rFonts w:ascii="宋体" w:hAnsi="宋体"/>
          <w:b/>
        </w:rPr>
        <w:t xml:space="preserve">    2.5 组织设计交底</w:t>
      </w:r>
      <w:bookmarkEnd w:id="402"/>
      <w:bookmarkEnd w:id="403"/>
      <w:bookmarkEnd w:id="404"/>
      <w:bookmarkEnd w:id="405"/>
    </w:p>
    <w:p w14:paraId="376E7436">
      <w:pPr>
        <w:snapToGrid w:val="0"/>
        <w:ind w:left="41" w:leftChars="17" w:firstLine="480" w:firstLineChars="200"/>
        <w:rPr>
          <w:rFonts w:ascii="宋体" w:hAnsi="宋体"/>
        </w:rPr>
      </w:pPr>
      <w:r>
        <w:rPr>
          <w:rFonts w:hint="eastAsia" w:ascii="宋体" w:hAnsi="宋体"/>
        </w:rPr>
        <w:t>发包人应根据合同进度计划，组织设计单位向承包人进行设计交底。</w:t>
      </w:r>
    </w:p>
    <w:p w14:paraId="2F346214">
      <w:pPr>
        <w:snapToGrid w:val="0"/>
        <w:ind w:left="41" w:leftChars="17"/>
        <w:rPr>
          <w:rFonts w:ascii="宋体" w:hAnsi="宋体"/>
          <w:b/>
        </w:rPr>
      </w:pPr>
      <w:bookmarkStart w:id="406" w:name="_Toc246997012"/>
      <w:bookmarkStart w:id="407" w:name="_Toc296602513"/>
      <w:bookmarkStart w:id="408" w:name="_Toc247085784"/>
      <w:bookmarkStart w:id="409" w:name="_Toc246996269"/>
      <w:r>
        <w:rPr>
          <w:rFonts w:ascii="宋体" w:hAnsi="宋体"/>
          <w:b/>
        </w:rPr>
        <w:t xml:space="preserve">    2.6 支付合同价款</w:t>
      </w:r>
      <w:bookmarkEnd w:id="406"/>
      <w:bookmarkEnd w:id="407"/>
      <w:bookmarkEnd w:id="408"/>
      <w:bookmarkEnd w:id="409"/>
    </w:p>
    <w:p w14:paraId="6729E44C">
      <w:pPr>
        <w:snapToGrid w:val="0"/>
        <w:ind w:left="41" w:leftChars="17" w:firstLine="480" w:firstLineChars="200"/>
        <w:rPr>
          <w:rFonts w:ascii="宋体" w:hAnsi="宋体"/>
        </w:rPr>
      </w:pPr>
      <w:r>
        <w:rPr>
          <w:rFonts w:hint="eastAsia" w:ascii="宋体" w:hAnsi="宋体"/>
        </w:rPr>
        <w:t>发包人应按合同约定向承包人及时支付合同价款。</w:t>
      </w:r>
    </w:p>
    <w:p w14:paraId="43C811AB">
      <w:pPr>
        <w:snapToGrid w:val="0"/>
        <w:ind w:left="41" w:leftChars="17"/>
        <w:rPr>
          <w:rFonts w:ascii="宋体" w:hAnsi="宋体"/>
          <w:b/>
        </w:rPr>
      </w:pPr>
      <w:bookmarkStart w:id="410" w:name="_Toc246996270"/>
      <w:bookmarkStart w:id="411" w:name="_Toc247085785"/>
      <w:bookmarkStart w:id="412" w:name="_Toc246997013"/>
      <w:bookmarkStart w:id="413" w:name="_Toc296602514"/>
      <w:r>
        <w:rPr>
          <w:rFonts w:ascii="宋体" w:hAnsi="宋体"/>
          <w:b/>
        </w:rPr>
        <w:t xml:space="preserve">    2.7 组织交工验收和竣工验收</w:t>
      </w:r>
      <w:bookmarkEnd w:id="410"/>
      <w:bookmarkEnd w:id="411"/>
      <w:bookmarkEnd w:id="412"/>
      <w:bookmarkEnd w:id="413"/>
    </w:p>
    <w:p w14:paraId="7089363C">
      <w:pPr>
        <w:snapToGrid w:val="0"/>
        <w:ind w:left="41" w:leftChars="17" w:firstLine="480" w:firstLineChars="200"/>
        <w:rPr>
          <w:rFonts w:ascii="宋体" w:hAnsi="宋体"/>
        </w:rPr>
      </w:pPr>
      <w:r>
        <w:rPr>
          <w:rFonts w:hint="eastAsia" w:ascii="宋体" w:hAnsi="宋体"/>
        </w:rPr>
        <w:t>发包人应按合同约定及时组织交工验收和竣工验收。</w:t>
      </w:r>
    </w:p>
    <w:p w14:paraId="40131C9B">
      <w:pPr>
        <w:snapToGrid w:val="0"/>
        <w:ind w:left="41" w:leftChars="17"/>
        <w:rPr>
          <w:rFonts w:ascii="宋体" w:hAnsi="宋体"/>
          <w:b/>
        </w:rPr>
      </w:pPr>
      <w:bookmarkStart w:id="414" w:name="_Toc296602515"/>
      <w:bookmarkStart w:id="415" w:name="_Toc247085786"/>
      <w:bookmarkStart w:id="416" w:name="_Toc246996271"/>
      <w:bookmarkStart w:id="417" w:name="_Toc246997014"/>
      <w:r>
        <w:rPr>
          <w:rFonts w:ascii="宋体" w:hAnsi="宋体"/>
          <w:b/>
        </w:rPr>
        <w:t xml:space="preserve">    2.8 其他义务</w:t>
      </w:r>
      <w:bookmarkEnd w:id="414"/>
      <w:bookmarkEnd w:id="415"/>
      <w:bookmarkEnd w:id="416"/>
      <w:bookmarkEnd w:id="417"/>
    </w:p>
    <w:p w14:paraId="656D95BF">
      <w:pPr>
        <w:snapToGrid w:val="0"/>
        <w:ind w:left="41" w:leftChars="17" w:firstLine="480" w:firstLineChars="200"/>
        <w:rPr>
          <w:rFonts w:ascii="宋体" w:hAnsi="宋体"/>
        </w:rPr>
      </w:pPr>
      <w:r>
        <w:rPr>
          <w:rFonts w:hint="eastAsia" w:ascii="宋体" w:hAnsi="宋体"/>
        </w:rPr>
        <w:t>发包人应履行专用合同条款约定的其他义务。</w:t>
      </w:r>
    </w:p>
    <w:p w14:paraId="361BFC59">
      <w:pPr>
        <w:ind w:left="41" w:leftChars="17"/>
        <w:outlineLvl w:val="1"/>
        <w:rPr>
          <w:rFonts w:ascii="宋体" w:hAnsi="宋体"/>
          <w:b/>
          <w:bCs/>
          <w:kern w:val="0"/>
        </w:rPr>
      </w:pPr>
      <w:bookmarkStart w:id="418" w:name="_Toc247085787"/>
      <w:bookmarkStart w:id="419" w:name="_Toc184635100"/>
      <w:bookmarkStart w:id="420" w:name="_Toc27632"/>
      <w:bookmarkStart w:id="421" w:name="_Toc526793374"/>
      <w:bookmarkStart w:id="422" w:name="_Toc489084307"/>
      <w:bookmarkStart w:id="423" w:name="_Toc246997015"/>
      <w:bookmarkStart w:id="424" w:name="_Toc296602516"/>
      <w:bookmarkStart w:id="425" w:name="_Toc439160162"/>
      <w:bookmarkStart w:id="426" w:name="_Toc246996272"/>
      <w:bookmarkStart w:id="427" w:name="_Toc6241359"/>
      <w:bookmarkStart w:id="428" w:name="_Toc410986361"/>
      <w:r>
        <w:rPr>
          <w:rFonts w:ascii="宋体" w:hAnsi="宋体"/>
          <w:b/>
          <w:bCs/>
          <w:kern w:val="0"/>
        </w:rPr>
        <w:t xml:space="preserve">3. </w:t>
      </w:r>
      <w:r>
        <w:rPr>
          <w:rFonts w:hint="eastAsia" w:ascii="宋体" w:hAnsi="宋体"/>
          <w:b/>
          <w:bCs/>
          <w:kern w:val="0"/>
        </w:rPr>
        <w:t>监理人</w:t>
      </w:r>
      <w:bookmarkEnd w:id="418"/>
      <w:bookmarkEnd w:id="419"/>
      <w:bookmarkEnd w:id="420"/>
      <w:bookmarkEnd w:id="421"/>
      <w:bookmarkEnd w:id="422"/>
      <w:bookmarkEnd w:id="423"/>
      <w:bookmarkEnd w:id="424"/>
      <w:bookmarkEnd w:id="425"/>
      <w:bookmarkEnd w:id="426"/>
      <w:bookmarkEnd w:id="427"/>
      <w:bookmarkEnd w:id="428"/>
    </w:p>
    <w:p w14:paraId="7FCBE394">
      <w:pPr>
        <w:snapToGrid w:val="0"/>
        <w:ind w:left="41" w:leftChars="17"/>
        <w:rPr>
          <w:rFonts w:ascii="宋体" w:hAnsi="宋体"/>
          <w:b/>
        </w:rPr>
      </w:pPr>
      <w:bookmarkStart w:id="429" w:name="_Toc296602517"/>
      <w:bookmarkStart w:id="430" w:name="_Toc246996273"/>
      <w:bookmarkStart w:id="431" w:name="_Toc246997016"/>
      <w:bookmarkStart w:id="432" w:name="_Toc247085788"/>
      <w:r>
        <w:rPr>
          <w:rFonts w:ascii="宋体" w:hAnsi="宋体"/>
          <w:b/>
        </w:rPr>
        <w:t xml:space="preserve">    3.1 监理人的职责和权力</w:t>
      </w:r>
      <w:bookmarkEnd w:id="429"/>
      <w:bookmarkEnd w:id="430"/>
      <w:bookmarkEnd w:id="431"/>
      <w:bookmarkEnd w:id="432"/>
    </w:p>
    <w:p w14:paraId="0CFF10FE">
      <w:pPr>
        <w:snapToGrid w:val="0"/>
        <w:ind w:left="41" w:leftChars="17" w:firstLine="480" w:firstLineChars="200"/>
        <w:rPr>
          <w:rFonts w:ascii="宋体" w:hAnsi="宋体"/>
        </w:rPr>
      </w:pPr>
      <w:r>
        <w:rPr>
          <w:rFonts w:ascii="宋体" w:hAnsi="宋体"/>
        </w:rPr>
        <w:t xml:space="preserve">3.1.1 </w:t>
      </w:r>
      <w:r>
        <w:rPr>
          <w:rFonts w:hint="eastAsia" w:ascii="宋体" w:hAnsi="宋体"/>
        </w:rPr>
        <w:t>监理人受发包人委托，享有合同约定的权力，其所发出的任何指示应视为已得到发包人的批准。监理人在行使某项权力前需要经发包人事先批准而通用合同条款没有指明的，应在专用合同条款中指明。未经发包人批准，监理人无权修改合同。</w:t>
      </w:r>
    </w:p>
    <w:p w14:paraId="1B97ED01">
      <w:pPr>
        <w:snapToGrid w:val="0"/>
        <w:ind w:left="41" w:leftChars="17" w:firstLine="480" w:firstLineChars="200"/>
        <w:rPr>
          <w:rFonts w:ascii="宋体" w:hAnsi="宋体"/>
        </w:rPr>
      </w:pPr>
      <w:r>
        <w:rPr>
          <w:rFonts w:ascii="宋体" w:hAnsi="宋体"/>
        </w:rPr>
        <w:t xml:space="preserve">3.1.2 </w:t>
      </w:r>
      <w:r>
        <w:rPr>
          <w:rFonts w:hint="eastAsia" w:ascii="宋体" w:hAnsi="宋体"/>
        </w:rPr>
        <w:t>合同约定应由承包人承担的义务和责任，不因监理人对承包人文件的审查或批准，对工程、材料和工程设备的检查和检验，以及为实施监理作出的指示等职务行为而减轻或解除。</w:t>
      </w:r>
    </w:p>
    <w:p w14:paraId="0F647794">
      <w:pPr>
        <w:snapToGrid w:val="0"/>
        <w:ind w:left="41" w:leftChars="17" w:firstLine="480" w:firstLineChars="200"/>
        <w:rPr>
          <w:rFonts w:ascii="宋体" w:hAnsi="宋体"/>
        </w:rPr>
      </w:pPr>
      <w:r>
        <w:rPr>
          <w:rFonts w:ascii="宋体" w:hAnsi="宋体"/>
        </w:rPr>
        <w:t>3.1.3监理人的具体工作内容见合同附件2。</w:t>
      </w:r>
    </w:p>
    <w:p w14:paraId="470C39CA">
      <w:pPr>
        <w:snapToGrid w:val="0"/>
        <w:ind w:left="41" w:leftChars="17"/>
        <w:rPr>
          <w:rFonts w:ascii="宋体" w:hAnsi="宋体"/>
          <w:b/>
        </w:rPr>
      </w:pPr>
      <w:bookmarkStart w:id="433" w:name="_Toc296602518"/>
      <w:bookmarkStart w:id="434" w:name="_Toc247085789"/>
      <w:bookmarkStart w:id="435" w:name="_Toc246997017"/>
      <w:bookmarkStart w:id="436" w:name="_Toc246996274"/>
      <w:r>
        <w:rPr>
          <w:rFonts w:ascii="宋体" w:hAnsi="宋体"/>
          <w:b/>
        </w:rPr>
        <w:t xml:space="preserve">    3.2 总监理工程师</w:t>
      </w:r>
      <w:bookmarkEnd w:id="433"/>
      <w:bookmarkEnd w:id="434"/>
      <w:bookmarkEnd w:id="435"/>
      <w:bookmarkEnd w:id="436"/>
    </w:p>
    <w:p w14:paraId="14739FB5">
      <w:pPr>
        <w:snapToGrid w:val="0"/>
        <w:ind w:left="41" w:leftChars="17" w:firstLine="480" w:firstLineChars="200"/>
        <w:rPr>
          <w:rFonts w:ascii="宋体" w:hAnsi="宋体"/>
        </w:rPr>
      </w:pPr>
      <w:r>
        <w:rPr>
          <w:rFonts w:hint="eastAsia" w:ascii="宋体" w:hAnsi="宋体"/>
        </w:rPr>
        <w:t>发包人应及时将总监理工程师的任命通知承包人。总监理工程师更换时，应提前</w:t>
      </w:r>
      <w:r>
        <w:rPr>
          <w:rFonts w:ascii="宋体" w:hAnsi="宋体"/>
        </w:rPr>
        <w:t xml:space="preserve">14 </w:t>
      </w:r>
      <w:r>
        <w:rPr>
          <w:rFonts w:hint="eastAsia" w:ascii="宋体" w:hAnsi="宋体"/>
        </w:rPr>
        <w:t>天通知承包人。总监理工程师超过</w:t>
      </w:r>
      <w:r>
        <w:rPr>
          <w:rFonts w:ascii="宋体" w:hAnsi="宋体"/>
        </w:rPr>
        <w:t>2天不能履行职责的，应委派代表代行其职责，并通知承包人。</w:t>
      </w:r>
    </w:p>
    <w:p w14:paraId="4A831810">
      <w:pPr>
        <w:snapToGrid w:val="0"/>
        <w:ind w:left="41" w:leftChars="17"/>
        <w:rPr>
          <w:rFonts w:ascii="宋体" w:hAnsi="宋体"/>
          <w:b/>
        </w:rPr>
      </w:pPr>
      <w:bookmarkStart w:id="437" w:name="_Toc246997018"/>
      <w:bookmarkStart w:id="438" w:name="_Toc296602519"/>
      <w:bookmarkStart w:id="439" w:name="_Toc246996275"/>
      <w:bookmarkStart w:id="440" w:name="_Toc247085790"/>
      <w:r>
        <w:rPr>
          <w:rFonts w:ascii="宋体" w:hAnsi="宋体"/>
          <w:b/>
        </w:rPr>
        <w:t xml:space="preserve">    3.3 监理人员</w:t>
      </w:r>
      <w:bookmarkEnd w:id="437"/>
      <w:bookmarkEnd w:id="438"/>
      <w:bookmarkEnd w:id="439"/>
      <w:bookmarkEnd w:id="440"/>
    </w:p>
    <w:p w14:paraId="6700163D">
      <w:pPr>
        <w:snapToGrid w:val="0"/>
        <w:ind w:left="41" w:leftChars="17" w:firstLine="480" w:firstLineChars="200"/>
        <w:rPr>
          <w:rFonts w:ascii="宋体" w:hAnsi="宋体"/>
        </w:rPr>
      </w:pPr>
      <w:r>
        <w:rPr>
          <w:rFonts w:ascii="宋体" w:hAnsi="宋体"/>
        </w:rPr>
        <w:t xml:space="preserve">3.3.1 </w:t>
      </w:r>
      <w:r>
        <w:rPr>
          <w:rFonts w:hint="eastAsia" w:ascii="宋体" w:hAnsi="宋体"/>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发包人和承包人。</w:t>
      </w:r>
    </w:p>
    <w:p w14:paraId="0CD3AB4A">
      <w:pPr>
        <w:snapToGrid w:val="0"/>
        <w:ind w:left="41" w:leftChars="17" w:firstLine="480" w:firstLineChars="200"/>
        <w:rPr>
          <w:rFonts w:ascii="宋体" w:hAnsi="宋体"/>
        </w:rPr>
      </w:pPr>
      <w:r>
        <w:rPr>
          <w:rFonts w:ascii="宋体" w:hAnsi="宋体"/>
        </w:rPr>
        <w:t>3.3.2监理人员对承包人文件、工程或其采用的材料和工程设备未在约定的或合理的期限内提出否定意见的，视为已获批准，但不影响监理人在以后拒绝该项工作、工程、材料或工程设备的权利，监理人的拒绝应当符合法律规定和合同约定。</w:t>
      </w:r>
    </w:p>
    <w:p w14:paraId="3BABF906">
      <w:pPr>
        <w:snapToGrid w:val="0"/>
        <w:ind w:left="41" w:leftChars="17" w:firstLine="480" w:firstLineChars="200"/>
        <w:rPr>
          <w:rFonts w:ascii="宋体" w:hAnsi="宋体"/>
        </w:rPr>
      </w:pPr>
      <w:r>
        <w:rPr>
          <w:rFonts w:ascii="宋体" w:hAnsi="宋体"/>
        </w:rPr>
        <w:t xml:space="preserve">3.3.3 </w:t>
      </w:r>
      <w:r>
        <w:rPr>
          <w:rFonts w:hint="eastAsia" w:ascii="宋体" w:hAnsi="宋体"/>
        </w:rPr>
        <w:t>承包人对总监理工程师授权的监理人员发出的指示有疑问的，可在该指示发出的</w:t>
      </w:r>
      <w:r>
        <w:rPr>
          <w:rFonts w:ascii="宋体" w:hAnsi="宋体"/>
        </w:rPr>
        <w:t>48小时内向总监理工程师提出书面异议，总监理工程师应在48小时内对该指示予以确认、更改或撤销。</w:t>
      </w:r>
    </w:p>
    <w:p w14:paraId="2443B5AC">
      <w:pPr>
        <w:snapToGrid w:val="0"/>
        <w:ind w:left="41" w:leftChars="17"/>
        <w:rPr>
          <w:rFonts w:ascii="宋体" w:hAnsi="宋体"/>
          <w:b/>
        </w:rPr>
      </w:pPr>
      <w:bookmarkStart w:id="441" w:name="_Toc247085791"/>
      <w:bookmarkStart w:id="442" w:name="_Toc246996276"/>
      <w:bookmarkStart w:id="443" w:name="_Toc246997019"/>
      <w:bookmarkStart w:id="444" w:name="_Toc296602520"/>
      <w:r>
        <w:rPr>
          <w:rFonts w:ascii="宋体" w:hAnsi="宋体"/>
          <w:b/>
        </w:rPr>
        <w:t xml:space="preserve">    3.4 监理人的指示</w:t>
      </w:r>
      <w:bookmarkEnd w:id="441"/>
      <w:bookmarkEnd w:id="442"/>
      <w:bookmarkEnd w:id="443"/>
      <w:bookmarkEnd w:id="444"/>
    </w:p>
    <w:p w14:paraId="09CCE639">
      <w:pPr>
        <w:snapToGrid w:val="0"/>
        <w:ind w:left="41" w:leftChars="17" w:firstLine="480" w:firstLineChars="200"/>
        <w:rPr>
          <w:rFonts w:ascii="宋体" w:hAnsi="宋体"/>
        </w:rPr>
      </w:pPr>
      <w:r>
        <w:rPr>
          <w:rFonts w:ascii="宋体" w:hAnsi="宋体"/>
        </w:rPr>
        <w:t xml:space="preserve">3.4.1 </w:t>
      </w:r>
      <w:r>
        <w:rPr>
          <w:rFonts w:hint="eastAsia" w:ascii="宋体" w:hAnsi="宋体"/>
        </w:rPr>
        <w:t>监理人应按第</w:t>
      </w:r>
      <w:r>
        <w:rPr>
          <w:rFonts w:ascii="宋体" w:hAnsi="宋体"/>
        </w:rPr>
        <w:t xml:space="preserve">3.1 </w:t>
      </w:r>
      <w:r>
        <w:rPr>
          <w:rFonts w:hint="eastAsia" w:ascii="宋体" w:hAnsi="宋体"/>
        </w:rPr>
        <w:t>款的约定向承包人发出指示，监理人的指示应盖有监理人授权的施工场地管理机构章，并由总监理工程师或总监理工程师按第</w:t>
      </w:r>
      <w:r>
        <w:rPr>
          <w:rFonts w:ascii="宋体" w:hAnsi="宋体"/>
        </w:rPr>
        <w:t xml:space="preserve">3.3.1 </w:t>
      </w:r>
      <w:r>
        <w:rPr>
          <w:rFonts w:hint="eastAsia" w:ascii="宋体" w:hAnsi="宋体"/>
        </w:rPr>
        <w:t>项约定授权的监理人员签字。</w:t>
      </w:r>
    </w:p>
    <w:p w14:paraId="25558D79">
      <w:pPr>
        <w:snapToGrid w:val="0"/>
        <w:ind w:left="41" w:leftChars="17" w:firstLine="480" w:firstLineChars="200"/>
        <w:rPr>
          <w:rFonts w:ascii="宋体" w:hAnsi="宋体"/>
        </w:rPr>
      </w:pPr>
      <w:r>
        <w:rPr>
          <w:rFonts w:ascii="宋体" w:hAnsi="宋体"/>
        </w:rPr>
        <w:t xml:space="preserve">3.4.2 </w:t>
      </w:r>
      <w:r>
        <w:rPr>
          <w:rFonts w:hint="eastAsia" w:ascii="宋体" w:hAnsi="宋体"/>
        </w:rPr>
        <w:t>承包人收到监理人按第</w:t>
      </w:r>
      <w:r>
        <w:rPr>
          <w:rFonts w:ascii="宋体" w:hAnsi="宋体"/>
        </w:rPr>
        <w:t xml:space="preserve">3.4.1 </w:t>
      </w:r>
      <w:r>
        <w:rPr>
          <w:rFonts w:hint="eastAsia" w:ascii="宋体" w:hAnsi="宋体"/>
        </w:rPr>
        <w:t>项作出的指示后应遵照执行。指示构成变更的，应按第</w:t>
      </w:r>
      <w:r>
        <w:rPr>
          <w:rFonts w:ascii="宋体" w:hAnsi="宋体"/>
        </w:rPr>
        <w:t>11条处理。</w:t>
      </w:r>
    </w:p>
    <w:p w14:paraId="75FE88DB">
      <w:pPr>
        <w:snapToGrid w:val="0"/>
        <w:ind w:left="41" w:leftChars="17" w:firstLine="480" w:firstLineChars="200"/>
        <w:rPr>
          <w:rFonts w:ascii="宋体" w:hAnsi="宋体"/>
        </w:rPr>
      </w:pPr>
      <w:r>
        <w:rPr>
          <w:rFonts w:ascii="宋体" w:hAnsi="宋体"/>
        </w:rPr>
        <w:t xml:space="preserve">3.4.3 </w:t>
      </w:r>
      <w:r>
        <w:rPr>
          <w:rFonts w:hint="eastAsia" w:ascii="宋体" w:hAnsi="宋体"/>
        </w:rPr>
        <w:t>在紧急情况下，总监理工程师或被授权的监理人员可以当场签发临时书面指示，承包人应遵照执行。承包人应在收到上述临时书面指示后</w:t>
      </w:r>
      <w:r>
        <w:rPr>
          <w:rFonts w:ascii="宋体" w:hAnsi="宋体"/>
        </w:rPr>
        <w:t>24小时内，向监理人发出书面确认函。监理人在收到书面确认函后24小时内未予答复的，该书面确认函应被视为监理人的正式指示。</w:t>
      </w:r>
    </w:p>
    <w:p w14:paraId="5773603A">
      <w:pPr>
        <w:snapToGrid w:val="0"/>
        <w:ind w:left="41" w:leftChars="17" w:firstLine="480" w:firstLineChars="200"/>
        <w:rPr>
          <w:rFonts w:ascii="宋体" w:hAnsi="宋体"/>
        </w:rPr>
      </w:pPr>
      <w:r>
        <w:rPr>
          <w:rFonts w:ascii="宋体" w:hAnsi="宋体"/>
        </w:rPr>
        <w:t xml:space="preserve">3.4.4 </w:t>
      </w:r>
      <w:r>
        <w:rPr>
          <w:rFonts w:hint="eastAsia" w:ascii="宋体" w:hAnsi="宋体"/>
        </w:rPr>
        <w:t>除专用合同条款另有约定外，承包人只从总监理工程师或按第</w:t>
      </w:r>
      <w:r>
        <w:rPr>
          <w:rFonts w:ascii="宋体" w:hAnsi="宋体"/>
        </w:rPr>
        <w:t xml:space="preserve">3.3.1 </w:t>
      </w:r>
      <w:r>
        <w:rPr>
          <w:rFonts w:hint="eastAsia" w:ascii="宋体" w:hAnsi="宋体"/>
        </w:rPr>
        <w:t>项被授权的监理人员处取得指示。</w:t>
      </w:r>
    </w:p>
    <w:p w14:paraId="525048AC">
      <w:pPr>
        <w:snapToGrid w:val="0"/>
        <w:ind w:left="41" w:leftChars="17" w:firstLine="480" w:firstLineChars="200"/>
        <w:rPr>
          <w:rFonts w:ascii="宋体" w:hAnsi="宋体"/>
        </w:rPr>
      </w:pPr>
      <w:r>
        <w:rPr>
          <w:rFonts w:ascii="宋体" w:hAnsi="宋体"/>
        </w:rPr>
        <w:t xml:space="preserve">3.4.5 </w:t>
      </w:r>
      <w:r>
        <w:rPr>
          <w:rFonts w:hint="eastAsia" w:ascii="宋体" w:hAnsi="宋体"/>
        </w:rPr>
        <w:t>由于监理人未能按合同约定发出指示、指示延误或指示错误而导致承包人费用增加和（或）工期延误的，由发包人承担赔偿责任。</w:t>
      </w:r>
    </w:p>
    <w:p w14:paraId="7FAB1E0F">
      <w:pPr>
        <w:snapToGrid w:val="0"/>
        <w:ind w:left="41" w:leftChars="17"/>
        <w:rPr>
          <w:rFonts w:ascii="宋体" w:hAnsi="宋体"/>
          <w:b/>
        </w:rPr>
      </w:pPr>
      <w:bookmarkStart w:id="445" w:name="_Toc300835061"/>
      <w:bookmarkStart w:id="446" w:name="_Toc247527664"/>
      <w:bookmarkStart w:id="447" w:name="_Toc247514063"/>
      <w:r>
        <w:rPr>
          <w:rFonts w:ascii="宋体" w:hAnsi="宋体"/>
          <w:b/>
        </w:rPr>
        <w:t xml:space="preserve">3.5 </w:t>
      </w:r>
      <w:r>
        <w:rPr>
          <w:rFonts w:hint="eastAsia" w:ascii="宋体" w:hAnsi="宋体"/>
          <w:b/>
        </w:rPr>
        <w:t>商定或确定</w:t>
      </w:r>
      <w:bookmarkEnd w:id="445"/>
      <w:bookmarkEnd w:id="446"/>
      <w:bookmarkEnd w:id="447"/>
    </w:p>
    <w:p w14:paraId="004B31AC">
      <w:pPr>
        <w:snapToGrid w:val="0"/>
        <w:ind w:left="41" w:leftChars="17" w:firstLine="480" w:firstLineChars="200"/>
        <w:rPr>
          <w:rFonts w:ascii="宋体" w:hAnsi="宋体"/>
        </w:rPr>
      </w:pPr>
      <w:r>
        <w:rPr>
          <w:rFonts w:ascii="宋体" w:hAnsi="宋体"/>
        </w:rPr>
        <w:t>3.5.1</w:t>
      </w:r>
      <w:r>
        <w:rPr>
          <w:rFonts w:hint="eastAsia" w:ascii="宋体" w:hAnsi="宋体"/>
        </w:rPr>
        <w:t>总监理工程师应按照合同约定对有关事项进行商定或确定时，总监理工程师应与合同当事人协商，尽量达成一致。不能达成一致的，总监理工程师应提出建议，报送发包人确定。</w:t>
      </w:r>
    </w:p>
    <w:p w14:paraId="617CB9FC">
      <w:pPr>
        <w:snapToGrid w:val="0"/>
        <w:ind w:left="41" w:leftChars="17" w:firstLine="480" w:firstLineChars="200"/>
        <w:rPr>
          <w:rFonts w:ascii="宋体" w:hAnsi="宋体"/>
        </w:rPr>
      </w:pPr>
      <w:r>
        <w:rPr>
          <w:rFonts w:ascii="宋体" w:hAnsi="宋体"/>
        </w:rPr>
        <w:t xml:space="preserve">3.5.2 </w:t>
      </w:r>
      <w:r>
        <w:rPr>
          <w:rFonts w:hint="eastAsia" w:ascii="宋体" w:hAnsi="宋体"/>
        </w:rPr>
        <w:t>总监理工程师应将商定或确定的事项通知合同当事人，并附详细依据。承包人对总监理工程师的确定有异议的，构成争议，在争议解决前，应暂按总监理工程师的确定执行。</w:t>
      </w:r>
    </w:p>
    <w:p w14:paraId="3B56FCA1">
      <w:pPr>
        <w:ind w:left="41" w:leftChars="17"/>
        <w:outlineLvl w:val="1"/>
        <w:rPr>
          <w:rFonts w:ascii="宋体" w:hAnsi="宋体"/>
          <w:b/>
          <w:bCs/>
          <w:kern w:val="0"/>
        </w:rPr>
      </w:pPr>
      <w:bookmarkStart w:id="448" w:name="_Toc410986362"/>
      <w:bookmarkStart w:id="449" w:name="_Toc526793375"/>
      <w:bookmarkStart w:id="450" w:name="_Toc6241360"/>
      <w:bookmarkStart w:id="451" w:name="_Toc439160163"/>
      <w:bookmarkStart w:id="452" w:name="_Toc247085793"/>
      <w:bookmarkStart w:id="453" w:name="_Toc296602522"/>
      <w:bookmarkStart w:id="454" w:name="_Toc246997021"/>
      <w:bookmarkStart w:id="455" w:name="_Toc246996278"/>
      <w:bookmarkStart w:id="456" w:name="_Toc184635101"/>
      <w:bookmarkStart w:id="457" w:name="_Toc27343"/>
      <w:bookmarkStart w:id="458" w:name="_Toc489084308"/>
      <w:r>
        <w:rPr>
          <w:rFonts w:ascii="宋体" w:hAnsi="宋体"/>
          <w:b/>
          <w:bCs/>
          <w:kern w:val="0"/>
        </w:rPr>
        <w:t xml:space="preserve">4. </w:t>
      </w:r>
      <w:r>
        <w:rPr>
          <w:rFonts w:hint="eastAsia" w:ascii="宋体" w:hAnsi="宋体"/>
          <w:b/>
          <w:bCs/>
          <w:kern w:val="0"/>
        </w:rPr>
        <w:t>承包人</w:t>
      </w:r>
      <w:bookmarkEnd w:id="448"/>
      <w:bookmarkEnd w:id="449"/>
      <w:bookmarkEnd w:id="450"/>
      <w:bookmarkEnd w:id="451"/>
      <w:bookmarkEnd w:id="452"/>
      <w:bookmarkEnd w:id="453"/>
      <w:bookmarkEnd w:id="454"/>
      <w:bookmarkEnd w:id="455"/>
      <w:bookmarkEnd w:id="456"/>
      <w:bookmarkEnd w:id="457"/>
      <w:bookmarkEnd w:id="458"/>
    </w:p>
    <w:p w14:paraId="48506EA5">
      <w:pPr>
        <w:snapToGrid w:val="0"/>
        <w:ind w:left="41" w:leftChars="17"/>
        <w:rPr>
          <w:rFonts w:ascii="宋体" w:hAnsi="宋体"/>
          <w:b/>
        </w:rPr>
      </w:pPr>
      <w:bookmarkStart w:id="459" w:name="_Toc296602523"/>
      <w:bookmarkStart w:id="460" w:name="_Toc247085794"/>
      <w:bookmarkStart w:id="461" w:name="_Toc246996279"/>
      <w:bookmarkStart w:id="462" w:name="_Toc246997022"/>
      <w:r>
        <w:rPr>
          <w:rFonts w:ascii="宋体" w:hAnsi="宋体"/>
          <w:b/>
        </w:rPr>
        <w:t xml:space="preserve">    4.1 承包人的一般义务</w:t>
      </w:r>
      <w:bookmarkEnd w:id="459"/>
      <w:bookmarkEnd w:id="460"/>
      <w:bookmarkEnd w:id="461"/>
      <w:bookmarkEnd w:id="462"/>
    </w:p>
    <w:p w14:paraId="1DF0FB89">
      <w:pPr>
        <w:snapToGrid w:val="0"/>
        <w:ind w:left="41" w:leftChars="17" w:firstLine="480" w:firstLineChars="200"/>
        <w:rPr>
          <w:rFonts w:ascii="宋体" w:hAnsi="宋体"/>
        </w:rPr>
      </w:pPr>
      <w:r>
        <w:rPr>
          <w:rFonts w:ascii="宋体" w:hAnsi="宋体"/>
        </w:rPr>
        <w:t>4.1.1 承包人应按合同约定组建项目经理部，项目经理部人员配置见合同附件3。</w:t>
      </w:r>
    </w:p>
    <w:p w14:paraId="7FE361AA">
      <w:pPr>
        <w:snapToGrid w:val="0"/>
        <w:ind w:left="41" w:leftChars="17" w:firstLine="480" w:firstLineChars="200"/>
        <w:rPr>
          <w:rFonts w:ascii="宋体" w:hAnsi="宋体"/>
        </w:rPr>
      </w:pPr>
      <w:r>
        <w:rPr>
          <w:rFonts w:ascii="宋体" w:hAnsi="宋体"/>
        </w:rPr>
        <w:t xml:space="preserve">4.1.2 </w:t>
      </w:r>
      <w:r>
        <w:rPr>
          <w:rFonts w:hint="eastAsia" w:ascii="宋体" w:hAnsi="宋体"/>
        </w:rPr>
        <w:t>承包人应按合同约定以及监理人根据第</w:t>
      </w:r>
      <w:r>
        <w:rPr>
          <w:rFonts w:ascii="宋体" w:hAnsi="宋体"/>
        </w:rPr>
        <w:t xml:space="preserve">3.4 </w:t>
      </w:r>
      <w:r>
        <w:rPr>
          <w:rFonts w:hint="eastAsia" w:ascii="宋体" w:hAnsi="宋体"/>
        </w:rPr>
        <w:t>款作出的指示，实施、完成全部工程，并修补工程中的任何缺陷。</w:t>
      </w:r>
    </w:p>
    <w:p w14:paraId="22B435F2">
      <w:pPr>
        <w:snapToGrid w:val="0"/>
        <w:ind w:left="41" w:leftChars="17" w:firstLine="480" w:firstLineChars="200"/>
        <w:rPr>
          <w:rFonts w:ascii="宋体" w:hAnsi="宋体"/>
        </w:rPr>
      </w:pPr>
      <w:r>
        <w:rPr>
          <w:rFonts w:ascii="宋体" w:hAnsi="宋体"/>
        </w:rPr>
        <w:t>4.1.3 除</w:t>
      </w:r>
      <w:r>
        <w:rPr>
          <w:rFonts w:hint="eastAsia" w:ascii="宋体" w:hAnsi="宋体"/>
        </w:rPr>
        <w:t>专用合同条款</w:t>
      </w:r>
      <w:r>
        <w:rPr>
          <w:rFonts w:ascii="宋体" w:hAnsi="宋体"/>
        </w:rPr>
        <w:t>另有约定外，承包人应提供为按照合同完成工程所需的</w:t>
      </w:r>
      <w:r>
        <w:rPr>
          <w:rFonts w:hint="eastAsia" w:ascii="宋体" w:hAnsi="宋体"/>
        </w:rPr>
        <w:t>劳务、</w:t>
      </w:r>
      <w:r>
        <w:rPr>
          <w:rFonts w:ascii="宋体" w:hAnsi="宋体"/>
        </w:rPr>
        <w:t>材料、</w:t>
      </w:r>
      <w:r>
        <w:rPr>
          <w:rFonts w:hint="eastAsia" w:ascii="宋体" w:hAnsi="宋体"/>
        </w:rPr>
        <w:t>施工设备、</w:t>
      </w:r>
      <w:r>
        <w:rPr>
          <w:rFonts w:ascii="宋体" w:hAnsi="宋体"/>
        </w:rPr>
        <w:t>工程设备</w:t>
      </w:r>
      <w:r>
        <w:rPr>
          <w:rFonts w:hint="eastAsia" w:ascii="宋体" w:hAnsi="宋体"/>
        </w:rPr>
        <w:t>和其他物品，</w:t>
      </w:r>
      <w:r>
        <w:rPr>
          <w:rFonts w:ascii="宋体" w:hAnsi="宋体"/>
        </w:rPr>
        <w:t>以及</w:t>
      </w:r>
      <w:r>
        <w:rPr>
          <w:rFonts w:hint="eastAsia" w:ascii="宋体" w:hAnsi="宋体"/>
        </w:rPr>
        <w:t>按合同约定的</w:t>
      </w:r>
      <w:r>
        <w:rPr>
          <w:rFonts w:ascii="宋体" w:hAnsi="宋体"/>
        </w:rPr>
        <w:t>临时设施等</w:t>
      </w:r>
      <w:r>
        <w:rPr>
          <w:rFonts w:hint="eastAsia" w:ascii="宋体" w:hAnsi="宋体"/>
        </w:rPr>
        <w:t>；</w:t>
      </w:r>
    </w:p>
    <w:p w14:paraId="2E0E6CA2">
      <w:pPr>
        <w:snapToGrid w:val="0"/>
        <w:ind w:left="41" w:leftChars="17" w:firstLine="480" w:firstLineChars="200"/>
        <w:rPr>
          <w:rFonts w:ascii="宋体" w:hAnsi="宋体"/>
        </w:rPr>
      </w:pPr>
      <w:r>
        <w:rPr>
          <w:rFonts w:ascii="宋体" w:hAnsi="宋体"/>
        </w:rPr>
        <w:t>4.1.4 承包人应对所有</w:t>
      </w:r>
      <w:r>
        <w:rPr>
          <w:rFonts w:hint="eastAsia" w:ascii="宋体" w:hAnsi="宋体"/>
        </w:rPr>
        <w:t>的</w:t>
      </w:r>
      <w:r>
        <w:rPr>
          <w:rFonts w:ascii="宋体" w:hAnsi="宋体"/>
        </w:rPr>
        <w:t>现场作业、施工方法和全部工程的完备性、稳定性和安全性负责。</w:t>
      </w:r>
    </w:p>
    <w:p w14:paraId="7C931285">
      <w:pPr>
        <w:snapToGrid w:val="0"/>
        <w:ind w:left="41" w:leftChars="17" w:firstLine="480" w:firstLineChars="200"/>
        <w:rPr>
          <w:rFonts w:ascii="宋体" w:hAnsi="宋体"/>
          <w:kern w:val="0"/>
        </w:rPr>
      </w:pPr>
      <w:r>
        <w:rPr>
          <w:rFonts w:ascii="宋体" w:hAnsi="宋体"/>
        </w:rPr>
        <w:t xml:space="preserve">4.1.5 </w:t>
      </w:r>
      <w:r>
        <w:rPr>
          <w:rFonts w:hint="eastAsia" w:ascii="宋体" w:hAnsi="宋体"/>
        </w:rPr>
        <w:t>承包人应按照法律规定和合同约定，负责施工场地及其周边环境与生态的保护工作。</w:t>
      </w:r>
    </w:p>
    <w:p w14:paraId="23FA8AF9">
      <w:pPr>
        <w:snapToGrid w:val="0"/>
        <w:ind w:left="41" w:leftChars="17" w:firstLine="480" w:firstLineChars="200"/>
        <w:rPr>
          <w:rFonts w:ascii="宋体" w:hAnsi="宋体"/>
          <w:kern w:val="0"/>
        </w:rPr>
      </w:pPr>
      <w:r>
        <w:rPr>
          <w:rFonts w:ascii="宋体" w:hAnsi="宋体"/>
        </w:rPr>
        <w:t xml:space="preserve">4.1.6 </w:t>
      </w:r>
      <w:r>
        <w:rPr>
          <w:rFonts w:hint="eastAsia" w:ascii="宋体" w:hAnsi="宋体"/>
        </w:rPr>
        <w:t>承包人</w:t>
      </w:r>
      <w:r>
        <w:rPr>
          <w:rFonts w:hint="eastAsia" w:ascii="宋体" w:hAnsi="宋体"/>
          <w:kern w:val="0"/>
        </w:rPr>
        <w:t>有责任教育工人严格执行操作规程、安全施工、防火防盗。严格执行各级政府部门有关安全方面的法律、法令、法规和规章。</w:t>
      </w:r>
    </w:p>
    <w:p w14:paraId="5FA11D3A">
      <w:pPr>
        <w:snapToGrid w:val="0"/>
        <w:ind w:left="41" w:leftChars="17" w:firstLine="480" w:firstLineChars="200"/>
        <w:rPr>
          <w:rFonts w:ascii="宋体" w:hAnsi="宋体"/>
        </w:rPr>
      </w:pPr>
      <w:r>
        <w:rPr>
          <w:rFonts w:ascii="宋体" w:hAnsi="宋体"/>
        </w:rPr>
        <w:t xml:space="preserve">4.1.7 </w:t>
      </w:r>
      <w:r>
        <w:rPr>
          <w:rFonts w:hint="eastAsia" w:ascii="宋体" w:hAnsi="宋体"/>
        </w:rPr>
        <w:t>工程交工证书颁发前，承包人应负责照管和维护工程。工程交工证书颁发时尚有部分未竣工工程的，承包人还应负责该未竣工工程的照管和维护工作，直至交工后移交给发包人为止。</w:t>
      </w:r>
    </w:p>
    <w:p w14:paraId="40966080">
      <w:pPr>
        <w:snapToGrid w:val="0"/>
        <w:ind w:left="41" w:leftChars="17" w:firstLine="480" w:firstLineChars="200"/>
        <w:rPr>
          <w:rFonts w:ascii="宋体" w:hAnsi="宋体"/>
        </w:rPr>
      </w:pPr>
      <w:r>
        <w:rPr>
          <w:rFonts w:ascii="宋体" w:hAnsi="宋体"/>
        </w:rPr>
        <w:t xml:space="preserve">4.1.8 </w:t>
      </w:r>
      <w:r>
        <w:rPr>
          <w:rFonts w:hint="eastAsia" w:ascii="宋体" w:hAnsi="宋体"/>
        </w:rPr>
        <w:t>承包人应履行专用合同条款约定的其他义务。</w:t>
      </w:r>
    </w:p>
    <w:p w14:paraId="66FEF945">
      <w:pPr>
        <w:snapToGrid w:val="0"/>
        <w:ind w:left="41" w:leftChars="17"/>
        <w:rPr>
          <w:rFonts w:ascii="宋体" w:hAnsi="宋体"/>
          <w:b/>
        </w:rPr>
      </w:pPr>
      <w:bookmarkStart w:id="463" w:name="_Toc296602524"/>
      <w:bookmarkStart w:id="464" w:name="_Toc246996280"/>
      <w:bookmarkStart w:id="465" w:name="_Toc246997023"/>
      <w:bookmarkStart w:id="466" w:name="_Toc247085795"/>
      <w:r>
        <w:rPr>
          <w:rFonts w:ascii="宋体" w:hAnsi="宋体"/>
          <w:b/>
        </w:rPr>
        <w:t xml:space="preserve">    4.2 履约担保</w:t>
      </w:r>
      <w:bookmarkEnd w:id="463"/>
      <w:bookmarkEnd w:id="464"/>
      <w:bookmarkEnd w:id="465"/>
      <w:bookmarkEnd w:id="466"/>
    </w:p>
    <w:p w14:paraId="58DDB74D">
      <w:pPr>
        <w:snapToGrid w:val="0"/>
        <w:ind w:left="41" w:leftChars="17" w:firstLine="480" w:firstLineChars="200"/>
        <w:rPr>
          <w:rFonts w:ascii="宋体" w:hAnsi="宋体"/>
        </w:rPr>
      </w:pPr>
      <w:bookmarkStart w:id="467" w:name="_Toc246997025"/>
      <w:bookmarkStart w:id="468" w:name="_Toc247085797"/>
      <w:bookmarkStart w:id="469" w:name="_Toc246996282"/>
      <w:bookmarkStart w:id="470" w:name="_Toc296602525"/>
      <w:r>
        <w:rPr>
          <w:rFonts w:ascii="宋体" w:hAnsi="宋体"/>
        </w:rPr>
        <w:t>4.2.1发包人需要承包人提供履约担保的，应采用银行</w:t>
      </w:r>
      <w:r>
        <w:rPr>
          <w:rFonts w:hint="eastAsia" w:ascii="宋体" w:hAnsi="宋体"/>
        </w:rPr>
        <w:t>履约</w:t>
      </w:r>
      <w:r>
        <w:rPr>
          <w:rFonts w:ascii="宋体" w:hAnsi="宋体"/>
        </w:rPr>
        <w:t>保函</w:t>
      </w:r>
      <w:r>
        <w:rPr>
          <w:rFonts w:hint="eastAsia" w:ascii="宋体" w:hAnsi="宋体"/>
        </w:rPr>
        <w:t>的</w:t>
      </w:r>
      <w:r>
        <w:rPr>
          <w:rFonts w:ascii="宋体" w:hAnsi="宋体"/>
        </w:rPr>
        <w:t>形式</w:t>
      </w:r>
      <w:r>
        <w:rPr>
          <w:rFonts w:hint="eastAsia" w:ascii="宋体" w:hAnsi="宋体"/>
        </w:rPr>
        <w:t>，履约担保的金额及期限在专用合同条款中约定。</w:t>
      </w:r>
    </w:p>
    <w:p w14:paraId="60939F67">
      <w:pPr>
        <w:snapToGrid w:val="0"/>
        <w:ind w:left="41" w:leftChars="17" w:firstLine="480" w:firstLineChars="200"/>
        <w:rPr>
          <w:rFonts w:ascii="宋体" w:hAnsi="宋体"/>
        </w:rPr>
      </w:pPr>
      <w:r>
        <w:rPr>
          <w:rFonts w:ascii="宋体" w:hAnsi="宋体"/>
        </w:rPr>
        <w:t>4.2.2承包人应保证其履约担保在发包人颁发交工证书前一直有效。发包人应在交工证书颁发后28天内把履约担保退还给承包人。</w:t>
      </w:r>
    </w:p>
    <w:p w14:paraId="534FCE6A">
      <w:pPr>
        <w:snapToGrid w:val="0"/>
        <w:ind w:left="41" w:leftChars="17" w:firstLine="480" w:firstLineChars="200"/>
        <w:rPr>
          <w:rFonts w:ascii="宋体" w:hAnsi="宋体"/>
        </w:rPr>
      </w:pPr>
      <w:r>
        <w:rPr>
          <w:rFonts w:ascii="宋体" w:hAnsi="宋体"/>
        </w:rPr>
        <w:t>4.2.3如工程延期，承包人有义务继续提供履约担保。由于发包人原因导致延期的，继续提供履约担保所需的费用由发包人承担；由于承包人原因导致延期的，继续提供履约担保所需费用由承包人承担。</w:t>
      </w:r>
    </w:p>
    <w:p w14:paraId="4196EC9A">
      <w:pPr>
        <w:snapToGrid w:val="0"/>
        <w:ind w:left="41" w:leftChars="17"/>
        <w:rPr>
          <w:rFonts w:ascii="宋体" w:hAnsi="宋体"/>
          <w:b/>
        </w:rPr>
      </w:pPr>
      <w:r>
        <w:rPr>
          <w:rFonts w:ascii="宋体" w:hAnsi="宋体"/>
          <w:b/>
        </w:rPr>
        <w:t xml:space="preserve">    4.3 承包人项目经理</w:t>
      </w:r>
      <w:bookmarkEnd w:id="467"/>
      <w:bookmarkEnd w:id="468"/>
      <w:bookmarkEnd w:id="469"/>
      <w:bookmarkEnd w:id="470"/>
    </w:p>
    <w:p w14:paraId="303912AA">
      <w:pPr>
        <w:snapToGrid w:val="0"/>
        <w:ind w:left="41" w:leftChars="17" w:firstLine="480" w:firstLineChars="200"/>
        <w:rPr>
          <w:rFonts w:ascii="宋体" w:hAnsi="宋体"/>
        </w:rPr>
      </w:pPr>
      <w:r>
        <w:rPr>
          <w:rFonts w:ascii="宋体" w:hAnsi="宋体"/>
        </w:rPr>
        <w:t>4.3.</w:t>
      </w:r>
      <w:r>
        <w:rPr>
          <w:rFonts w:ascii="宋体" w:hAnsi="宋体"/>
          <w:kern w:val="0"/>
        </w:rPr>
        <w:t>1</w:t>
      </w:r>
      <w:r>
        <w:rPr>
          <w:rFonts w:hint="eastAsia" w:ascii="宋体" w:hAnsi="宋体"/>
        </w:rPr>
        <w:t>承包人应按合同约定指派项目经理，并在约定的期限内到职。承包人项目经理应按合同约定以及监理人按第</w:t>
      </w:r>
      <w:r>
        <w:rPr>
          <w:rFonts w:ascii="宋体" w:hAnsi="宋体"/>
        </w:rPr>
        <w:t>3.4款作出的指示，负责组织合同工程的实施。承包人为履行合同发出的一切函件均应盖有承包人授权的施工项目管理机构章，并由承包人项目经理签字。</w:t>
      </w:r>
    </w:p>
    <w:p w14:paraId="4B47F2FC">
      <w:pPr>
        <w:snapToGrid w:val="0"/>
        <w:ind w:left="41" w:leftChars="17" w:firstLine="480" w:firstLineChars="200"/>
        <w:rPr>
          <w:rFonts w:ascii="宋体" w:hAnsi="宋体"/>
        </w:rPr>
      </w:pPr>
      <w:r>
        <w:rPr>
          <w:rFonts w:ascii="宋体" w:hAnsi="宋体"/>
        </w:rPr>
        <w:t>4.3.2项目经理应由承包人法定代表人任命，并根据法定代表人授权的范围、期限和内容，履行管理职责，并对项目实施全过程、全面管理。</w:t>
      </w:r>
    </w:p>
    <w:p w14:paraId="044275B7">
      <w:pPr>
        <w:snapToGrid w:val="0"/>
        <w:ind w:left="41" w:leftChars="17" w:firstLine="480" w:firstLineChars="200"/>
        <w:rPr>
          <w:rFonts w:ascii="宋体" w:hAnsi="宋体"/>
        </w:rPr>
      </w:pPr>
      <w:r>
        <w:rPr>
          <w:rFonts w:ascii="宋体" w:hAnsi="宋体"/>
        </w:rPr>
        <w:t xml:space="preserve">4.3.3 </w:t>
      </w:r>
      <w:r>
        <w:rPr>
          <w:rFonts w:hint="eastAsia" w:ascii="宋体" w:hAnsi="宋体"/>
        </w:rPr>
        <w:t>项目经理按发包人审批的施工组织设计（施工方案）和发包人依据合同发出的指令组织施工。在情况紧急且无法与发包人联系时，项目经理应当采取保证人员生命和工程、财产安全的紧急措施，并在采取措施后</w:t>
      </w:r>
      <w:r>
        <w:rPr>
          <w:rFonts w:ascii="宋体" w:hAnsi="宋体"/>
        </w:rPr>
        <w:t>48</w:t>
      </w:r>
      <w:r>
        <w:rPr>
          <w:rFonts w:hint="eastAsia" w:ascii="宋体" w:hAnsi="宋体"/>
        </w:rPr>
        <w:t>小时内向发包人送交报告。</w:t>
      </w:r>
    </w:p>
    <w:p w14:paraId="677D8F62">
      <w:pPr>
        <w:snapToGrid w:val="0"/>
        <w:ind w:left="41" w:leftChars="17" w:firstLine="480" w:firstLineChars="200"/>
        <w:rPr>
          <w:rFonts w:ascii="宋体" w:hAnsi="宋体"/>
        </w:rPr>
      </w:pPr>
      <w:r>
        <w:rPr>
          <w:rFonts w:ascii="宋体" w:hAnsi="宋体"/>
        </w:rPr>
        <w:t xml:space="preserve">4.3.4 </w:t>
      </w:r>
      <w:r>
        <w:rPr>
          <w:rFonts w:hint="eastAsia" w:ascii="宋体" w:hAnsi="宋体"/>
        </w:rPr>
        <w:t>项目经理在工程实施阶段，不得在其他在建工程项目担任任何职务。</w:t>
      </w:r>
    </w:p>
    <w:p w14:paraId="7ED1BFD8">
      <w:pPr>
        <w:snapToGrid w:val="0"/>
        <w:ind w:left="41" w:leftChars="17" w:firstLine="480" w:firstLineChars="200"/>
        <w:rPr>
          <w:rFonts w:ascii="宋体" w:hAnsi="宋体"/>
        </w:rPr>
      </w:pPr>
      <w:r>
        <w:rPr>
          <w:rFonts w:ascii="宋体" w:hAnsi="宋体"/>
        </w:rPr>
        <w:t xml:space="preserve">4.3.5 </w:t>
      </w:r>
      <w:r>
        <w:rPr>
          <w:rFonts w:hint="eastAsia" w:ascii="宋体" w:hAnsi="宋体"/>
        </w:rPr>
        <w:t>项目经理</w:t>
      </w:r>
      <w:r>
        <w:rPr>
          <w:rFonts w:ascii="宋体" w:hAnsi="宋体"/>
        </w:rPr>
        <w:t>离开施工现场</w:t>
      </w:r>
      <w:r>
        <w:rPr>
          <w:rFonts w:hint="eastAsia" w:ascii="宋体" w:hAnsi="宋体"/>
        </w:rPr>
        <w:t>连续超过</w:t>
      </w:r>
      <w:r>
        <w:rPr>
          <w:rFonts w:ascii="宋体" w:hAnsi="宋体"/>
        </w:rPr>
        <w:t>3天或每月累计超过7天</w:t>
      </w:r>
      <w:r>
        <w:rPr>
          <w:rFonts w:hint="eastAsia" w:ascii="宋体" w:hAnsi="宋体"/>
        </w:rPr>
        <w:t>的</w:t>
      </w:r>
      <w:r>
        <w:rPr>
          <w:rFonts w:ascii="宋体" w:hAnsi="宋体"/>
        </w:rPr>
        <w:t>，应通知监理人，并征得发包人书面同意。</w:t>
      </w:r>
      <w:r>
        <w:rPr>
          <w:rFonts w:hint="eastAsia" w:ascii="宋体" w:hAnsi="宋体"/>
        </w:rPr>
        <w:t>项目经理</w:t>
      </w:r>
      <w:r>
        <w:rPr>
          <w:rFonts w:ascii="宋体" w:hAnsi="宋体"/>
        </w:rPr>
        <w:t>离开施工现场前应指定有经验的人员临时代行其职责，该人员应具备履行相应职责的资格和能力，且应征得监理人</w:t>
      </w:r>
      <w:r>
        <w:rPr>
          <w:rFonts w:hint="eastAsia" w:ascii="宋体" w:hAnsi="宋体"/>
        </w:rPr>
        <w:t>、</w:t>
      </w:r>
      <w:r>
        <w:rPr>
          <w:rFonts w:ascii="宋体" w:hAnsi="宋体"/>
        </w:rPr>
        <w:t>发包人的同意。</w:t>
      </w:r>
      <w:r>
        <w:rPr>
          <w:rFonts w:hint="eastAsia" w:ascii="宋体" w:hAnsi="宋体"/>
        </w:rPr>
        <w:t>承包人擅自更换项目经理，或未经监理人、</w:t>
      </w:r>
      <w:r>
        <w:rPr>
          <w:rFonts w:ascii="宋体" w:hAnsi="宋体"/>
        </w:rPr>
        <w:t>发包人</w:t>
      </w:r>
      <w:r>
        <w:rPr>
          <w:rFonts w:hint="eastAsia" w:ascii="宋体" w:hAnsi="宋体"/>
        </w:rPr>
        <w:t>许可擅自离开施工现场连续超过</w:t>
      </w:r>
      <w:r>
        <w:rPr>
          <w:rFonts w:ascii="宋体" w:hAnsi="宋体"/>
        </w:rPr>
        <w:t>3天或每月累计超过7天</w:t>
      </w:r>
      <w:r>
        <w:rPr>
          <w:rFonts w:hint="eastAsia" w:ascii="宋体" w:hAnsi="宋体"/>
        </w:rPr>
        <w:t>的，应按照专用合同条款约定承担违约责任。</w:t>
      </w:r>
    </w:p>
    <w:p w14:paraId="60D9DC7F">
      <w:pPr>
        <w:snapToGrid w:val="0"/>
        <w:ind w:left="41" w:leftChars="17" w:firstLine="480" w:firstLineChars="200"/>
        <w:rPr>
          <w:rFonts w:ascii="宋体" w:hAnsi="宋体"/>
        </w:rPr>
      </w:pPr>
      <w:r>
        <w:rPr>
          <w:rFonts w:ascii="宋体" w:hAnsi="宋体"/>
        </w:rPr>
        <w:t>4.3.6施工项目从开工到交工验收，承包人不得随意撤换项目经理。特殊情况应至少提前7</w:t>
      </w:r>
      <w:r>
        <w:rPr>
          <w:rFonts w:hint="eastAsia" w:ascii="宋体" w:hAnsi="宋体"/>
        </w:rPr>
        <w:t>天以书面形式通知发包人，并征得发包人同意。后任（其业绩、履历、职务、职称等同于前任）继续行使合同约定的职权和义务，履行前任未完的工作。</w:t>
      </w:r>
    </w:p>
    <w:p w14:paraId="0B23EA40">
      <w:pPr>
        <w:snapToGrid w:val="0"/>
        <w:ind w:left="41" w:leftChars="17"/>
        <w:rPr>
          <w:rFonts w:ascii="宋体" w:hAnsi="宋体"/>
          <w:b/>
        </w:rPr>
      </w:pPr>
      <w:bookmarkStart w:id="471" w:name="_Toc246997026"/>
      <w:bookmarkStart w:id="472" w:name="_Toc246996283"/>
      <w:bookmarkStart w:id="473" w:name="_Toc296602526"/>
      <w:bookmarkStart w:id="474" w:name="_Toc247085798"/>
      <w:r>
        <w:rPr>
          <w:rFonts w:ascii="宋体" w:hAnsi="宋体"/>
          <w:b/>
        </w:rPr>
        <w:t xml:space="preserve">    4.4 工程价款应专款专用</w:t>
      </w:r>
      <w:bookmarkEnd w:id="471"/>
      <w:bookmarkEnd w:id="472"/>
      <w:bookmarkEnd w:id="473"/>
      <w:bookmarkEnd w:id="474"/>
    </w:p>
    <w:p w14:paraId="13604167">
      <w:pPr>
        <w:snapToGrid w:val="0"/>
        <w:ind w:left="41" w:leftChars="17" w:firstLine="480" w:firstLineChars="200"/>
        <w:rPr>
          <w:rFonts w:ascii="宋体" w:hAnsi="宋体"/>
        </w:rPr>
      </w:pPr>
      <w:r>
        <w:rPr>
          <w:rFonts w:hint="eastAsia" w:ascii="宋体" w:hAnsi="宋体"/>
        </w:rPr>
        <w:t>发包人按合同约定支付给承包人的各项价款应专用于合同工程。</w:t>
      </w:r>
      <w:bookmarkStart w:id="475" w:name="_Toc247085799"/>
      <w:bookmarkStart w:id="476" w:name="_Toc246996284"/>
      <w:bookmarkStart w:id="477" w:name="_Toc246997027"/>
    </w:p>
    <w:p w14:paraId="46D824F1">
      <w:pPr>
        <w:snapToGrid w:val="0"/>
        <w:ind w:left="41" w:leftChars="17"/>
        <w:rPr>
          <w:rFonts w:ascii="宋体" w:hAnsi="宋体"/>
          <w:b/>
        </w:rPr>
      </w:pPr>
      <w:bookmarkStart w:id="478" w:name="_Toc152042428"/>
      <w:bookmarkStart w:id="479" w:name="_Toc179632668"/>
      <w:bookmarkStart w:id="480" w:name="_Toc144974618"/>
      <w:bookmarkStart w:id="481" w:name="_Toc152045650"/>
      <w:bookmarkStart w:id="482" w:name="_Toc296602527"/>
      <w:r>
        <w:rPr>
          <w:rFonts w:ascii="宋体" w:hAnsi="宋体"/>
          <w:b/>
        </w:rPr>
        <w:t xml:space="preserve">    4.5 不利物质条件</w:t>
      </w:r>
      <w:bookmarkEnd w:id="478"/>
      <w:bookmarkEnd w:id="479"/>
      <w:bookmarkEnd w:id="480"/>
      <w:bookmarkEnd w:id="481"/>
      <w:bookmarkEnd w:id="482"/>
    </w:p>
    <w:p w14:paraId="317485F8">
      <w:pPr>
        <w:snapToGrid w:val="0"/>
        <w:ind w:left="41" w:leftChars="17" w:firstLine="480" w:firstLineChars="200"/>
        <w:rPr>
          <w:rFonts w:ascii="宋体" w:hAnsi="宋体"/>
        </w:rPr>
      </w:pPr>
      <w:r>
        <w:rPr>
          <w:rFonts w:ascii="宋体" w:hAnsi="宋体"/>
        </w:rPr>
        <w:t xml:space="preserve">4.5.1 </w:t>
      </w:r>
      <w:r>
        <w:rPr>
          <w:rFonts w:hint="eastAsia" w:ascii="宋体" w:hAnsi="宋体"/>
        </w:rPr>
        <w:t>不利物质条件，除专用合同条款另有约定外，是指承包人在施工场地遇到的不可预见的自然物质条件、非自然的物质障碍和污染物，包括地下和水文条件，但不包括气候条件。</w:t>
      </w:r>
    </w:p>
    <w:p w14:paraId="1F3131DB">
      <w:pPr>
        <w:snapToGrid w:val="0"/>
        <w:ind w:left="41" w:leftChars="17" w:firstLine="480" w:firstLineChars="200"/>
        <w:rPr>
          <w:rFonts w:ascii="宋体" w:hAnsi="宋体"/>
        </w:rPr>
      </w:pPr>
      <w:r>
        <w:rPr>
          <w:rFonts w:ascii="宋体" w:hAnsi="宋体"/>
        </w:rPr>
        <w:t xml:space="preserve">4.5.2 </w:t>
      </w:r>
      <w:r>
        <w:rPr>
          <w:rFonts w:hint="eastAsia" w:ascii="宋体" w:hAnsi="宋体"/>
        </w:rPr>
        <w:t>承包人遇到不利物质条件时，应采取适应不利物质条件的合理措施继续施工，并及时通知监理人，通知应载明不利物质条件的内容以及承包人认为不可预见的理由。监理人应当及时发出指示，指示构成变更的，按第</w:t>
      </w:r>
      <w:r>
        <w:rPr>
          <w:rFonts w:ascii="宋体" w:hAnsi="宋体"/>
        </w:rPr>
        <w:t>11条约定执行。监理人没有发出指示的，承包人因采取合理措施而增加的费用和（或）工期延误，由发包人承担。</w:t>
      </w:r>
    </w:p>
    <w:p w14:paraId="7BF7A1A4">
      <w:pPr>
        <w:snapToGrid w:val="0"/>
        <w:ind w:left="41" w:leftChars="17"/>
        <w:rPr>
          <w:rFonts w:ascii="宋体" w:hAnsi="宋体"/>
          <w:b/>
        </w:rPr>
      </w:pPr>
      <w:r>
        <w:rPr>
          <w:rFonts w:ascii="宋体" w:hAnsi="宋体"/>
          <w:b/>
        </w:rPr>
        <w:t xml:space="preserve">    4.6</w:t>
      </w:r>
      <w:bookmarkStart w:id="483" w:name="_Toc179632686"/>
      <w:bookmarkStart w:id="484" w:name="_Toc152045668"/>
      <w:bookmarkStart w:id="485" w:name="_Toc152042446"/>
      <w:bookmarkStart w:id="486" w:name="_Toc144974636"/>
      <w:bookmarkStart w:id="487" w:name="_Toc296602528"/>
      <w:r>
        <w:rPr>
          <w:rFonts w:hint="eastAsia" w:ascii="宋体" w:hAnsi="宋体"/>
          <w:b/>
        </w:rPr>
        <w:t>分包和不得转包</w:t>
      </w:r>
    </w:p>
    <w:p w14:paraId="5C38C9CA">
      <w:pPr>
        <w:snapToGrid w:val="0"/>
        <w:ind w:left="41" w:leftChars="17" w:firstLine="480" w:firstLineChars="200"/>
        <w:rPr>
          <w:rFonts w:ascii="宋体" w:hAnsi="宋体"/>
        </w:rPr>
      </w:pPr>
      <w:r>
        <w:rPr>
          <w:rFonts w:ascii="宋体" w:hAnsi="宋体"/>
        </w:rPr>
        <w:t xml:space="preserve">4.6.1 </w:t>
      </w:r>
      <w:r>
        <w:rPr>
          <w:rFonts w:hint="eastAsia" w:ascii="宋体" w:hAnsi="宋体"/>
        </w:rPr>
        <w:t>承包人应严格按照国家相关法律法规及相关规定实施分包工作。</w:t>
      </w:r>
    </w:p>
    <w:p w14:paraId="03510DF7">
      <w:pPr>
        <w:snapToGrid w:val="0"/>
        <w:ind w:left="41" w:leftChars="17" w:firstLine="480" w:firstLineChars="200"/>
        <w:rPr>
          <w:rFonts w:ascii="宋体" w:hAnsi="宋体"/>
        </w:rPr>
      </w:pPr>
      <w:r>
        <w:rPr>
          <w:rFonts w:ascii="宋体" w:hAnsi="宋体"/>
        </w:rPr>
        <w:t xml:space="preserve">4.6.2 </w:t>
      </w:r>
      <w:r>
        <w:rPr>
          <w:rFonts w:hint="eastAsia" w:ascii="宋体" w:hAnsi="宋体"/>
        </w:rPr>
        <w:t>承包人不得将其承包的全部工程转包给第三人，也不得将其承包的全部工程肢解后以分包的名义分别转包给第三人。</w:t>
      </w:r>
    </w:p>
    <w:p w14:paraId="491E592A">
      <w:pPr>
        <w:snapToGrid w:val="0"/>
        <w:ind w:left="41" w:leftChars="17" w:firstLine="480" w:firstLineChars="200"/>
        <w:rPr>
          <w:rFonts w:ascii="宋体" w:hAnsi="宋体"/>
        </w:rPr>
      </w:pPr>
      <w:r>
        <w:rPr>
          <w:rFonts w:ascii="宋体" w:hAnsi="宋体"/>
        </w:rPr>
        <w:t>4.6.3</w:t>
      </w:r>
      <w:r>
        <w:rPr>
          <w:rFonts w:hint="eastAsia" w:ascii="宋体" w:hAnsi="宋体"/>
        </w:rPr>
        <w:t>未经发包人书面同意，承包人不得实施分包工作。发包人同意承包人分包工程的，承包人应在分包合同（包括劳务作业分包合同）签订后</w:t>
      </w:r>
      <w:r>
        <w:rPr>
          <w:rFonts w:ascii="宋体" w:hAnsi="宋体"/>
        </w:rPr>
        <w:t>7</w:t>
      </w:r>
      <w:r>
        <w:rPr>
          <w:rFonts w:hint="eastAsia" w:ascii="宋体" w:hAnsi="宋体"/>
        </w:rPr>
        <w:t>日内向发包人和监理人提交分包合同副本。</w:t>
      </w:r>
    </w:p>
    <w:p w14:paraId="2DCF3DCC">
      <w:pPr>
        <w:snapToGrid w:val="0"/>
        <w:ind w:left="41" w:leftChars="17" w:firstLine="480" w:firstLineChars="200"/>
        <w:rPr>
          <w:rFonts w:ascii="宋体" w:hAnsi="宋体"/>
        </w:rPr>
      </w:pPr>
      <w:r>
        <w:rPr>
          <w:rFonts w:ascii="宋体" w:hAnsi="宋体"/>
        </w:rPr>
        <w:t xml:space="preserve">4.6.4 </w:t>
      </w:r>
      <w:r>
        <w:rPr>
          <w:rFonts w:hint="eastAsia" w:ascii="宋体" w:hAnsi="宋体"/>
        </w:rPr>
        <w:t>分包人的资格能力应与其分包工程的标准和规模相适应。</w:t>
      </w:r>
    </w:p>
    <w:p w14:paraId="6F9D4A27">
      <w:pPr>
        <w:snapToGrid w:val="0"/>
        <w:ind w:left="41" w:leftChars="17" w:firstLine="480" w:firstLineChars="200"/>
        <w:rPr>
          <w:rFonts w:ascii="宋体" w:hAnsi="宋体"/>
        </w:rPr>
      </w:pPr>
      <w:r>
        <w:rPr>
          <w:rFonts w:ascii="宋体" w:hAnsi="宋体"/>
        </w:rPr>
        <w:t>4.6.5承包人应加强对分包人的管理，确保工程质量、安全、进度符合合同要求，承包人就分包的工程向发包人承担连带责任。</w:t>
      </w:r>
    </w:p>
    <w:p w14:paraId="710C6467">
      <w:pPr>
        <w:snapToGrid w:val="0"/>
        <w:ind w:left="41" w:leftChars="17" w:firstLine="480" w:firstLineChars="200"/>
        <w:rPr>
          <w:rFonts w:ascii="宋体" w:hAnsi="宋体"/>
        </w:rPr>
      </w:pPr>
      <w:r>
        <w:rPr>
          <w:rFonts w:ascii="宋体" w:hAnsi="宋体"/>
        </w:rPr>
        <w:t>4.6.6分包合同价款</w:t>
      </w:r>
    </w:p>
    <w:p w14:paraId="6EFA141D">
      <w:pPr>
        <w:snapToGrid w:val="0"/>
        <w:ind w:left="41" w:leftChars="17" w:firstLine="480" w:firstLineChars="200"/>
        <w:rPr>
          <w:rFonts w:ascii="宋体" w:hAnsi="宋体"/>
        </w:rPr>
      </w:pPr>
      <w:r>
        <w:rPr>
          <w:rFonts w:ascii="宋体" w:hAnsi="宋体"/>
        </w:rPr>
        <w:t>（1）除本项第（2）目约定的情况外，分包合同价款由承包人与分包人结算，未经承包人同意，发包人不得向分包人支付分包</w:t>
      </w:r>
      <w:r>
        <w:rPr>
          <w:rFonts w:hint="eastAsia" w:ascii="宋体" w:hAnsi="宋体"/>
        </w:rPr>
        <w:t>或劳务</w:t>
      </w:r>
      <w:r>
        <w:rPr>
          <w:rFonts w:ascii="宋体" w:hAnsi="宋体"/>
        </w:rPr>
        <w:t>价款；</w:t>
      </w:r>
    </w:p>
    <w:p w14:paraId="72071533">
      <w:pPr>
        <w:snapToGrid w:val="0"/>
        <w:ind w:left="41" w:leftChars="17" w:firstLine="480" w:firstLineChars="200"/>
        <w:rPr>
          <w:rFonts w:ascii="宋体" w:hAnsi="宋体"/>
        </w:rPr>
      </w:pPr>
      <w:r>
        <w:rPr>
          <w:rFonts w:ascii="宋体" w:hAnsi="宋体"/>
        </w:rPr>
        <w:t>（2）生效法律文书要求发包人向分包人支付分包合同价款的，或承包人拖欠分包人</w:t>
      </w:r>
      <w:r>
        <w:rPr>
          <w:rFonts w:hint="eastAsia" w:ascii="宋体" w:hAnsi="宋体"/>
        </w:rPr>
        <w:t>劳务</w:t>
      </w:r>
      <w:r>
        <w:rPr>
          <w:rFonts w:ascii="宋体" w:hAnsi="宋体"/>
        </w:rPr>
        <w:t>款而导致群访事件时，发包人有权从应付承包人工程款中扣除该部分款项或直接支付给分包人。</w:t>
      </w:r>
    </w:p>
    <w:p w14:paraId="651B5F5B">
      <w:pPr>
        <w:ind w:left="41" w:leftChars="17"/>
        <w:outlineLvl w:val="1"/>
        <w:rPr>
          <w:rFonts w:ascii="宋体" w:hAnsi="宋体"/>
          <w:b/>
          <w:bCs/>
          <w:kern w:val="0"/>
        </w:rPr>
      </w:pPr>
      <w:bookmarkStart w:id="488" w:name="_Toc410986363"/>
      <w:bookmarkStart w:id="489" w:name="_Toc20412"/>
      <w:bookmarkStart w:id="490" w:name="_Toc6241361"/>
      <w:bookmarkStart w:id="491" w:name="_Toc439160164"/>
      <w:bookmarkStart w:id="492" w:name="_Toc526793376"/>
      <w:bookmarkStart w:id="493" w:name="_Toc489084309"/>
      <w:r>
        <w:rPr>
          <w:rFonts w:ascii="宋体" w:hAnsi="宋体"/>
          <w:b/>
          <w:bCs/>
          <w:kern w:val="0"/>
        </w:rPr>
        <w:t xml:space="preserve">5. </w:t>
      </w:r>
      <w:bookmarkEnd w:id="483"/>
      <w:bookmarkEnd w:id="484"/>
      <w:bookmarkEnd w:id="485"/>
      <w:bookmarkEnd w:id="486"/>
      <w:bookmarkStart w:id="494" w:name="_Toc144974637"/>
      <w:bookmarkStart w:id="495" w:name="_Toc152045669"/>
      <w:bookmarkStart w:id="496" w:name="_Toc152042447"/>
      <w:bookmarkStart w:id="497" w:name="_Toc179632687"/>
      <w:r>
        <w:rPr>
          <w:rFonts w:hint="eastAsia" w:ascii="宋体" w:hAnsi="宋体"/>
          <w:b/>
          <w:bCs/>
          <w:kern w:val="0"/>
        </w:rPr>
        <w:t>施工控制网</w:t>
      </w:r>
      <w:bookmarkEnd w:id="487"/>
      <w:bookmarkEnd w:id="488"/>
      <w:bookmarkEnd w:id="489"/>
      <w:bookmarkEnd w:id="490"/>
      <w:bookmarkEnd w:id="491"/>
      <w:bookmarkEnd w:id="492"/>
      <w:bookmarkEnd w:id="493"/>
      <w:bookmarkEnd w:id="494"/>
      <w:bookmarkEnd w:id="495"/>
      <w:bookmarkEnd w:id="496"/>
      <w:bookmarkEnd w:id="497"/>
    </w:p>
    <w:p w14:paraId="365081F4">
      <w:pPr>
        <w:snapToGrid w:val="0"/>
        <w:ind w:left="41" w:leftChars="17" w:firstLine="480" w:firstLineChars="200"/>
        <w:rPr>
          <w:rFonts w:ascii="宋体" w:hAnsi="宋体"/>
        </w:rPr>
      </w:pPr>
      <w:r>
        <w:rPr>
          <w:rFonts w:ascii="宋体" w:hAnsi="宋体"/>
        </w:rPr>
        <w:t xml:space="preserve">5.1 </w:t>
      </w:r>
      <w:r>
        <w:rPr>
          <w:rFonts w:hint="eastAsia" w:ascii="宋体" w:hAnsi="宋体"/>
        </w:rPr>
        <w:t>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3F534945">
      <w:pPr>
        <w:snapToGrid w:val="0"/>
        <w:ind w:left="41" w:leftChars="17" w:firstLine="480" w:firstLineChars="200"/>
        <w:rPr>
          <w:rFonts w:ascii="宋体" w:hAnsi="宋体"/>
        </w:rPr>
      </w:pPr>
      <w:r>
        <w:rPr>
          <w:rFonts w:ascii="宋体" w:hAnsi="宋体"/>
        </w:rPr>
        <w:t xml:space="preserve">5.2 </w:t>
      </w:r>
      <w:r>
        <w:rPr>
          <w:rFonts w:hint="eastAsia" w:ascii="宋体" w:hAnsi="宋体"/>
        </w:rPr>
        <w:t>承包人应负责管理施工控制网点。施工控制网点丢失或损坏的，承包人应及时修复。承包人应承担施工控制网点的管理与修复费用，并在工程交工后将施工控制网点移交发包人。</w:t>
      </w:r>
    </w:p>
    <w:p w14:paraId="307E65C8">
      <w:pPr>
        <w:ind w:left="41" w:leftChars="17"/>
        <w:outlineLvl w:val="1"/>
        <w:rPr>
          <w:rFonts w:ascii="宋体" w:hAnsi="宋体"/>
          <w:b/>
          <w:bCs/>
          <w:kern w:val="0"/>
        </w:rPr>
      </w:pPr>
      <w:bookmarkStart w:id="498" w:name="_Toc152045679"/>
      <w:bookmarkStart w:id="499" w:name="_Toc179632697"/>
      <w:bookmarkStart w:id="500" w:name="_Toc152042457"/>
      <w:bookmarkStart w:id="501" w:name="_Toc144974647"/>
      <w:bookmarkStart w:id="502" w:name="_Toc296602529"/>
      <w:bookmarkStart w:id="503" w:name="_Toc439160165"/>
      <w:bookmarkStart w:id="504" w:name="_Toc6241362"/>
      <w:bookmarkStart w:id="505" w:name="_Toc410986364"/>
      <w:bookmarkStart w:id="506" w:name="_Toc489084310"/>
      <w:bookmarkStart w:id="507" w:name="_Toc29325"/>
      <w:bookmarkStart w:id="508" w:name="_Toc526793377"/>
      <w:r>
        <w:rPr>
          <w:rFonts w:ascii="宋体" w:hAnsi="宋体"/>
          <w:b/>
          <w:bCs/>
          <w:kern w:val="0"/>
        </w:rPr>
        <w:t xml:space="preserve">6. </w:t>
      </w:r>
      <w:bookmarkEnd w:id="498"/>
      <w:bookmarkEnd w:id="499"/>
      <w:bookmarkEnd w:id="500"/>
      <w:bookmarkEnd w:id="501"/>
      <w:r>
        <w:rPr>
          <w:rFonts w:hint="eastAsia" w:ascii="宋体" w:hAnsi="宋体"/>
          <w:b/>
          <w:bCs/>
          <w:kern w:val="0"/>
        </w:rPr>
        <w:t>工期</w:t>
      </w:r>
      <w:bookmarkEnd w:id="502"/>
      <w:bookmarkEnd w:id="503"/>
      <w:bookmarkEnd w:id="504"/>
      <w:bookmarkEnd w:id="505"/>
      <w:bookmarkEnd w:id="506"/>
      <w:bookmarkEnd w:id="507"/>
      <w:bookmarkEnd w:id="508"/>
    </w:p>
    <w:p w14:paraId="6C6CC0D7">
      <w:pPr>
        <w:snapToGrid w:val="0"/>
        <w:ind w:left="41" w:leftChars="17"/>
        <w:rPr>
          <w:rFonts w:ascii="宋体" w:hAnsi="宋体"/>
          <w:b/>
        </w:rPr>
      </w:pPr>
      <w:bookmarkStart w:id="509" w:name="_Toc296602530"/>
      <w:bookmarkStart w:id="510" w:name="_Toc152045682"/>
      <w:bookmarkStart w:id="511" w:name="_Toc144974650"/>
      <w:bookmarkStart w:id="512" w:name="_Toc152042460"/>
      <w:bookmarkStart w:id="513" w:name="_Toc179632700"/>
      <w:r>
        <w:rPr>
          <w:rFonts w:ascii="宋体" w:hAnsi="宋体"/>
          <w:b/>
        </w:rPr>
        <w:t xml:space="preserve">    6.1 进度计划</w:t>
      </w:r>
      <w:bookmarkEnd w:id="509"/>
    </w:p>
    <w:p w14:paraId="299F2BBB">
      <w:pPr>
        <w:snapToGrid w:val="0"/>
        <w:ind w:left="41" w:leftChars="17" w:firstLine="480" w:firstLineChars="200"/>
        <w:rPr>
          <w:rFonts w:ascii="宋体" w:hAnsi="宋体"/>
        </w:rPr>
      </w:pPr>
      <w:r>
        <w:rPr>
          <w:rFonts w:hint="eastAsia" w:ascii="宋体" w:hAnsi="宋体"/>
        </w:rPr>
        <w:t>承包</w:t>
      </w:r>
      <w:r>
        <w:rPr>
          <w:rFonts w:ascii="宋体" w:hAnsi="宋体"/>
        </w:rPr>
        <w:t>人应按照</w:t>
      </w:r>
      <w:r>
        <w:rPr>
          <w:rFonts w:hint="eastAsia" w:ascii="宋体" w:hAnsi="宋体"/>
        </w:rPr>
        <w:t>专用合同条款约</w:t>
      </w:r>
      <w:r>
        <w:rPr>
          <w:rFonts w:ascii="宋体" w:hAnsi="宋体"/>
        </w:rPr>
        <w:t>定的时间，向监理人提交进度计划</w:t>
      </w:r>
      <w:r>
        <w:rPr>
          <w:rFonts w:hint="eastAsia" w:ascii="宋体" w:hAnsi="宋体"/>
        </w:rPr>
        <w:t>。</w:t>
      </w:r>
      <w:r>
        <w:rPr>
          <w:rFonts w:ascii="宋体" w:hAnsi="宋体"/>
        </w:rPr>
        <w:t>经监理人审批后</w:t>
      </w:r>
      <w:r>
        <w:rPr>
          <w:rFonts w:hint="eastAsia" w:ascii="宋体" w:hAnsi="宋体"/>
        </w:rPr>
        <w:t>的进度计划具有合同约束力，承包人应当严格执行。实际进度与进度计划不符时，监理人应当指示承包人对进度计划进行修订，重新提交给监理人审批。</w:t>
      </w:r>
    </w:p>
    <w:bookmarkEnd w:id="510"/>
    <w:bookmarkEnd w:id="511"/>
    <w:bookmarkEnd w:id="512"/>
    <w:bookmarkEnd w:id="513"/>
    <w:p w14:paraId="588B675F">
      <w:pPr>
        <w:snapToGrid w:val="0"/>
        <w:ind w:left="41" w:leftChars="17"/>
        <w:rPr>
          <w:rFonts w:ascii="宋体" w:hAnsi="宋体"/>
          <w:b/>
        </w:rPr>
      </w:pPr>
      <w:bookmarkStart w:id="514" w:name="_Toc296602531"/>
      <w:r>
        <w:rPr>
          <w:rFonts w:ascii="宋体" w:hAnsi="宋体"/>
          <w:b/>
        </w:rPr>
        <w:t xml:space="preserve">    6.2 工程实施</w:t>
      </w:r>
      <w:bookmarkEnd w:id="514"/>
    </w:p>
    <w:p w14:paraId="76FEFD9B">
      <w:pPr>
        <w:snapToGrid w:val="0"/>
        <w:ind w:left="41" w:leftChars="17" w:firstLine="480" w:firstLineChars="200"/>
        <w:rPr>
          <w:rFonts w:ascii="宋体" w:hAnsi="宋体"/>
        </w:rPr>
      </w:pPr>
      <w:r>
        <w:rPr>
          <w:rFonts w:hint="eastAsia" w:ascii="宋体" w:hAnsi="宋体"/>
        </w:rPr>
        <w:t>监理人应在开工日期</w:t>
      </w:r>
      <w:r>
        <w:rPr>
          <w:rFonts w:ascii="宋体" w:hAnsi="宋体"/>
        </w:rPr>
        <w:t>7天前向承包人发出开工通知。承包人应在合同约定的期限内完成合同工程。</w:t>
      </w:r>
    </w:p>
    <w:p w14:paraId="300678B8">
      <w:pPr>
        <w:snapToGrid w:val="0"/>
        <w:ind w:left="41" w:leftChars="17"/>
        <w:rPr>
          <w:rFonts w:ascii="宋体" w:hAnsi="宋体"/>
          <w:b/>
        </w:rPr>
      </w:pPr>
      <w:bookmarkStart w:id="515" w:name="_Toc152045685"/>
      <w:bookmarkStart w:id="516" w:name="_Toc144974653"/>
      <w:bookmarkStart w:id="517" w:name="_Toc179632703"/>
      <w:bookmarkStart w:id="518" w:name="_Toc152042463"/>
      <w:bookmarkStart w:id="519" w:name="_Toc296602532"/>
      <w:r>
        <w:rPr>
          <w:rFonts w:ascii="宋体" w:hAnsi="宋体"/>
          <w:b/>
        </w:rPr>
        <w:t xml:space="preserve">    6.3 发包人引起的工期延误</w:t>
      </w:r>
      <w:bookmarkEnd w:id="515"/>
      <w:bookmarkEnd w:id="516"/>
      <w:bookmarkEnd w:id="517"/>
      <w:bookmarkEnd w:id="518"/>
      <w:bookmarkEnd w:id="519"/>
    </w:p>
    <w:p w14:paraId="5DC19AB5">
      <w:pPr>
        <w:ind w:left="41" w:leftChars="17" w:firstLine="480" w:firstLineChars="200"/>
        <w:rPr>
          <w:rFonts w:ascii="宋体" w:hAnsi="宋体"/>
        </w:rPr>
      </w:pPr>
      <w:r>
        <w:rPr>
          <w:rFonts w:ascii="宋体" w:hAnsi="宋体"/>
        </w:rPr>
        <w:t xml:space="preserve">6.3.1 </w:t>
      </w:r>
      <w:r>
        <w:rPr>
          <w:rFonts w:hint="eastAsia" w:ascii="宋体" w:hAnsi="宋体"/>
        </w:rPr>
        <w:t>在履行合同过程中，由于发包人的下列原因造成工期延误的，对工期及合同价款的调整按照第</w:t>
      </w:r>
      <w:r>
        <w:rPr>
          <w:rFonts w:ascii="宋体" w:hAnsi="宋体"/>
        </w:rPr>
        <w:t>12.5.2项的约定执行；需要修订合同进度计划的，按照第6.1款的约定执行。</w:t>
      </w:r>
    </w:p>
    <w:p w14:paraId="6AA17A6A">
      <w:pPr>
        <w:snapToGrid w:val="0"/>
        <w:ind w:left="41" w:leftChars="17" w:firstLine="480" w:firstLineChars="200"/>
        <w:rPr>
          <w:rFonts w:ascii="宋体" w:hAnsi="宋体"/>
        </w:rPr>
      </w:pPr>
      <w:r>
        <w:rPr>
          <w:rFonts w:ascii="宋体" w:hAnsi="宋体"/>
        </w:rPr>
        <w:t>（1）未能按合同约定提供图纸或所提供图纸不符合合同约定的；</w:t>
      </w:r>
    </w:p>
    <w:p w14:paraId="2CCAB848">
      <w:pPr>
        <w:snapToGrid w:val="0"/>
        <w:ind w:left="41" w:leftChars="17" w:firstLine="480" w:firstLineChars="200"/>
        <w:rPr>
          <w:rFonts w:ascii="宋体" w:hAnsi="宋体"/>
        </w:rPr>
      </w:pPr>
      <w:r>
        <w:rPr>
          <w:rFonts w:ascii="宋体" w:hAnsi="宋体"/>
        </w:rPr>
        <w:t>（2）未能按合同约定提供施工现场、施工条件、基础资料、许可、批准等开工条件的；</w:t>
      </w:r>
    </w:p>
    <w:p w14:paraId="67E24AB5">
      <w:pPr>
        <w:snapToGrid w:val="0"/>
        <w:ind w:left="41" w:leftChars="17" w:firstLine="480" w:firstLineChars="200"/>
        <w:rPr>
          <w:rFonts w:ascii="宋体" w:hAnsi="宋体"/>
        </w:rPr>
      </w:pPr>
      <w:r>
        <w:rPr>
          <w:rFonts w:ascii="宋体" w:hAnsi="宋体"/>
        </w:rPr>
        <w:t>（3）提供的测量基准点、基准线和水准点及其书面资料存在错误或疏漏的；</w:t>
      </w:r>
    </w:p>
    <w:p w14:paraId="7E68F6D0">
      <w:pPr>
        <w:snapToGrid w:val="0"/>
        <w:ind w:left="41" w:leftChars="17" w:firstLine="480" w:firstLineChars="200"/>
        <w:rPr>
          <w:rFonts w:ascii="宋体" w:hAnsi="宋体"/>
        </w:rPr>
      </w:pPr>
      <w:r>
        <w:rPr>
          <w:rFonts w:ascii="宋体" w:hAnsi="宋体"/>
        </w:rPr>
        <w:t>（4）未能在计划开工日期之日起7天内同意下达开工通知的；</w:t>
      </w:r>
    </w:p>
    <w:p w14:paraId="2C87C58A">
      <w:pPr>
        <w:snapToGrid w:val="0"/>
        <w:ind w:left="41" w:leftChars="17" w:firstLine="480" w:firstLineChars="200"/>
        <w:rPr>
          <w:rFonts w:ascii="宋体" w:hAnsi="宋体"/>
        </w:rPr>
      </w:pPr>
      <w:r>
        <w:rPr>
          <w:rFonts w:ascii="宋体" w:hAnsi="宋体"/>
        </w:rPr>
        <w:t>（5）未能按合同约定日期支付工程预付款、进度款或</w:t>
      </w:r>
      <w:r>
        <w:rPr>
          <w:rFonts w:hint="eastAsia" w:ascii="宋体" w:hAnsi="宋体"/>
        </w:rPr>
        <w:t>工程</w:t>
      </w:r>
      <w:r>
        <w:rPr>
          <w:rFonts w:ascii="宋体" w:hAnsi="宋体"/>
        </w:rPr>
        <w:t>结算款的；</w:t>
      </w:r>
    </w:p>
    <w:p w14:paraId="60BB2040">
      <w:pPr>
        <w:snapToGrid w:val="0"/>
        <w:ind w:left="41" w:leftChars="17" w:firstLine="480" w:firstLineChars="200"/>
        <w:rPr>
          <w:rFonts w:ascii="宋体" w:hAnsi="宋体"/>
        </w:rPr>
      </w:pPr>
      <w:r>
        <w:rPr>
          <w:rFonts w:ascii="宋体" w:hAnsi="宋体"/>
        </w:rPr>
        <w:t>（6）监理人未按合同约定发出指示、批准等文件的；</w:t>
      </w:r>
    </w:p>
    <w:p w14:paraId="5C1A1149">
      <w:pPr>
        <w:snapToGrid w:val="0"/>
        <w:ind w:left="41" w:leftChars="17" w:firstLine="480" w:firstLineChars="200"/>
        <w:rPr>
          <w:rFonts w:ascii="宋体" w:hAnsi="宋体"/>
        </w:rPr>
      </w:pPr>
      <w:r>
        <w:rPr>
          <w:rFonts w:hint="eastAsia" w:ascii="宋体" w:hAnsi="宋体"/>
        </w:rPr>
        <w:t>（</w:t>
      </w:r>
      <w:r>
        <w:rPr>
          <w:rFonts w:ascii="宋体" w:hAnsi="宋体"/>
        </w:rPr>
        <w:t>7）增加合同工作内容；</w:t>
      </w:r>
    </w:p>
    <w:p w14:paraId="553ACEA1">
      <w:pPr>
        <w:snapToGrid w:val="0"/>
        <w:ind w:left="41" w:leftChars="17" w:firstLine="480" w:firstLineChars="200"/>
        <w:rPr>
          <w:rFonts w:ascii="宋体" w:hAnsi="宋体"/>
        </w:rPr>
      </w:pPr>
      <w:r>
        <w:rPr>
          <w:rFonts w:hint="eastAsia" w:ascii="宋体" w:hAnsi="宋体"/>
        </w:rPr>
        <w:t>（</w:t>
      </w:r>
      <w:r>
        <w:rPr>
          <w:rFonts w:ascii="宋体" w:hAnsi="宋体"/>
        </w:rPr>
        <w:t>8）改变合同中任何一项工作的质量要求或其他特性；</w:t>
      </w:r>
    </w:p>
    <w:p w14:paraId="277F8E69">
      <w:pPr>
        <w:snapToGrid w:val="0"/>
        <w:ind w:left="41" w:leftChars="17" w:firstLine="480" w:firstLineChars="200"/>
        <w:rPr>
          <w:rFonts w:ascii="宋体" w:hAnsi="宋体"/>
        </w:rPr>
      </w:pPr>
      <w:r>
        <w:rPr>
          <w:rFonts w:hint="eastAsia" w:ascii="宋体" w:hAnsi="宋体"/>
        </w:rPr>
        <w:t>（</w:t>
      </w:r>
      <w:r>
        <w:rPr>
          <w:rFonts w:ascii="宋体" w:hAnsi="宋体"/>
        </w:rPr>
        <w:t>9）迟延提供材料、工程设备或变更交货地点；</w:t>
      </w:r>
    </w:p>
    <w:p w14:paraId="0A14C701">
      <w:pPr>
        <w:snapToGrid w:val="0"/>
        <w:ind w:left="41" w:leftChars="17" w:firstLine="480" w:firstLineChars="200"/>
        <w:rPr>
          <w:rFonts w:ascii="宋体" w:hAnsi="宋体"/>
        </w:rPr>
      </w:pPr>
      <w:r>
        <w:rPr>
          <w:rFonts w:hint="eastAsia" w:ascii="宋体" w:hAnsi="宋体"/>
        </w:rPr>
        <w:t>（</w:t>
      </w:r>
      <w:r>
        <w:rPr>
          <w:rFonts w:ascii="宋体" w:hAnsi="宋体"/>
        </w:rPr>
        <w:t>10）因发包人原因导致的暂停施工、窝工；</w:t>
      </w:r>
    </w:p>
    <w:p w14:paraId="745A00B7">
      <w:pPr>
        <w:snapToGrid w:val="0"/>
        <w:ind w:left="41" w:leftChars="17" w:firstLine="480" w:firstLineChars="200"/>
        <w:rPr>
          <w:rFonts w:ascii="宋体" w:hAnsi="宋体"/>
        </w:rPr>
      </w:pPr>
      <w:r>
        <w:rPr>
          <w:rFonts w:ascii="宋体" w:hAnsi="宋体"/>
        </w:rPr>
        <w:t>（11）专用合同条款中约定的其他情形。</w:t>
      </w:r>
    </w:p>
    <w:p w14:paraId="523884D5">
      <w:pPr>
        <w:snapToGrid w:val="0"/>
        <w:ind w:left="41" w:leftChars="17" w:firstLine="480" w:firstLineChars="200"/>
        <w:rPr>
          <w:rFonts w:ascii="宋体" w:hAnsi="宋体"/>
        </w:rPr>
      </w:pPr>
      <w:r>
        <w:rPr>
          <w:rFonts w:ascii="宋体" w:hAnsi="宋体"/>
        </w:rPr>
        <w:t xml:space="preserve">6.3.2 </w:t>
      </w:r>
      <w:r>
        <w:rPr>
          <w:rFonts w:hint="eastAsia" w:ascii="宋体" w:hAnsi="宋体"/>
        </w:rPr>
        <w:t>承包人应在</w:t>
      </w:r>
      <w:r>
        <w:rPr>
          <w:rFonts w:ascii="宋体" w:hAnsi="宋体"/>
        </w:rPr>
        <w:t>6.3.1</w:t>
      </w:r>
      <w:r>
        <w:rPr>
          <w:rFonts w:hint="eastAsia" w:ascii="宋体" w:hAnsi="宋体"/>
        </w:rPr>
        <w:t>款情况发生后</w:t>
      </w:r>
      <w:r>
        <w:rPr>
          <w:rFonts w:ascii="宋体" w:hAnsi="宋体"/>
        </w:rPr>
        <w:t>14</w:t>
      </w:r>
      <w:r>
        <w:rPr>
          <w:rFonts w:hint="eastAsia" w:ascii="宋体" w:hAnsi="宋体"/>
        </w:rPr>
        <w:t>天内，就延误的工期以书面形式向发包人提出报告。发包人在收到报告后</w:t>
      </w:r>
      <w:r>
        <w:rPr>
          <w:rFonts w:ascii="宋体" w:hAnsi="宋体"/>
        </w:rPr>
        <w:t>14</w:t>
      </w:r>
      <w:r>
        <w:rPr>
          <w:rFonts w:hint="eastAsia" w:ascii="宋体" w:hAnsi="宋体"/>
        </w:rPr>
        <w:t>天内予以确认，逾期不予确认也不提出修改意见，视为同意顺延工期。</w:t>
      </w:r>
    </w:p>
    <w:p w14:paraId="1B8E2C60">
      <w:pPr>
        <w:snapToGrid w:val="0"/>
        <w:ind w:left="41" w:leftChars="17" w:firstLine="480" w:firstLineChars="200"/>
        <w:rPr>
          <w:rFonts w:ascii="宋体" w:hAnsi="宋体"/>
        </w:rPr>
      </w:pPr>
      <w:r>
        <w:rPr>
          <w:rFonts w:hint="eastAsia" w:ascii="宋体" w:hAnsi="宋体"/>
        </w:rPr>
        <w:t>如承包人在上述期限内不提出延误工期的书面报告，则视为不影响总工期。</w:t>
      </w:r>
    </w:p>
    <w:p w14:paraId="4301630E">
      <w:pPr>
        <w:snapToGrid w:val="0"/>
        <w:ind w:left="41" w:leftChars="17" w:firstLine="480" w:firstLineChars="200"/>
        <w:rPr>
          <w:rFonts w:ascii="宋体" w:hAnsi="宋体"/>
        </w:rPr>
      </w:pPr>
      <w:r>
        <w:rPr>
          <w:rFonts w:ascii="宋体" w:hAnsi="宋体"/>
        </w:rPr>
        <w:t>6.3.3 除上述情况以外由于承包人原因造成的工期延误，且经合理推断无法弥补的，承包人应承担因工期延误造成的损失，且工期不予延长。</w:t>
      </w:r>
    </w:p>
    <w:p w14:paraId="04B28BB1">
      <w:pPr>
        <w:snapToGrid w:val="0"/>
        <w:ind w:left="41" w:leftChars="17"/>
        <w:rPr>
          <w:rFonts w:ascii="宋体" w:hAnsi="宋体"/>
          <w:b/>
        </w:rPr>
      </w:pPr>
      <w:bookmarkStart w:id="520" w:name="_Toc144974654"/>
      <w:bookmarkStart w:id="521" w:name="_Toc179632704"/>
      <w:bookmarkStart w:id="522" w:name="_Toc152045686"/>
      <w:bookmarkStart w:id="523" w:name="_Toc296602533"/>
      <w:bookmarkStart w:id="524" w:name="_Toc152042464"/>
      <w:r>
        <w:rPr>
          <w:rFonts w:ascii="宋体" w:hAnsi="宋体"/>
          <w:b/>
        </w:rPr>
        <w:t xml:space="preserve">    6.4 异常恶劣的气候条件</w:t>
      </w:r>
      <w:bookmarkEnd w:id="520"/>
      <w:bookmarkEnd w:id="521"/>
      <w:bookmarkEnd w:id="522"/>
      <w:bookmarkEnd w:id="523"/>
      <w:bookmarkEnd w:id="524"/>
    </w:p>
    <w:p w14:paraId="16B4A685">
      <w:pPr>
        <w:snapToGrid w:val="0"/>
        <w:ind w:left="41" w:leftChars="17" w:firstLine="480" w:firstLineChars="200"/>
        <w:rPr>
          <w:rFonts w:ascii="宋体" w:hAnsi="宋体"/>
        </w:rPr>
      </w:pPr>
      <w:r>
        <w:rPr>
          <w:rFonts w:hint="eastAsia" w:ascii="宋体" w:hAnsi="宋体"/>
        </w:rPr>
        <w:t>由于出现专用合同条款约定的异常恶劣气候导致工期延误的，承包人有权要求发包人延长工期。</w:t>
      </w:r>
    </w:p>
    <w:p w14:paraId="559F0AA7">
      <w:pPr>
        <w:snapToGrid w:val="0"/>
        <w:ind w:left="41" w:leftChars="17"/>
        <w:rPr>
          <w:rFonts w:ascii="宋体" w:hAnsi="宋体"/>
          <w:b/>
        </w:rPr>
      </w:pPr>
      <w:bookmarkStart w:id="525" w:name="_Toc152045687"/>
      <w:bookmarkStart w:id="526" w:name="_Toc179632705"/>
      <w:bookmarkStart w:id="527" w:name="_Toc152042465"/>
      <w:bookmarkStart w:id="528" w:name="_Toc144974655"/>
      <w:bookmarkStart w:id="529" w:name="_Toc296602534"/>
      <w:r>
        <w:rPr>
          <w:rFonts w:ascii="宋体" w:hAnsi="宋体"/>
          <w:b/>
        </w:rPr>
        <w:t xml:space="preserve">    6.5 承包人引起的工期延误</w:t>
      </w:r>
      <w:bookmarkEnd w:id="525"/>
      <w:bookmarkEnd w:id="526"/>
      <w:bookmarkEnd w:id="527"/>
      <w:bookmarkEnd w:id="528"/>
      <w:bookmarkEnd w:id="529"/>
    </w:p>
    <w:p w14:paraId="484463AC">
      <w:pPr>
        <w:snapToGrid w:val="0"/>
        <w:ind w:left="41" w:leftChars="17" w:firstLine="480" w:firstLineChars="200"/>
        <w:rPr>
          <w:rFonts w:ascii="宋体" w:hAnsi="宋体"/>
        </w:rPr>
      </w:pPr>
      <w:r>
        <w:rPr>
          <w:rFonts w:ascii="宋体" w:hAnsi="宋体"/>
        </w:rPr>
        <w:t>由于</w:t>
      </w:r>
      <w:r>
        <w:rPr>
          <w:rFonts w:hint="eastAsia" w:ascii="宋体" w:hAnsi="宋体"/>
        </w:rPr>
        <w:t>承包</w:t>
      </w:r>
      <w:r>
        <w:rPr>
          <w:rFonts w:ascii="宋体" w:hAnsi="宋体"/>
        </w:rPr>
        <w:t>人原因造成工期延误，</w:t>
      </w:r>
      <w:r>
        <w:rPr>
          <w:rFonts w:hint="eastAsia" w:ascii="宋体" w:hAnsi="宋体"/>
        </w:rPr>
        <w:t>承包</w:t>
      </w:r>
      <w:r>
        <w:rPr>
          <w:rFonts w:ascii="宋体" w:hAnsi="宋体"/>
        </w:rPr>
        <w:t>人应按照</w:t>
      </w:r>
      <w:r>
        <w:rPr>
          <w:rFonts w:hint="eastAsia" w:ascii="宋体" w:hAnsi="宋体"/>
        </w:rPr>
        <w:t>专用合同条款</w:t>
      </w:r>
      <w:r>
        <w:rPr>
          <w:rFonts w:ascii="宋体" w:hAnsi="宋体"/>
        </w:rPr>
        <w:t>中</w:t>
      </w:r>
      <w:r>
        <w:rPr>
          <w:rFonts w:hint="eastAsia" w:ascii="宋体" w:hAnsi="宋体"/>
        </w:rPr>
        <w:t>的</w:t>
      </w:r>
      <w:r>
        <w:rPr>
          <w:rFonts w:ascii="宋体" w:hAnsi="宋体"/>
        </w:rPr>
        <w:t>约定支付逾期交工违约金</w:t>
      </w:r>
      <w:r>
        <w:rPr>
          <w:rFonts w:hint="eastAsia" w:ascii="宋体" w:hAnsi="宋体"/>
        </w:rPr>
        <w:t>。承包人支付逾期交工违约金，不免除承包人完成工程及修补缺陷的义务。</w:t>
      </w:r>
    </w:p>
    <w:bookmarkEnd w:id="475"/>
    <w:bookmarkEnd w:id="476"/>
    <w:bookmarkEnd w:id="477"/>
    <w:p w14:paraId="433C3A29">
      <w:pPr>
        <w:ind w:left="41" w:leftChars="17"/>
        <w:outlineLvl w:val="1"/>
        <w:rPr>
          <w:rFonts w:ascii="宋体" w:hAnsi="宋体"/>
          <w:b/>
          <w:bCs/>
          <w:kern w:val="0"/>
        </w:rPr>
      </w:pPr>
      <w:bookmarkStart w:id="530" w:name="_Toc296602535"/>
      <w:bookmarkStart w:id="531" w:name="_Toc410986365"/>
      <w:bookmarkStart w:id="532" w:name="_Toc29374"/>
      <w:bookmarkStart w:id="533" w:name="_Toc246997034"/>
      <w:bookmarkStart w:id="534" w:name="_Toc246996291"/>
      <w:bookmarkStart w:id="535" w:name="_Toc184635110"/>
      <w:bookmarkStart w:id="536" w:name="_Toc489084311"/>
      <w:bookmarkStart w:id="537" w:name="_Toc439160166"/>
      <w:bookmarkStart w:id="538" w:name="_Toc526793378"/>
      <w:bookmarkStart w:id="539" w:name="_Toc247085806"/>
      <w:bookmarkStart w:id="540" w:name="_Toc6241363"/>
      <w:r>
        <w:rPr>
          <w:rFonts w:ascii="宋体" w:hAnsi="宋体"/>
          <w:b/>
          <w:bCs/>
          <w:kern w:val="0"/>
        </w:rPr>
        <w:t xml:space="preserve">7. </w:t>
      </w:r>
      <w:r>
        <w:rPr>
          <w:rFonts w:hint="eastAsia" w:ascii="宋体" w:hAnsi="宋体"/>
          <w:b/>
          <w:bCs/>
          <w:kern w:val="0"/>
        </w:rPr>
        <w:t>工程质量</w:t>
      </w:r>
      <w:bookmarkEnd w:id="530"/>
      <w:bookmarkEnd w:id="531"/>
      <w:bookmarkEnd w:id="532"/>
      <w:bookmarkEnd w:id="533"/>
      <w:bookmarkEnd w:id="534"/>
      <w:bookmarkEnd w:id="535"/>
      <w:bookmarkEnd w:id="536"/>
      <w:bookmarkEnd w:id="537"/>
      <w:bookmarkEnd w:id="538"/>
      <w:bookmarkEnd w:id="539"/>
      <w:bookmarkEnd w:id="540"/>
    </w:p>
    <w:p w14:paraId="3AB18272">
      <w:pPr>
        <w:snapToGrid w:val="0"/>
        <w:ind w:left="41" w:leftChars="17"/>
        <w:rPr>
          <w:rFonts w:ascii="宋体" w:hAnsi="宋体"/>
          <w:b/>
        </w:rPr>
      </w:pPr>
      <w:bookmarkStart w:id="541" w:name="_Toc246997035"/>
      <w:bookmarkStart w:id="542" w:name="_Toc246996292"/>
      <w:bookmarkStart w:id="543" w:name="_Toc247085807"/>
      <w:bookmarkStart w:id="544" w:name="_Toc296602536"/>
      <w:r>
        <w:rPr>
          <w:rFonts w:ascii="宋体" w:hAnsi="宋体"/>
          <w:b/>
        </w:rPr>
        <w:t xml:space="preserve">    7.1 工程质量要求</w:t>
      </w:r>
      <w:bookmarkEnd w:id="541"/>
      <w:bookmarkEnd w:id="542"/>
      <w:bookmarkEnd w:id="543"/>
      <w:bookmarkEnd w:id="544"/>
    </w:p>
    <w:p w14:paraId="67675C19">
      <w:pPr>
        <w:snapToGrid w:val="0"/>
        <w:ind w:left="41" w:leftChars="17" w:firstLine="480" w:firstLineChars="200"/>
        <w:rPr>
          <w:rFonts w:ascii="宋体" w:hAnsi="宋体"/>
        </w:rPr>
      </w:pPr>
      <w:r>
        <w:rPr>
          <w:rFonts w:hint="eastAsia" w:ascii="宋体" w:hAnsi="宋体"/>
        </w:rPr>
        <w:t>工程质量验收按照合同约定的验收标准执行。</w:t>
      </w:r>
    </w:p>
    <w:p w14:paraId="4B8C5EEA">
      <w:pPr>
        <w:snapToGrid w:val="0"/>
        <w:ind w:left="41" w:leftChars="17"/>
        <w:rPr>
          <w:rFonts w:ascii="宋体" w:hAnsi="宋体"/>
          <w:b/>
        </w:rPr>
      </w:pPr>
      <w:bookmarkStart w:id="545" w:name="_Toc296602537"/>
      <w:bookmarkStart w:id="546" w:name="_Toc246996293"/>
      <w:bookmarkStart w:id="547" w:name="_Toc247085808"/>
      <w:bookmarkStart w:id="548" w:name="_Toc246997036"/>
      <w:r>
        <w:rPr>
          <w:rFonts w:ascii="宋体" w:hAnsi="宋体"/>
          <w:b/>
        </w:rPr>
        <w:t xml:space="preserve">    7.2 监理人的质量检查</w:t>
      </w:r>
      <w:bookmarkEnd w:id="545"/>
      <w:bookmarkEnd w:id="546"/>
      <w:bookmarkEnd w:id="547"/>
      <w:bookmarkEnd w:id="548"/>
    </w:p>
    <w:p w14:paraId="6CD62F13">
      <w:pPr>
        <w:snapToGrid w:val="0"/>
        <w:ind w:left="41" w:leftChars="17" w:firstLine="480" w:firstLineChars="200"/>
        <w:rPr>
          <w:rFonts w:ascii="宋体" w:hAnsi="宋体"/>
        </w:rPr>
      </w:pPr>
      <w:r>
        <w:rPr>
          <w:rFonts w:hint="eastAsia" w:ascii="宋体" w:hAnsi="宋体"/>
        </w:rPr>
        <w:t>监理人有权对工程的所有部位及其施工工艺、材料和工程设备进行检查和检验。监理人的检查和检验，不免除承包人按合同约定应负的责任。</w:t>
      </w:r>
    </w:p>
    <w:p w14:paraId="1BA21884">
      <w:pPr>
        <w:snapToGrid w:val="0"/>
        <w:ind w:left="41" w:leftChars="17"/>
        <w:rPr>
          <w:rFonts w:ascii="宋体" w:hAnsi="宋体"/>
          <w:b/>
        </w:rPr>
      </w:pPr>
      <w:bookmarkStart w:id="549" w:name="_Toc247085809"/>
      <w:bookmarkStart w:id="550" w:name="_Toc296602538"/>
      <w:bookmarkStart w:id="551" w:name="_Toc246997037"/>
      <w:bookmarkStart w:id="552" w:name="_Toc246996294"/>
      <w:r>
        <w:rPr>
          <w:rFonts w:ascii="宋体" w:hAnsi="宋体"/>
          <w:b/>
        </w:rPr>
        <w:t xml:space="preserve">    7.3 工程隐蔽部位覆盖前的检查</w:t>
      </w:r>
      <w:bookmarkEnd w:id="549"/>
      <w:bookmarkEnd w:id="550"/>
      <w:bookmarkEnd w:id="551"/>
      <w:bookmarkEnd w:id="552"/>
    </w:p>
    <w:p w14:paraId="3D11EC73">
      <w:pPr>
        <w:snapToGrid w:val="0"/>
        <w:ind w:left="41" w:leftChars="17" w:firstLine="480" w:firstLineChars="200"/>
        <w:rPr>
          <w:rFonts w:ascii="宋体" w:hAnsi="宋体"/>
        </w:rPr>
      </w:pPr>
      <w:bookmarkStart w:id="553" w:name="_Toc246997038"/>
      <w:bookmarkStart w:id="554" w:name="_Toc246996295"/>
      <w:bookmarkStart w:id="555" w:name="_Toc296602539"/>
      <w:bookmarkStart w:id="556" w:name="_Toc247085810"/>
      <w:r>
        <w:rPr>
          <w:rFonts w:ascii="宋体" w:hAnsi="宋体"/>
        </w:rPr>
        <w:t xml:space="preserve">7.3.1 </w:t>
      </w:r>
      <w:r>
        <w:rPr>
          <w:rFonts w:hint="eastAsia" w:ascii="宋体" w:hAnsi="宋体"/>
        </w:rPr>
        <w:t>通知监理人检查</w:t>
      </w:r>
    </w:p>
    <w:p w14:paraId="62D2FEC2">
      <w:pPr>
        <w:snapToGrid w:val="0"/>
        <w:ind w:left="41" w:leftChars="17" w:firstLine="480" w:firstLineChars="200"/>
        <w:rPr>
          <w:rFonts w:ascii="宋体" w:hAnsi="宋体"/>
        </w:rPr>
      </w:pPr>
      <w:r>
        <w:rPr>
          <w:rFonts w:hint="eastAsia" w:ascii="宋体" w:hAnsi="宋体"/>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031E912C">
      <w:pPr>
        <w:snapToGrid w:val="0"/>
        <w:ind w:left="41" w:leftChars="17" w:firstLine="480" w:firstLineChars="200"/>
        <w:rPr>
          <w:rFonts w:ascii="宋体" w:hAnsi="宋体"/>
        </w:rPr>
      </w:pPr>
      <w:r>
        <w:rPr>
          <w:rFonts w:ascii="宋体" w:hAnsi="宋体"/>
        </w:rPr>
        <w:t xml:space="preserve">7.3.2 </w:t>
      </w:r>
      <w:r>
        <w:rPr>
          <w:rFonts w:hint="eastAsia" w:ascii="宋体" w:hAnsi="宋体"/>
        </w:rPr>
        <w:t>监理人未到场检查</w:t>
      </w:r>
    </w:p>
    <w:p w14:paraId="53E44BBB">
      <w:pPr>
        <w:snapToGrid w:val="0"/>
        <w:ind w:left="41" w:leftChars="17" w:firstLine="480" w:firstLineChars="200"/>
        <w:rPr>
          <w:rFonts w:ascii="宋体" w:hAnsi="宋体"/>
        </w:rPr>
      </w:pPr>
      <w:r>
        <w:rPr>
          <w:rFonts w:hint="eastAsia" w:ascii="宋体" w:hAnsi="宋体"/>
        </w:rPr>
        <w:t>监理人未按约定的时间进行检查的，除监理人另有指示外，承包人可自行完成覆盖工作，并作相应记录报送监理人，监理人应签字确认。</w:t>
      </w:r>
    </w:p>
    <w:p w14:paraId="2910C232">
      <w:pPr>
        <w:snapToGrid w:val="0"/>
        <w:ind w:left="41" w:leftChars="17" w:firstLine="480" w:firstLineChars="200"/>
        <w:rPr>
          <w:rFonts w:ascii="宋体" w:hAnsi="宋体"/>
        </w:rPr>
      </w:pPr>
      <w:r>
        <w:rPr>
          <w:rFonts w:ascii="宋体" w:hAnsi="宋体"/>
        </w:rPr>
        <w:t xml:space="preserve">7.3.3 </w:t>
      </w:r>
      <w:r>
        <w:rPr>
          <w:rFonts w:hint="eastAsia" w:ascii="宋体" w:hAnsi="宋体"/>
        </w:rPr>
        <w:t>监理人重新检查</w:t>
      </w:r>
    </w:p>
    <w:p w14:paraId="7254DC87">
      <w:pPr>
        <w:snapToGrid w:val="0"/>
        <w:ind w:left="41" w:leftChars="17" w:firstLine="480" w:firstLineChars="200"/>
        <w:rPr>
          <w:rFonts w:ascii="宋体" w:hAnsi="宋体"/>
        </w:rPr>
      </w:pPr>
      <w:r>
        <w:rPr>
          <w:rFonts w:hint="eastAsia" w:ascii="宋体" w:hAnsi="宋体"/>
        </w:rPr>
        <w:t>承包人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4965411A">
      <w:pPr>
        <w:snapToGrid w:val="0"/>
        <w:ind w:left="41" w:leftChars="17" w:firstLine="480" w:firstLineChars="200"/>
        <w:rPr>
          <w:rFonts w:ascii="宋体" w:hAnsi="宋体"/>
        </w:rPr>
      </w:pPr>
      <w:r>
        <w:rPr>
          <w:rFonts w:ascii="宋体" w:hAnsi="宋体"/>
        </w:rPr>
        <w:t xml:space="preserve">7.3.4 </w:t>
      </w:r>
      <w:r>
        <w:rPr>
          <w:rFonts w:hint="eastAsia" w:ascii="宋体" w:hAnsi="宋体"/>
        </w:rPr>
        <w:t>承包人擅自覆盖</w:t>
      </w:r>
    </w:p>
    <w:p w14:paraId="1EEAC11A">
      <w:pPr>
        <w:snapToGrid w:val="0"/>
        <w:ind w:left="41" w:leftChars="17" w:firstLine="480" w:firstLineChars="200"/>
        <w:rPr>
          <w:rFonts w:ascii="宋体" w:hAnsi="宋体"/>
        </w:rPr>
      </w:pPr>
      <w:r>
        <w:rPr>
          <w:rFonts w:hint="eastAsia" w:ascii="宋体" w:hAnsi="宋体"/>
        </w:rPr>
        <w:t>承包人未通知监理人到场检查，擅自将工程隐蔽部位覆盖的，监理人有权指示承包人钻孔探测或揭开检查，由此增加的费用和（或）工期延误由承包人承担。</w:t>
      </w:r>
    </w:p>
    <w:p w14:paraId="79C059A1">
      <w:pPr>
        <w:snapToGrid w:val="0"/>
        <w:ind w:left="41" w:leftChars="17"/>
        <w:rPr>
          <w:rFonts w:ascii="宋体" w:hAnsi="宋体"/>
          <w:b/>
        </w:rPr>
      </w:pPr>
      <w:r>
        <w:rPr>
          <w:rFonts w:ascii="宋体" w:hAnsi="宋体"/>
          <w:b/>
        </w:rPr>
        <w:t xml:space="preserve">    7.4 清除不合格工程</w:t>
      </w:r>
      <w:bookmarkEnd w:id="553"/>
      <w:bookmarkEnd w:id="554"/>
      <w:bookmarkEnd w:id="555"/>
      <w:bookmarkEnd w:id="556"/>
    </w:p>
    <w:p w14:paraId="30F830D7">
      <w:pPr>
        <w:snapToGrid w:val="0"/>
        <w:ind w:left="41" w:leftChars="17" w:firstLine="480" w:firstLineChars="200"/>
        <w:rPr>
          <w:rFonts w:ascii="宋体" w:hAnsi="宋体"/>
        </w:rPr>
      </w:pPr>
      <w:r>
        <w:rPr>
          <w:rFonts w:ascii="宋体" w:hAnsi="宋体"/>
        </w:rPr>
        <w:t>7.4.1因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BABC11C">
      <w:pPr>
        <w:snapToGrid w:val="0"/>
        <w:ind w:left="41" w:leftChars="17" w:firstLine="480" w:firstLineChars="200"/>
        <w:rPr>
          <w:rFonts w:ascii="宋体" w:hAnsi="宋体"/>
        </w:rPr>
      </w:pPr>
      <w:r>
        <w:rPr>
          <w:rFonts w:ascii="宋体" w:hAnsi="宋体"/>
        </w:rPr>
        <w:t>7.4.2由于发包人提供的材料或工程设备不合格造成的工程不合格，需要承包人采取措施补救的，发包人应承担由此增加的费用和（或）工期延误。</w:t>
      </w:r>
    </w:p>
    <w:p w14:paraId="70DF1108">
      <w:pPr>
        <w:snapToGrid w:val="0"/>
        <w:ind w:left="41" w:leftChars="17"/>
        <w:rPr>
          <w:rFonts w:ascii="宋体" w:hAnsi="宋体"/>
          <w:b/>
        </w:rPr>
      </w:pPr>
      <w:r>
        <w:rPr>
          <w:rFonts w:ascii="宋体" w:hAnsi="宋体"/>
          <w:b/>
        </w:rPr>
        <w:t xml:space="preserve">    7.5 质量争议</w:t>
      </w:r>
    </w:p>
    <w:p w14:paraId="75397AB6">
      <w:pPr>
        <w:snapToGrid w:val="0"/>
        <w:ind w:left="41" w:leftChars="17" w:firstLine="480" w:firstLineChars="200"/>
        <w:rPr>
          <w:rFonts w:ascii="宋体" w:hAnsi="宋体"/>
        </w:rPr>
      </w:pPr>
      <w:r>
        <w:rPr>
          <w:rFonts w:hint="eastAsia" w:ascii="宋体" w:hAnsi="宋体"/>
        </w:rPr>
        <w:t>除专用合同条款另有约定外，</w:t>
      </w:r>
      <w:r>
        <w:rPr>
          <w:rFonts w:ascii="宋体" w:hAnsi="宋体"/>
        </w:rPr>
        <w:t>合同当事人对工程质量有争议的，由</w:t>
      </w:r>
      <w:r>
        <w:rPr>
          <w:rFonts w:hint="eastAsia" w:ascii="宋体" w:hAnsi="宋体"/>
        </w:rPr>
        <w:t>质量监督机构</w:t>
      </w:r>
      <w:r>
        <w:rPr>
          <w:rFonts w:ascii="宋体" w:hAnsi="宋体"/>
        </w:rPr>
        <w:t>鉴定，由此产生的费用及因此造成的损失，由责任方承担。合同当事人均有责任的，由双方根据责任分别承担。合同当事人无法达成一致的，按照第19条执行。</w:t>
      </w:r>
    </w:p>
    <w:p w14:paraId="5658B8D6">
      <w:pPr>
        <w:ind w:left="41" w:leftChars="17"/>
        <w:outlineLvl w:val="1"/>
        <w:rPr>
          <w:rFonts w:ascii="宋体" w:hAnsi="宋体"/>
          <w:b/>
          <w:bCs/>
          <w:kern w:val="0"/>
        </w:rPr>
      </w:pPr>
      <w:bookmarkStart w:id="557" w:name="_Toc399775146"/>
      <w:bookmarkStart w:id="558" w:name="_Toc400522401"/>
      <w:bookmarkStart w:id="559" w:name="_Toc526793379"/>
      <w:bookmarkStart w:id="560" w:name="_Toc399776213"/>
      <w:bookmarkStart w:id="561" w:name="_Toc6241364"/>
      <w:bookmarkStart w:id="562" w:name="_Toc399775766"/>
      <w:bookmarkStart w:id="563" w:name="_Toc410986366"/>
      <w:bookmarkStart w:id="564" w:name="_Toc351203538"/>
      <w:bookmarkStart w:id="565" w:name="_Toc400486393"/>
      <w:bookmarkStart w:id="566" w:name="_Toc400485420"/>
      <w:bookmarkStart w:id="567" w:name="_Toc489084312"/>
      <w:bookmarkStart w:id="568" w:name="_Toc24553"/>
      <w:bookmarkStart w:id="569" w:name="_Toc439160167"/>
      <w:bookmarkStart w:id="570" w:name="_Toc337558763"/>
      <w:bookmarkStart w:id="571" w:name="_Toc246996296"/>
      <w:bookmarkStart w:id="572" w:name="_Toc246997039"/>
      <w:bookmarkStart w:id="573" w:name="_Toc296602540"/>
      <w:bookmarkStart w:id="574" w:name="_Toc247085811"/>
      <w:r>
        <w:rPr>
          <w:rFonts w:ascii="宋体" w:hAnsi="宋体"/>
          <w:b/>
          <w:bCs/>
          <w:kern w:val="0"/>
        </w:rPr>
        <w:t>8. 安全文明施工与环境保护</w:t>
      </w:r>
      <w:bookmarkEnd w:id="557"/>
      <w:bookmarkEnd w:id="558"/>
      <w:bookmarkEnd w:id="559"/>
      <w:bookmarkEnd w:id="560"/>
      <w:bookmarkEnd w:id="561"/>
      <w:bookmarkEnd w:id="562"/>
      <w:bookmarkEnd w:id="563"/>
      <w:bookmarkEnd w:id="564"/>
      <w:bookmarkEnd w:id="565"/>
      <w:bookmarkEnd w:id="566"/>
      <w:bookmarkEnd w:id="567"/>
      <w:bookmarkEnd w:id="568"/>
      <w:bookmarkEnd w:id="569"/>
    </w:p>
    <w:bookmarkEnd w:id="570"/>
    <w:p w14:paraId="645DEA67">
      <w:pPr>
        <w:snapToGrid w:val="0"/>
        <w:ind w:left="41" w:leftChars="17"/>
        <w:rPr>
          <w:rFonts w:ascii="宋体" w:hAnsi="宋体"/>
          <w:b/>
        </w:rPr>
      </w:pPr>
      <w:r>
        <w:rPr>
          <w:rFonts w:ascii="宋体" w:hAnsi="宋体"/>
          <w:b/>
        </w:rPr>
        <w:t xml:space="preserve">    8.1安全文明施工</w:t>
      </w:r>
    </w:p>
    <w:p w14:paraId="027F1485">
      <w:pPr>
        <w:snapToGrid w:val="0"/>
        <w:ind w:left="41" w:leftChars="17" w:firstLine="480" w:firstLineChars="200"/>
        <w:rPr>
          <w:rFonts w:ascii="宋体" w:hAnsi="宋体"/>
        </w:rPr>
      </w:pPr>
      <w:r>
        <w:rPr>
          <w:rFonts w:ascii="宋体" w:hAnsi="宋体"/>
        </w:rPr>
        <w:t>8.1.1安全生产要求</w:t>
      </w:r>
    </w:p>
    <w:p w14:paraId="3A64E994">
      <w:pPr>
        <w:snapToGrid w:val="0"/>
        <w:ind w:left="41" w:leftChars="17" w:firstLine="480" w:firstLineChars="200"/>
        <w:rPr>
          <w:rFonts w:ascii="宋体" w:hAnsi="宋体"/>
        </w:rPr>
      </w:pPr>
      <w:r>
        <w:rPr>
          <w:rFonts w:hint="eastAsia" w:ascii="宋体" w:hAnsi="宋体"/>
        </w:rPr>
        <w:t>（</w:t>
      </w:r>
      <w:r>
        <w:rPr>
          <w:rFonts w:ascii="宋体" w:hAnsi="宋体"/>
        </w:rPr>
        <w:t>1）合同履行期间，合同当事人均应当遵守国家</w:t>
      </w:r>
      <w:r>
        <w:rPr>
          <w:rFonts w:hint="eastAsia" w:ascii="宋体" w:hAnsi="宋体"/>
        </w:rPr>
        <w:t>、工程所在地及相关行业</w:t>
      </w:r>
      <w:r>
        <w:rPr>
          <w:rFonts w:ascii="宋体" w:hAnsi="宋体"/>
        </w:rPr>
        <w:t>有关安全生产的要求</w:t>
      </w:r>
      <w:r>
        <w:rPr>
          <w:rFonts w:hint="eastAsia" w:ascii="宋体" w:hAnsi="宋体"/>
        </w:rPr>
        <w:t>。</w:t>
      </w:r>
      <w:r>
        <w:rPr>
          <w:rFonts w:ascii="宋体" w:hAnsi="宋体"/>
        </w:rPr>
        <w:t>合同当事人有特别要求的，应在专用合同条款中明确施工项目安全生产标准化达标目标及相应事项。承包人有权拒绝发包人及监理人强令承包人违章作业、冒险施工的任何指示。</w:t>
      </w:r>
    </w:p>
    <w:p w14:paraId="6ABC69FA">
      <w:pPr>
        <w:snapToGrid w:val="0"/>
        <w:ind w:left="41" w:leftChars="17" w:firstLine="480" w:firstLineChars="200"/>
        <w:rPr>
          <w:rFonts w:ascii="宋体" w:hAnsi="宋体"/>
        </w:rPr>
      </w:pPr>
      <w:r>
        <w:rPr>
          <w:rFonts w:hint="eastAsia" w:ascii="宋体" w:hAnsi="宋体"/>
        </w:rPr>
        <w:t>（</w:t>
      </w:r>
      <w:r>
        <w:rPr>
          <w:rFonts w:ascii="宋体" w:hAnsi="宋体"/>
        </w:rPr>
        <w:t>2）在施工过程中，如遇到突发的地质变动、事先未知的地下施工障碍等影响施工安全的紧急情况，</w:t>
      </w:r>
      <w:r>
        <w:rPr>
          <w:rFonts w:hint="eastAsia" w:ascii="宋体" w:hAnsi="宋体"/>
        </w:rPr>
        <w:t>承包人应及时报告监理人和发包人，</w:t>
      </w:r>
      <w:r>
        <w:rPr>
          <w:rFonts w:ascii="宋体" w:hAnsi="宋体"/>
        </w:rPr>
        <w:t>发包人应当及时下令停工并报政府有关行政管理部门采取应急措施。</w:t>
      </w:r>
    </w:p>
    <w:p w14:paraId="6837984F">
      <w:pPr>
        <w:snapToGrid w:val="0"/>
        <w:ind w:left="41" w:leftChars="17" w:firstLine="480" w:firstLineChars="200"/>
        <w:rPr>
          <w:rFonts w:ascii="宋体" w:hAnsi="宋体"/>
        </w:rPr>
      </w:pPr>
      <w:r>
        <w:rPr>
          <w:rFonts w:ascii="宋体" w:hAnsi="宋体"/>
        </w:rPr>
        <w:t>8.1.2 安全生产保证措施</w:t>
      </w:r>
    </w:p>
    <w:p w14:paraId="3841D833">
      <w:pPr>
        <w:snapToGrid w:val="0"/>
        <w:ind w:left="41" w:leftChars="17" w:firstLine="480" w:firstLineChars="200"/>
        <w:rPr>
          <w:rFonts w:ascii="宋体" w:hAnsi="宋体"/>
        </w:rPr>
      </w:pPr>
      <w:r>
        <w:rPr>
          <w:rFonts w:ascii="宋体" w:hAnsi="宋体"/>
        </w:rPr>
        <w:t>承包人应当按照有关规定编制安全技术措施或者专项施工方案，建立安全生产责任制度、治安保卫制度及安全生产教育培训制度，并按安全生产法律规定及合同约定履行安全职责，</w:t>
      </w:r>
      <w:r>
        <w:rPr>
          <w:rFonts w:hint="eastAsia" w:ascii="宋体" w:hAnsi="宋体"/>
        </w:rPr>
        <w:t>如实</w:t>
      </w:r>
      <w:r>
        <w:rPr>
          <w:rFonts w:ascii="宋体" w:hAnsi="宋体"/>
        </w:rPr>
        <w:t>编制工程安全生产的有关记录，接受发包人、监理人及政府安全监督部门的检查与监督。</w:t>
      </w:r>
    </w:p>
    <w:p w14:paraId="6B091771">
      <w:pPr>
        <w:snapToGrid w:val="0"/>
        <w:ind w:left="41" w:leftChars="17" w:firstLine="480" w:firstLineChars="200"/>
        <w:rPr>
          <w:rFonts w:ascii="宋体" w:hAnsi="宋体"/>
        </w:rPr>
      </w:pPr>
      <w:r>
        <w:rPr>
          <w:rFonts w:ascii="宋体" w:hAnsi="宋体"/>
        </w:rPr>
        <w:t>8.1.3特别安全生产事项</w:t>
      </w:r>
    </w:p>
    <w:p w14:paraId="70A4FB5E">
      <w:pPr>
        <w:snapToGrid w:val="0"/>
        <w:ind w:left="41" w:leftChars="17" w:firstLine="480" w:firstLineChars="200"/>
        <w:rPr>
          <w:rFonts w:ascii="宋体" w:hAnsi="宋体"/>
        </w:rPr>
      </w:pPr>
      <w:r>
        <w:rPr>
          <w:rFonts w:hint="eastAsia" w:ascii="宋体" w:hAnsi="宋体"/>
        </w:rPr>
        <w:t>（</w:t>
      </w:r>
      <w:r>
        <w:rPr>
          <w:rFonts w:ascii="宋体" w:hAnsi="宋体"/>
        </w:rPr>
        <w:t>1）承包人应按照法律规定进行施工，开工前做好安全技术交底工作，施工过程中做好各项安全防护措施。</w:t>
      </w:r>
    </w:p>
    <w:p w14:paraId="3B369FD4">
      <w:pPr>
        <w:snapToGrid w:val="0"/>
        <w:ind w:left="41" w:leftChars="17" w:firstLine="480" w:firstLineChars="200"/>
        <w:rPr>
          <w:rFonts w:ascii="宋体" w:hAnsi="宋体"/>
        </w:rPr>
      </w:pPr>
      <w:r>
        <w:rPr>
          <w:rFonts w:hint="eastAsia" w:ascii="宋体" w:hAnsi="宋体"/>
        </w:rPr>
        <w:t>（</w:t>
      </w:r>
      <w:r>
        <w:rPr>
          <w:rFonts w:ascii="宋体" w:hAnsi="宋体"/>
        </w:rPr>
        <w:t>2）承包人为实施合同而</w:t>
      </w:r>
      <w:r>
        <w:rPr>
          <w:rFonts w:hint="eastAsia" w:ascii="宋体" w:hAnsi="宋体"/>
        </w:rPr>
        <w:t>雇佣</w:t>
      </w:r>
      <w:r>
        <w:rPr>
          <w:rFonts w:ascii="宋体" w:hAnsi="宋体"/>
        </w:rPr>
        <w:t>的特殊工种的人员应受过专门的培训并已取得政府有关管理机构颁发的上岗证书。</w:t>
      </w:r>
    </w:p>
    <w:p w14:paraId="7B50BE1B">
      <w:pPr>
        <w:snapToGrid w:val="0"/>
        <w:ind w:left="41" w:leftChars="17" w:firstLine="480" w:firstLineChars="200"/>
        <w:rPr>
          <w:rFonts w:ascii="宋体" w:hAnsi="宋体"/>
        </w:rPr>
      </w:pPr>
      <w:r>
        <w:rPr>
          <w:rFonts w:hint="eastAsia" w:ascii="宋体" w:hAnsi="宋体"/>
        </w:rPr>
        <w:t>（</w:t>
      </w:r>
      <w:r>
        <w:rPr>
          <w:rFonts w:ascii="宋体" w:hAnsi="宋体"/>
        </w:rPr>
        <w:t>3）入场前，发包人应对承包人所有施工现场人员进行安全教育，经过培训合格后持证进场。</w:t>
      </w:r>
    </w:p>
    <w:p w14:paraId="6CE58B07">
      <w:pPr>
        <w:snapToGrid w:val="0"/>
        <w:ind w:left="41" w:leftChars="17" w:firstLine="480" w:firstLineChars="200"/>
        <w:rPr>
          <w:rFonts w:ascii="宋体" w:hAnsi="宋体"/>
        </w:rPr>
      </w:pPr>
      <w:r>
        <w:rPr>
          <w:rFonts w:hint="eastAsia" w:ascii="宋体" w:hAnsi="宋体"/>
        </w:rPr>
        <w:t>（</w:t>
      </w:r>
      <w:r>
        <w:rPr>
          <w:rFonts w:ascii="宋体" w:hAnsi="宋体"/>
        </w:rPr>
        <w:t>4）承包人应按有关规定，在施工现场采取诸如围栏、照明、防护及看守等维护安全、防范危险、预防火灾的措施，保证施工过程中的安全，并承担由于自身管理混乱、安全措施不力造成事故的责任和因此发生的费用。</w:t>
      </w:r>
    </w:p>
    <w:p w14:paraId="087EE72C">
      <w:pPr>
        <w:snapToGrid w:val="0"/>
        <w:ind w:left="41" w:leftChars="17" w:firstLine="480" w:firstLineChars="200"/>
        <w:rPr>
          <w:rFonts w:ascii="宋体" w:hAnsi="宋体"/>
        </w:rPr>
      </w:pPr>
      <w:r>
        <w:rPr>
          <w:rFonts w:hint="eastAsia" w:ascii="宋体" w:hAnsi="宋体"/>
        </w:rPr>
        <w:t>（</w:t>
      </w:r>
      <w:r>
        <w:rPr>
          <w:rFonts w:ascii="宋体" w:hAnsi="宋体"/>
        </w:rPr>
        <w:t>5）承包人在易燃易爆区、动力设备、输电线路、地下管道、密封防震车间、自控室和变电所、压力容器、金属焊接、起重机、以及临街交通要道附近施工时，施工开始前应向发包人和监理人提出安全防护措施，经发包人和监理人审核后实施。</w:t>
      </w:r>
    </w:p>
    <w:p w14:paraId="4EEDC225">
      <w:pPr>
        <w:snapToGrid w:val="0"/>
        <w:ind w:left="41" w:leftChars="17" w:firstLine="480" w:firstLineChars="200"/>
        <w:rPr>
          <w:rFonts w:ascii="宋体" w:hAnsi="宋体"/>
        </w:rPr>
      </w:pPr>
      <w:r>
        <w:rPr>
          <w:rFonts w:hint="eastAsia" w:ascii="宋体" w:hAnsi="宋体"/>
        </w:rPr>
        <w:t>（</w:t>
      </w:r>
      <w:r>
        <w:rPr>
          <w:rFonts w:ascii="宋体" w:hAnsi="宋体"/>
        </w:rPr>
        <w:t>6）实施爆破作业，在放射、毒害性环境中施工（含储存、运输、使用）及使用毒害性、腐蚀性物品施工时，承包人应在施工前7天以书面通知发包人和监理人，并报送相应的安全防护措施，经发包人</w:t>
      </w:r>
      <w:r>
        <w:rPr>
          <w:rFonts w:hint="eastAsia" w:ascii="宋体" w:hAnsi="宋体"/>
        </w:rPr>
        <w:t>和监理人审核后实施。</w:t>
      </w:r>
    </w:p>
    <w:p w14:paraId="119700AB">
      <w:pPr>
        <w:snapToGrid w:val="0"/>
        <w:ind w:left="41" w:leftChars="17" w:firstLine="480" w:firstLineChars="200"/>
        <w:rPr>
          <w:rFonts w:ascii="宋体" w:hAnsi="宋体"/>
        </w:rPr>
      </w:pPr>
      <w:r>
        <w:rPr>
          <w:rFonts w:hint="eastAsia" w:ascii="宋体" w:hAnsi="宋体"/>
        </w:rPr>
        <w:t>（</w:t>
      </w:r>
      <w:r>
        <w:rPr>
          <w:rFonts w:ascii="宋体" w:hAnsi="宋体"/>
        </w:rPr>
        <w:t>7）承包人应对施工各阶段、部位和场所的危险源进行识别，制定防控措施，并对其实施管理和控制。</w:t>
      </w:r>
    </w:p>
    <w:p w14:paraId="29005C0B">
      <w:pPr>
        <w:snapToGrid w:val="0"/>
        <w:ind w:left="41" w:leftChars="17" w:firstLine="480" w:firstLineChars="200"/>
        <w:rPr>
          <w:rFonts w:ascii="宋体" w:hAnsi="宋体"/>
        </w:rPr>
      </w:pPr>
      <w:r>
        <w:rPr>
          <w:rFonts w:hint="eastAsia" w:ascii="宋体" w:hAnsi="宋体"/>
        </w:rPr>
        <w:t>（</w:t>
      </w:r>
      <w:r>
        <w:rPr>
          <w:rFonts w:ascii="宋体" w:hAnsi="宋体"/>
        </w:rPr>
        <w:t>8）需单独编制危险性较大分部分项专项工程施工方案的，及要求进行专家论证的超过一定规模的危险性较大的分部分项工程，承包人应及时编制和组织论证。</w:t>
      </w:r>
    </w:p>
    <w:p w14:paraId="51F2BA5F">
      <w:pPr>
        <w:snapToGrid w:val="0"/>
        <w:ind w:left="41" w:leftChars="17" w:firstLine="480" w:firstLineChars="200"/>
        <w:rPr>
          <w:rFonts w:ascii="宋体" w:hAnsi="宋体"/>
        </w:rPr>
      </w:pPr>
      <w:r>
        <w:rPr>
          <w:rFonts w:hint="eastAsia" w:ascii="宋体" w:hAnsi="宋体"/>
        </w:rPr>
        <w:t>（</w:t>
      </w:r>
      <w:r>
        <w:rPr>
          <w:rFonts w:ascii="宋体" w:hAnsi="宋体"/>
        </w:rPr>
        <w:t>9）承包人应接受当地政府部门、发包人及上级主管部门、监理人对施工现场安全工作的检查。对检查中发现的安全隐患必须立即采取有效措施,</w:t>
      </w:r>
      <w:r>
        <w:rPr>
          <w:rFonts w:hint="eastAsia" w:ascii="宋体" w:hAnsi="宋体"/>
        </w:rPr>
        <w:t>加以改正。</w:t>
      </w:r>
    </w:p>
    <w:p w14:paraId="0C4A2A91">
      <w:pPr>
        <w:snapToGrid w:val="0"/>
        <w:ind w:left="41" w:leftChars="17" w:firstLine="480" w:firstLineChars="200"/>
        <w:rPr>
          <w:rFonts w:ascii="宋体" w:hAnsi="宋体"/>
        </w:rPr>
      </w:pPr>
      <w:r>
        <w:rPr>
          <w:rFonts w:hint="eastAsia" w:ascii="宋体" w:hAnsi="宋体"/>
        </w:rPr>
        <w:t>（</w:t>
      </w:r>
      <w:r>
        <w:rPr>
          <w:rFonts w:ascii="宋体" w:hAnsi="宋体"/>
        </w:rPr>
        <w:t>10）对危及安全的施工作业，发包人、监理人有权命令承包人暂停施工作业，待承包人采取措施消除危害隐患后才能恢复施工。在此期间所发生的一切费用由承包人承担，工期不予顺延。</w:t>
      </w:r>
    </w:p>
    <w:p w14:paraId="7FAC1132">
      <w:pPr>
        <w:snapToGrid w:val="0"/>
        <w:ind w:left="41" w:leftChars="17" w:firstLine="480" w:firstLineChars="200"/>
        <w:rPr>
          <w:rFonts w:ascii="宋体" w:hAnsi="宋体"/>
        </w:rPr>
      </w:pPr>
      <w:r>
        <w:rPr>
          <w:rFonts w:ascii="宋体" w:hAnsi="宋体"/>
        </w:rPr>
        <w:t>8.1.4 治安保卫</w:t>
      </w:r>
    </w:p>
    <w:p w14:paraId="02FBB92C">
      <w:pPr>
        <w:snapToGrid w:val="0"/>
        <w:ind w:left="41" w:leftChars="17" w:firstLine="480" w:firstLineChars="200"/>
        <w:rPr>
          <w:rFonts w:ascii="宋体" w:hAnsi="宋体"/>
        </w:rPr>
      </w:pPr>
      <w:r>
        <w:rPr>
          <w:rFonts w:hint="eastAsia" w:ascii="宋体" w:hAnsi="宋体"/>
        </w:rPr>
        <w:t>（</w:t>
      </w:r>
      <w:r>
        <w:rPr>
          <w:rFonts w:ascii="宋体" w:hAnsi="宋体"/>
        </w:rPr>
        <w:t>1）承包人应保证为承担本工程项目使用的所有雇员符合国家和地方政府的有关法律、法规和规定。</w:t>
      </w:r>
    </w:p>
    <w:p w14:paraId="6628EB4E">
      <w:pPr>
        <w:snapToGrid w:val="0"/>
        <w:ind w:left="41" w:leftChars="17" w:firstLine="480" w:firstLineChars="200"/>
        <w:rPr>
          <w:rFonts w:ascii="宋体" w:hAnsi="宋体"/>
        </w:rPr>
      </w:pPr>
      <w:r>
        <w:rPr>
          <w:rFonts w:hint="eastAsia" w:ascii="宋体" w:hAnsi="宋体"/>
        </w:rPr>
        <w:t>（</w:t>
      </w:r>
      <w:r>
        <w:rPr>
          <w:rFonts w:ascii="宋体" w:hAnsi="宋体"/>
        </w:rPr>
        <w:t>2）除专用合同条款另有约定外，发包人应与当地公安部门协商，在现场建立治安管理机构或联防组织，统一管理施工场地的治安保卫事项，履行合同工程的治安保卫职责。</w:t>
      </w:r>
    </w:p>
    <w:p w14:paraId="3B182839">
      <w:pPr>
        <w:snapToGrid w:val="0"/>
        <w:ind w:left="41" w:leftChars="17" w:firstLine="480" w:firstLineChars="200"/>
        <w:rPr>
          <w:rFonts w:ascii="宋体" w:hAnsi="宋体"/>
        </w:rPr>
      </w:pPr>
      <w:r>
        <w:rPr>
          <w:rFonts w:hint="eastAsia" w:ascii="宋体" w:hAnsi="宋体"/>
        </w:rPr>
        <w:t>（</w:t>
      </w:r>
      <w:r>
        <w:rPr>
          <w:rFonts w:ascii="宋体" w:hAnsi="宋体"/>
        </w:rPr>
        <w:t>3）发包人和承包人除应协助现场治安管理机构或联防组织维护施工场地的社会治安外，还应做好包括生活区在内的各自管辖区的治安保卫工作。</w:t>
      </w:r>
    </w:p>
    <w:p w14:paraId="7D5D5FC4">
      <w:pPr>
        <w:snapToGrid w:val="0"/>
        <w:ind w:left="41" w:leftChars="17" w:firstLine="480" w:firstLineChars="200"/>
        <w:rPr>
          <w:rFonts w:ascii="宋体" w:hAnsi="宋体"/>
        </w:rPr>
      </w:pPr>
      <w:r>
        <w:rPr>
          <w:rFonts w:hint="eastAsia" w:ascii="宋体" w:hAnsi="宋体"/>
        </w:rPr>
        <w:t>（</w:t>
      </w:r>
      <w:r>
        <w:rPr>
          <w:rFonts w:ascii="宋体" w:hAnsi="宋体"/>
        </w:rPr>
        <w:t>4）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宋体" w:hAnsi="宋体"/>
        </w:rPr>
        <w:t>和</w:t>
      </w:r>
      <w:r>
        <w:rPr>
          <w:rFonts w:ascii="宋体" w:hAnsi="宋体"/>
        </w:rPr>
        <w:t>财产损失。</w:t>
      </w:r>
    </w:p>
    <w:p w14:paraId="743C913C">
      <w:pPr>
        <w:snapToGrid w:val="0"/>
        <w:ind w:left="41" w:leftChars="17" w:firstLine="480" w:firstLineChars="200"/>
        <w:rPr>
          <w:rFonts w:ascii="宋体" w:hAnsi="宋体"/>
        </w:rPr>
      </w:pPr>
      <w:r>
        <w:rPr>
          <w:rFonts w:ascii="宋体" w:hAnsi="宋体"/>
        </w:rPr>
        <w:t>8.1.5 文明施工</w:t>
      </w:r>
    </w:p>
    <w:p w14:paraId="270AF9B7">
      <w:pPr>
        <w:snapToGrid w:val="0"/>
        <w:ind w:left="41" w:leftChars="17" w:firstLine="480" w:firstLineChars="200"/>
        <w:rPr>
          <w:rFonts w:ascii="宋体" w:hAnsi="宋体"/>
        </w:rPr>
      </w:pPr>
      <w:r>
        <w:rPr>
          <w:rFonts w:hint="eastAsia" w:ascii="宋体" w:hAnsi="宋体"/>
        </w:rPr>
        <w:t>（</w:t>
      </w:r>
      <w:r>
        <w:rPr>
          <w:rFonts w:ascii="宋体" w:hAnsi="宋体"/>
        </w:rPr>
        <w:t>1）承包人在工程施工期间，应当采取措施保持施工现场平整，物料堆放整齐。工程所在地有关政府行政管理部门有特殊要求的，按照其要求执行。</w:t>
      </w:r>
      <w:r>
        <w:rPr>
          <w:rFonts w:hint="eastAsia" w:ascii="宋体" w:hAnsi="宋体"/>
        </w:rPr>
        <w:t>合同当事人对文明施工有其他要求的，可以在专用合同条款中明确。</w:t>
      </w:r>
    </w:p>
    <w:p w14:paraId="4270A0CB">
      <w:pPr>
        <w:snapToGrid w:val="0"/>
        <w:ind w:left="41" w:leftChars="17" w:firstLine="480" w:firstLineChars="200"/>
        <w:rPr>
          <w:rFonts w:ascii="宋体" w:hAnsi="宋体"/>
        </w:rPr>
      </w:pPr>
      <w:r>
        <w:rPr>
          <w:rFonts w:hint="eastAsia" w:ascii="宋体" w:hAnsi="宋体"/>
        </w:rPr>
        <w:t>（</w:t>
      </w:r>
      <w:r>
        <w:rPr>
          <w:rFonts w:ascii="宋体" w:hAnsi="宋体"/>
        </w:rPr>
        <w:t>2）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0C8CF9DF">
      <w:pPr>
        <w:snapToGrid w:val="0"/>
        <w:ind w:left="41" w:leftChars="17" w:firstLine="480" w:firstLineChars="200"/>
        <w:rPr>
          <w:rFonts w:ascii="宋体" w:hAnsi="宋体"/>
        </w:rPr>
      </w:pPr>
      <w:r>
        <w:rPr>
          <w:rFonts w:ascii="宋体" w:hAnsi="宋体"/>
        </w:rPr>
        <w:t>8.1.6</w:t>
      </w:r>
      <w:r>
        <w:rPr>
          <w:rFonts w:hint="eastAsia" w:ascii="宋体" w:hAnsi="宋体"/>
        </w:rPr>
        <w:t>绿色施工安全防护措施费</w:t>
      </w:r>
    </w:p>
    <w:p w14:paraId="1ABB22EF">
      <w:pPr>
        <w:snapToGrid w:val="0"/>
        <w:ind w:left="41" w:leftChars="17" w:firstLine="480" w:firstLineChars="200"/>
        <w:rPr>
          <w:rFonts w:ascii="宋体" w:hAnsi="宋体"/>
        </w:rPr>
      </w:pPr>
      <w:r>
        <w:rPr>
          <w:rFonts w:hint="eastAsia" w:ascii="宋体" w:hAnsi="宋体"/>
        </w:rPr>
        <w:t>（</w:t>
      </w:r>
      <w:r>
        <w:rPr>
          <w:rFonts w:ascii="宋体" w:hAnsi="宋体"/>
        </w:rPr>
        <w:t>1）绿色施工安全防护措施费由发包人承担，发包人不得以任何形式扣减该部分费用。因基准日期后合同所适用的法律或政府有关规定发生变化，增加的</w:t>
      </w:r>
      <w:r>
        <w:rPr>
          <w:rFonts w:hint="eastAsia" w:ascii="宋体" w:hAnsi="宋体"/>
        </w:rPr>
        <w:t>绿色施工安全防护措施费</w:t>
      </w:r>
      <w:r>
        <w:rPr>
          <w:rFonts w:ascii="宋体" w:hAnsi="宋体"/>
        </w:rPr>
        <w:t>由发包人承担。</w:t>
      </w:r>
    </w:p>
    <w:p w14:paraId="0312C685">
      <w:pPr>
        <w:snapToGrid w:val="0"/>
        <w:ind w:left="41" w:leftChars="17" w:firstLine="480" w:firstLineChars="200"/>
        <w:rPr>
          <w:rFonts w:ascii="宋体" w:hAnsi="宋体"/>
        </w:rPr>
      </w:pPr>
      <w:r>
        <w:rPr>
          <w:rFonts w:hint="eastAsia" w:ascii="宋体" w:hAnsi="宋体"/>
        </w:rPr>
        <w:t>（</w:t>
      </w:r>
      <w:r>
        <w:rPr>
          <w:rFonts w:ascii="宋体" w:hAnsi="宋体"/>
        </w:rPr>
        <w:t>2）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13F04B8B">
      <w:pPr>
        <w:snapToGrid w:val="0"/>
        <w:ind w:left="41" w:leftChars="17" w:firstLine="480" w:firstLineChars="200"/>
        <w:rPr>
          <w:rFonts w:ascii="宋体" w:hAnsi="宋体"/>
        </w:rPr>
      </w:pPr>
      <w:r>
        <w:rPr>
          <w:rFonts w:hint="eastAsia" w:ascii="宋体" w:hAnsi="宋体"/>
        </w:rPr>
        <w:t>（</w:t>
      </w:r>
      <w:r>
        <w:rPr>
          <w:rFonts w:ascii="宋体" w:hAnsi="宋体"/>
        </w:rPr>
        <w:t>3）除专用合同条款另有约定外，发包人应在开工后28天内预付</w:t>
      </w:r>
      <w:r>
        <w:rPr>
          <w:rFonts w:hint="eastAsia" w:ascii="宋体" w:hAnsi="宋体"/>
        </w:rPr>
        <w:t>绿色施工安全防护措施费</w:t>
      </w:r>
      <w:r>
        <w:rPr>
          <w:rFonts w:ascii="宋体" w:hAnsi="宋体"/>
        </w:rPr>
        <w:t>总额的50%，其余部分与进度款同期支付。发包人逾期支付</w:t>
      </w:r>
      <w:r>
        <w:rPr>
          <w:rFonts w:hint="eastAsia" w:ascii="宋体" w:hAnsi="宋体"/>
        </w:rPr>
        <w:t>绿色施工安全防护措施费</w:t>
      </w:r>
      <w:r>
        <w:rPr>
          <w:rFonts w:ascii="宋体" w:hAnsi="宋体"/>
        </w:rPr>
        <w:t>超过7天的，承包人有权向发包人发出要求预付的催告通知，发包人收到通知后7天内仍未支付的，承包人有权暂停施工，并按第17.2.1项执行。</w:t>
      </w:r>
    </w:p>
    <w:p w14:paraId="0223882F">
      <w:pPr>
        <w:snapToGrid w:val="0"/>
        <w:ind w:left="41" w:leftChars="17" w:firstLine="480" w:firstLineChars="200"/>
        <w:rPr>
          <w:rFonts w:ascii="宋体" w:hAnsi="宋体"/>
        </w:rPr>
      </w:pPr>
      <w:r>
        <w:rPr>
          <w:rFonts w:hint="eastAsia" w:ascii="宋体" w:hAnsi="宋体"/>
        </w:rPr>
        <w:t>（</w:t>
      </w:r>
      <w:r>
        <w:rPr>
          <w:rFonts w:ascii="宋体" w:hAnsi="宋体"/>
        </w:rPr>
        <w:t>4）承包人对</w:t>
      </w:r>
      <w:r>
        <w:rPr>
          <w:rFonts w:hint="eastAsia" w:ascii="宋体" w:hAnsi="宋体"/>
        </w:rPr>
        <w:t>绿色施工安全防护措施费</w:t>
      </w:r>
      <w:r>
        <w:rPr>
          <w:rFonts w:ascii="宋体" w:hAnsi="宋体"/>
        </w:rPr>
        <w:t>应专款专用，承包人应在财务账目中单独列项备查，不得挪作他用，否则发包人有权责令其限期改正；逾期未改正的，可以责令其暂停施工，由此增加的费用和（或）延误的工期由承包人承担。</w:t>
      </w:r>
    </w:p>
    <w:p w14:paraId="18801E1B">
      <w:pPr>
        <w:snapToGrid w:val="0"/>
        <w:ind w:left="41" w:leftChars="17" w:firstLine="480" w:firstLineChars="200"/>
        <w:rPr>
          <w:rFonts w:ascii="宋体" w:hAnsi="宋体"/>
        </w:rPr>
      </w:pPr>
      <w:r>
        <w:rPr>
          <w:rFonts w:ascii="宋体" w:hAnsi="宋体"/>
        </w:rPr>
        <w:t>8.1.7 紧急情况</w:t>
      </w:r>
      <w:r>
        <w:rPr>
          <w:rFonts w:hint="eastAsia" w:ascii="宋体" w:hAnsi="宋体"/>
        </w:rPr>
        <w:t>处理</w:t>
      </w:r>
    </w:p>
    <w:p w14:paraId="4B076C32">
      <w:pPr>
        <w:snapToGrid w:val="0"/>
        <w:ind w:left="41" w:leftChars="17" w:firstLine="480" w:firstLineChars="200"/>
        <w:rPr>
          <w:rFonts w:ascii="宋体" w:hAnsi="宋体"/>
        </w:rPr>
      </w:pPr>
      <w:r>
        <w:rPr>
          <w:rFonts w:ascii="宋体" w:hAnsi="宋体"/>
        </w:rPr>
        <w:t>在工程实施期间或</w:t>
      </w:r>
      <w:r>
        <w:rPr>
          <w:rFonts w:hint="eastAsia" w:ascii="宋体" w:hAnsi="宋体"/>
        </w:rPr>
        <w:t>质量保修</w:t>
      </w:r>
      <w:r>
        <w:rPr>
          <w:rFonts w:ascii="宋体" w:hAnsi="宋体"/>
        </w:rPr>
        <w:t>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1DD0BA29">
      <w:pPr>
        <w:snapToGrid w:val="0"/>
        <w:ind w:left="41" w:leftChars="17" w:firstLine="480" w:firstLineChars="200"/>
        <w:rPr>
          <w:rFonts w:ascii="宋体" w:hAnsi="宋体"/>
        </w:rPr>
      </w:pPr>
      <w:r>
        <w:rPr>
          <w:rFonts w:ascii="宋体" w:hAnsi="宋体"/>
        </w:rPr>
        <w:t>8.1.8 事故处理</w:t>
      </w:r>
    </w:p>
    <w:p w14:paraId="1C601CE7">
      <w:pPr>
        <w:snapToGrid w:val="0"/>
        <w:ind w:left="41" w:leftChars="17" w:firstLine="480" w:firstLineChars="200"/>
        <w:rPr>
          <w:rFonts w:ascii="宋体" w:hAnsi="宋体"/>
        </w:rPr>
      </w:pPr>
      <w:r>
        <w:rPr>
          <w:rFonts w:ascii="宋体" w:hAnsi="宋体"/>
        </w:rPr>
        <w:t>工程施工过程中发生事故的，承包人应立即通知监理</w:t>
      </w:r>
      <w:r>
        <w:rPr>
          <w:rFonts w:hint="eastAsia" w:ascii="宋体" w:hAnsi="宋体"/>
        </w:rPr>
        <w:t>人和发包人</w:t>
      </w:r>
      <w:r>
        <w:rPr>
          <w:rFonts w:ascii="宋体" w:hAnsi="宋体"/>
        </w:rPr>
        <w:t>。发包人和承包人应立即组织人员和设备进行紧急抢救和抢修，减少人员伤亡和财产损失，防止事故扩大，并保护事故现场。需要移动现场物品时，应作出标记和书面记录，妥善保管有关证据。发包人和承包人应按国家</w:t>
      </w:r>
      <w:r>
        <w:rPr>
          <w:rFonts w:hint="eastAsia" w:ascii="宋体" w:hAnsi="宋体"/>
        </w:rPr>
        <w:t>和</w:t>
      </w:r>
      <w:r>
        <w:rPr>
          <w:rFonts w:ascii="宋体" w:hAnsi="宋体"/>
        </w:rPr>
        <w:t>有关规定，及时如实地向有关部门报告事故发生的情况，以及正在采取的紧急措施等。</w:t>
      </w:r>
    </w:p>
    <w:p w14:paraId="62003AE4">
      <w:pPr>
        <w:snapToGrid w:val="0"/>
        <w:ind w:left="41" w:leftChars="17" w:firstLine="480" w:firstLineChars="200"/>
        <w:rPr>
          <w:rFonts w:ascii="宋体" w:hAnsi="宋体"/>
        </w:rPr>
      </w:pPr>
      <w:r>
        <w:rPr>
          <w:rFonts w:ascii="宋体" w:hAnsi="宋体"/>
        </w:rPr>
        <w:t>8.1.9 安全生产责任</w:t>
      </w:r>
    </w:p>
    <w:p w14:paraId="16219FC6">
      <w:pPr>
        <w:snapToGrid w:val="0"/>
        <w:ind w:left="41" w:leftChars="17" w:firstLine="480" w:firstLineChars="200"/>
        <w:rPr>
          <w:rFonts w:ascii="宋体" w:hAnsi="宋体"/>
        </w:rPr>
      </w:pPr>
      <w:r>
        <w:rPr>
          <w:rFonts w:ascii="宋体" w:hAnsi="宋体"/>
        </w:rPr>
        <w:t>8.1.9.1 发包人的安全责任</w:t>
      </w:r>
    </w:p>
    <w:p w14:paraId="7853E0FC">
      <w:pPr>
        <w:snapToGrid w:val="0"/>
        <w:ind w:left="41" w:leftChars="17" w:firstLine="480" w:firstLineChars="200"/>
        <w:rPr>
          <w:rFonts w:ascii="宋体" w:hAnsi="宋体"/>
        </w:rPr>
      </w:pPr>
      <w:r>
        <w:rPr>
          <w:rFonts w:hint="eastAsia" w:ascii="宋体" w:hAnsi="宋体"/>
        </w:rPr>
        <w:t>除专用合同条款另有约定外，</w:t>
      </w:r>
      <w:r>
        <w:rPr>
          <w:rFonts w:ascii="宋体" w:hAnsi="宋体"/>
        </w:rPr>
        <w:t>发包人应负责赔偿以下各种情况造成</w:t>
      </w:r>
      <w:r>
        <w:rPr>
          <w:rFonts w:hint="eastAsia" w:ascii="宋体" w:hAnsi="宋体"/>
        </w:rPr>
        <w:t>的</w:t>
      </w:r>
      <w:r>
        <w:rPr>
          <w:rFonts w:ascii="宋体" w:hAnsi="宋体"/>
        </w:rPr>
        <w:t>损失：</w:t>
      </w:r>
    </w:p>
    <w:p w14:paraId="62BD32C3">
      <w:pPr>
        <w:snapToGrid w:val="0"/>
        <w:ind w:left="41" w:leftChars="17" w:firstLine="480" w:firstLineChars="200"/>
        <w:rPr>
          <w:rFonts w:ascii="宋体" w:hAnsi="宋体"/>
        </w:rPr>
      </w:pPr>
      <w:r>
        <w:rPr>
          <w:rFonts w:ascii="宋体" w:hAnsi="宋体"/>
        </w:rPr>
        <w:t>（1）工程或工程的任何部分对土地的占用所造成的第三者财产损失；</w:t>
      </w:r>
    </w:p>
    <w:p w14:paraId="107620E0">
      <w:pPr>
        <w:snapToGrid w:val="0"/>
        <w:ind w:left="41" w:leftChars="17" w:firstLine="480" w:firstLineChars="200"/>
        <w:rPr>
          <w:rFonts w:ascii="宋体" w:hAnsi="宋体"/>
        </w:rPr>
      </w:pPr>
      <w:r>
        <w:rPr>
          <w:rFonts w:ascii="宋体" w:hAnsi="宋体"/>
        </w:rPr>
        <w:t>（2）由于发包人原因在施工场地及其毗邻地带造成的第三者人身伤亡和财产损失</w:t>
      </w:r>
      <w:r>
        <w:rPr>
          <w:rFonts w:hint="eastAsia" w:ascii="宋体" w:hAnsi="宋体"/>
        </w:rPr>
        <w:t>；</w:t>
      </w:r>
    </w:p>
    <w:p w14:paraId="3D516F3C">
      <w:pPr>
        <w:snapToGrid w:val="0"/>
        <w:ind w:left="41" w:leftChars="17" w:firstLine="480" w:firstLineChars="200"/>
        <w:rPr>
          <w:rFonts w:ascii="宋体" w:hAnsi="宋体"/>
        </w:rPr>
      </w:pPr>
      <w:r>
        <w:rPr>
          <w:rFonts w:hint="eastAsia" w:ascii="宋体" w:hAnsi="宋体"/>
        </w:rPr>
        <w:t>（</w:t>
      </w:r>
      <w:r>
        <w:rPr>
          <w:rFonts w:ascii="宋体" w:hAnsi="宋体"/>
        </w:rPr>
        <w:t>3）由于发包人原因对承包人、监理人造成的人员人身伤亡和财产损失；</w:t>
      </w:r>
    </w:p>
    <w:p w14:paraId="5A019699">
      <w:pPr>
        <w:snapToGrid w:val="0"/>
        <w:ind w:left="41" w:leftChars="17" w:firstLine="480" w:firstLineChars="200"/>
        <w:rPr>
          <w:rFonts w:ascii="宋体" w:hAnsi="宋体"/>
        </w:rPr>
      </w:pPr>
      <w:r>
        <w:rPr>
          <w:rFonts w:hint="eastAsia" w:ascii="宋体" w:hAnsi="宋体"/>
        </w:rPr>
        <w:t>（</w:t>
      </w:r>
      <w:r>
        <w:rPr>
          <w:rFonts w:ascii="宋体" w:hAnsi="宋体"/>
        </w:rPr>
        <w:t>4）由于发包人原因造成的发包人自身人员的人身伤害以及财产损失。</w:t>
      </w:r>
    </w:p>
    <w:p w14:paraId="26BCB0B9">
      <w:pPr>
        <w:snapToGrid w:val="0"/>
        <w:ind w:left="41" w:leftChars="17" w:firstLine="480" w:firstLineChars="200"/>
        <w:rPr>
          <w:rFonts w:ascii="宋体" w:hAnsi="宋体"/>
        </w:rPr>
      </w:pPr>
      <w:r>
        <w:rPr>
          <w:rFonts w:ascii="宋体" w:hAnsi="宋体"/>
        </w:rPr>
        <w:t>8.1.9.2 承包人的安全责任</w:t>
      </w:r>
    </w:p>
    <w:p w14:paraId="6E3C754C">
      <w:pPr>
        <w:snapToGrid w:val="0"/>
        <w:ind w:left="41" w:leftChars="17" w:firstLine="480" w:firstLineChars="200"/>
        <w:rPr>
          <w:rFonts w:ascii="宋体" w:hAnsi="宋体"/>
        </w:rPr>
      </w:pPr>
      <w:r>
        <w:rPr>
          <w:rFonts w:ascii="宋体" w:hAnsi="宋体"/>
        </w:rPr>
        <w:t>由于承包人原因在施工场地内及其毗邻地带造成的</w:t>
      </w:r>
      <w:r>
        <w:rPr>
          <w:rFonts w:hint="eastAsia" w:ascii="宋体" w:hAnsi="宋体"/>
        </w:rPr>
        <w:t>发包人、监理人以及</w:t>
      </w:r>
      <w:r>
        <w:rPr>
          <w:rFonts w:ascii="宋体" w:hAnsi="宋体"/>
        </w:rPr>
        <w:t>第三者人员伤亡和财产损失，由承包人负责赔偿。</w:t>
      </w:r>
    </w:p>
    <w:p w14:paraId="7749996D">
      <w:pPr>
        <w:snapToGrid w:val="0"/>
        <w:ind w:left="41" w:leftChars="17"/>
        <w:rPr>
          <w:rFonts w:ascii="宋体" w:hAnsi="宋体"/>
          <w:b/>
        </w:rPr>
      </w:pPr>
      <w:r>
        <w:rPr>
          <w:rFonts w:ascii="宋体" w:hAnsi="宋体"/>
          <w:b/>
        </w:rPr>
        <w:t xml:space="preserve">    8.2 职业健康</w:t>
      </w:r>
    </w:p>
    <w:p w14:paraId="2BF01640">
      <w:pPr>
        <w:snapToGrid w:val="0"/>
        <w:ind w:left="41" w:leftChars="17" w:firstLine="480" w:firstLineChars="200"/>
        <w:rPr>
          <w:rFonts w:ascii="宋体" w:hAnsi="宋体"/>
        </w:rPr>
      </w:pPr>
      <w:r>
        <w:rPr>
          <w:rFonts w:ascii="宋体" w:hAnsi="宋体"/>
        </w:rPr>
        <w:t>8.2.1 劳动保护</w:t>
      </w:r>
    </w:p>
    <w:p w14:paraId="63713AFC">
      <w:pPr>
        <w:snapToGrid w:val="0"/>
        <w:ind w:left="41" w:leftChars="17" w:firstLine="480" w:firstLineChars="200"/>
        <w:rPr>
          <w:rFonts w:ascii="宋体" w:hAnsi="宋体"/>
        </w:rPr>
      </w:pPr>
      <w:r>
        <w:rPr>
          <w:rFonts w:hint="eastAsia" w:ascii="宋体" w:hAnsi="宋体"/>
        </w:rPr>
        <w:t>（</w:t>
      </w:r>
      <w:r>
        <w:rPr>
          <w:rFonts w:ascii="宋体" w:hAnsi="宋体"/>
        </w:rPr>
        <w:t>1）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89025CD">
      <w:pPr>
        <w:snapToGrid w:val="0"/>
        <w:ind w:left="41" w:leftChars="17" w:firstLine="480" w:firstLineChars="200"/>
        <w:rPr>
          <w:rFonts w:ascii="宋体" w:hAnsi="宋体"/>
        </w:rPr>
      </w:pPr>
      <w:r>
        <w:rPr>
          <w:rFonts w:hint="eastAsia" w:ascii="宋体" w:hAnsi="宋体"/>
        </w:rPr>
        <w:t>（</w:t>
      </w:r>
      <w:r>
        <w:rPr>
          <w:rFonts w:ascii="宋体" w:hAnsi="宋体"/>
        </w:rPr>
        <w:t>2）承包人应按照法律规定保障现场施工人员的劳动安全，并提供劳动保护</w:t>
      </w:r>
      <w:r>
        <w:rPr>
          <w:rFonts w:hint="eastAsia" w:ascii="宋体" w:hAnsi="宋体"/>
        </w:rPr>
        <w:t>，</w:t>
      </w:r>
      <w:r>
        <w:rPr>
          <w:rFonts w:ascii="宋体" w:hAnsi="宋体"/>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0C06EDB">
      <w:pPr>
        <w:snapToGrid w:val="0"/>
        <w:ind w:left="41" w:leftChars="17" w:firstLine="480" w:firstLineChars="200"/>
        <w:rPr>
          <w:rFonts w:ascii="宋体" w:hAnsi="宋体"/>
        </w:rPr>
      </w:pPr>
      <w:r>
        <w:rPr>
          <w:rFonts w:hint="eastAsia" w:ascii="宋体" w:hAnsi="宋体"/>
        </w:rPr>
        <w:t>（</w:t>
      </w:r>
      <w:r>
        <w:rPr>
          <w:rFonts w:ascii="宋体" w:hAnsi="宋体"/>
        </w:rPr>
        <w:t>3）承包人应按</w:t>
      </w:r>
      <w:r>
        <w:rPr>
          <w:rFonts w:hint="eastAsia" w:ascii="宋体" w:hAnsi="宋体"/>
        </w:rPr>
        <w:t>法律</w:t>
      </w:r>
      <w:r>
        <w:rPr>
          <w:rFonts w:ascii="宋体" w:hAnsi="宋体"/>
        </w:rPr>
        <w:t>规定安排工作时间，保证其雇佣人员享有休息和休假的权利。因工程施工的特殊需要占用休假日或延长工作时间的，应不超过法律规定的限度，并按法律规定给予补休或付酬。</w:t>
      </w:r>
    </w:p>
    <w:p w14:paraId="4847CF7C">
      <w:pPr>
        <w:snapToGrid w:val="0"/>
        <w:ind w:left="41" w:leftChars="17" w:firstLine="480" w:firstLineChars="200"/>
        <w:rPr>
          <w:rFonts w:ascii="宋体" w:hAnsi="宋体"/>
        </w:rPr>
      </w:pPr>
      <w:r>
        <w:rPr>
          <w:rFonts w:ascii="宋体" w:hAnsi="宋体"/>
        </w:rPr>
        <w:t>8.2.2 生活条件</w:t>
      </w:r>
    </w:p>
    <w:p w14:paraId="3B856185">
      <w:pPr>
        <w:snapToGrid w:val="0"/>
        <w:ind w:left="41" w:leftChars="17" w:firstLine="480" w:firstLineChars="200"/>
        <w:rPr>
          <w:rFonts w:ascii="宋体" w:hAnsi="宋体"/>
        </w:rPr>
      </w:pPr>
      <w:r>
        <w:rPr>
          <w:rFonts w:ascii="宋体" w:hAnsi="宋体"/>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宋体" w:hAnsi="宋体"/>
        </w:rPr>
        <w:t>，</w:t>
      </w:r>
      <w:r>
        <w:rPr>
          <w:rFonts w:ascii="宋体" w:hAnsi="宋体"/>
        </w:rPr>
        <w:t>在远离城镇的施工场地，还应配备必要的伤病防治和急救的医务人员与医疗设施。</w:t>
      </w:r>
    </w:p>
    <w:p w14:paraId="5CB1323A">
      <w:pPr>
        <w:snapToGrid w:val="0"/>
        <w:ind w:left="41" w:leftChars="17" w:firstLine="482" w:firstLineChars="200"/>
        <w:rPr>
          <w:rFonts w:ascii="宋体" w:hAnsi="宋体"/>
        </w:rPr>
      </w:pPr>
      <w:r>
        <w:rPr>
          <w:rFonts w:ascii="宋体" w:hAnsi="宋体"/>
          <w:b/>
        </w:rPr>
        <w:t>8.3 环境保护</w:t>
      </w:r>
    </w:p>
    <w:p w14:paraId="0459A190">
      <w:pPr>
        <w:snapToGrid w:val="0"/>
        <w:ind w:left="41" w:leftChars="17" w:firstLine="480" w:firstLineChars="200"/>
        <w:rPr>
          <w:rFonts w:ascii="宋体" w:hAnsi="宋体"/>
        </w:rPr>
      </w:pPr>
      <w:r>
        <w:rPr>
          <w:rFonts w:hint="eastAsia" w:ascii="宋体" w:hAnsi="宋体"/>
        </w:rPr>
        <w:t>（</w:t>
      </w:r>
      <w:r>
        <w:rPr>
          <w:rFonts w:ascii="宋体" w:hAnsi="宋体"/>
        </w:rPr>
        <w:t>1）承包人应在施工组织设计中列明环境保护的具体措施。在合同履行期间，承包人应采取合理措施保护施工现场环境。对施工作业过程中可能引起的大气、水、噪音以及固体废物污染采取具体可行的防范措施。</w:t>
      </w:r>
    </w:p>
    <w:p w14:paraId="11F976C1">
      <w:pPr>
        <w:snapToGrid w:val="0"/>
        <w:ind w:left="41" w:leftChars="17" w:firstLine="480" w:firstLineChars="200"/>
        <w:rPr>
          <w:rFonts w:ascii="宋体" w:hAnsi="宋体"/>
        </w:rPr>
      </w:pPr>
      <w:r>
        <w:rPr>
          <w:rFonts w:hint="eastAsia" w:ascii="宋体" w:hAnsi="宋体"/>
        </w:rPr>
        <w:t>（</w:t>
      </w:r>
      <w:r>
        <w:rPr>
          <w:rFonts w:ascii="宋体" w:hAnsi="宋体"/>
        </w:rPr>
        <w:t>2）承包人应当承担因其原因引起的环境污染侵权损害赔偿责任，因上述环境污染引起纠纷而导致暂停施工的，由此增加的费用和（或）延误的工期由承包人承担。</w:t>
      </w:r>
    </w:p>
    <w:p w14:paraId="6208CE20">
      <w:pPr>
        <w:ind w:left="41" w:leftChars="17"/>
        <w:outlineLvl w:val="1"/>
        <w:rPr>
          <w:rFonts w:ascii="宋体" w:hAnsi="宋体"/>
          <w:b/>
          <w:bCs/>
          <w:kern w:val="0"/>
        </w:rPr>
      </w:pPr>
      <w:bookmarkStart w:id="575" w:name="_Toc6177"/>
      <w:bookmarkStart w:id="576" w:name="_Toc6241365"/>
      <w:bookmarkStart w:id="577" w:name="_Toc439160168"/>
      <w:bookmarkStart w:id="578" w:name="_Toc410986367"/>
      <w:bookmarkStart w:id="579" w:name="_Toc489084313"/>
      <w:bookmarkStart w:id="580" w:name="_Toc526793380"/>
      <w:r>
        <w:rPr>
          <w:rFonts w:ascii="宋体" w:hAnsi="宋体"/>
          <w:b/>
          <w:bCs/>
          <w:kern w:val="0"/>
        </w:rPr>
        <w:t>9. 材料与设备</w:t>
      </w:r>
      <w:bookmarkEnd w:id="575"/>
      <w:bookmarkEnd w:id="576"/>
      <w:bookmarkEnd w:id="577"/>
      <w:bookmarkEnd w:id="578"/>
      <w:bookmarkEnd w:id="579"/>
      <w:bookmarkEnd w:id="580"/>
    </w:p>
    <w:p w14:paraId="730004B7">
      <w:pPr>
        <w:snapToGrid w:val="0"/>
        <w:ind w:left="41" w:leftChars="17"/>
        <w:rPr>
          <w:rFonts w:ascii="宋体" w:hAnsi="宋体"/>
          <w:b/>
        </w:rPr>
      </w:pPr>
      <w:r>
        <w:rPr>
          <w:rFonts w:ascii="宋体" w:hAnsi="宋体"/>
          <w:b/>
        </w:rPr>
        <w:t xml:space="preserve">    9.1发包人供应材料与工程设备</w:t>
      </w:r>
    </w:p>
    <w:p w14:paraId="02009B43">
      <w:pPr>
        <w:snapToGrid w:val="0"/>
        <w:ind w:left="41" w:leftChars="17" w:firstLine="480" w:firstLineChars="200"/>
        <w:rPr>
          <w:rFonts w:ascii="宋体" w:hAnsi="宋体"/>
        </w:rPr>
      </w:pPr>
      <w:r>
        <w:rPr>
          <w:rFonts w:ascii="宋体" w:hAnsi="宋体"/>
        </w:rPr>
        <w:t>9.1.1承包人应根据合同进度计划的安排，向监理人报送发包人供应材料、工程设备的交货日期计划，监理人报送发包人审定。</w:t>
      </w:r>
    </w:p>
    <w:p w14:paraId="0EDA4040">
      <w:pPr>
        <w:snapToGrid w:val="0"/>
        <w:ind w:left="41" w:leftChars="17" w:firstLine="480" w:firstLineChars="200"/>
        <w:rPr>
          <w:rFonts w:ascii="宋体" w:hAnsi="宋体"/>
        </w:rPr>
      </w:pPr>
      <w:r>
        <w:rPr>
          <w:rFonts w:ascii="宋体" w:hAnsi="宋体"/>
        </w:rPr>
        <w:t xml:space="preserve">9.1.2发包人应在材料和工程设备到货7 </w:t>
      </w:r>
      <w:r>
        <w:rPr>
          <w:rFonts w:hint="eastAsia" w:ascii="宋体" w:hAnsi="宋体"/>
        </w:rPr>
        <w:t>天前通知承包人，承包人应会同监理人在约定的时间内，赴交货地点共同进行验收。除专用合同条款另有约定外，发包人提供的材料和工程设备直接送达现场或承包人仓库的由承包人负责卸车、接收和保管，发包人提供的材料和工程设备直接送达发包人仓库的，承包人负责领料、装车、运输和领料后的保管</w:t>
      </w:r>
      <w:r>
        <w:rPr>
          <w:rFonts w:ascii="宋体" w:hAnsi="宋体"/>
        </w:rPr>
        <w:t>,相关费用已含在签约合同价款中。</w:t>
      </w:r>
    </w:p>
    <w:p w14:paraId="7154E558">
      <w:pPr>
        <w:snapToGrid w:val="0"/>
        <w:ind w:left="41" w:leftChars="17" w:firstLine="480" w:firstLineChars="200"/>
        <w:rPr>
          <w:rFonts w:ascii="宋体" w:hAnsi="宋体"/>
        </w:rPr>
      </w:pPr>
      <w:r>
        <w:rPr>
          <w:rFonts w:ascii="宋体" w:hAnsi="宋体"/>
        </w:rPr>
        <w:t>9.1.3发包人要求向承包人提前交货的，承包人不得拒绝，但发包人应承担承包人由此增加的费用。</w:t>
      </w:r>
    </w:p>
    <w:p w14:paraId="360EB34F">
      <w:pPr>
        <w:snapToGrid w:val="0"/>
        <w:ind w:left="41" w:leftChars="17" w:firstLine="480" w:firstLineChars="200"/>
        <w:rPr>
          <w:rFonts w:ascii="宋体" w:hAnsi="宋体"/>
        </w:rPr>
      </w:pPr>
      <w:r>
        <w:rPr>
          <w:rFonts w:ascii="宋体" w:hAnsi="宋体"/>
        </w:rPr>
        <w:t>9.1.4承包人要求更改交货日期或地点的，应事先报请监理人批准。由于承包人要求更改交货时间或地点所增加的费用和（或）工期延误由承包人承担。</w:t>
      </w:r>
    </w:p>
    <w:p w14:paraId="4E136101">
      <w:pPr>
        <w:snapToGrid w:val="0"/>
        <w:ind w:left="41" w:leftChars="17" w:firstLine="480" w:firstLineChars="200"/>
        <w:rPr>
          <w:rFonts w:ascii="宋体" w:hAnsi="宋体"/>
        </w:rPr>
      </w:pPr>
      <w:r>
        <w:rPr>
          <w:rFonts w:ascii="宋体" w:hAnsi="宋体"/>
        </w:rPr>
        <w:t>9.1.5发包人提供的材料和工程设备的规格、数量或质量不符合合同要求，或由于发包人原因发生交货日期延误及交货地点变更等情况的，除专用合同条款另有约定外,发包人应承担由此增加的费用和（或）工期延误，并向承包人支付合理利润。</w:t>
      </w:r>
    </w:p>
    <w:p w14:paraId="4ABA8A51">
      <w:pPr>
        <w:snapToGrid w:val="0"/>
        <w:ind w:left="41" w:leftChars="17" w:firstLine="480" w:firstLineChars="200"/>
        <w:rPr>
          <w:rFonts w:ascii="宋体" w:hAnsi="宋体"/>
        </w:rPr>
      </w:pPr>
      <w:r>
        <w:rPr>
          <w:rFonts w:ascii="宋体" w:hAnsi="宋体"/>
        </w:rPr>
        <w:t>9.1.6发包人提供的材料和工程设备见合同附件4。</w:t>
      </w:r>
    </w:p>
    <w:p w14:paraId="702A4A2F">
      <w:pPr>
        <w:snapToGrid w:val="0"/>
        <w:ind w:left="41" w:leftChars="17"/>
        <w:rPr>
          <w:rFonts w:ascii="宋体" w:hAnsi="宋体"/>
          <w:b/>
        </w:rPr>
      </w:pPr>
      <w:r>
        <w:rPr>
          <w:rFonts w:ascii="宋体" w:hAnsi="宋体"/>
          <w:b/>
        </w:rPr>
        <w:t xml:space="preserve">    9.2承包人采购材料与工程设备</w:t>
      </w:r>
    </w:p>
    <w:p w14:paraId="09126DD1">
      <w:pPr>
        <w:snapToGrid w:val="0"/>
        <w:ind w:left="41" w:leftChars="17" w:firstLine="480" w:firstLineChars="200"/>
        <w:rPr>
          <w:rFonts w:ascii="宋体" w:hAnsi="宋体"/>
        </w:rPr>
      </w:pPr>
      <w:r>
        <w:rPr>
          <w:rFonts w:ascii="宋体" w:hAnsi="宋体"/>
        </w:rPr>
        <w:t>9.2.1承包人负责采购</w:t>
      </w:r>
      <w:r>
        <w:rPr>
          <w:rFonts w:hint="eastAsia" w:ascii="宋体" w:hAnsi="宋体"/>
        </w:rPr>
        <w:t>的</w:t>
      </w:r>
      <w:r>
        <w:rPr>
          <w:rFonts w:ascii="宋体" w:hAnsi="宋体"/>
        </w:rPr>
        <w:t>材料、工程设备，应按照设计和有关标准要求采购，并提供产品合格证明及出厂证明，对材料、工程设备质量负责。承包人负责采购</w:t>
      </w:r>
      <w:r>
        <w:rPr>
          <w:rFonts w:hint="eastAsia" w:ascii="宋体" w:hAnsi="宋体"/>
        </w:rPr>
        <w:t>的</w:t>
      </w:r>
      <w:r>
        <w:rPr>
          <w:rFonts w:ascii="宋体" w:hAnsi="宋体"/>
        </w:rPr>
        <w:t>材料、工程设备</w:t>
      </w:r>
      <w:r>
        <w:rPr>
          <w:rFonts w:hint="eastAsia" w:ascii="宋体" w:hAnsi="宋体"/>
        </w:rPr>
        <w:t>供应厂家的确定必须事先得到发包人认可。</w:t>
      </w:r>
      <w:r>
        <w:rPr>
          <w:rFonts w:ascii="宋体" w:hAnsi="宋体"/>
        </w:rPr>
        <w:t>合同约定由承包人采购的材料、工程设备，发包人不得指定生产厂家或供应商，发包人违反本款约定指定生产厂家或供应商的，承包人有权拒绝，并由发包人承担</w:t>
      </w:r>
      <w:r>
        <w:rPr>
          <w:rFonts w:hint="eastAsia" w:ascii="宋体" w:hAnsi="宋体"/>
        </w:rPr>
        <w:t>相应责任</w:t>
      </w:r>
      <w:r>
        <w:rPr>
          <w:rFonts w:ascii="宋体" w:hAnsi="宋体"/>
        </w:rPr>
        <w:t>。</w:t>
      </w:r>
    </w:p>
    <w:p w14:paraId="18B75DF1">
      <w:pPr>
        <w:overflowPunct w:val="0"/>
        <w:autoSpaceDE w:val="0"/>
        <w:autoSpaceDN w:val="0"/>
        <w:snapToGrid w:val="0"/>
        <w:ind w:left="41" w:leftChars="17" w:firstLine="480" w:firstLineChars="200"/>
        <w:rPr>
          <w:rFonts w:ascii="宋体" w:hAnsi="宋体"/>
        </w:rPr>
      </w:pPr>
      <w:r>
        <w:rPr>
          <w:rFonts w:ascii="宋体" w:hAnsi="宋体"/>
        </w:rPr>
        <w:t xml:space="preserve">9.2.2 </w:t>
      </w:r>
      <w:r>
        <w:rPr>
          <w:rFonts w:hint="eastAsia" w:ascii="宋体" w:hAnsi="宋体"/>
        </w:rPr>
        <w:t>承包人应保证采购的材料、</w:t>
      </w:r>
      <w:r>
        <w:rPr>
          <w:rFonts w:ascii="宋体" w:hAnsi="宋体"/>
        </w:rPr>
        <w:t>工程设备</w:t>
      </w:r>
      <w:r>
        <w:rPr>
          <w:rFonts w:hint="eastAsia" w:ascii="宋体" w:hAnsi="宋体"/>
        </w:rPr>
        <w:t>，完全符合合同规定的质量、规格和性能的要求，没有设计、材料或工艺的缺陷，是原厂生产的、全新的、成熟可靠的、未使用过的材料、</w:t>
      </w:r>
      <w:r>
        <w:rPr>
          <w:rFonts w:ascii="宋体" w:hAnsi="宋体"/>
        </w:rPr>
        <w:t>工程设备</w:t>
      </w:r>
      <w:r>
        <w:rPr>
          <w:rFonts w:hint="eastAsia" w:ascii="宋体" w:hAnsi="宋体"/>
        </w:rPr>
        <w:t>（包括零部件），并具备下列条件：</w:t>
      </w:r>
    </w:p>
    <w:p w14:paraId="6729A1D2">
      <w:pPr>
        <w:overflowPunct w:val="0"/>
        <w:autoSpaceDE w:val="0"/>
        <w:autoSpaceDN w:val="0"/>
        <w:snapToGrid w:val="0"/>
        <w:ind w:left="41" w:leftChars="17" w:firstLine="480" w:firstLineChars="200"/>
        <w:rPr>
          <w:rFonts w:ascii="宋体" w:hAnsi="宋体"/>
        </w:rPr>
      </w:pPr>
      <w:r>
        <w:rPr>
          <w:rFonts w:ascii="宋体" w:hAnsi="宋体"/>
        </w:rPr>
        <w:t>（1）有产品名称、生产厂厂名、厂址和产地；</w:t>
      </w:r>
    </w:p>
    <w:p w14:paraId="59D45FE4">
      <w:pPr>
        <w:overflowPunct w:val="0"/>
        <w:autoSpaceDE w:val="0"/>
        <w:autoSpaceDN w:val="0"/>
        <w:snapToGrid w:val="0"/>
        <w:ind w:left="41" w:leftChars="17" w:firstLine="480" w:firstLineChars="200"/>
        <w:rPr>
          <w:rFonts w:ascii="宋体" w:hAnsi="宋体"/>
        </w:rPr>
      </w:pPr>
      <w:r>
        <w:rPr>
          <w:rFonts w:ascii="宋体" w:hAnsi="宋体"/>
        </w:rPr>
        <w:t>（2）有产品质量</w:t>
      </w:r>
      <w:r>
        <w:rPr>
          <w:rFonts w:hint="eastAsia" w:ascii="宋体" w:hAnsi="宋体"/>
        </w:rPr>
        <w:t>合格证和检验、试验报告及质量保证书；</w:t>
      </w:r>
    </w:p>
    <w:p w14:paraId="5AA73107">
      <w:pPr>
        <w:overflowPunct w:val="0"/>
        <w:autoSpaceDE w:val="0"/>
        <w:autoSpaceDN w:val="0"/>
        <w:snapToGrid w:val="0"/>
        <w:ind w:left="41" w:leftChars="17" w:firstLine="480" w:firstLineChars="200"/>
        <w:rPr>
          <w:rFonts w:ascii="宋体" w:hAnsi="宋体"/>
        </w:rPr>
      </w:pPr>
      <w:r>
        <w:rPr>
          <w:rFonts w:ascii="宋体" w:hAnsi="宋体"/>
        </w:rPr>
        <w:t>（3）产品包装和商标式样符合有关规定和标准要求；</w:t>
      </w:r>
    </w:p>
    <w:p w14:paraId="38F4CE32">
      <w:pPr>
        <w:overflowPunct w:val="0"/>
        <w:autoSpaceDE w:val="0"/>
        <w:autoSpaceDN w:val="0"/>
        <w:snapToGrid w:val="0"/>
        <w:ind w:left="41" w:leftChars="17" w:firstLine="480" w:firstLineChars="200"/>
        <w:rPr>
          <w:rFonts w:ascii="宋体" w:hAnsi="宋体"/>
        </w:rPr>
      </w:pPr>
      <w:r>
        <w:rPr>
          <w:rFonts w:hint="eastAsia" w:ascii="宋体" w:hAnsi="宋体"/>
        </w:rPr>
        <w:t>（</w:t>
      </w:r>
      <w:r>
        <w:rPr>
          <w:rFonts w:ascii="宋体" w:hAnsi="宋体"/>
        </w:rPr>
        <w:t>4）实施生产许可、准用管理或者实行质量认证的产品，应当具有相应的许可证、准用证或者认证证书。</w:t>
      </w:r>
    </w:p>
    <w:p w14:paraId="1335E774">
      <w:pPr>
        <w:autoSpaceDE w:val="0"/>
        <w:autoSpaceDN w:val="0"/>
        <w:snapToGrid w:val="0"/>
        <w:ind w:left="41" w:leftChars="17" w:firstLine="480" w:firstLineChars="200"/>
        <w:rPr>
          <w:rFonts w:ascii="宋体" w:hAnsi="宋体"/>
        </w:rPr>
      </w:pPr>
      <w:r>
        <w:rPr>
          <w:rFonts w:hint="eastAsia" w:ascii="宋体" w:hAnsi="宋体"/>
        </w:rPr>
        <w:t>若证明不全，需作补充试验的，其费用由承包人承担。</w:t>
      </w:r>
    </w:p>
    <w:p w14:paraId="6B6D9B78">
      <w:pPr>
        <w:autoSpaceDE w:val="0"/>
        <w:autoSpaceDN w:val="0"/>
        <w:snapToGrid w:val="0"/>
        <w:ind w:left="41" w:leftChars="17" w:firstLine="480" w:firstLineChars="200"/>
        <w:rPr>
          <w:rFonts w:ascii="宋体" w:hAnsi="宋体"/>
        </w:rPr>
      </w:pPr>
      <w:r>
        <w:rPr>
          <w:rFonts w:ascii="宋体" w:hAnsi="宋体"/>
        </w:rPr>
        <w:t>9.2.3承包人提供的材料和工程设备见合同附件5。</w:t>
      </w:r>
    </w:p>
    <w:p w14:paraId="781C735D">
      <w:pPr>
        <w:snapToGrid w:val="0"/>
        <w:ind w:left="41" w:leftChars="17"/>
        <w:rPr>
          <w:rFonts w:ascii="宋体" w:hAnsi="宋体"/>
          <w:b/>
        </w:rPr>
      </w:pPr>
      <w:r>
        <w:rPr>
          <w:rFonts w:ascii="宋体" w:hAnsi="宋体"/>
          <w:b/>
        </w:rPr>
        <w:t xml:space="preserve">    9.3 材料与工程设备的接收与拒收</w:t>
      </w:r>
    </w:p>
    <w:p w14:paraId="19B96AB3">
      <w:pPr>
        <w:autoSpaceDE w:val="0"/>
        <w:autoSpaceDN w:val="0"/>
        <w:snapToGrid w:val="0"/>
        <w:ind w:left="41" w:leftChars="17" w:firstLine="480" w:firstLineChars="200"/>
        <w:rPr>
          <w:rFonts w:ascii="宋体" w:hAnsi="宋体"/>
        </w:rPr>
      </w:pPr>
      <w:r>
        <w:rPr>
          <w:rFonts w:ascii="宋体" w:hAnsi="宋体"/>
        </w:rPr>
        <w:t>9.3.1 发包人应按</w:t>
      </w:r>
      <w:r>
        <w:rPr>
          <w:rFonts w:hint="eastAsia" w:ascii="宋体" w:hAnsi="宋体"/>
        </w:rPr>
        <w:t>本合同附件《</w:t>
      </w:r>
      <w:r>
        <w:rPr>
          <w:rFonts w:hint="eastAsia" w:ascii="宋体" w:hAnsi="宋体" w:cs="Arial"/>
        </w:rPr>
        <w:t>发包人提供的材料和设备一览表</w:t>
      </w:r>
      <w:r>
        <w:rPr>
          <w:rFonts w:hint="eastAsia" w:ascii="宋体" w:hAnsi="宋体"/>
        </w:rPr>
        <w:t>》</w:t>
      </w:r>
      <w:r>
        <w:rPr>
          <w:rFonts w:ascii="宋体" w:hAnsi="宋体"/>
        </w:rPr>
        <w:t>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1236AE9">
      <w:pPr>
        <w:autoSpaceDE w:val="0"/>
        <w:autoSpaceDN w:val="0"/>
        <w:snapToGrid w:val="0"/>
        <w:ind w:left="41" w:leftChars="17" w:firstLine="480" w:firstLineChars="200"/>
        <w:rPr>
          <w:rFonts w:ascii="宋体" w:hAnsi="宋体"/>
        </w:rPr>
      </w:pPr>
      <w:r>
        <w:rPr>
          <w:rFonts w:ascii="宋体" w:hAnsi="宋体"/>
        </w:rPr>
        <w:t>发包人提供的材料和工程设备的规格、数量或质量不符合合同约定的，或因发包人原因导致交货日期延误或交货地点变更等情况的，按照第17.2款约定办理。</w:t>
      </w:r>
    </w:p>
    <w:p w14:paraId="7769EFE6">
      <w:pPr>
        <w:autoSpaceDE w:val="0"/>
        <w:autoSpaceDN w:val="0"/>
        <w:snapToGrid w:val="0"/>
        <w:ind w:left="41" w:leftChars="17" w:firstLine="480" w:firstLineChars="200"/>
        <w:rPr>
          <w:rFonts w:ascii="宋体" w:hAnsi="宋体"/>
        </w:rPr>
      </w:pPr>
      <w:r>
        <w:rPr>
          <w:rFonts w:ascii="宋体" w:hAnsi="宋体"/>
        </w:rPr>
        <w:t>9.3.2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14:paraId="49ACB39C">
      <w:pPr>
        <w:autoSpaceDE w:val="0"/>
        <w:autoSpaceDN w:val="0"/>
        <w:snapToGrid w:val="0"/>
        <w:ind w:left="41" w:leftChars="17" w:firstLine="480" w:firstLineChars="200"/>
        <w:rPr>
          <w:rFonts w:ascii="宋体" w:hAnsi="宋体"/>
        </w:rPr>
      </w:pPr>
      <w:r>
        <w:rPr>
          <w:rFonts w:ascii="宋体" w:hAnsi="宋体"/>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24308060">
      <w:pPr>
        <w:snapToGrid w:val="0"/>
        <w:ind w:left="41" w:leftChars="17"/>
        <w:rPr>
          <w:rFonts w:ascii="宋体" w:hAnsi="宋体"/>
          <w:b/>
        </w:rPr>
      </w:pPr>
      <w:r>
        <w:rPr>
          <w:rFonts w:ascii="宋体" w:hAnsi="宋体"/>
          <w:b/>
        </w:rPr>
        <w:t xml:space="preserve">    9.4材料与工程设备的保管与使用</w:t>
      </w:r>
    </w:p>
    <w:p w14:paraId="64E74EB5">
      <w:pPr>
        <w:autoSpaceDE w:val="0"/>
        <w:autoSpaceDN w:val="0"/>
        <w:snapToGrid w:val="0"/>
        <w:ind w:left="41" w:leftChars="17" w:firstLine="480" w:firstLineChars="200"/>
        <w:rPr>
          <w:rFonts w:ascii="宋体" w:hAnsi="宋体"/>
        </w:rPr>
      </w:pPr>
      <w:r>
        <w:rPr>
          <w:rFonts w:ascii="宋体" w:hAnsi="宋体"/>
        </w:rPr>
        <w:t>9.4.1 发包人供应材料与工程设备的保管与使用</w:t>
      </w:r>
    </w:p>
    <w:p w14:paraId="41EFD47C">
      <w:pPr>
        <w:autoSpaceDE w:val="0"/>
        <w:autoSpaceDN w:val="0"/>
        <w:snapToGrid w:val="0"/>
        <w:ind w:left="41" w:leftChars="17" w:firstLine="480" w:firstLineChars="200"/>
        <w:rPr>
          <w:rFonts w:ascii="宋体" w:hAnsi="宋体"/>
        </w:rPr>
      </w:pPr>
      <w:r>
        <w:rPr>
          <w:rFonts w:ascii="宋体" w:hAnsi="宋体"/>
        </w:rPr>
        <w:t>发包人供应的材料和工程设备，承包人清点后由承包人妥善保管</w:t>
      </w:r>
      <w:r>
        <w:rPr>
          <w:rFonts w:hint="eastAsia" w:ascii="宋体" w:hAnsi="宋体"/>
        </w:rPr>
        <w:t>。</w:t>
      </w:r>
      <w:r>
        <w:rPr>
          <w:rFonts w:ascii="宋体" w:hAnsi="宋体"/>
        </w:rPr>
        <w:t>因承包人原因发生丢失毁损的，由承包人负责赔偿；监理人未通知承包人清点的，承包人不负责材料和工程设备的保管，由此导致丢失毁损的由发包人负责。</w:t>
      </w:r>
    </w:p>
    <w:p w14:paraId="5D9012FB">
      <w:pPr>
        <w:autoSpaceDE w:val="0"/>
        <w:autoSpaceDN w:val="0"/>
        <w:snapToGrid w:val="0"/>
        <w:ind w:left="41" w:leftChars="17" w:firstLine="480" w:firstLineChars="200"/>
        <w:rPr>
          <w:rFonts w:ascii="宋体" w:hAnsi="宋体"/>
        </w:rPr>
      </w:pPr>
      <w:r>
        <w:rPr>
          <w:rFonts w:ascii="宋体" w:hAnsi="宋体"/>
        </w:rPr>
        <w:t>发包人供应的材料和工程设备使用前，由承包人负责检验，检验费用由发包人承担，不合格的不得使用。</w:t>
      </w:r>
    </w:p>
    <w:p w14:paraId="2C07BF79">
      <w:pPr>
        <w:autoSpaceDE w:val="0"/>
        <w:autoSpaceDN w:val="0"/>
        <w:snapToGrid w:val="0"/>
        <w:ind w:left="41" w:leftChars="17" w:firstLine="480" w:firstLineChars="200"/>
        <w:rPr>
          <w:rFonts w:ascii="宋体" w:hAnsi="宋体"/>
        </w:rPr>
      </w:pPr>
      <w:r>
        <w:rPr>
          <w:rFonts w:ascii="宋体" w:hAnsi="宋体"/>
        </w:rPr>
        <w:t>9.4.2 承包人采购材料与工程设备的保管与使用</w:t>
      </w:r>
    </w:p>
    <w:p w14:paraId="7E2FC660">
      <w:pPr>
        <w:autoSpaceDE w:val="0"/>
        <w:autoSpaceDN w:val="0"/>
        <w:snapToGrid w:val="0"/>
        <w:ind w:left="41" w:leftChars="17" w:firstLine="480" w:firstLineChars="200"/>
        <w:rPr>
          <w:rFonts w:ascii="宋体" w:hAnsi="宋体"/>
        </w:rPr>
      </w:pPr>
      <w:r>
        <w:rPr>
          <w:rFonts w:ascii="宋体" w:hAnsi="宋体"/>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48886D75">
      <w:pPr>
        <w:autoSpaceDE w:val="0"/>
        <w:autoSpaceDN w:val="0"/>
        <w:snapToGrid w:val="0"/>
        <w:ind w:left="41" w:leftChars="17" w:firstLine="480" w:firstLineChars="200"/>
        <w:rPr>
          <w:rFonts w:ascii="宋体" w:hAnsi="宋体"/>
        </w:rPr>
      </w:pPr>
      <w:r>
        <w:rPr>
          <w:rFonts w:ascii="宋体" w:hAnsi="宋体"/>
        </w:rPr>
        <w:t>发包人或监理人发现承包人使用不符合设计或有关标准要求的材料和工程设备时，有权要求承包人进行修复、拆除或重新采购，由此增加的费用和（或）延误的工期，由承包人承担。</w:t>
      </w:r>
    </w:p>
    <w:p w14:paraId="1292CC06">
      <w:pPr>
        <w:autoSpaceDE w:val="0"/>
        <w:autoSpaceDN w:val="0"/>
        <w:snapToGrid w:val="0"/>
        <w:ind w:left="41" w:leftChars="17" w:firstLine="482" w:firstLineChars="200"/>
        <w:rPr>
          <w:b/>
        </w:rPr>
      </w:pPr>
      <w:r>
        <w:rPr>
          <w:rFonts w:ascii="宋体" w:hAnsi="宋体"/>
          <w:b/>
        </w:rPr>
        <w:t>9.5禁止使用不合格的材料和工程设备</w:t>
      </w:r>
    </w:p>
    <w:p w14:paraId="67305074">
      <w:pPr>
        <w:autoSpaceDE w:val="0"/>
        <w:autoSpaceDN w:val="0"/>
        <w:snapToGrid w:val="0"/>
        <w:ind w:left="41" w:leftChars="17" w:firstLine="480" w:firstLineChars="200"/>
        <w:rPr>
          <w:rFonts w:ascii="宋体" w:hAnsi="宋体"/>
        </w:rPr>
      </w:pPr>
      <w:r>
        <w:rPr>
          <w:rFonts w:ascii="宋体" w:hAnsi="宋体"/>
        </w:rPr>
        <w:t>9.5.1 监理人有权拒绝承包人提供的不合格材料或工程设备，并要求承包人立即进行更换。监理人应在更换后再次进行检查和检验，由此增加的费用和（或）延误的工期由承包人承担。</w:t>
      </w:r>
    </w:p>
    <w:p w14:paraId="1EE71818">
      <w:pPr>
        <w:autoSpaceDE w:val="0"/>
        <w:autoSpaceDN w:val="0"/>
        <w:snapToGrid w:val="0"/>
        <w:ind w:left="41" w:leftChars="17" w:firstLine="480" w:firstLineChars="200"/>
        <w:rPr>
          <w:rFonts w:ascii="宋体" w:hAnsi="宋体"/>
        </w:rPr>
      </w:pPr>
      <w:r>
        <w:rPr>
          <w:rFonts w:ascii="宋体" w:hAnsi="宋体"/>
        </w:rPr>
        <w:t>9.5.2 监理人发现承包人使用了不合格的材料和工程设备，承包人应按照监理人的指示立即改正，并禁止在工程中继续使用不合格的材料和工程设备。</w:t>
      </w:r>
    </w:p>
    <w:p w14:paraId="6A46854B">
      <w:pPr>
        <w:autoSpaceDE w:val="0"/>
        <w:autoSpaceDN w:val="0"/>
        <w:snapToGrid w:val="0"/>
        <w:ind w:left="41" w:leftChars="17" w:firstLine="480" w:firstLineChars="200"/>
        <w:rPr>
          <w:rFonts w:ascii="宋体" w:hAnsi="宋体"/>
        </w:rPr>
      </w:pPr>
      <w:r>
        <w:rPr>
          <w:rFonts w:ascii="宋体" w:hAnsi="宋体"/>
        </w:rPr>
        <w:t>9.5.3发包人提供的材料或工程设备不符合合同要求的，承包人有权拒绝，并可要求发包人更换，</w:t>
      </w:r>
      <w:r>
        <w:rPr>
          <w:rFonts w:hint="eastAsia" w:ascii="宋体" w:hAnsi="宋体"/>
        </w:rPr>
        <w:t>除专用合同条款另有约定外</w:t>
      </w:r>
      <w:r>
        <w:rPr>
          <w:rFonts w:ascii="宋体" w:hAnsi="宋体"/>
        </w:rPr>
        <w:t>,由此增加的费用和（或）延误的工期由发包人承担</w:t>
      </w:r>
      <w:r>
        <w:rPr>
          <w:rFonts w:hint="eastAsia" w:ascii="宋体" w:hAnsi="宋体"/>
        </w:rPr>
        <w:t>，并支付承包人合理的利润</w:t>
      </w:r>
      <w:r>
        <w:rPr>
          <w:rFonts w:ascii="宋体" w:hAnsi="宋体"/>
        </w:rPr>
        <w:t>。</w:t>
      </w:r>
    </w:p>
    <w:p w14:paraId="65097181">
      <w:pPr>
        <w:snapToGrid w:val="0"/>
        <w:ind w:left="41" w:leftChars="17"/>
        <w:rPr>
          <w:rFonts w:ascii="宋体" w:hAnsi="宋体"/>
          <w:b/>
        </w:rPr>
      </w:pPr>
      <w:r>
        <w:rPr>
          <w:rFonts w:ascii="宋体" w:hAnsi="宋体"/>
          <w:b/>
        </w:rPr>
        <w:t xml:space="preserve">    9.6 样品</w:t>
      </w:r>
    </w:p>
    <w:p w14:paraId="70628CE7">
      <w:pPr>
        <w:autoSpaceDE w:val="0"/>
        <w:autoSpaceDN w:val="0"/>
        <w:snapToGrid w:val="0"/>
        <w:ind w:left="41" w:leftChars="17" w:firstLine="480" w:firstLineChars="200"/>
        <w:rPr>
          <w:rFonts w:ascii="宋体" w:hAnsi="宋体"/>
        </w:rPr>
      </w:pPr>
      <w:r>
        <w:rPr>
          <w:rFonts w:ascii="宋体" w:hAnsi="宋体"/>
        </w:rPr>
        <w:t>9.6.1</w:t>
      </w:r>
      <w:r>
        <w:rPr>
          <w:rFonts w:ascii="宋体" w:hAnsi="宋体"/>
        </w:rPr>
        <w:tab/>
      </w:r>
      <w:r>
        <w:rPr>
          <w:rFonts w:ascii="宋体" w:hAnsi="宋体"/>
        </w:rPr>
        <w:t>样品的报送</w:t>
      </w:r>
      <w:r>
        <w:rPr>
          <w:rFonts w:hint="eastAsia" w:ascii="宋体" w:hAnsi="宋体"/>
        </w:rPr>
        <w:t>与封存</w:t>
      </w:r>
    </w:p>
    <w:p w14:paraId="4D147FC2">
      <w:pPr>
        <w:autoSpaceDE w:val="0"/>
        <w:autoSpaceDN w:val="0"/>
        <w:snapToGrid w:val="0"/>
        <w:ind w:left="41" w:leftChars="17" w:firstLine="480" w:firstLineChars="200"/>
        <w:rPr>
          <w:rFonts w:ascii="宋体" w:hAnsi="宋体"/>
        </w:rPr>
      </w:pPr>
      <w:r>
        <w:rPr>
          <w:rFonts w:ascii="宋体" w:hAnsi="宋体"/>
        </w:rPr>
        <w:t>需要承包人报送样品的材料或工程设备，样品的种类、名称、规格、数量等要求均应在专用合同条款中约定。样品的报送程序如下：</w:t>
      </w:r>
    </w:p>
    <w:p w14:paraId="5835F156">
      <w:pPr>
        <w:autoSpaceDE w:val="0"/>
        <w:autoSpaceDN w:val="0"/>
        <w:snapToGrid w:val="0"/>
        <w:ind w:left="41" w:leftChars="17" w:firstLine="480" w:firstLineChars="200"/>
        <w:rPr>
          <w:rFonts w:ascii="宋体" w:hAnsi="宋体"/>
        </w:rPr>
      </w:pPr>
      <w:r>
        <w:rPr>
          <w:rFonts w:ascii="宋体" w:hAnsi="宋体"/>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392E84D">
      <w:pPr>
        <w:autoSpaceDE w:val="0"/>
        <w:autoSpaceDN w:val="0"/>
        <w:snapToGrid w:val="0"/>
        <w:ind w:left="41" w:leftChars="17" w:firstLine="480" w:firstLineChars="200"/>
        <w:rPr>
          <w:rFonts w:ascii="宋体" w:hAnsi="宋体"/>
        </w:rPr>
      </w:pPr>
      <w:r>
        <w:rPr>
          <w:rFonts w:ascii="宋体" w:hAnsi="宋体"/>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708DCC40">
      <w:pPr>
        <w:autoSpaceDE w:val="0"/>
        <w:autoSpaceDN w:val="0"/>
        <w:snapToGrid w:val="0"/>
        <w:ind w:left="41" w:leftChars="17" w:firstLine="480" w:firstLineChars="200"/>
        <w:rPr>
          <w:rFonts w:ascii="宋体" w:hAnsi="宋体"/>
        </w:rPr>
      </w:pPr>
      <w:r>
        <w:rPr>
          <w:rFonts w:ascii="宋体" w:hAnsi="宋体"/>
        </w:rPr>
        <w:t>（3）经发包人和监理人审批确认的样品</w:t>
      </w:r>
      <w:r>
        <w:rPr>
          <w:rFonts w:hint="eastAsia" w:ascii="宋体" w:hAnsi="宋体"/>
        </w:rPr>
        <w:t>应按约定的方法封样，封存的样品</w:t>
      </w:r>
      <w:r>
        <w:rPr>
          <w:rFonts w:ascii="宋体" w:hAnsi="宋体"/>
        </w:rPr>
        <w:t>作为检验工程相关部分的标准之一。承包人在施工过程中不得使用与样品不符的材料或工程设备。</w:t>
      </w:r>
    </w:p>
    <w:p w14:paraId="19B98AD5">
      <w:pPr>
        <w:autoSpaceDE w:val="0"/>
        <w:autoSpaceDN w:val="0"/>
        <w:snapToGrid w:val="0"/>
        <w:ind w:left="41" w:leftChars="17" w:firstLine="480" w:firstLineChars="200"/>
        <w:rPr>
          <w:rFonts w:ascii="宋体" w:hAnsi="宋体"/>
        </w:rPr>
      </w:pPr>
      <w:r>
        <w:rPr>
          <w:rFonts w:ascii="宋体" w:hAnsi="宋体"/>
        </w:rPr>
        <w:t>（4）发包人和监理人对样品的审批确认仅为确认相关材料或工程设备的特征或用途，不得被理解为对合同的修改或改变，也并不减轻或免除承包人任何的责任和义务。</w:t>
      </w:r>
      <w:r>
        <w:rPr>
          <w:rFonts w:hint="eastAsia" w:ascii="宋体" w:hAnsi="宋体"/>
        </w:rPr>
        <w:t>如果封存的样品修改或改变了合同约定，合同当事人应当以书面协议予以确认。</w:t>
      </w:r>
    </w:p>
    <w:p w14:paraId="56998DE8">
      <w:pPr>
        <w:autoSpaceDE w:val="0"/>
        <w:autoSpaceDN w:val="0"/>
        <w:snapToGrid w:val="0"/>
        <w:ind w:left="41" w:leftChars="17" w:firstLine="480" w:firstLineChars="200"/>
        <w:rPr>
          <w:rFonts w:ascii="宋体" w:hAnsi="宋体"/>
        </w:rPr>
      </w:pPr>
      <w:r>
        <w:rPr>
          <w:rFonts w:ascii="宋体" w:hAnsi="宋体"/>
        </w:rPr>
        <w:t>9.6.2 样品的保管</w:t>
      </w:r>
    </w:p>
    <w:p w14:paraId="28342A30">
      <w:pPr>
        <w:autoSpaceDE w:val="0"/>
        <w:autoSpaceDN w:val="0"/>
        <w:snapToGrid w:val="0"/>
        <w:ind w:left="41" w:leftChars="17" w:firstLine="480" w:firstLineChars="200"/>
        <w:rPr>
          <w:rFonts w:ascii="宋体" w:hAnsi="宋体"/>
        </w:rPr>
      </w:pPr>
      <w:r>
        <w:rPr>
          <w:rFonts w:ascii="宋体" w:hAnsi="宋体"/>
        </w:rPr>
        <w:t>经批准的样品应由监理人负责封存于现场，承包人应在现场为保存样品提供适当和固定的场所并保持适当和良好的存储环境条件。</w:t>
      </w:r>
    </w:p>
    <w:p w14:paraId="71F214CE">
      <w:pPr>
        <w:snapToGrid w:val="0"/>
        <w:ind w:left="41" w:leftChars="17"/>
        <w:rPr>
          <w:rFonts w:ascii="宋体" w:hAnsi="宋体"/>
          <w:b/>
        </w:rPr>
      </w:pPr>
      <w:r>
        <w:rPr>
          <w:rFonts w:ascii="宋体" w:hAnsi="宋体"/>
          <w:b/>
        </w:rPr>
        <w:t xml:space="preserve">    9.7材料与工程设备的替代</w:t>
      </w:r>
    </w:p>
    <w:p w14:paraId="46F6130D">
      <w:pPr>
        <w:autoSpaceDE w:val="0"/>
        <w:autoSpaceDN w:val="0"/>
        <w:snapToGrid w:val="0"/>
        <w:ind w:left="41" w:leftChars="17" w:firstLine="480" w:firstLineChars="200"/>
        <w:rPr>
          <w:rFonts w:ascii="宋体" w:hAnsi="宋体"/>
        </w:rPr>
      </w:pPr>
      <w:r>
        <w:rPr>
          <w:rFonts w:ascii="宋体" w:hAnsi="宋体"/>
        </w:rPr>
        <w:t>9.7.1 出现下列情况需要使用替代材料和工程设备的，承包人应按照第9.7.2项约定的程序执行：</w:t>
      </w:r>
    </w:p>
    <w:p w14:paraId="782B32C6">
      <w:pPr>
        <w:autoSpaceDE w:val="0"/>
        <w:autoSpaceDN w:val="0"/>
        <w:snapToGrid w:val="0"/>
        <w:ind w:left="41" w:leftChars="17" w:firstLine="480" w:firstLineChars="200"/>
        <w:rPr>
          <w:rFonts w:ascii="宋体" w:hAnsi="宋体"/>
        </w:rPr>
      </w:pPr>
      <w:r>
        <w:rPr>
          <w:rFonts w:ascii="宋体" w:hAnsi="宋体"/>
        </w:rPr>
        <w:t>（1）基准日</w:t>
      </w:r>
      <w:r>
        <w:rPr>
          <w:rFonts w:hint="eastAsia" w:ascii="宋体" w:hAnsi="宋体"/>
        </w:rPr>
        <w:t>期</w:t>
      </w:r>
      <w:r>
        <w:rPr>
          <w:rFonts w:ascii="宋体" w:hAnsi="宋体"/>
        </w:rPr>
        <w:t>后生效的法律规定禁止使用的；</w:t>
      </w:r>
    </w:p>
    <w:p w14:paraId="3C805B15">
      <w:pPr>
        <w:autoSpaceDE w:val="0"/>
        <w:autoSpaceDN w:val="0"/>
        <w:snapToGrid w:val="0"/>
        <w:ind w:left="41" w:leftChars="17" w:firstLine="480" w:firstLineChars="200"/>
        <w:rPr>
          <w:rFonts w:ascii="宋体" w:hAnsi="宋体"/>
        </w:rPr>
      </w:pPr>
      <w:r>
        <w:rPr>
          <w:rFonts w:ascii="宋体" w:hAnsi="宋体"/>
        </w:rPr>
        <w:t>（2）发包人要求使用替代品的；</w:t>
      </w:r>
    </w:p>
    <w:p w14:paraId="1C8528A7">
      <w:pPr>
        <w:autoSpaceDE w:val="0"/>
        <w:autoSpaceDN w:val="0"/>
        <w:snapToGrid w:val="0"/>
        <w:ind w:left="41" w:leftChars="17" w:firstLine="480" w:firstLineChars="200"/>
        <w:rPr>
          <w:rFonts w:ascii="宋体" w:hAnsi="宋体"/>
        </w:rPr>
      </w:pPr>
      <w:r>
        <w:rPr>
          <w:rFonts w:ascii="宋体" w:hAnsi="宋体"/>
        </w:rPr>
        <w:t>（3）因其他原因必须使用替代品的。</w:t>
      </w:r>
    </w:p>
    <w:p w14:paraId="4EBB3FFA">
      <w:pPr>
        <w:autoSpaceDE w:val="0"/>
        <w:autoSpaceDN w:val="0"/>
        <w:snapToGrid w:val="0"/>
        <w:ind w:left="41" w:leftChars="17" w:firstLine="480" w:firstLineChars="200"/>
        <w:rPr>
          <w:rFonts w:ascii="宋体" w:hAnsi="宋体"/>
        </w:rPr>
      </w:pPr>
      <w:r>
        <w:rPr>
          <w:rFonts w:ascii="宋体" w:hAnsi="宋体"/>
        </w:rPr>
        <w:t>9.7.2 承包人应在使用替代材料和工程设备28天前书面通知监理人，并附下列文件：</w:t>
      </w:r>
    </w:p>
    <w:p w14:paraId="31D4FC5A">
      <w:pPr>
        <w:autoSpaceDE w:val="0"/>
        <w:autoSpaceDN w:val="0"/>
        <w:snapToGrid w:val="0"/>
        <w:ind w:left="41" w:leftChars="17" w:firstLine="480" w:firstLineChars="200"/>
        <w:rPr>
          <w:rFonts w:ascii="宋体" w:hAnsi="宋体"/>
        </w:rPr>
      </w:pPr>
      <w:r>
        <w:rPr>
          <w:rFonts w:ascii="宋体" w:hAnsi="宋体"/>
        </w:rPr>
        <w:t>（1）被替代的材料和工程设备的名称、数量、规格、型号、品牌、性能、价格及其他相关资料；</w:t>
      </w:r>
    </w:p>
    <w:p w14:paraId="053D8E19">
      <w:pPr>
        <w:autoSpaceDE w:val="0"/>
        <w:autoSpaceDN w:val="0"/>
        <w:snapToGrid w:val="0"/>
        <w:ind w:left="41" w:leftChars="17" w:firstLine="464" w:firstLineChars="200"/>
        <w:rPr>
          <w:rFonts w:ascii="宋体" w:hAnsi="宋体"/>
          <w:spacing w:val="-4"/>
        </w:rPr>
      </w:pPr>
      <w:r>
        <w:rPr>
          <w:rFonts w:ascii="宋体" w:hAnsi="宋体"/>
          <w:spacing w:val="-4"/>
        </w:rPr>
        <w:t>（2）替代品的名称、数量、规格、型号、品牌、性能、价格及其他相关资料；</w:t>
      </w:r>
    </w:p>
    <w:p w14:paraId="6044FE3A">
      <w:pPr>
        <w:autoSpaceDE w:val="0"/>
        <w:autoSpaceDN w:val="0"/>
        <w:snapToGrid w:val="0"/>
        <w:ind w:left="41" w:leftChars="17" w:firstLine="464" w:firstLineChars="200"/>
        <w:rPr>
          <w:rFonts w:ascii="宋体" w:hAnsi="宋体"/>
          <w:spacing w:val="-4"/>
        </w:rPr>
      </w:pPr>
      <w:r>
        <w:rPr>
          <w:rFonts w:ascii="宋体" w:hAnsi="宋体"/>
          <w:spacing w:val="-4"/>
        </w:rPr>
        <w:t>（3）替代品与被替代产品之间的差异以及使用替代品可能对工程产生的影响；</w:t>
      </w:r>
    </w:p>
    <w:p w14:paraId="1E59CB18">
      <w:pPr>
        <w:autoSpaceDE w:val="0"/>
        <w:autoSpaceDN w:val="0"/>
        <w:snapToGrid w:val="0"/>
        <w:ind w:left="41" w:leftChars="17" w:firstLine="480" w:firstLineChars="200"/>
        <w:rPr>
          <w:rFonts w:ascii="宋体" w:hAnsi="宋体"/>
        </w:rPr>
      </w:pPr>
      <w:r>
        <w:rPr>
          <w:rFonts w:ascii="宋体" w:hAnsi="宋体"/>
        </w:rPr>
        <w:t>（4）替代品与被替代产品的价格差异；</w:t>
      </w:r>
    </w:p>
    <w:p w14:paraId="313BF649">
      <w:pPr>
        <w:autoSpaceDE w:val="0"/>
        <w:autoSpaceDN w:val="0"/>
        <w:snapToGrid w:val="0"/>
        <w:ind w:left="41" w:leftChars="17" w:firstLine="480" w:firstLineChars="200"/>
        <w:rPr>
          <w:rFonts w:ascii="宋体" w:hAnsi="宋体"/>
        </w:rPr>
      </w:pPr>
      <w:r>
        <w:rPr>
          <w:rFonts w:ascii="宋体" w:hAnsi="宋体"/>
        </w:rPr>
        <w:t>（5）使用替代品的理由和原因说明；</w:t>
      </w:r>
    </w:p>
    <w:p w14:paraId="41FEA66B">
      <w:pPr>
        <w:autoSpaceDE w:val="0"/>
        <w:autoSpaceDN w:val="0"/>
        <w:snapToGrid w:val="0"/>
        <w:ind w:left="41" w:leftChars="17" w:firstLine="480" w:firstLineChars="200"/>
        <w:rPr>
          <w:rFonts w:ascii="宋体" w:hAnsi="宋体"/>
        </w:rPr>
      </w:pPr>
      <w:r>
        <w:rPr>
          <w:rFonts w:ascii="宋体" w:hAnsi="宋体"/>
        </w:rPr>
        <w:t>（6）监理人要求的其他文件。</w:t>
      </w:r>
    </w:p>
    <w:p w14:paraId="00B1FC49">
      <w:pPr>
        <w:autoSpaceDE w:val="0"/>
        <w:autoSpaceDN w:val="0"/>
        <w:snapToGrid w:val="0"/>
        <w:ind w:left="41" w:leftChars="17" w:firstLine="480" w:firstLineChars="200"/>
        <w:rPr>
          <w:rFonts w:ascii="宋体" w:hAnsi="宋体"/>
        </w:rPr>
      </w:pPr>
      <w:r>
        <w:rPr>
          <w:rFonts w:ascii="宋体" w:hAnsi="宋体"/>
        </w:rPr>
        <w:t>监理人应在收到通知后14天内向承包人发出经发包人签认的书面指示；监理人逾期发出书面指示的，视为发包人和监理人同意使用替代品。</w:t>
      </w:r>
    </w:p>
    <w:p w14:paraId="57E94A0F">
      <w:pPr>
        <w:autoSpaceDE w:val="0"/>
        <w:autoSpaceDN w:val="0"/>
        <w:snapToGrid w:val="0"/>
        <w:ind w:left="41" w:leftChars="17" w:firstLine="480" w:firstLineChars="200"/>
        <w:rPr>
          <w:rFonts w:ascii="宋体" w:hAnsi="宋体"/>
        </w:rPr>
      </w:pPr>
      <w:r>
        <w:rPr>
          <w:rFonts w:ascii="宋体" w:hAnsi="宋体"/>
        </w:rPr>
        <w:t>9.7.3 发包人认可使用替代材料和工程设备的，替代材料和工程设备的价格，按照已标价工程量清单相同项目的价格认定；无相同项目的，参考相似项目价格认定；</w:t>
      </w:r>
      <w:r>
        <w:rPr>
          <w:rFonts w:hint="eastAsia" w:ascii="宋体" w:hAnsi="宋体"/>
        </w:rPr>
        <w:t>既无</w:t>
      </w:r>
      <w:r>
        <w:rPr>
          <w:rFonts w:ascii="宋体" w:hAnsi="宋体"/>
        </w:rPr>
        <w:t>相同项目</w:t>
      </w:r>
      <w:r>
        <w:rPr>
          <w:rFonts w:hint="eastAsia" w:ascii="宋体" w:hAnsi="宋体"/>
        </w:rPr>
        <w:t>也</w:t>
      </w:r>
      <w:r>
        <w:rPr>
          <w:rFonts w:ascii="宋体" w:hAnsi="宋体"/>
        </w:rPr>
        <w:t>无相似项目的，</w:t>
      </w:r>
      <w:r>
        <w:rPr>
          <w:rFonts w:hint="eastAsia" w:ascii="宋体" w:hAnsi="宋体"/>
        </w:rPr>
        <w:t>按照合理的成本与利润构成的原则，</w:t>
      </w:r>
      <w:r>
        <w:rPr>
          <w:rFonts w:ascii="宋体" w:hAnsi="宋体"/>
        </w:rPr>
        <w:t>由合同当事人按照第3.5款确定价格。</w:t>
      </w:r>
    </w:p>
    <w:p w14:paraId="1C6C946B">
      <w:pPr>
        <w:snapToGrid w:val="0"/>
        <w:ind w:left="41" w:leftChars="17"/>
        <w:rPr>
          <w:rFonts w:ascii="宋体" w:hAnsi="宋体"/>
          <w:b/>
        </w:rPr>
      </w:pPr>
      <w:r>
        <w:rPr>
          <w:rFonts w:ascii="宋体" w:hAnsi="宋体"/>
          <w:b/>
        </w:rPr>
        <w:t xml:space="preserve">    9.8施工设备和临时设施</w:t>
      </w:r>
    </w:p>
    <w:p w14:paraId="48B234AD">
      <w:pPr>
        <w:snapToGrid w:val="0"/>
        <w:ind w:left="41" w:leftChars="17" w:firstLine="480" w:firstLineChars="200"/>
        <w:rPr>
          <w:rFonts w:ascii="宋体" w:hAnsi="宋体"/>
        </w:rPr>
      </w:pPr>
      <w:r>
        <w:rPr>
          <w:rFonts w:ascii="宋体" w:hAnsi="宋体"/>
        </w:rPr>
        <w:t>9.8.1 承包人提供的施工设备和临时设施</w:t>
      </w:r>
    </w:p>
    <w:p w14:paraId="762B85A9">
      <w:pPr>
        <w:snapToGrid w:val="0"/>
        <w:ind w:left="41" w:leftChars="17" w:firstLine="480" w:firstLineChars="200"/>
        <w:rPr>
          <w:rFonts w:ascii="宋体" w:hAnsi="宋体"/>
        </w:rPr>
      </w:pPr>
      <w:r>
        <w:rPr>
          <w:rFonts w:hint="eastAsia" w:ascii="宋体" w:hAnsi="宋体"/>
        </w:rPr>
        <w:t>合同签订后，承包人应及时编制施工平面布置方案报发包人批准。</w:t>
      </w:r>
      <w:r>
        <w:rPr>
          <w:rFonts w:ascii="宋体" w:hAnsi="宋体"/>
        </w:rPr>
        <w:t>承包人应按合同进度计划的要求，及时配置施工设备和修建临时设施。</w:t>
      </w:r>
      <w:r>
        <w:rPr>
          <w:rFonts w:hint="eastAsia" w:ascii="宋体" w:hAnsi="宋体"/>
        </w:rPr>
        <w:t>承包人提供的设备</w:t>
      </w:r>
      <w:r>
        <w:rPr>
          <w:rFonts w:ascii="宋体" w:hAnsi="宋体"/>
        </w:rPr>
        <w:t>进入施工场地需经监理人核查后才能投入使用。承包人更换合同约定的承包人设备的，应报监理人批准。</w:t>
      </w:r>
    </w:p>
    <w:p w14:paraId="642AB8CF">
      <w:pPr>
        <w:snapToGrid w:val="0"/>
        <w:ind w:left="41" w:leftChars="17" w:firstLine="480" w:firstLineChars="200"/>
        <w:rPr>
          <w:rFonts w:ascii="宋体" w:hAnsi="宋体"/>
        </w:rPr>
      </w:pPr>
      <w:r>
        <w:rPr>
          <w:rFonts w:ascii="宋体" w:hAnsi="宋体"/>
        </w:rPr>
        <w:t>除专用合同条款另有约定外，承包人应自行承担修建临时设施的费用，需要临时占地的，应由发包人</w:t>
      </w:r>
      <w:r>
        <w:rPr>
          <w:rFonts w:hint="eastAsia" w:ascii="宋体" w:hAnsi="宋体"/>
        </w:rPr>
        <w:t>负责提供</w:t>
      </w:r>
      <w:r>
        <w:rPr>
          <w:rFonts w:ascii="宋体" w:hAnsi="宋体"/>
        </w:rPr>
        <w:t>。</w:t>
      </w:r>
    </w:p>
    <w:p w14:paraId="4AA0E418">
      <w:pPr>
        <w:snapToGrid w:val="0"/>
        <w:ind w:left="41" w:leftChars="17" w:firstLine="480" w:firstLineChars="200"/>
        <w:rPr>
          <w:rFonts w:ascii="宋体" w:hAnsi="宋体"/>
        </w:rPr>
      </w:pPr>
      <w:r>
        <w:rPr>
          <w:rFonts w:ascii="宋体" w:hAnsi="宋体"/>
        </w:rPr>
        <w:t>9.8.2发包人提供的施工设备和临时设施</w:t>
      </w:r>
    </w:p>
    <w:p w14:paraId="1C2012B4">
      <w:pPr>
        <w:snapToGrid w:val="0"/>
        <w:ind w:left="41" w:leftChars="17" w:firstLine="480" w:firstLineChars="200"/>
        <w:rPr>
          <w:rFonts w:ascii="宋体" w:hAnsi="宋体"/>
        </w:rPr>
      </w:pPr>
      <w:r>
        <w:rPr>
          <w:rFonts w:ascii="宋体" w:hAnsi="宋体"/>
        </w:rPr>
        <w:t>发包人提供的施工设备</w:t>
      </w:r>
      <w:r>
        <w:rPr>
          <w:rFonts w:hint="eastAsia" w:ascii="宋体" w:hAnsi="宋体"/>
        </w:rPr>
        <w:t>和</w:t>
      </w:r>
      <w:r>
        <w:rPr>
          <w:rFonts w:ascii="宋体" w:hAnsi="宋体"/>
        </w:rPr>
        <w:t>临时设施在专用合同条款中约定。</w:t>
      </w:r>
    </w:p>
    <w:p w14:paraId="3472F13E">
      <w:pPr>
        <w:snapToGrid w:val="0"/>
        <w:ind w:left="41" w:leftChars="17" w:firstLine="480" w:firstLineChars="200"/>
        <w:rPr>
          <w:rFonts w:ascii="宋体" w:hAnsi="宋体"/>
        </w:rPr>
      </w:pPr>
      <w:r>
        <w:rPr>
          <w:rFonts w:ascii="宋体" w:hAnsi="宋体"/>
        </w:rPr>
        <w:t>9.8.3要求承包人增加或更换施工设备</w:t>
      </w:r>
    </w:p>
    <w:p w14:paraId="182BF8DE">
      <w:pPr>
        <w:snapToGrid w:val="0"/>
        <w:ind w:left="41" w:leftChars="17" w:firstLine="480" w:firstLineChars="200"/>
      </w:pPr>
      <w:r>
        <w:rPr>
          <w:rFonts w:ascii="宋体" w:hAnsi="宋体"/>
        </w:rPr>
        <w:t>承包人使用的施工设备不能满足合同进度计划和（或）质量要求时，监理人有权要求承包人增加或更换施工设备，承包人应及时增加或更换，由此增加的费用和（或）延误的工期由承包人承担。</w:t>
      </w:r>
    </w:p>
    <w:p w14:paraId="36826EBE">
      <w:pPr>
        <w:snapToGrid w:val="0"/>
        <w:ind w:left="41" w:leftChars="17"/>
        <w:rPr>
          <w:rFonts w:ascii="宋体" w:hAnsi="宋体"/>
          <w:b/>
        </w:rPr>
      </w:pPr>
      <w:r>
        <w:rPr>
          <w:rFonts w:ascii="宋体" w:hAnsi="宋体"/>
          <w:b/>
        </w:rPr>
        <w:t xml:space="preserve">    9.9材料与设备专用</w:t>
      </w:r>
      <w:r>
        <w:rPr>
          <w:rFonts w:hint="eastAsia" w:ascii="宋体" w:hAnsi="宋体"/>
          <w:b/>
        </w:rPr>
        <w:t>要求</w:t>
      </w:r>
    </w:p>
    <w:p w14:paraId="14F3CD3A">
      <w:pPr>
        <w:snapToGrid w:val="0"/>
        <w:ind w:left="41" w:leftChars="17" w:firstLine="480" w:firstLineChars="200"/>
        <w:rPr>
          <w:rFonts w:ascii="宋体" w:hAnsi="宋体"/>
        </w:rPr>
      </w:pPr>
      <w:r>
        <w:rPr>
          <w:rFonts w:ascii="宋体" w:hAnsi="宋体"/>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14:paraId="3F3584CF">
      <w:pPr>
        <w:ind w:left="41" w:leftChars="17"/>
        <w:outlineLvl w:val="1"/>
        <w:rPr>
          <w:rFonts w:ascii="宋体" w:hAnsi="宋体"/>
          <w:b/>
          <w:bCs/>
          <w:kern w:val="0"/>
        </w:rPr>
      </w:pPr>
      <w:bookmarkStart w:id="581" w:name="_Toc526793381"/>
      <w:bookmarkStart w:id="582" w:name="_Toc410986368"/>
      <w:bookmarkStart w:id="583" w:name="_Toc6241366"/>
      <w:bookmarkStart w:id="584" w:name="_Toc21891"/>
      <w:bookmarkStart w:id="585" w:name="_Toc439160169"/>
      <w:bookmarkStart w:id="586" w:name="_Toc489084314"/>
      <w:r>
        <w:rPr>
          <w:rFonts w:ascii="宋体" w:hAnsi="宋体"/>
          <w:b/>
          <w:bCs/>
          <w:kern w:val="0"/>
        </w:rPr>
        <w:t xml:space="preserve">10. </w:t>
      </w:r>
      <w:r>
        <w:rPr>
          <w:rFonts w:hint="eastAsia" w:ascii="宋体" w:hAnsi="宋体"/>
          <w:b/>
          <w:bCs/>
          <w:kern w:val="0"/>
        </w:rPr>
        <w:t>试验和检验</w:t>
      </w:r>
      <w:bookmarkEnd w:id="571"/>
      <w:bookmarkEnd w:id="572"/>
      <w:bookmarkEnd w:id="573"/>
      <w:bookmarkEnd w:id="574"/>
      <w:bookmarkEnd w:id="581"/>
      <w:bookmarkEnd w:id="582"/>
      <w:bookmarkEnd w:id="583"/>
      <w:bookmarkEnd w:id="584"/>
      <w:bookmarkEnd w:id="585"/>
      <w:bookmarkEnd w:id="586"/>
    </w:p>
    <w:p w14:paraId="43F7FA45">
      <w:pPr>
        <w:snapToGrid w:val="0"/>
        <w:ind w:left="41" w:leftChars="17"/>
        <w:rPr>
          <w:rFonts w:ascii="宋体" w:hAnsi="宋体"/>
          <w:b/>
        </w:rPr>
      </w:pPr>
      <w:bookmarkStart w:id="587" w:name="_Toc152042481"/>
      <w:bookmarkStart w:id="588" w:name="_Toc179632721"/>
      <w:bookmarkStart w:id="589" w:name="_Toc152045703"/>
      <w:bookmarkStart w:id="590" w:name="_Toc296602541"/>
      <w:bookmarkStart w:id="591" w:name="_Toc144974672"/>
      <w:r>
        <w:rPr>
          <w:rFonts w:ascii="宋体" w:hAnsi="宋体"/>
          <w:b/>
        </w:rPr>
        <w:t xml:space="preserve">    10.1 材料、工程设备和工程的试验和检验</w:t>
      </w:r>
      <w:bookmarkEnd w:id="587"/>
      <w:bookmarkEnd w:id="588"/>
      <w:bookmarkEnd w:id="589"/>
      <w:bookmarkEnd w:id="590"/>
      <w:bookmarkEnd w:id="591"/>
    </w:p>
    <w:p w14:paraId="0F3F0774">
      <w:pPr>
        <w:snapToGrid w:val="0"/>
        <w:ind w:left="41" w:leftChars="17" w:firstLine="480" w:firstLineChars="200"/>
        <w:rPr>
          <w:rFonts w:ascii="宋体" w:hAnsi="宋体"/>
        </w:rPr>
      </w:pPr>
      <w:r>
        <w:rPr>
          <w:rFonts w:ascii="宋体" w:hAnsi="宋体"/>
        </w:rPr>
        <w:t xml:space="preserve">10.1.1 </w:t>
      </w:r>
      <w:r>
        <w:rPr>
          <w:rFonts w:hint="eastAsia" w:ascii="宋体" w:hAnsi="宋体"/>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62014370">
      <w:pPr>
        <w:snapToGrid w:val="0"/>
        <w:ind w:left="41" w:leftChars="17" w:firstLine="480" w:firstLineChars="200"/>
        <w:rPr>
          <w:rFonts w:ascii="宋体" w:hAnsi="宋体"/>
        </w:rPr>
      </w:pPr>
      <w:r>
        <w:rPr>
          <w:rFonts w:ascii="宋体" w:hAnsi="宋体"/>
        </w:rPr>
        <w:t xml:space="preserve">10.1.2 </w:t>
      </w:r>
      <w:r>
        <w:rPr>
          <w:rFonts w:hint="eastAsia" w:ascii="宋体" w:hAnsi="宋体"/>
        </w:rPr>
        <w:t>监理人未按合同约定派员参加试验和检验的，除监理人另有指示外，承包人可自行试验和检验，并应立即将试验和检验结果报送监理人，监理人应签字确认。</w:t>
      </w:r>
    </w:p>
    <w:p w14:paraId="748D812C">
      <w:pPr>
        <w:snapToGrid w:val="0"/>
        <w:ind w:left="41" w:leftChars="17" w:firstLine="480" w:firstLineChars="200"/>
        <w:rPr>
          <w:rFonts w:ascii="宋体" w:hAnsi="宋体"/>
        </w:rPr>
      </w:pPr>
      <w:r>
        <w:rPr>
          <w:rFonts w:ascii="宋体" w:hAnsi="宋体"/>
        </w:rPr>
        <w:t xml:space="preserve">10.1.3 </w:t>
      </w:r>
      <w:r>
        <w:rPr>
          <w:rFonts w:hint="eastAsia" w:ascii="宋体" w:hAnsi="宋体"/>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7C4FE745">
      <w:pPr>
        <w:snapToGrid w:val="0"/>
        <w:ind w:left="41" w:leftChars="17"/>
        <w:rPr>
          <w:rFonts w:ascii="宋体" w:hAnsi="宋体"/>
          <w:b/>
        </w:rPr>
      </w:pPr>
      <w:bookmarkStart w:id="592" w:name="_Toc296602542"/>
      <w:bookmarkStart w:id="593" w:name="_Toc179632722"/>
      <w:bookmarkStart w:id="594" w:name="_Toc152042482"/>
      <w:bookmarkStart w:id="595" w:name="_Toc152045704"/>
      <w:bookmarkStart w:id="596" w:name="_Toc144974673"/>
      <w:r>
        <w:rPr>
          <w:rFonts w:ascii="宋体" w:hAnsi="宋体"/>
          <w:b/>
        </w:rPr>
        <w:t xml:space="preserve">    10.2 现场材料试验</w:t>
      </w:r>
      <w:bookmarkEnd w:id="592"/>
      <w:bookmarkEnd w:id="593"/>
      <w:bookmarkEnd w:id="594"/>
      <w:bookmarkEnd w:id="595"/>
      <w:bookmarkEnd w:id="596"/>
    </w:p>
    <w:p w14:paraId="2C717C24">
      <w:pPr>
        <w:snapToGrid w:val="0"/>
        <w:ind w:left="41" w:leftChars="17" w:firstLine="480" w:firstLineChars="200"/>
        <w:rPr>
          <w:rFonts w:ascii="宋体" w:hAnsi="宋体"/>
        </w:rPr>
      </w:pPr>
      <w:r>
        <w:rPr>
          <w:rFonts w:ascii="宋体" w:hAnsi="宋体"/>
        </w:rPr>
        <w:t xml:space="preserve">10.2.1 </w:t>
      </w:r>
      <w:r>
        <w:rPr>
          <w:rFonts w:hint="eastAsia" w:ascii="宋体" w:hAnsi="宋体"/>
        </w:rPr>
        <w:t>承包人根据合同约定或监理人指示进行的现场材料试验，应由承包人提供试验场所、试验人员、试验设备器材以及其他必要的试验条件。</w:t>
      </w:r>
    </w:p>
    <w:p w14:paraId="419F609A">
      <w:pPr>
        <w:snapToGrid w:val="0"/>
        <w:ind w:left="41" w:leftChars="17" w:firstLine="480" w:firstLineChars="200"/>
      </w:pPr>
      <w:r>
        <w:rPr>
          <w:rFonts w:ascii="宋体" w:hAnsi="宋体"/>
        </w:rPr>
        <w:t xml:space="preserve">10.2.2 </w:t>
      </w:r>
      <w:r>
        <w:rPr>
          <w:rFonts w:hint="eastAsia" w:ascii="宋体" w:hAnsi="宋体"/>
        </w:rPr>
        <w:t>监理人在必要时可以使用承包人的试验场所、试验设备器材以及其他试验条件，进行以工程质量检查为目的的复核性材料试验，承包人应予以协助。</w:t>
      </w:r>
    </w:p>
    <w:p w14:paraId="2AD08B4D">
      <w:pPr>
        <w:ind w:left="41" w:leftChars="17"/>
        <w:outlineLvl w:val="1"/>
        <w:rPr>
          <w:rFonts w:ascii="宋体" w:hAnsi="宋体"/>
          <w:b/>
          <w:bCs/>
          <w:kern w:val="0"/>
        </w:rPr>
      </w:pPr>
      <w:bookmarkStart w:id="597" w:name="_Toc247085812"/>
      <w:bookmarkStart w:id="598" w:name="_Toc6241367"/>
      <w:bookmarkStart w:id="599" w:name="_Toc296602543"/>
      <w:bookmarkStart w:id="600" w:name="_Toc439160170"/>
      <w:bookmarkStart w:id="601" w:name="_Toc31665"/>
      <w:bookmarkStart w:id="602" w:name="_Toc410986369"/>
      <w:bookmarkStart w:id="603" w:name="_Toc246996297"/>
      <w:bookmarkStart w:id="604" w:name="_Toc184635112"/>
      <w:bookmarkStart w:id="605" w:name="_Toc526793382"/>
      <w:bookmarkStart w:id="606" w:name="_Toc246997040"/>
      <w:bookmarkStart w:id="607" w:name="_Toc489084315"/>
      <w:r>
        <w:rPr>
          <w:rFonts w:ascii="宋体" w:hAnsi="宋体"/>
          <w:b/>
          <w:bCs/>
          <w:kern w:val="0"/>
        </w:rPr>
        <w:t xml:space="preserve">11. </w:t>
      </w:r>
      <w:r>
        <w:rPr>
          <w:rFonts w:hint="eastAsia" w:ascii="宋体" w:hAnsi="宋体"/>
          <w:b/>
          <w:bCs/>
          <w:kern w:val="0"/>
        </w:rPr>
        <w:t>变更</w:t>
      </w:r>
      <w:bookmarkEnd w:id="597"/>
      <w:bookmarkEnd w:id="598"/>
      <w:bookmarkEnd w:id="599"/>
      <w:bookmarkEnd w:id="600"/>
      <w:bookmarkEnd w:id="601"/>
      <w:bookmarkEnd w:id="602"/>
      <w:bookmarkEnd w:id="603"/>
      <w:bookmarkEnd w:id="604"/>
      <w:bookmarkEnd w:id="605"/>
      <w:bookmarkEnd w:id="606"/>
      <w:bookmarkEnd w:id="607"/>
    </w:p>
    <w:p w14:paraId="5DB214C5">
      <w:pPr>
        <w:snapToGrid w:val="0"/>
        <w:ind w:left="41" w:leftChars="17"/>
        <w:rPr>
          <w:rFonts w:ascii="宋体" w:hAnsi="宋体"/>
          <w:b/>
        </w:rPr>
      </w:pPr>
      <w:bookmarkStart w:id="608" w:name="_Toc296602544"/>
      <w:bookmarkStart w:id="609" w:name="_Toc246997041"/>
      <w:bookmarkStart w:id="610" w:name="_Toc246996298"/>
      <w:bookmarkStart w:id="611" w:name="_Toc247085813"/>
      <w:r>
        <w:rPr>
          <w:rFonts w:ascii="宋体" w:hAnsi="宋体"/>
          <w:b/>
        </w:rPr>
        <w:t>11.1变更的范围</w:t>
      </w:r>
    </w:p>
    <w:p w14:paraId="42C1A9A0">
      <w:pPr>
        <w:snapToGrid w:val="0"/>
        <w:ind w:left="41" w:leftChars="17" w:firstLine="480" w:firstLineChars="200"/>
        <w:rPr>
          <w:rFonts w:ascii="宋体" w:hAnsi="宋体"/>
        </w:rPr>
      </w:pPr>
      <w:r>
        <w:rPr>
          <w:rFonts w:ascii="宋体" w:hAnsi="宋体"/>
        </w:rPr>
        <w:t>除专用合同条款另有约定外，合同履行过程中发生以下情形的，应按照本条约定进行变更：</w:t>
      </w:r>
    </w:p>
    <w:p w14:paraId="180FD204">
      <w:pPr>
        <w:snapToGrid w:val="0"/>
        <w:ind w:left="41" w:leftChars="17" w:firstLine="480" w:firstLineChars="200"/>
        <w:rPr>
          <w:rFonts w:ascii="宋体" w:hAnsi="宋体"/>
        </w:rPr>
      </w:pPr>
      <w:r>
        <w:rPr>
          <w:rFonts w:ascii="宋体" w:hAnsi="宋体"/>
        </w:rPr>
        <w:t>（1）增加或减少合同中任何工作，或追加额外的工作；</w:t>
      </w:r>
    </w:p>
    <w:p w14:paraId="06C97C0D">
      <w:pPr>
        <w:snapToGrid w:val="0"/>
        <w:ind w:left="41" w:leftChars="17" w:firstLine="480" w:firstLineChars="200"/>
        <w:rPr>
          <w:rFonts w:ascii="宋体" w:hAnsi="宋体"/>
        </w:rPr>
      </w:pPr>
      <w:r>
        <w:rPr>
          <w:rFonts w:ascii="宋体" w:hAnsi="宋体"/>
        </w:rPr>
        <w:t>（2）取消合同中任何工作，但转由他人实施的工作除外；</w:t>
      </w:r>
    </w:p>
    <w:p w14:paraId="059377A9">
      <w:pPr>
        <w:snapToGrid w:val="0"/>
        <w:ind w:left="41" w:leftChars="17" w:firstLine="480" w:firstLineChars="200"/>
        <w:rPr>
          <w:rFonts w:ascii="宋体" w:hAnsi="宋体"/>
        </w:rPr>
      </w:pPr>
      <w:r>
        <w:rPr>
          <w:rFonts w:ascii="宋体" w:hAnsi="宋体"/>
        </w:rPr>
        <w:t>（3）改变合同中任何工作的质量标准或其他特性；</w:t>
      </w:r>
    </w:p>
    <w:p w14:paraId="67D23E46">
      <w:pPr>
        <w:snapToGrid w:val="0"/>
        <w:ind w:left="41" w:leftChars="17" w:firstLine="480" w:firstLineChars="200"/>
        <w:rPr>
          <w:rFonts w:ascii="宋体" w:hAnsi="宋体"/>
        </w:rPr>
      </w:pPr>
      <w:r>
        <w:rPr>
          <w:rFonts w:ascii="宋体" w:hAnsi="宋体"/>
        </w:rPr>
        <w:t>（4）改变工程的基线、标高、位置和尺寸；</w:t>
      </w:r>
    </w:p>
    <w:p w14:paraId="376146D0">
      <w:pPr>
        <w:snapToGrid w:val="0"/>
        <w:ind w:left="41" w:leftChars="17" w:firstLine="480" w:firstLineChars="200"/>
        <w:rPr>
          <w:rFonts w:ascii="宋体" w:hAnsi="宋体"/>
        </w:rPr>
      </w:pPr>
      <w:r>
        <w:rPr>
          <w:rFonts w:ascii="宋体" w:hAnsi="宋体"/>
        </w:rPr>
        <w:t>（5）改变工程的时间安排或实施顺序。</w:t>
      </w:r>
    </w:p>
    <w:p w14:paraId="60B4BB8F">
      <w:pPr>
        <w:snapToGrid w:val="0"/>
        <w:ind w:left="41" w:leftChars="17"/>
        <w:rPr>
          <w:rFonts w:ascii="宋体" w:hAnsi="宋体"/>
          <w:b/>
        </w:rPr>
      </w:pPr>
      <w:r>
        <w:rPr>
          <w:rFonts w:ascii="宋体" w:hAnsi="宋体"/>
          <w:b/>
        </w:rPr>
        <w:t xml:space="preserve">    11.2 变更权</w:t>
      </w:r>
      <w:bookmarkEnd w:id="608"/>
      <w:bookmarkEnd w:id="609"/>
      <w:bookmarkEnd w:id="610"/>
      <w:bookmarkEnd w:id="611"/>
    </w:p>
    <w:p w14:paraId="6850CB62">
      <w:pPr>
        <w:snapToGrid w:val="0"/>
        <w:ind w:left="41" w:leftChars="17" w:firstLine="480" w:firstLineChars="200"/>
      </w:pPr>
      <w:r>
        <w:rPr>
          <w:rFonts w:hint="eastAsia" w:ascii="宋体" w:hAnsi="宋体"/>
        </w:rPr>
        <w:t>在履行合同过程中，经发包人同意，监理人可按第</w:t>
      </w:r>
      <w:r>
        <w:rPr>
          <w:rFonts w:ascii="宋体" w:hAnsi="宋体"/>
        </w:rPr>
        <w:t>11.3款约定的变更程序向承包人作出变更指示，承包人应遵照执行。</w:t>
      </w:r>
    </w:p>
    <w:p w14:paraId="3B1E67FE">
      <w:pPr>
        <w:snapToGrid w:val="0"/>
        <w:ind w:left="41" w:leftChars="17"/>
        <w:rPr>
          <w:rFonts w:ascii="宋体" w:hAnsi="宋体"/>
          <w:b/>
        </w:rPr>
      </w:pPr>
      <w:bookmarkStart w:id="612" w:name="_Toc296602545"/>
      <w:bookmarkStart w:id="613" w:name="_Toc246996299"/>
      <w:bookmarkStart w:id="614" w:name="_Toc247085814"/>
      <w:bookmarkStart w:id="615" w:name="_Toc246997042"/>
      <w:r>
        <w:rPr>
          <w:rFonts w:ascii="宋体" w:hAnsi="宋体"/>
          <w:b/>
        </w:rPr>
        <w:t xml:space="preserve">    11.3 变更程序</w:t>
      </w:r>
      <w:bookmarkEnd w:id="612"/>
      <w:bookmarkEnd w:id="613"/>
      <w:bookmarkEnd w:id="614"/>
      <w:bookmarkEnd w:id="615"/>
    </w:p>
    <w:p w14:paraId="74E09380">
      <w:pPr>
        <w:snapToGrid w:val="0"/>
        <w:ind w:left="41" w:leftChars="17" w:firstLine="480" w:firstLineChars="200"/>
        <w:rPr>
          <w:rFonts w:ascii="宋体" w:hAnsi="宋体"/>
        </w:rPr>
      </w:pPr>
      <w:r>
        <w:rPr>
          <w:rFonts w:hint="eastAsia" w:ascii="宋体" w:hAnsi="宋体"/>
        </w:rPr>
        <w:t>除专用合同条款对变更程序另有约定外，承包</w:t>
      </w:r>
      <w:r>
        <w:rPr>
          <w:rFonts w:ascii="宋体" w:hAnsi="宋体"/>
        </w:rPr>
        <w:t>人应在</w:t>
      </w:r>
      <w:r>
        <w:rPr>
          <w:rFonts w:hint="eastAsia" w:ascii="宋体" w:hAnsi="宋体"/>
        </w:rPr>
        <w:t>收到变更指示</w:t>
      </w:r>
      <w:r>
        <w:rPr>
          <w:rFonts w:ascii="宋体" w:hAnsi="宋体"/>
        </w:rPr>
        <w:t>14天内，向监理人提交</w:t>
      </w:r>
      <w:r>
        <w:rPr>
          <w:rFonts w:hint="eastAsia" w:ascii="宋体" w:hAnsi="宋体"/>
        </w:rPr>
        <w:t>变更报价书</w:t>
      </w:r>
      <w:r>
        <w:rPr>
          <w:rFonts w:ascii="宋体" w:hAnsi="宋体"/>
        </w:rPr>
        <w:t>。监理人应审查，并</w:t>
      </w:r>
      <w:r>
        <w:rPr>
          <w:rFonts w:hint="eastAsia" w:ascii="宋体" w:hAnsi="宋体"/>
        </w:rPr>
        <w:t>在收到承包人变更报价书后</w:t>
      </w:r>
      <w:r>
        <w:rPr>
          <w:rFonts w:ascii="宋体" w:hAnsi="宋体"/>
        </w:rPr>
        <w:t>14天内，与发包人和</w:t>
      </w:r>
      <w:r>
        <w:rPr>
          <w:rFonts w:hint="eastAsia" w:ascii="宋体" w:hAnsi="宋体"/>
        </w:rPr>
        <w:t>承包</w:t>
      </w:r>
      <w:r>
        <w:rPr>
          <w:rFonts w:ascii="宋体" w:hAnsi="宋体"/>
        </w:rPr>
        <w:t>人共同商定此估价。</w:t>
      </w:r>
    </w:p>
    <w:p w14:paraId="29F502E5">
      <w:pPr>
        <w:snapToGrid w:val="0"/>
        <w:ind w:left="41" w:leftChars="17" w:firstLine="480" w:firstLineChars="200"/>
        <w:rPr>
          <w:rFonts w:ascii="宋体" w:hAnsi="宋体"/>
        </w:rPr>
      </w:pPr>
      <w:r>
        <w:rPr>
          <w:rFonts w:ascii="宋体" w:hAnsi="宋体"/>
        </w:rPr>
        <w:t>11.3.1 发包人提出变更</w:t>
      </w:r>
    </w:p>
    <w:p w14:paraId="68DEBEEE">
      <w:pPr>
        <w:snapToGrid w:val="0"/>
        <w:ind w:left="41" w:leftChars="17" w:firstLine="480" w:firstLineChars="200"/>
        <w:rPr>
          <w:rFonts w:ascii="宋体" w:hAnsi="宋体"/>
        </w:rPr>
      </w:pPr>
      <w:r>
        <w:rPr>
          <w:rFonts w:ascii="宋体" w:hAnsi="宋体"/>
        </w:rPr>
        <w:t>发包人提出变更的，应通过监理人向承包人发出变更指示，变更指示应说明计划变更的工程范围和变更的内容。</w:t>
      </w:r>
    </w:p>
    <w:p w14:paraId="4BE0AAA5">
      <w:pPr>
        <w:snapToGrid w:val="0"/>
        <w:ind w:left="41" w:leftChars="17" w:firstLine="480" w:firstLineChars="200"/>
        <w:rPr>
          <w:rFonts w:ascii="宋体" w:hAnsi="宋体"/>
        </w:rPr>
      </w:pPr>
      <w:r>
        <w:rPr>
          <w:rFonts w:ascii="宋体" w:hAnsi="宋体"/>
        </w:rPr>
        <w:t>11.3.2 监理人提出变更建议</w:t>
      </w:r>
    </w:p>
    <w:p w14:paraId="2217048D">
      <w:pPr>
        <w:snapToGrid w:val="0"/>
        <w:ind w:left="41" w:leftChars="17" w:firstLine="480" w:firstLineChars="200"/>
        <w:rPr>
          <w:rFonts w:ascii="宋体" w:hAnsi="宋体"/>
        </w:rPr>
      </w:pPr>
      <w:r>
        <w:rPr>
          <w:rFonts w:ascii="宋体" w:hAnsi="宋体"/>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661865AC">
      <w:pPr>
        <w:snapToGrid w:val="0"/>
        <w:ind w:left="41" w:leftChars="17" w:firstLine="480" w:firstLineChars="200"/>
        <w:rPr>
          <w:rFonts w:ascii="宋体" w:hAnsi="宋体"/>
        </w:rPr>
      </w:pPr>
      <w:r>
        <w:rPr>
          <w:rFonts w:ascii="宋体" w:hAnsi="宋体"/>
        </w:rPr>
        <w:t xml:space="preserve">11.3.3 </w:t>
      </w:r>
      <w:r>
        <w:rPr>
          <w:rFonts w:hint="eastAsia" w:ascii="宋体" w:hAnsi="宋体"/>
        </w:rPr>
        <w:t>变更执行</w:t>
      </w:r>
    </w:p>
    <w:p w14:paraId="7482A8C9">
      <w:pPr>
        <w:snapToGrid w:val="0"/>
        <w:ind w:left="41" w:leftChars="17" w:firstLine="480" w:firstLineChars="200"/>
        <w:rPr>
          <w:rFonts w:ascii="宋体" w:hAnsi="宋体"/>
        </w:rPr>
      </w:pPr>
      <w:r>
        <w:rPr>
          <w:rFonts w:ascii="宋体" w:hAnsi="宋体"/>
        </w:rPr>
        <w:t>承包人收到监理人下达的变更指示后，</w:t>
      </w:r>
      <w:r>
        <w:rPr>
          <w:rFonts w:hint="eastAsia" w:ascii="宋体" w:hAnsi="宋体"/>
        </w:rPr>
        <w:t>认为不能执行，应立即</w:t>
      </w:r>
      <w:r>
        <w:rPr>
          <w:rFonts w:ascii="宋体" w:hAnsi="宋体"/>
        </w:rPr>
        <w:t>提出不能执行该变更指示的理由。承包人</w:t>
      </w:r>
      <w:r>
        <w:rPr>
          <w:rFonts w:hint="eastAsia" w:ascii="宋体" w:hAnsi="宋体"/>
        </w:rPr>
        <w:t>认为可以</w:t>
      </w:r>
      <w:r>
        <w:rPr>
          <w:rFonts w:ascii="宋体" w:hAnsi="宋体"/>
        </w:rPr>
        <w:t>执行变更的，</w:t>
      </w:r>
      <w:r>
        <w:rPr>
          <w:rFonts w:hint="eastAsia" w:ascii="宋体" w:hAnsi="宋体"/>
        </w:rPr>
        <w:t>应当书面说明实施该变更指示对合同价款和工期的影响，且合同当事人应当按照第</w:t>
      </w:r>
      <w:r>
        <w:rPr>
          <w:rFonts w:ascii="宋体" w:hAnsi="宋体"/>
        </w:rPr>
        <w:t>11.4款约定确定变更估价。</w:t>
      </w:r>
    </w:p>
    <w:p w14:paraId="098243A9">
      <w:pPr>
        <w:snapToGrid w:val="0"/>
        <w:ind w:left="41" w:leftChars="17"/>
        <w:rPr>
          <w:rFonts w:ascii="宋体" w:hAnsi="宋体"/>
          <w:b/>
        </w:rPr>
      </w:pPr>
      <w:bookmarkStart w:id="616" w:name="_Toc247085815"/>
      <w:bookmarkStart w:id="617" w:name="_Toc296602546"/>
      <w:bookmarkStart w:id="618" w:name="_Toc246996300"/>
      <w:bookmarkStart w:id="619" w:name="_Toc246997043"/>
      <w:r>
        <w:rPr>
          <w:rFonts w:ascii="宋体" w:hAnsi="宋体"/>
          <w:b/>
        </w:rPr>
        <w:t xml:space="preserve">    11.4变更估价</w:t>
      </w:r>
    </w:p>
    <w:p w14:paraId="1C7B0C66">
      <w:pPr>
        <w:snapToGrid w:val="0"/>
        <w:ind w:left="41" w:leftChars="17" w:firstLine="480" w:firstLineChars="200"/>
        <w:rPr>
          <w:rFonts w:ascii="宋体" w:hAnsi="宋体"/>
        </w:rPr>
      </w:pPr>
      <w:r>
        <w:rPr>
          <w:rFonts w:ascii="宋体" w:hAnsi="宋体"/>
        </w:rPr>
        <w:t xml:space="preserve">11.4.1 </w:t>
      </w:r>
      <w:r>
        <w:rPr>
          <w:rFonts w:hint="eastAsia" w:ascii="宋体" w:hAnsi="宋体"/>
        </w:rPr>
        <w:t>变更的估价原则</w:t>
      </w:r>
      <w:bookmarkEnd w:id="616"/>
      <w:bookmarkEnd w:id="617"/>
      <w:bookmarkEnd w:id="618"/>
      <w:bookmarkEnd w:id="619"/>
    </w:p>
    <w:p w14:paraId="33D7BEFA">
      <w:pPr>
        <w:snapToGrid w:val="0"/>
        <w:ind w:left="41" w:leftChars="17" w:firstLine="480" w:firstLineChars="200"/>
        <w:rPr>
          <w:rFonts w:ascii="宋体" w:hAnsi="宋体"/>
        </w:rPr>
      </w:pPr>
      <w:r>
        <w:rPr>
          <w:rFonts w:hint="eastAsia" w:ascii="宋体" w:hAnsi="宋体"/>
        </w:rPr>
        <w:t>除专用合同条款另有约定外，因</w:t>
      </w:r>
      <w:r>
        <w:rPr>
          <w:rFonts w:ascii="宋体" w:hAnsi="宋体"/>
        </w:rPr>
        <w:t>变更</w:t>
      </w:r>
      <w:r>
        <w:rPr>
          <w:rFonts w:hint="eastAsia" w:ascii="宋体" w:hAnsi="宋体"/>
        </w:rPr>
        <w:t>引起的价款调整按照本款约定处理</w:t>
      </w:r>
      <w:r>
        <w:rPr>
          <w:rFonts w:ascii="宋体" w:hAnsi="宋体"/>
        </w:rPr>
        <w:t>：</w:t>
      </w:r>
    </w:p>
    <w:p w14:paraId="0B50F7A4">
      <w:pPr>
        <w:snapToGrid w:val="0"/>
        <w:ind w:left="41" w:leftChars="17" w:firstLine="480" w:firstLineChars="200"/>
        <w:rPr>
          <w:rFonts w:ascii="宋体" w:hAnsi="宋体"/>
        </w:rPr>
      </w:pPr>
      <w:r>
        <w:rPr>
          <w:rFonts w:hint="eastAsia" w:ascii="宋体" w:hAnsi="宋体"/>
        </w:rPr>
        <w:t>（</w:t>
      </w:r>
      <w:r>
        <w:rPr>
          <w:rFonts w:ascii="宋体" w:hAnsi="宋体"/>
        </w:rPr>
        <w:t>1）已标价工程量清单中有适用于变更工作的子目的，采用该子目的单价；</w:t>
      </w:r>
    </w:p>
    <w:p w14:paraId="6C5CA6D2">
      <w:pPr>
        <w:snapToGrid w:val="0"/>
        <w:ind w:left="41" w:leftChars="17" w:firstLine="480" w:firstLineChars="200"/>
        <w:rPr>
          <w:rFonts w:ascii="宋体" w:hAnsi="宋体"/>
        </w:rPr>
      </w:pPr>
      <w:r>
        <w:rPr>
          <w:rFonts w:hint="eastAsia" w:ascii="宋体" w:hAnsi="宋体"/>
        </w:rPr>
        <w:t>（</w:t>
      </w:r>
      <w:r>
        <w:rPr>
          <w:rFonts w:ascii="宋体" w:hAnsi="宋体"/>
        </w:rPr>
        <w:t>2）已标价工程量清单中无适用于变更工作的子目，但有类似子目的，可在合理范围内参照类似项目，确定变更工作的单价；</w:t>
      </w:r>
    </w:p>
    <w:p w14:paraId="14201B87">
      <w:pPr>
        <w:snapToGrid w:val="0"/>
        <w:ind w:left="41" w:leftChars="17" w:firstLine="480" w:firstLineChars="200"/>
        <w:rPr>
          <w:rFonts w:ascii="宋体" w:hAnsi="宋体"/>
        </w:rPr>
      </w:pPr>
      <w:r>
        <w:rPr>
          <w:rFonts w:hint="eastAsia" w:ascii="宋体" w:hAnsi="宋体"/>
        </w:rPr>
        <w:t>（</w:t>
      </w:r>
      <w:r>
        <w:rPr>
          <w:rFonts w:ascii="宋体" w:hAnsi="宋体"/>
        </w:rPr>
        <w:t>3）已标价工程量清单中无适用或类似子目的单价，可按照成本加利润的原则，确定变更工作的单价。</w:t>
      </w:r>
    </w:p>
    <w:p w14:paraId="333BD52B">
      <w:pPr>
        <w:snapToGrid w:val="0"/>
        <w:ind w:left="41" w:leftChars="17" w:firstLine="480" w:firstLineChars="200"/>
        <w:rPr>
          <w:rFonts w:ascii="宋体" w:hAnsi="宋体"/>
        </w:rPr>
      </w:pPr>
      <w:r>
        <w:rPr>
          <w:rFonts w:ascii="宋体" w:hAnsi="宋体"/>
        </w:rPr>
        <w:t xml:space="preserve">11.4.2 </w:t>
      </w:r>
      <w:r>
        <w:rPr>
          <w:rFonts w:hint="eastAsia" w:ascii="宋体" w:hAnsi="宋体"/>
        </w:rPr>
        <w:t>变更估价程序</w:t>
      </w:r>
    </w:p>
    <w:p w14:paraId="7540BF35">
      <w:pPr>
        <w:snapToGrid w:val="0"/>
        <w:ind w:left="41" w:leftChars="17" w:firstLine="480" w:firstLineChars="200"/>
        <w:rPr>
          <w:rFonts w:ascii="宋体" w:hAnsi="宋体"/>
        </w:rPr>
      </w:pPr>
      <w:r>
        <w:rPr>
          <w:rFonts w:hint="eastAsia" w:ascii="宋体" w:hAnsi="宋体"/>
        </w:rPr>
        <w:t>承包人应在收到变更指示后</w:t>
      </w:r>
      <w:r>
        <w:rPr>
          <w:rFonts w:ascii="宋体" w:hAnsi="宋体"/>
        </w:rPr>
        <w:t>14天内，向监理人提交变更估价申请。监理人应在收到承包人提交的变更估价申请后7天内审查完毕并报送发包人，监理人对变更估价申请有异议，通知承包人</w:t>
      </w:r>
      <w:r>
        <w:rPr>
          <w:rFonts w:hint="eastAsia" w:ascii="宋体" w:hAnsi="宋体"/>
        </w:rPr>
        <w:t>修</w:t>
      </w:r>
      <w:r>
        <w:rPr>
          <w:rFonts w:ascii="宋体" w:hAnsi="宋体"/>
        </w:rPr>
        <w:t>改</w:t>
      </w:r>
      <w:r>
        <w:rPr>
          <w:rFonts w:hint="eastAsia" w:ascii="宋体" w:hAnsi="宋体"/>
        </w:rPr>
        <w:t>后重新提交</w:t>
      </w:r>
      <w:r>
        <w:rPr>
          <w:rFonts w:ascii="宋体" w:hAnsi="宋体"/>
        </w:rPr>
        <w:t>。发包人应在</w:t>
      </w:r>
      <w:r>
        <w:rPr>
          <w:rFonts w:hint="eastAsia" w:ascii="宋体" w:hAnsi="宋体"/>
        </w:rPr>
        <w:t>承包人提交变更估价申请</w:t>
      </w:r>
      <w:r>
        <w:rPr>
          <w:rFonts w:ascii="宋体" w:hAnsi="宋体"/>
        </w:rPr>
        <w:t>后14天内审批完毕。</w:t>
      </w:r>
      <w:r>
        <w:rPr>
          <w:rFonts w:hint="eastAsia" w:ascii="宋体" w:hAnsi="宋体"/>
        </w:rPr>
        <w:t>发包人逾期未完成审批或未提出异议的，视为认可承包人提交的变更估价申请。</w:t>
      </w:r>
    </w:p>
    <w:p w14:paraId="64199052">
      <w:pPr>
        <w:snapToGrid w:val="0"/>
        <w:ind w:left="41" w:leftChars="17"/>
        <w:rPr>
          <w:rFonts w:ascii="宋体" w:hAnsi="宋体"/>
          <w:b/>
        </w:rPr>
      </w:pPr>
      <w:bookmarkStart w:id="620" w:name="_Toc246996301"/>
      <w:bookmarkStart w:id="621" w:name="_Toc296602547"/>
      <w:bookmarkStart w:id="622" w:name="_Toc246997044"/>
      <w:bookmarkStart w:id="623" w:name="_Toc247085816"/>
      <w:r>
        <w:rPr>
          <w:rFonts w:ascii="宋体" w:hAnsi="宋体"/>
          <w:b/>
        </w:rPr>
        <w:t xml:space="preserve">    11.5 暂列金额</w:t>
      </w:r>
      <w:bookmarkEnd w:id="620"/>
      <w:bookmarkEnd w:id="621"/>
      <w:bookmarkEnd w:id="622"/>
      <w:bookmarkEnd w:id="623"/>
    </w:p>
    <w:p w14:paraId="792D1D43">
      <w:pPr>
        <w:snapToGrid w:val="0"/>
        <w:ind w:left="41" w:leftChars="17" w:firstLine="480" w:firstLineChars="200"/>
        <w:rPr>
          <w:rFonts w:ascii="宋体" w:hAnsi="宋体"/>
        </w:rPr>
      </w:pPr>
      <w:r>
        <w:rPr>
          <w:rFonts w:ascii="宋体" w:hAnsi="宋体"/>
        </w:rPr>
        <w:t>暂列金额应按照发包人的要求使用，</w:t>
      </w:r>
      <w:r>
        <w:rPr>
          <w:rFonts w:hint="eastAsia" w:ascii="宋体" w:hAnsi="宋体"/>
        </w:rPr>
        <w:t>并对合同价款进行相应调整。</w:t>
      </w:r>
      <w:r>
        <w:rPr>
          <w:rFonts w:ascii="宋体" w:hAnsi="宋体"/>
        </w:rPr>
        <w:t>发包人的要求应通过监理人发出。</w:t>
      </w:r>
      <w:r>
        <w:rPr>
          <w:rFonts w:hint="eastAsia" w:ascii="宋体" w:hAnsi="宋体"/>
        </w:rPr>
        <w:t>合同当事人可以在专用合同条款中协商确定有关事项。</w:t>
      </w:r>
    </w:p>
    <w:p w14:paraId="2C6044CE">
      <w:pPr>
        <w:snapToGrid w:val="0"/>
        <w:ind w:left="41" w:leftChars="17"/>
        <w:rPr>
          <w:rFonts w:ascii="宋体" w:hAnsi="宋体"/>
          <w:b/>
        </w:rPr>
      </w:pPr>
      <w:bookmarkStart w:id="624" w:name="_Toc296602548"/>
      <w:bookmarkStart w:id="625" w:name="_Toc246996302"/>
      <w:bookmarkStart w:id="626" w:name="_Toc247085817"/>
      <w:bookmarkStart w:id="627" w:name="_Toc246997045"/>
      <w:r>
        <w:rPr>
          <w:rFonts w:ascii="宋体" w:hAnsi="宋体"/>
          <w:b/>
        </w:rPr>
        <w:t xml:space="preserve">    11.6 计日工</w:t>
      </w:r>
      <w:bookmarkEnd w:id="624"/>
      <w:bookmarkEnd w:id="625"/>
      <w:bookmarkEnd w:id="626"/>
      <w:bookmarkEnd w:id="627"/>
    </w:p>
    <w:p w14:paraId="1295A36C">
      <w:pPr>
        <w:snapToGrid w:val="0"/>
        <w:ind w:left="41" w:leftChars="17" w:firstLine="480" w:firstLineChars="200"/>
        <w:rPr>
          <w:rFonts w:ascii="宋体" w:hAnsi="宋体"/>
        </w:rPr>
      </w:pPr>
      <w:r>
        <w:rPr>
          <w:rFonts w:ascii="宋体" w:hAnsi="宋体"/>
        </w:rPr>
        <w:t xml:space="preserve">11.6.1 </w:t>
      </w:r>
      <w:r>
        <w:rPr>
          <w:rFonts w:hint="eastAsia" w:ascii="宋体" w:hAnsi="宋体"/>
        </w:rPr>
        <w:t>发包人认为有必要时，由监理人通知承包人以计日工方式实施变更的零星工作。其价款按列入已标价工程量清单中的计日工计价子目及其单价进行计算。</w:t>
      </w:r>
    </w:p>
    <w:p w14:paraId="2D002B41">
      <w:pPr>
        <w:snapToGrid w:val="0"/>
        <w:ind w:left="41" w:leftChars="17" w:firstLine="480" w:firstLineChars="200"/>
        <w:rPr>
          <w:rFonts w:ascii="宋体" w:hAnsi="宋体"/>
        </w:rPr>
      </w:pPr>
      <w:r>
        <w:rPr>
          <w:rFonts w:ascii="宋体" w:hAnsi="宋体"/>
        </w:rPr>
        <w:t xml:space="preserve">11.6.2 </w:t>
      </w:r>
      <w:r>
        <w:rPr>
          <w:rFonts w:hint="eastAsia" w:ascii="宋体" w:hAnsi="宋体"/>
        </w:rPr>
        <w:t>采用计日工计价的任何一项变更工作，应从暂列金额中支付，承包人应在该项变更的实施过程中，每天提交以下报表和有关凭证报送监理人审批：</w:t>
      </w:r>
    </w:p>
    <w:p w14:paraId="75852592">
      <w:pPr>
        <w:snapToGrid w:val="0"/>
        <w:ind w:left="41" w:leftChars="17" w:firstLine="480" w:firstLineChars="200"/>
        <w:rPr>
          <w:rFonts w:ascii="宋体" w:hAnsi="宋体"/>
        </w:rPr>
      </w:pPr>
      <w:r>
        <w:rPr>
          <w:rFonts w:hint="eastAsia" w:ascii="宋体" w:hAnsi="宋体"/>
        </w:rPr>
        <w:t>（</w:t>
      </w:r>
      <w:r>
        <w:rPr>
          <w:rFonts w:ascii="宋体" w:hAnsi="宋体"/>
        </w:rPr>
        <w:t>l）工作名称、内容和数量；</w:t>
      </w:r>
    </w:p>
    <w:p w14:paraId="73502B45">
      <w:pPr>
        <w:snapToGrid w:val="0"/>
        <w:ind w:left="41" w:leftChars="17" w:firstLine="480" w:firstLineChars="200"/>
        <w:rPr>
          <w:rFonts w:ascii="宋体" w:hAnsi="宋体"/>
        </w:rPr>
      </w:pPr>
      <w:r>
        <w:rPr>
          <w:rFonts w:hint="eastAsia" w:ascii="宋体" w:hAnsi="宋体"/>
        </w:rPr>
        <w:t>（</w:t>
      </w:r>
      <w:r>
        <w:rPr>
          <w:rFonts w:ascii="宋体" w:hAnsi="宋体"/>
        </w:rPr>
        <w:t>2）投入该工作所有人员的姓名、工种、级别和耗用工时；</w:t>
      </w:r>
    </w:p>
    <w:p w14:paraId="284CA20F">
      <w:pPr>
        <w:snapToGrid w:val="0"/>
        <w:ind w:left="41" w:leftChars="17" w:firstLine="480" w:firstLineChars="200"/>
        <w:rPr>
          <w:rFonts w:ascii="宋体" w:hAnsi="宋体"/>
        </w:rPr>
      </w:pPr>
      <w:r>
        <w:rPr>
          <w:rFonts w:hint="eastAsia" w:ascii="宋体" w:hAnsi="宋体"/>
        </w:rPr>
        <w:t>（</w:t>
      </w:r>
      <w:r>
        <w:rPr>
          <w:rFonts w:ascii="宋体" w:hAnsi="宋体"/>
        </w:rPr>
        <w:t>3）投入该工作的材料类别和数量；</w:t>
      </w:r>
    </w:p>
    <w:p w14:paraId="04AA2A63">
      <w:pPr>
        <w:snapToGrid w:val="0"/>
        <w:ind w:left="41" w:leftChars="17" w:firstLine="480" w:firstLineChars="200"/>
        <w:rPr>
          <w:rFonts w:ascii="宋体" w:hAnsi="宋体"/>
        </w:rPr>
      </w:pPr>
      <w:r>
        <w:rPr>
          <w:rFonts w:hint="eastAsia" w:ascii="宋体" w:hAnsi="宋体"/>
        </w:rPr>
        <w:t>（</w:t>
      </w:r>
      <w:r>
        <w:rPr>
          <w:rFonts w:ascii="宋体" w:hAnsi="宋体"/>
        </w:rPr>
        <w:t>4）投入该工作的施工设备型号、台数和耗用台时；</w:t>
      </w:r>
    </w:p>
    <w:p w14:paraId="52E86F1D">
      <w:pPr>
        <w:snapToGrid w:val="0"/>
        <w:ind w:left="41" w:leftChars="17" w:firstLine="480" w:firstLineChars="200"/>
        <w:rPr>
          <w:rFonts w:ascii="宋体" w:hAnsi="宋体"/>
        </w:rPr>
      </w:pPr>
      <w:r>
        <w:rPr>
          <w:rFonts w:hint="eastAsia" w:ascii="宋体" w:hAnsi="宋体"/>
        </w:rPr>
        <w:t>（</w:t>
      </w:r>
      <w:r>
        <w:rPr>
          <w:rFonts w:ascii="宋体" w:hAnsi="宋体"/>
        </w:rPr>
        <w:t>5）监理人要求提交的其他资料和凭证。</w:t>
      </w:r>
    </w:p>
    <w:p w14:paraId="13DB6945">
      <w:pPr>
        <w:snapToGrid w:val="0"/>
        <w:ind w:left="41" w:leftChars="17" w:firstLine="480" w:firstLineChars="200"/>
        <w:rPr>
          <w:rFonts w:ascii="宋体" w:hAnsi="宋体"/>
        </w:rPr>
      </w:pPr>
      <w:r>
        <w:rPr>
          <w:rFonts w:ascii="宋体" w:hAnsi="宋体"/>
        </w:rPr>
        <w:t xml:space="preserve">11.6.3 </w:t>
      </w:r>
      <w:r>
        <w:rPr>
          <w:rFonts w:hint="eastAsia" w:ascii="宋体" w:hAnsi="宋体"/>
        </w:rPr>
        <w:t>计日工由承包人汇总后，列入最近一期进度付款申请单，由监理人复核并经发包人同意后列入进度付款。</w:t>
      </w:r>
    </w:p>
    <w:p w14:paraId="247A7646">
      <w:pPr>
        <w:ind w:left="41" w:leftChars="17"/>
        <w:outlineLvl w:val="1"/>
        <w:rPr>
          <w:rFonts w:ascii="宋体" w:hAnsi="宋体"/>
          <w:b/>
          <w:bCs/>
          <w:kern w:val="0"/>
        </w:rPr>
      </w:pPr>
      <w:bookmarkStart w:id="628" w:name="_Toc246997047"/>
      <w:bookmarkStart w:id="629" w:name="_Toc489084316"/>
      <w:bookmarkStart w:id="630" w:name="_Toc31962"/>
      <w:bookmarkStart w:id="631" w:name="_Toc410986370"/>
      <w:bookmarkStart w:id="632" w:name="_Toc246996304"/>
      <w:bookmarkStart w:id="633" w:name="_Toc184635114"/>
      <w:bookmarkStart w:id="634" w:name="_Toc526793383"/>
      <w:bookmarkStart w:id="635" w:name="_Toc6241368"/>
      <w:bookmarkStart w:id="636" w:name="_Toc439160171"/>
      <w:bookmarkStart w:id="637" w:name="_Toc296602549"/>
      <w:bookmarkStart w:id="638" w:name="_Toc247085819"/>
      <w:r>
        <w:rPr>
          <w:rFonts w:ascii="宋体" w:hAnsi="宋体"/>
          <w:b/>
          <w:bCs/>
          <w:kern w:val="0"/>
        </w:rPr>
        <w:t xml:space="preserve">12. </w:t>
      </w:r>
      <w:r>
        <w:rPr>
          <w:rFonts w:hint="eastAsia" w:ascii="宋体" w:hAnsi="宋体"/>
          <w:b/>
          <w:bCs/>
          <w:kern w:val="0"/>
        </w:rPr>
        <w:t>计量与支付</w:t>
      </w:r>
      <w:bookmarkEnd w:id="628"/>
      <w:bookmarkEnd w:id="629"/>
      <w:bookmarkEnd w:id="630"/>
      <w:bookmarkEnd w:id="631"/>
      <w:bookmarkEnd w:id="632"/>
      <w:bookmarkEnd w:id="633"/>
      <w:bookmarkEnd w:id="634"/>
      <w:bookmarkEnd w:id="635"/>
      <w:bookmarkEnd w:id="636"/>
      <w:bookmarkEnd w:id="637"/>
      <w:bookmarkEnd w:id="638"/>
    </w:p>
    <w:p w14:paraId="343E5AB8">
      <w:pPr>
        <w:snapToGrid w:val="0"/>
        <w:ind w:left="41" w:leftChars="17"/>
        <w:rPr>
          <w:rFonts w:ascii="宋体" w:hAnsi="宋体"/>
          <w:b/>
        </w:rPr>
      </w:pPr>
      <w:bookmarkStart w:id="639" w:name="_Toc246996305"/>
      <w:bookmarkStart w:id="640" w:name="_Toc296602550"/>
      <w:bookmarkStart w:id="641" w:name="_Toc246997048"/>
      <w:bookmarkStart w:id="642" w:name="_Toc247085820"/>
      <w:r>
        <w:rPr>
          <w:rFonts w:ascii="宋体" w:hAnsi="宋体"/>
          <w:b/>
        </w:rPr>
        <w:t xml:space="preserve">    12.1 计量</w:t>
      </w:r>
      <w:bookmarkEnd w:id="639"/>
      <w:bookmarkEnd w:id="640"/>
      <w:bookmarkEnd w:id="641"/>
      <w:bookmarkEnd w:id="642"/>
    </w:p>
    <w:p w14:paraId="4913C687">
      <w:pPr>
        <w:snapToGrid w:val="0"/>
        <w:ind w:left="41" w:leftChars="17" w:firstLine="480" w:firstLineChars="200"/>
        <w:rPr>
          <w:rFonts w:ascii="宋体" w:hAnsi="宋体"/>
        </w:rPr>
      </w:pPr>
      <w:r>
        <w:rPr>
          <w:rFonts w:hint="eastAsia" w:ascii="宋体" w:hAnsi="宋体"/>
        </w:rPr>
        <w:t>除专用合同条款另有约定外，承包人应根据有合同约束力的进度计划，按月分解签约合同价款，形成支付分解报告，送监理人批准后成为有合同约束力的支付分解表，按有合同约束力的支付分解表分期计量和支付；支付分解表应随进度计划的修订而调整；除第</w:t>
      </w:r>
      <w:r>
        <w:rPr>
          <w:rFonts w:ascii="宋体" w:hAnsi="宋体"/>
        </w:rPr>
        <w:t>11条约定的变更外，签约合同价款所基于的工程量即是用于工程结算的最终工程量。</w:t>
      </w:r>
    </w:p>
    <w:p w14:paraId="707CFCE6">
      <w:pPr>
        <w:snapToGrid w:val="0"/>
        <w:ind w:left="41" w:leftChars="17"/>
        <w:rPr>
          <w:rFonts w:ascii="宋体" w:hAnsi="宋体"/>
          <w:b/>
        </w:rPr>
      </w:pPr>
      <w:bookmarkStart w:id="643" w:name="_Toc246996306"/>
      <w:bookmarkStart w:id="644" w:name="_Toc247085821"/>
      <w:bookmarkStart w:id="645" w:name="_Toc246997049"/>
      <w:bookmarkStart w:id="646" w:name="_Toc296602551"/>
      <w:r>
        <w:rPr>
          <w:rFonts w:ascii="宋体" w:hAnsi="宋体"/>
          <w:b/>
        </w:rPr>
        <w:t xml:space="preserve">    12.2 预付款</w:t>
      </w:r>
      <w:bookmarkEnd w:id="643"/>
      <w:bookmarkEnd w:id="644"/>
      <w:bookmarkEnd w:id="645"/>
      <w:bookmarkEnd w:id="646"/>
    </w:p>
    <w:p w14:paraId="4E94C9F5">
      <w:pPr>
        <w:snapToGrid w:val="0"/>
        <w:ind w:left="41" w:leftChars="17" w:firstLine="480" w:firstLineChars="200"/>
        <w:rPr>
          <w:rFonts w:ascii="宋体" w:hAnsi="宋体"/>
        </w:rPr>
      </w:pPr>
      <w:r>
        <w:rPr>
          <w:rFonts w:ascii="宋体" w:hAnsi="宋体"/>
        </w:rPr>
        <w:t xml:space="preserve">12.2.1 </w:t>
      </w:r>
      <w:r>
        <w:rPr>
          <w:rFonts w:hint="eastAsia" w:ascii="宋体" w:hAnsi="宋体"/>
        </w:rPr>
        <w:t>预付款</w:t>
      </w:r>
    </w:p>
    <w:p w14:paraId="5A16EC17">
      <w:pPr>
        <w:snapToGrid w:val="0"/>
        <w:ind w:left="41" w:leftChars="17" w:firstLine="480" w:firstLineChars="200"/>
        <w:rPr>
          <w:rFonts w:ascii="宋体" w:hAnsi="宋体"/>
        </w:rPr>
      </w:pPr>
      <w:r>
        <w:rPr>
          <w:rFonts w:hint="eastAsia" w:ascii="宋体" w:hAnsi="宋体"/>
        </w:rPr>
        <w:t>预付款用于承包人为合同工程的设计和工程实施购置材料、工程设备、施工设备、修建临时设施以及组织施工队伍进场等。预付款的额度和支付在专用合同条款中约定。预付款必须专用于合同工作。</w:t>
      </w:r>
    </w:p>
    <w:p w14:paraId="5A3EE50C">
      <w:pPr>
        <w:snapToGrid w:val="0"/>
        <w:ind w:left="41" w:leftChars="17" w:firstLine="480" w:firstLineChars="200"/>
        <w:rPr>
          <w:rFonts w:ascii="宋体" w:hAnsi="宋体"/>
        </w:rPr>
      </w:pPr>
      <w:r>
        <w:rPr>
          <w:rFonts w:ascii="宋体" w:hAnsi="宋体"/>
        </w:rPr>
        <w:t xml:space="preserve">12.2.2 </w:t>
      </w:r>
      <w:r>
        <w:rPr>
          <w:rFonts w:hint="eastAsia" w:ascii="宋体" w:hAnsi="宋体"/>
        </w:rPr>
        <w:t>预付款保函</w:t>
      </w:r>
    </w:p>
    <w:p w14:paraId="19570E59">
      <w:pPr>
        <w:snapToGrid w:val="0"/>
        <w:ind w:left="41" w:leftChars="17" w:firstLine="480" w:firstLineChars="200"/>
        <w:rPr>
          <w:rFonts w:ascii="宋体" w:hAnsi="宋体"/>
        </w:rPr>
      </w:pPr>
      <w:r>
        <w:rPr>
          <w:rFonts w:hint="eastAsia" w:ascii="宋体" w:hAnsi="宋体"/>
        </w:rPr>
        <w:t>除专用合同条款另有约定外，承包人应在提交预付款申请的同时向发包人提交预付款保函。预付款保函的担保金额应与预付款金额相同。保函的担保金额可根据预付款扣回的金额相应递减。</w:t>
      </w:r>
    </w:p>
    <w:p w14:paraId="27A463B1">
      <w:pPr>
        <w:snapToGrid w:val="0"/>
        <w:ind w:left="41" w:leftChars="17" w:firstLine="480" w:firstLineChars="200"/>
        <w:rPr>
          <w:rFonts w:ascii="宋体" w:hAnsi="宋体"/>
        </w:rPr>
      </w:pPr>
      <w:r>
        <w:rPr>
          <w:rFonts w:ascii="宋体" w:hAnsi="宋体"/>
        </w:rPr>
        <w:t xml:space="preserve">12.2.3 </w:t>
      </w:r>
      <w:r>
        <w:rPr>
          <w:rFonts w:hint="eastAsia" w:ascii="宋体" w:hAnsi="宋体"/>
        </w:rPr>
        <w:t>预付款的扣回与还清</w:t>
      </w:r>
    </w:p>
    <w:p w14:paraId="4B1B820C">
      <w:pPr>
        <w:snapToGrid w:val="0"/>
        <w:ind w:left="41" w:leftChars="17" w:firstLine="480" w:firstLineChars="200"/>
        <w:rPr>
          <w:rFonts w:ascii="宋体" w:hAnsi="宋体"/>
        </w:rPr>
      </w:pPr>
      <w:r>
        <w:rPr>
          <w:rFonts w:hint="eastAsia" w:ascii="宋体" w:hAnsi="宋体"/>
        </w:rPr>
        <w:t>除专用合同条款另有约定外，预付款在进度付款中同比例扣回。在颁发工程交工证书前，由于不可抗力或其他原因解除合同时，预付款尚未扣清的，尚未扣清的预付款余额应作为承包人的到期应付款。</w:t>
      </w:r>
    </w:p>
    <w:p w14:paraId="24DB99C7">
      <w:pPr>
        <w:snapToGrid w:val="0"/>
        <w:ind w:left="41" w:leftChars="17" w:firstLine="482" w:firstLineChars="200"/>
        <w:rPr>
          <w:rFonts w:ascii="宋体" w:hAnsi="宋体"/>
          <w:b/>
        </w:rPr>
      </w:pPr>
      <w:bookmarkStart w:id="647" w:name="_Toc296602552"/>
      <w:bookmarkStart w:id="648" w:name="_Toc246996307"/>
      <w:bookmarkStart w:id="649" w:name="_Toc247085822"/>
      <w:bookmarkStart w:id="650" w:name="_Toc246997050"/>
      <w:r>
        <w:rPr>
          <w:rFonts w:ascii="宋体" w:hAnsi="宋体"/>
          <w:b/>
        </w:rPr>
        <w:t xml:space="preserve">12.3 </w:t>
      </w:r>
      <w:r>
        <w:rPr>
          <w:rFonts w:hint="eastAsia" w:ascii="宋体" w:hAnsi="宋体"/>
          <w:b/>
        </w:rPr>
        <w:t>工程进度付款</w:t>
      </w:r>
      <w:bookmarkEnd w:id="647"/>
      <w:bookmarkEnd w:id="648"/>
      <w:bookmarkEnd w:id="649"/>
      <w:bookmarkEnd w:id="650"/>
    </w:p>
    <w:p w14:paraId="4532E7C7">
      <w:pPr>
        <w:snapToGrid w:val="0"/>
        <w:ind w:left="41" w:leftChars="17" w:firstLine="480" w:firstLineChars="200"/>
        <w:rPr>
          <w:rFonts w:ascii="宋体" w:hAnsi="宋体"/>
        </w:rPr>
      </w:pPr>
      <w:r>
        <w:rPr>
          <w:rFonts w:hint="eastAsia" w:ascii="宋体" w:hAnsi="宋体"/>
        </w:rPr>
        <w:t>承包人应在第</w:t>
      </w:r>
      <w:r>
        <w:rPr>
          <w:rFonts w:ascii="宋体" w:hAnsi="宋体"/>
        </w:rPr>
        <w:t>12.1款约定的支付分解表确定的每个付款周期末，按监理人批准的格式和专用合同条款约定的份数，向监理人提交进度付款申请单，并附相应的支持性证明文件。除专用合同条款另有约定外，进度付款申请单应包括下列内容：</w:t>
      </w:r>
    </w:p>
    <w:p w14:paraId="601EB44D">
      <w:pPr>
        <w:snapToGrid w:val="0"/>
        <w:ind w:left="41" w:leftChars="17" w:firstLine="480" w:firstLineChars="200"/>
        <w:rPr>
          <w:rFonts w:ascii="宋体" w:hAnsi="宋体"/>
        </w:rPr>
      </w:pPr>
      <w:r>
        <w:rPr>
          <w:rFonts w:hint="eastAsia" w:ascii="宋体" w:hAnsi="宋体"/>
        </w:rPr>
        <w:t>（</w:t>
      </w:r>
      <w:r>
        <w:rPr>
          <w:rFonts w:ascii="宋体" w:hAnsi="宋体"/>
        </w:rPr>
        <w:t>1）截至本次付款周期末已实施工程的合同价款；</w:t>
      </w:r>
    </w:p>
    <w:p w14:paraId="1408A2F9">
      <w:pPr>
        <w:snapToGrid w:val="0"/>
        <w:ind w:left="41" w:leftChars="17" w:firstLine="480" w:firstLineChars="200"/>
        <w:rPr>
          <w:rFonts w:ascii="宋体" w:hAnsi="宋体"/>
        </w:rPr>
      </w:pPr>
      <w:r>
        <w:rPr>
          <w:rFonts w:hint="eastAsia" w:ascii="宋体" w:hAnsi="宋体"/>
        </w:rPr>
        <w:t>（</w:t>
      </w:r>
      <w:r>
        <w:rPr>
          <w:rFonts w:ascii="宋体" w:hAnsi="宋体"/>
        </w:rPr>
        <w:t>2）根据第11条应增加和扣减的变更金额；</w:t>
      </w:r>
    </w:p>
    <w:p w14:paraId="7923EF6F">
      <w:pPr>
        <w:snapToGrid w:val="0"/>
        <w:ind w:left="41" w:leftChars="17" w:firstLine="480" w:firstLineChars="200"/>
        <w:rPr>
          <w:rFonts w:ascii="宋体" w:hAnsi="宋体"/>
        </w:rPr>
      </w:pPr>
      <w:r>
        <w:rPr>
          <w:rFonts w:hint="eastAsia" w:ascii="宋体" w:hAnsi="宋体"/>
        </w:rPr>
        <w:t>（</w:t>
      </w:r>
      <w:r>
        <w:rPr>
          <w:rFonts w:ascii="宋体" w:hAnsi="宋体"/>
        </w:rPr>
        <w:t>3）根据第18条应增加和扣减的索赔金额；</w:t>
      </w:r>
    </w:p>
    <w:p w14:paraId="474167B9">
      <w:pPr>
        <w:snapToGrid w:val="0"/>
        <w:ind w:left="41" w:leftChars="17" w:firstLine="480" w:firstLineChars="200"/>
        <w:rPr>
          <w:rFonts w:ascii="宋体" w:hAnsi="宋体"/>
        </w:rPr>
      </w:pPr>
      <w:r>
        <w:rPr>
          <w:rFonts w:hint="eastAsia" w:ascii="宋体" w:hAnsi="宋体"/>
        </w:rPr>
        <w:t>（</w:t>
      </w:r>
      <w:r>
        <w:rPr>
          <w:rFonts w:ascii="宋体" w:hAnsi="宋体"/>
        </w:rPr>
        <w:t>4）根据第12.2款应支付的预付款和扣减的返还预付款；</w:t>
      </w:r>
    </w:p>
    <w:p w14:paraId="5CE4C056">
      <w:pPr>
        <w:snapToGrid w:val="0"/>
        <w:ind w:left="41" w:leftChars="17" w:firstLine="480" w:firstLineChars="200"/>
        <w:rPr>
          <w:rFonts w:ascii="宋体" w:hAnsi="宋体"/>
        </w:rPr>
      </w:pPr>
      <w:r>
        <w:rPr>
          <w:rFonts w:hint="eastAsia" w:ascii="宋体" w:hAnsi="宋体"/>
        </w:rPr>
        <w:t>（</w:t>
      </w:r>
      <w:r>
        <w:rPr>
          <w:rFonts w:ascii="宋体" w:hAnsi="宋体"/>
        </w:rPr>
        <w:t>5）根据第12.4款应扣减的质量保证金；</w:t>
      </w:r>
    </w:p>
    <w:p w14:paraId="5D5A8695">
      <w:pPr>
        <w:snapToGrid w:val="0"/>
        <w:ind w:left="41" w:leftChars="17" w:firstLine="480" w:firstLineChars="200"/>
        <w:rPr>
          <w:rFonts w:ascii="宋体" w:hAnsi="宋体"/>
        </w:rPr>
      </w:pPr>
      <w:r>
        <w:rPr>
          <w:rFonts w:hint="eastAsia" w:ascii="宋体" w:hAnsi="宋体"/>
        </w:rPr>
        <w:t>（</w:t>
      </w:r>
      <w:r>
        <w:rPr>
          <w:rFonts w:ascii="宋体" w:hAnsi="宋体"/>
        </w:rPr>
        <w:t>6）根据合同应增加和扣减的其他金额。</w:t>
      </w:r>
    </w:p>
    <w:p w14:paraId="24B3D2F2">
      <w:pPr>
        <w:snapToGrid w:val="0"/>
        <w:ind w:left="41" w:leftChars="17" w:firstLine="480" w:firstLineChars="200"/>
        <w:rPr>
          <w:rFonts w:ascii="宋体" w:hAnsi="宋体"/>
        </w:rPr>
      </w:pPr>
      <w:r>
        <w:rPr>
          <w:rFonts w:hint="eastAsia" w:ascii="宋体" w:hAnsi="宋体"/>
        </w:rPr>
        <w:t>监理人应在收到承包人进度付款申请单以及相应的支持性证明文件后的</w:t>
      </w:r>
      <w:r>
        <w:rPr>
          <w:rFonts w:ascii="宋体" w:hAnsi="宋体"/>
        </w:rPr>
        <w:t>7天内完成核查，</w:t>
      </w:r>
      <w:r>
        <w:rPr>
          <w:rFonts w:hint="eastAsia" w:ascii="宋体" w:hAnsi="宋体"/>
        </w:rPr>
        <w:t>并向承包人出具经发包人签认的付款证书。</w:t>
      </w:r>
      <w:r>
        <w:rPr>
          <w:rFonts w:ascii="宋体" w:hAnsi="宋体"/>
        </w:rPr>
        <w:t>发包人应在监理人收到进度付款申请单的14天内将进度</w:t>
      </w:r>
      <w:r>
        <w:rPr>
          <w:rFonts w:hint="eastAsia" w:ascii="宋体" w:hAnsi="宋体"/>
        </w:rPr>
        <w:t>应付</w:t>
      </w:r>
      <w:r>
        <w:rPr>
          <w:rFonts w:ascii="宋体" w:hAnsi="宋体"/>
        </w:rPr>
        <w:t>款支付给</w:t>
      </w:r>
      <w:r>
        <w:rPr>
          <w:rFonts w:hint="eastAsia" w:ascii="宋体" w:hAnsi="宋体"/>
        </w:rPr>
        <w:t>承包</w:t>
      </w:r>
      <w:r>
        <w:rPr>
          <w:rFonts w:ascii="宋体" w:hAnsi="宋体"/>
        </w:rPr>
        <w:t>人</w:t>
      </w:r>
      <w:r>
        <w:rPr>
          <w:rFonts w:hint="eastAsia" w:ascii="宋体" w:hAnsi="宋体"/>
        </w:rPr>
        <w:t>。</w:t>
      </w:r>
    </w:p>
    <w:p w14:paraId="2265ACDE">
      <w:pPr>
        <w:snapToGrid w:val="0"/>
        <w:ind w:left="41" w:leftChars="17"/>
        <w:rPr>
          <w:rFonts w:ascii="宋体" w:hAnsi="宋体"/>
          <w:b/>
        </w:rPr>
      </w:pPr>
      <w:bookmarkStart w:id="651" w:name="_Toc247085823"/>
      <w:bookmarkStart w:id="652" w:name="_Toc246996308"/>
      <w:bookmarkStart w:id="653" w:name="_Toc296602553"/>
      <w:bookmarkStart w:id="654" w:name="_Toc246997051"/>
      <w:r>
        <w:rPr>
          <w:rFonts w:ascii="宋体" w:hAnsi="宋体"/>
          <w:b/>
        </w:rPr>
        <w:t xml:space="preserve">   12.4 质量保证金</w:t>
      </w:r>
      <w:bookmarkEnd w:id="651"/>
      <w:bookmarkEnd w:id="652"/>
      <w:bookmarkEnd w:id="653"/>
      <w:bookmarkEnd w:id="654"/>
    </w:p>
    <w:p w14:paraId="7467B3F9">
      <w:pPr>
        <w:snapToGrid w:val="0"/>
        <w:ind w:left="41" w:leftChars="17" w:firstLine="420"/>
        <w:rPr>
          <w:rFonts w:ascii="宋体" w:hAnsi="宋体"/>
        </w:rPr>
      </w:pPr>
      <w:r>
        <w:rPr>
          <w:rFonts w:ascii="宋体" w:hAnsi="宋体"/>
        </w:rPr>
        <w:t>12.4.1</w:t>
      </w:r>
      <w:r>
        <w:rPr>
          <w:rFonts w:hint="eastAsia" w:ascii="宋体" w:hAnsi="宋体"/>
        </w:rPr>
        <w:t>质量保证金为工程结算价款的</w:t>
      </w:r>
      <w:r>
        <w:rPr>
          <w:rFonts w:ascii="宋体" w:hAnsi="宋体"/>
        </w:rPr>
        <w:t>3%。</w:t>
      </w:r>
    </w:p>
    <w:p w14:paraId="238A7ADD">
      <w:pPr>
        <w:snapToGrid w:val="0"/>
        <w:ind w:left="41" w:leftChars="17" w:firstLine="420"/>
        <w:rPr>
          <w:rFonts w:ascii="宋体" w:hAnsi="宋体"/>
        </w:rPr>
      </w:pPr>
      <w:r>
        <w:rPr>
          <w:rFonts w:ascii="宋体" w:hAnsi="宋体"/>
        </w:rPr>
        <w:t>12.4.2</w:t>
      </w:r>
      <w:r>
        <w:rPr>
          <w:rFonts w:hint="eastAsia" w:ascii="宋体" w:hAnsi="宋体"/>
        </w:rPr>
        <w:t>质量保证金的实际扣留时间与缺陷责任期一致。</w:t>
      </w:r>
    </w:p>
    <w:p w14:paraId="177A36E5">
      <w:pPr>
        <w:snapToGrid w:val="0"/>
        <w:ind w:left="41" w:leftChars="17" w:firstLine="420"/>
        <w:rPr>
          <w:rFonts w:ascii="宋体" w:hAnsi="宋体"/>
        </w:rPr>
      </w:pPr>
      <w:r>
        <w:rPr>
          <w:rFonts w:ascii="宋体" w:hAnsi="宋体"/>
        </w:rPr>
        <w:t xml:space="preserve">12.4.3 </w:t>
      </w:r>
      <w:r>
        <w:rPr>
          <w:rFonts w:hint="eastAsia" w:ascii="宋体" w:hAnsi="宋体"/>
        </w:rPr>
        <w:t>在合同约定的缺陷责任期满时，承包人向发包人申请到期应返还承包人剩余的质量保证金，发包人应在</w:t>
      </w:r>
      <w:r>
        <w:rPr>
          <w:rFonts w:ascii="宋体" w:hAnsi="宋体"/>
        </w:rPr>
        <w:t>14天内会同承包人按照合同约定的内容核实承包人是否完成缺陷责任。如无异议，发包人应当在核实后将剩余质量保证金返还承包人。</w:t>
      </w:r>
    </w:p>
    <w:p w14:paraId="65DA8F03">
      <w:pPr>
        <w:snapToGrid w:val="0"/>
        <w:ind w:left="41" w:leftChars="17" w:firstLine="420"/>
        <w:rPr>
          <w:rFonts w:ascii="宋体" w:hAnsi="宋体"/>
        </w:rPr>
      </w:pPr>
      <w:r>
        <w:rPr>
          <w:rFonts w:ascii="宋体" w:hAnsi="宋体"/>
        </w:rPr>
        <w:t xml:space="preserve">12.4.4 </w:t>
      </w:r>
      <w:r>
        <w:rPr>
          <w:rFonts w:hint="eastAsia" w:ascii="宋体" w:hAnsi="宋体"/>
        </w:rPr>
        <w:t>在合同约定的缺陷责任期满时，承包人没有完成缺陷责任的，发包人有权扣留与未履行责任剩余工作所需金额相应的质量保证金余额，并有权根据合同约定要求延长缺陷责任期，直至完成剩余工作为止。</w:t>
      </w:r>
    </w:p>
    <w:p w14:paraId="054A3D8D">
      <w:pPr>
        <w:snapToGrid w:val="0"/>
        <w:ind w:left="41" w:leftChars="17"/>
        <w:rPr>
          <w:rFonts w:ascii="宋体" w:hAnsi="宋体"/>
          <w:b/>
        </w:rPr>
      </w:pPr>
      <w:bookmarkStart w:id="655" w:name="_Toc246997052"/>
      <w:bookmarkStart w:id="656" w:name="_Toc246996309"/>
      <w:bookmarkStart w:id="657" w:name="_Toc296602554"/>
      <w:bookmarkStart w:id="658" w:name="_Toc247085824"/>
      <w:r>
        <w:rPr>
          <w:rFonts w:ascii="宋体" w:hAnsi="宋体"/>
          <w:b/>
        </w:rPr>
        <w:t xml:space="preserve">   12.5 </w:t>
      </w:r>
      <w:bookmarkEnd w:id="655"/>
      <w:bookmarkEnd w:id="656"/>
      <w:bookmarkEnd w:id="657"/>
      <w:bookmarkEnd w:id="658"/>
      <w:r>
        <w:rPr>
          <w:rFonts w:hint="eastAsia" w:ascii="宋体" w:hAnsi="宋体"/>
          <w:b/>
        </w:rPr>
        <w:t>工程结算</w:t>
      </w:r>
    </w:p>
    <w:p w14:paraId="7B69A56E">
      <w:pPr>
        <w:snapToGrid w:val="0"/>
        <w:ind w:left="41" w:leftChars="17" w:firstLine="420"/>
        <w:rPr>
          <w:rFonts w:ascii="宋体" w:hAnsi="宋体"/>
        </w:rPr>
      </w:pPr>
      <w:r>
        <w:rPr>
          <w:rFonts w:ascii="宋体" w:hAnsi="宋体"/>
        </w:rPr>
        <w:t xml:space="preserve">12.5.1 </w:t>
      </w:r>
      <w:r>
        <w:rPr>
          <w:rFonts w:hint="eastAsia" w:ascii="宋体" w:hAnsi="宋体"/>
        </w:rPr>
        <w:t>除专用合同条款另有约定外，合同价款不因物价波动和法律变化而调整。</w:t>
      </w:r>
    </w:p>
    <w:p w14:paraId="70D04E64">
      <w:pPr>
        <w:snapToGrid w:val="0"/>
        <w:ind w:left="41" w:leftChars="17" w:firstLine="420"/>
        <w:rPr>
          <w:rFonts w:ascii="宋体" w:hAnsi="宋体"/>
        </w:rPr>
      </w:pPr>
      <w:r>
        <w:rPr>
          <w:rFonts w:ascii="宋体" w:hAnsi="宋体"/>
        </w:rPr>
        <w:t>12.5.2工期变化引起的调整</w:t>
      </w:r>
    </w:p>
    <w:p w14:paraId="3E89C3CC">
      <w:pPr>
        <w:snapToGrid w:val="0"/>
        <w:ind w:left="41" w:leftChars="17" w:firstLine="420"/>
        <w:rPr>
          <w:rFonts w:ascii="宋体" w:hAnsi="宋体"/>
        </w:rPr>
      </w:pPr>
      <w:r>
        <w:rPr>
          <w:rFonts w:ascii="宋体" w:hAnsi="宋体"/>
        </w:rPr>
        <w:t>除专用合同条款另外约定外，非承包人原因造成工程开工的延迟、停工</w:t>
      </w:r>
      <w:r>
        <w:rPr>
          <w:rFonts w:hint="eastAsia" w:ascii="宋体" w:hAnsi="宋体"/>
        </w:rPr>
        <w:t>、窝工</w:t>
      </w:r>
      <w:r>
        <w:rPr>
          <w:rFonts w:ascii="宋体" w:hAnsi="宋体"/>
        </w:rPr>
        <w:t>，工程</w:t>
      </w:r>
      <w:r>
        <w:rPr>
          <w:rFonts w:hint="eastAsia" w:ascii="宋体" w:hAnsi="宋体"/>
        </w:rPr>
        <w:t>实际</w:t>
      </w:r>
      <w:r>
        <w:rPr>
          <w:rFonts w:ascii="宋体" w:hAnsi="宋体"/>
        </w:rPr>
        <w:t>工期的变化不超过合同工期的20%（含20%）时，只相应顺延工期，</w:t>
      </w:r>
      <w:r>
        <w:rPr>
          <w:rFonts w:hint="eastAsia" w:ascii="宋体" w:hAnsi="宋体"/>
        </w:rPr>
        <w:t>合同</w:t>
      </w:r>
      <w:r>
        <w:rPr>
          <w:rFonts w:ascii="宋体" w:hAnsi="宋体"/>
        </w:rPr>
        <w:t>价</w:t>
      </w:r>
      <w:r>
        <w:rPr>
          <w:rFonts w:hint="eastAsia" w:ascii="宋体" w:hAnsi="宋体"/>
        </w:rPr>
        <w:t>款</w:t>
      </w:r>
      <w:r>
        <w:rPr>
          <w:rFonts w:ascii="宋体" w:hAnsi="宋体"/>
        </w:rPr>
        <w:t>不做调整。</w:t>
      </w:r>
    </w:p>
    <w:p w14:paraId="29645739">
      <w:pPr>
        <w:snapToGrid w:val="0"/>
        <w:ind w:left="41" w:leftChars="17" w:firstLine="420"/>
        <w:rPr>
          <w:rFonts w:ascii="宋体" w:hAnsi="宋体"/>
        </w:rPr>
      </w:pPr>
      <w:r>
        <w:rPr>
          <w:rFonts w:hint="eastAsia" w:ascii="宋体" w:hAnsi="宋体"/>
        </w:rPr>
        <w:t>若</w:t>
      </w:r>
      <w:r>
        <w:rPr>
          <w:rFonts w:ascii="宋体" w:hAnsi="宋体"/>
        </w:rPr>
        <w:t>工程</w:t>
      </w:r>
      <w:r>
        <w:rPr>
          <w:rFonts w:hint="eastAsia" w:ascii="宋体" w:hAnsi="宋体"/>
        </w:rPr>
        <w:t>实际</w:t>
      </w:r>
      <w:r>
        <w:rPr>
          <w:rFonts w:ascii="宋体" w:hAnsi="宋体"/>
        </w:rPr>
        <w:t>工期的变化超过合同工期的20%（</w:t>
      </w:r>
      <w:r>
        <w:rPr>
          <w:rFonts w:hint="eastAsia" w:ascii="宋体" w:hAnsi="宋体"/>
        </w:rPr>
        <w:t>不</w:t>
      </w:r>
      <w:r>
        <w:rPr>
          <w:rFonts w:ascii="宋体" w:hAnsi="宋体"/>
        </w:rPr>
        <w:t>含20%）时</w:t>
      </w:r>
      <w:r>
        <w:rPr>
          <w:rFonts w:hint="eastAsia" w:ascii="宋体" w:hAnsi="宋体"/>
        </w:rPr>
        <w:t>，工期顺延，按照</w:t>
      </w:r>
      <w:r>
        <w:rPr>
          <w:rFonts w:ascii="宋体" w:hAnsi="宋体"/>
        </w:rPr>
        <w:t>专用合同条款</w:t>
      </w:r>
      <w:r>
        <w:rPr>
          <w:rFonts w:hint="eastAsia" w:ascii="宋体" w:hAnsi="宋体"/>
        </w:rPr>
        <w:t>的</w:t>
      </w:r>
      <w:r>
        <w:rPr>
          <w:rFonts w:ascii="宋体" w:hAnsi="宋体"/>
        </w:rPr>
        <w:t>约定</w:t>
      </w:r>
      <w:r>
        <w:rPr>
          <w:rFonts w:hint="eastAsia" w:ascii="宋体" w:hAnsi="宋体"/>
        </w:rPr>
        <w:t>调整合同价款。</w:t>
      </w:r>
    </w:p>
    <w:p w14:paraId="2212F7AA">
      <w:pPr>
        <w:snapToGrid w:val="0"/>
        <w:ind w:left="41" w:leftChars="17" w:firstLine="420"/>
        <w:rPr>
          <w:rFonts w:ascii="宋体" w:hAnsi="宋体"/>
        </w:rPr>
      </w:pPr>
      <w:r>
        <w:rPr>
          <w:rFonts w:ascii="宋体" w:hAnsi="宋体"/>
        </w:rPr>
        <w:t>12.5.3除专用合同条款另外约定外，</w:t>
      </w:r>
      <w:r>
        <w:rPr>
          <w:rFonts w:hint="eastAsia" w:ascii="宋体" w:hAnsi="宋体"/>
        </w:rPr>
        <w:t>交工证书</w:t>
      </w:r>
      <w:r>
        <w:rPr>
          <w:rFonts w:ascii="宋体" w:hAnsi="宋体"/>
        </w:rPr>
        <w:t>颁发后，承包人应向监理人提交交工付款申请单，并提供相关证明材料。监理人</w:t>
      </w:r>
      <w:r>
        <w:rPr>
          <w:rFonts w:hint="eastAsia" w:ascii="宋体" w:hAnsi="宋体"/>
        </w:rPr>
        <w:t>应当在</w:t>
      </w:r>
      <w:r>
        <w:rPr>
          <w:rFonts w:ascii="宋体" w:hAnsi="宋体"/>
        </w:rPr>
        <w:t>收到交工付款申请单的7天内完成核查</w:t>
      </w:r>
      <w:r>
        <w:rPr>
          <w:rFonts w:hint="eastAsia" w:ascii="宋体" w:hAnsi="宋体"/>
        </w:rPr>
        <w:t>并送发包人审核</w:t>
      </w:r>
      <w:r>
        <w:rPr>
          <w:rFonts w:ascii="宋体" w:hAnsi="宋体"/>
        </w:rPr>
        <w:t>，发包人应在</w:t>
      </w:r>
      <w:r>
        <w:rPr>
          <w:rFonts w:hint="eastAsia" w:ascii="宋体" w:hAnsi="宋体"/>
        </w:rPr>
        <w:t>收到后</w:t>
      </w:r>
      <w:r>
        <w:rPr>
          <w:rFonts w:ascii="宋体" w:hAnsi="宋体"/>
        </w:rPr>
        <w:t>14天内</w:t>
      </w:r>
      <w:r>
        <w:rPr>
          <w:rFonts w:hint="eastAsia" w:ascii="宋体" w:hAnsi="宋体"/>
        </w:rPr>
        <w:t>提出具体意见或签认交工付款</w:t>
      </w:r>
      <w:r>
        <w:rPr>
          <w:rFonts w:ascii="宋体" w:hAnsi="宋体"/>
        </w:rPr>
        <w:t>申请单</w:t>
      </w:r>
      <w:r>
        <w:rPr>
          <w:rFonts w:hint="eastAsia" w:ascii="宋体" w:hAnsi="宋体"/>
        </w:rPr>
        <w:t>，并在</w:t>
      </w:r>
      <w:r>
        <w:rPr>
          <w:rFonts w:ascii="宋体" w:hAnsi="宋体"/>
        </w:rPr>
        <w:t>监理人收到</w:t>
      </w:r>
      <w:r>
        <w:rPr>
          <w:rFonts w:hint="eastAsia" w:ascii="宋体" w:hAnsi="宋体"/>
        </w:rPr>
        <w:t>工程结算</w:t>
      </w:r>
      <w:r>
        <w:rPr>
          <w:rFonts w:ascii="宋体" w:hAnsi="宋体"/>
        </w:rPr>
        <w:t>申请单的28天内将应付款支付给承包人。</w:t>
      </w:r>
      <w:r>
        <w:rPr>
          <w:rFonts w:hint="eastAsia" w:ascii="宋体" w:hAnsi="宋体"/>
        </w:rPr>
        <w:t>发包人未在约定时间内审核并提出具体意见或者签认交工付款</w:t>
      </w:r>
      <w:r>
        <w:rPr>
          <w:rFonts w:ascii="宋体" w:hAnsi="宋体"/>
        </w:rPr>
        <w:t>申请单</w:t>
      </w:r>
      <w:r>
        <w:rPr>
          <w:rFonts w:hint="eastAsia" w:ascii="宋体" w:hAnsi="宋体"/>
        </w:rPr>
        <w:t>的，视为同意承包人提出的交工付款金额。</w:t>
      </w:r>
    </w:p>
    <w:p w14:paraId="0D25765F">
      <w:pPr>
        <w:snapToGrid w:val="0"/>
        <w:ind w:left="41" w:leftChars="17"/>
        <w:rPr>
          <w:rFonts w:ascii="宋体" w:hAnsi="宋体"/>
          <w:b/>
        </w:rPr>
      </w:pPr>
      <w:bookmarkStart w:id="659" w:name="_Toc296602555"/>
      <w:bookmarkStart w:id="660" w:name="_Toc246996310"/>
      <w:bookmarkStart w:id="661" w:name="_Toc246997053"/>
      <w:bookmarkStart w:id="662" w:name="_Toc247085825"/>
      <w:r>
        <w:rPr>
          <w:rFonts w:ascii="宋体" w:hAnsi="宋体"/>
          <w:b/>
        </w:rPr>
        <w:t xml:space="preserve">   12.6 付款延误</w:t>
      </w:r>
      <w:bookmarkEnd w:id="659"/>
      <w:bookmarkEnd w:id="660"/>
      <w:bookmarkEnd w:id="661"/>
      <w:bookmarkEnd w:id="662"/>
    </w:p>
    <w:p w14:paraId="00B7C223">
      <w:pPr>
        <w:snapToGrid w:val="0"/>
        <w:ind w:left="41" w:leftChars="17" w:firstLine="420"/>
        <w:rPr>
          <w:rFonts w:ascii="宋体" w:hAnsi="宋体"/>
        </w:rPr>
      </w:pPr>
      <w:r>
        <w:rPr>
          <w:rFonts w:hint="eastAsia" w:ascii="宋体" w:hAnsi="宋体"/>
        </w:rPr>
        <w:t>发包人不按期支付的，按专用合同条款的约定支付逾期付款违约金。</w:t>
      </w:r>
    </w:p>
    <w:p w14:paraId="1F1F7156">
      <w:pPr>
        <w:ind w:left="41" w:leftChars="17"/>
        <w:outlineLvl w:val="1"/>
        <w:rPr>
          <w:rFonts w:ascii="Arial" w:hAnsi="Arial"/>
          <w:b/>
          <w:bCs/>
          <w:kern w:val="0"/>
        </w:rPr>
      </w:pPr>
      <w:bookmarkStart w:id="663" w:name="_Toc12851"/>
      <w:bookmarkStart w:id="664" w:name="_Toc526793384"/>
      <w:bookmarkStart w:id="665" w:name="_Toc439160172"/>
      <w:bookmarkStart w:id="666" w:name="_Toc489084317"/>
      <w:bookmarkStart w:id="667" w:name="_Toc6241369"/>
      <w:bookmarkStart w:id="668" w:name="_Toc296602561"/>
      <w:bookmarkStart w:id="669" w:name="_Toc246997058"/>
      <w:bookmarkStart w:id="670" w:name="_Toc247085830"/>
      <w:bookmarkStart w:id="671" w:name="_Toc246996315"/>
      <w:bookmarkStart w:id="672" w:name="_Toc246997059"/>
      <w:bookmarkStart w:id="673" w:name="_Toc296602562"/>
      <w:bookmarkStart w:id="674" w:name="_Toc247085831"/>
      <w:bookmarkStart w:id="675" w:name="_Toc184635116"/>
      <w:bookmarkStart w:id="676" w:name="_Toc246996316"/>
      <w:r>
        <w:rPr>
          <w:rFonts w:ascii="Arial" w:hAnsi="Arial"/>
          <w:b/>
          <w:bCs/>
          <w:kern w:val="0"/>
        </w:rPr>
        <w:t xml:space="preserve">13. </w:t>
      </w:r>
      <w:r>
        <w:rPr>
          <w:rFonts w:hint="eastAsia" w:ascii="Arial" w:hAnsi="Arial"/>
          <w:b/>
          <w:bCs/>
          <w:kern w:val="0"/>
        </w:rPr>
        <w:t>单机试车、投产试运行、交工验收和竣工验收</w:t>
      </w:r>
      <w:bookmarkEnd w:id="663"/>
      <w:bookmarkEnd w:id="664"/>
      <w:bookmarkEnd w:id="665"/>
      <w:bookmarkEnd w:id="666"/>
      <w:bookmarkEnd w:id="667"/>
    </w:p>
    <w:p w14:paraId="6DF50C56">
      <w:pPr>
        <w:adjustRightInd w:val="0"/>
        <w:snapToGrid w:val="0"/>
        <w:ind w:left="41" w:leftChars="17" w:firstLine="482" w:firstLineChars="200"/>
        <w:rPr>
          <w:rFonts w:ascii="宋体" w:hAnsi="宋体"/>
          <w:b/>
        </w:rPr>
      </w:pPr>
      <w:r>
        <w:rPr>
          <w:rFonts w:ascii="宋体" w:hAnsi="宋体"/>
          <w:b/>
        </w:rPr>
        <w:t>13.1单机试车</w:t>
      </w:r>
    </w:p>
    <w:p w14:paraId="4B5F3B57">
      <w:pPr>
        <w:adjustRightInd w:val="0"/>
        <w:snapToGrid w:val="0"/>
        <w:ind w:left="41" w:leftChars="17" w:firstLine="480" w:firstLineChars="200"/>
        <w:rPr>
          <w:rFonts w:ascii="宋体" w:hAnsi="宋体"/>
        </w:rPr>
      </w:pPr>
      <w:r>
        <w:rPr>
          <w:rFonts w:ascii="宋体" w:hAnsi="宋体"/>
        </w:rPr>
        <w:t>13.1.1设备安装工程具备单机无负荷试车条件，承包人组织试车，并在开车前48小时以书面形式通知监理人、发包人。通知包括试车内容、时间、地点。承包人准备试车记录，发包人根据承包人要求为试车提供必要条件。试车合格，监理人、发包人、承包人在试车记录上签字。</w:t>
      </w:r>
    </w:p>
    <w:p w14:paraId="1B2AE316">
      <w:pPr>
        <w:snapToGrid w:val="0"/>
        <w:ind w:left="41" w:leftChars="17" w:firstLine="480" w:firstLineChars="200"/>
        <w:rPr>
          <w:rFonts w:ascii="宋体" w:hAnsi="宋体"/>
        </w:rPr>
      </w:pPr>
      <w:r>
        <w:rPr>
          <w:rFonts w:ascii="宋体" w:hAnsi="宋体"/>
        </w:rPr>
        <w:t>13.1.2监理人、发包人不能按时参加单机试车，须在开始试车前24小时以书面形式向承包人提出延期要求，延期不能超过48小时。监理人、发包人未能按以上时间提出延期要求，不参加试车，应承认试车记录。</w:t>
      </w:r>
    </w:p>
    <w:p w14:paraId="35BEB4E9">
      <w:pPr>
        <w:adjustRightInd w:val="0"/>
        <w:snapToGrid w:val="0"/>
        <w:ind w:left="41" w:leftChars="17" w:firstLine="482" w:firstLineChars="200"/>
        <w:rPr>
          <w:rFonts w:ascii="宋体" w:hAnsi="宋体"/>
          <w:b/>
        </w:rPr>
      </w:pPr>
      <w:r>
        <w:rPr>
          <w:rFonts w:ascii="宋体" w:hAnsi="宋体"/>
          <w:b/>
        </w:rPr>
        <w:t>13.2投产试运行</w:t>
      </w:r>
    </w:p>
    <w:p w14:paraId="15FF8685">
      <w:pPr>
        <w:adjustRightInd w:val="0"/>
        <w:snapToGrid w:val="0"/>
        <w:ind w:left="41" w:leftChars="17" w:firstLine="480" w:firstLineChars="200"/>
        <w:rPr>
          <w:rFonts w:ascii="宋体" w:hAnsi="宋体"/>
        </w:rPr>
      </w:pPr>
      <w:r>
        <w:rPr>
          <w:rFonts w:ascii="宋体" w:hAnsi="宋体"/>
        </w:rPr>
        <w:t>13.2.1投产试运行具备的主要条件</w:t>
      </w:r>
    </w:p>
    <w:p w14:paraId="6191913A">
      <w:pPr>
        <w:snapToGrid w:val="0"/>
        <w:ind w:left="41" w:leftChars="17" w:firstLine="480" w:firstLineChars="200"/>
        <w:rPr>
          <w:rFonts w:ascii="宋体" w:hAnsi="宋体"/>
        </w:rPr>
      </w:pPr>
      <w:r>
        <w:rPr>
          <w:rFonts w:hint="eastAsia" w:ascii="宋体" w:hAnsi="宋体"/>
        </w:rPr>
        <w:t>（</w:t>
      </w:r>
      <w:r>
        <w:rPr>
          <w:rFonts w:ascii="宋体" w:hAnsi="宋体"/>
        </w:rPr>
        <w:t>1）工程内容施工完毕；</w:t>
      </w:r>
    </w:p>
    <w:p w14:paraId="061A18DF">
      <w:pPr>
        <w:snapToGrid w:val="0"/>
        <w:ind w:left="41" w:leftChars="17" w:firstLine="480" w:firstLineChars="200"/>
        <w:rPr>
          <w:rFonts w:ascii="宋体" w:hAnsi="宋体"/>
        </w:rPr>
      </w:pPr>
      <w:r>
        <w:rPr>
          <w:rFonts w:hint="eastAsia" w:ascii="宋体" w:hAnsi="宋体"/>
        </w:rPr>
        <w:t>（</w:t>
      </w:r>
      <w:r>
        <w:rPr>
          <w:rFonts w:ascii="宋体" w:hAnsi="宋体"/>
        </w:rPr>
        <w:t>2）工程质量符合国家和行业标准；</w:t>
      </w:r>
    </w:p>
    <w:p w14:paraId="50C06FD6">
      <w:pPr>
        <w:snapToGrid w:val="0"/>
        <w:ind w:left="41" w:leftChars="17" w:firstLine="480" w:firstLineChars="200"/>
        <w:rPr>
          <w:rFonts w:ascii="宋体" w:hAnsi="宋体"/>
        </w:rPr>
      </w:pPr>
      <w:r>
        <w:rPr>
          <w:rFonts w:hint="eastAsia" w:ascii="宋体" w:hAnsi="宋体"/>
        </w:rPr>
        <w:t>（</w:t>
      </w:r>
      <w:r>
        <w:rPr>
          <w:rFonts w:ascii="宋体" w:hAnsi="宋体"/>
        </w:rPr>
        <w:t>3）系统的耐压试验、通球扫线、吹扫干燥、气密完毕，保温基本完成；</w:t>
      </w:r>
    </w:p>
    <w:p w14:paraId="76614FAF">
      <w:pPr>
        <w:snapToGrid w:val="0"/>
        <w:ind w:left="41" w:leftChars="17" w:firstLine="480" w:firstLineChars="200"/>
        <w:rPr>
          <w:rFonts w:ascii="宋体" w:hAnsi="宋体"/>
        </w:rPr>
      </w:pPr>
      <w:r>
        <w:rPr>
          <w:rFonts w:hint="eastAsia" w:ascii="宋体" w:hAnsi="宋体"/>
        </w:rPr>
        <w:t>（</w:t>
      </w:r>
      <w:r>
        <w:rPr>
          <w:rFonts w:ascii="宋体" w:hAnsi="宋体"/>
        </w:rPr>
        <w:t>4）静设备和安全附件（安全阀、防爆门等）已调试合格；</w:t>
      </w:r>
    </w:p>
    <w:p w14:paraId="6BDC92E8">
      <w:pPr>
        <w:snapToGrid w:val="0"/>
        <w:ind w:left="41" w:leftChars="17" w:firstLine="480" w:firstLineChars="200"/>
        <w:rPr>
          <w:rFonts w:ascii="宋体" w:hAnsi="宋体"/>
        </w:rPr>
      </w:pPr>
      <w:r>
        <w:rPr>
          <w:rFonts w:hint="eastAsia" w:ascii="宋体" w:hAnsi="宋体"/>
        </w:rPr>
        <w:t>（</w:t>
      </w:r>
      <w:r>
        <w:rPr>
          <w:rFonts w:ascii="宋体" w:hAnsi="宋体"/>
        </w:rPr>
        <w:t>5）动设备单机试车合格；</w:t>
      </w:r>
    </w:p>
    <w:p w14:paraId="6842C2C6">
      <w:pPr>
        <w:snapToGrid w:val="0"/>
        <w:ind w:left="41" w:leftChars="17" w:firstLine="480" w:firstLineChars="200"/>
        <w:rPr>
          <w:rFonts w:ascii="宋体" w:hAnsi="宋体"/>
        </w:rPr>
      </w:pPr>
      <w:r>
        <w:rPr>
          <w:rFonts w:hint="eastAsia" w:ascii="宋体" w:hAnsi="宋体"/>
        </w:rPr>
        <w:t>（</w:t>
      </w:r>
      <w:r>
        <w:rPr>
          <w:rFonts w:ascii="宋体" w:hAnsi="宋体"/>
        </w:rPr>
        <w:t>6）装置电气、仪表、计算机、防毒防火防爆等系统调试联校合格；</w:t>
      </w:r>
    </w:p>
    <w:p w14:paraId="4DCA6637">
      <w:pPr>
        <w:ind w:left="41" w:leftChars="17" w:firstLine="480" w:firstLineChars="200"/>
        <w:rPr>
          <w:rFonts w:ascii="宋体" w:hAnsi="宋体"/>
        </w:rPr>
      </w:pPr>
      <w:r>
        <w:rPr>
          <w:rFonts w:hint="eastAsia" w:ascii="宋体" w:hAnsi="宋体"/>
        </w:rPr>
        <w:t>（</w:t>
      </w:r>
      <w:r>
        <w:rPr>
          <w:rFonts w:ascii="宋体" w:hAnsi="宋体"/>
        </w:rPr>
        <w:t>7）干燥、置换已完成；</w:t>
      </w:r>
    </w:p>
    <w:p w14:paraId="738A5B11">
      <w:pPr>
        <w:snapToGrid w:val="0"/>
        <w:ind w:left="41" w:leftChars="17" w:firstLine="480" w:firstLineChars="200"/>
        <w:rPr>
          <w:rFonts w:ascii="宋体" w:hAnsi="宋体"/>
        </w:rPr>
      </w:pPr>
      <w:r>
        <w:rPr>
          <w:rFonts w:hint="eastAsia" w:ascii="宋体" w:hAnsi="宋体"/>
        </w:rPr>
        <w:t>（</w:t>
      </w:r>
      <w:r>
        <w:rPr>
          <w:rFonts w:ascii="宋体" w:hAnsi="宋体"/>
        </w:rPr>
        <w:t>8）“三查四定”（三查是指“查设计漏项、查工程质量及隐患、查未完工程量”，四定是指“定任务、定人员、定措施、定时间”）项目及设计变更已处理完成，其他未完施工尾项责任、完成时间已明确。</w:t>
      </w:r>
    </w:p>
    <w:p w14:paraId="7C1B3642">
      <w:pPr>
        <w:snapToGrid w:val="0"/>
        <w:ind w:left="41" w:leftChars="17" w:firstLine="480" w:firstLineChars="200"/>
        <w:rPr>
          <w:rFonts w:ascii="宋体" w:hAnsi="宋体"/>
        </w:rPr>
      </w:pPr>
      <w:r>
        <w:rPr>
          <w:rFonts w:hint="eastAsia" w:ascii="宋体" w:hAnsi="宋体"/>
        </w:rPr>
        <w:t>（</w:t>
      </w:r>
      <w:r>
        <w:rPr>
          <w:rFonts w:ascii="宋体" w:hAnsi="宋体"/>
        </w:rPr>
        <w:t>9）备品备件齐全；</w:t>
      </w:r>
    </w:p>
    <w:p w14:paraId="727F88DB">
      <w:pPr>
        <w:snapToGrid w:val="0"/>
        <w:ind w:left="41" w:leftChars="17" w:firstLine="480" w:firstLineChars="200"/>
        <w:rPr>
          <w:rFonts w:ascii="宋体" w:hAnsi="宋体"/>
        </w:rPr>
      </w:pPr>
      <w:r>
        <w:rPr>
          <w:rFonts w:hint="eastAsia" w:ascii="宋体" w:hAnsi="宋体"/>
        </w:rPr>
        <w:t>（</w:t>
      </w:r>
      <w:r>
        <w:rPr>
          <w:rFonts w:ascii="宋体" w:hAnsi="宋体"/>
        </w:rPr>
        <w:t>10）安全、消防、急救系统已完善；</w:t>
      </w:r>
    </w:p>
    <w:p w14:paraId="3A9AE991">
      <w:pPr>
        <w:snapToGrid w:val="0"/>
        <w:ind w:left="41" w:leftChars="17" w:firstLine="480" w:firstLineChars="200"/>
        <w:rPr>
          <w:rFonts w:ascii="宋体" w:hAnsi="宋体"/>
        </w:rPr>
      </w:pPr>
      <w:r>
        <w:rPr>
          <w:rFonts w:hint="eastAsia" w:ascii="宋体" w:hAnsi="宋体"/>
        </w:rPr>
        <w:t>（</w:t>
      </w:r>
      <w:r>
        <w:rPr>
          <w:rFonts w:ascii="宋体" w:hAnsi="宋体"/>
        </w:rPr>
        <w:t>11）投产试运行方案已批准。</w:t>
      </w:r>
    </w:p>
    <w:p w14:paraId="50898114">
      <w:pPr>
        <w:snapToGrid w:val="0"/>
        <w:ind w:left="41" w:leftChars="17" w:firstLine="480" w:firstLineChars="200"/>
        <w:rPr>
          <w:rFonts w:ascii="宋体" w:hAnsi="宋体"/>
        </w:rPr>
      </w:pPr>
      <w:r>
        <w:rPr>
          <w:rFonts w:hint="eastAsia" w:ascii="宋体" w:hAnsi="宋体"/>
        </w:rPr>
        <w:t>本工程及其他相关工程均具备以上条件后，一并进行投产试运行。</w:t>
      </w:r>
    </w:p>
    <w:p w14:paraId="04840607">
      <w:pPr>
        <w:snapToGrid w:val="0"/>
        <w:ind w:left="41" w:leftChars="17" w:firstLine="480" w:firstLineChars="200"/>
        <w:rPr>
          <w:rFonts w:ascii="宋体" w:hAnsi="宋体"/>
        </w:rPr>
      </w:pPr>
      <w:r>
        <w:rPr>
          <w:rFonts w:ascii="宋体" w:hAnsi="宋体"/>
        </w:rPr>
        <w:t>13.2.2投产试运行应在消除了缺陷后由发包人（生产单位）负责。投产试运行时承包人必须密切配合，派遣熟悉工程有经验的人员协助进行投产试运行工作。</w:t>
      </w:r>
    </w:p>
    <w:p w14:paraId="18FBCDC6">
      <w:pPr>
        <w:snapToGrid w:val="0"/>
        <w:ind w:left="41" w:leftChars="17" w:firstLine="480" w:firstLineChars="200"/>
        <w:rPr>
          <w:rFonts w:ascii="宋体" w:hAnsi="宋体"/>
        </w:rPr>
      </w:pPr>
      <w:r>
        <w:rPr>
          <w:rFonts w:ascii="宋体" w:hAnsi="宋体"/>
        </w:rPr>
        <w:t>13.2.3工程投产达满负荷或高负荷持续稳定运行一段时间后，发包人应组织承包人、监理人等开展生产考核工作，对工程设计的运行能力、工艺指标、设备性能、自控水平、消耗指标及环保指标等数据实施测量、采集并与设计值进行对比、分析与评价。</w:t>
      </w:r>
    </w:p>
    <w:p w14:paraId="44D26AF2">
      <w:pPr>
        <w:snapToGrid w:val="0"/>
        <w:ind w:left="41" w:leftChars="17" w:firstLine="480" w:firstLineChars="200"/>
        <w:rPr>
          <w:rFonts w:ascii="宋体" w:hAnsi="宋体"/>
        </w:rPr>
      </w:pPr>
      <w:r>
        <w:rPr>
          <w:rFonts w:ascii="宋体" w:hAnsi="宋体"/>
        </w:rPr>
        <w:t>13.2.4生产考核过程中的考核记录由承包人、监理人和发包人（生产单位）共同签署确认。</w:t>
      </w:r>
    </w:p>
    <w:p w14:paraId="4D2577FF">
      <w:pPr>
        <w:snapToGrid w:val="0"/>
        <w:ind w:left="41" w:leftChars="17" w:firstLine="480" w:firstLineChars="200"/>
        <w:rPr>
          <w:rFonts w:ascii="宋体" w:hAnsi="宋体"/>
        </w:rPr>
      </w:pPr>
      <w:r>
        <w:rPr>
          <w:rFonts w:ascii="宋体" w:hAnsi="宋体"/>
        </w:rPr>
        <w:t>13.2.5考核结束后，承包人应对考核的原始记录进行整理、归纳、分析，发包人组织编写生产考核报告，考核报告由承包人、监理人和发包人（生产单位）共同签署。</w:t>
      </w:r>
    </w:p>
    <w:p w14:paraId="54FAA5F0">
      <w:pPr>
        <w:snapToGrid w:val="0"/>
        <w:ind w:left="41" w:leftChars="17" w:firstLine="480" w:firstLineChars="200"/>
        <w:rPr>
          <w:rFonts w:ascii="宋体" w:hAnsi="宋体"/>
        </w:rPr>
      </w:pPr>
      <w:r>
        <w:rPr>
          <w:rFonts w:ascii="宋体" w:hAnsi="宋体"/>
        </w:rPr>
        <w:t>13.2.6投产试运行的其他规定见专用合同条款。</w:t>
      </w:r>
    </w:p>
    <w:p w14:paraId="0ECAF70A">
      <w:pPr>
        <w:adjustRightInd w:val="0"/>
        <w:snapToGrid w:val="0"/>
        <w:ind w:left="41" w:leftChars="17" w:firstLine="482" w:firstLineChars="200"/>
        <w:rPr>
          <w:rFonts w:ascii="宋体" w:hAnsi="宋体"/>
          <w:b/>
        </w:rPr>
      </w:pPr>
      <w:r>
        <w:rPr>
          <w:rFonts w:ascii="宋体" w:hAnsi="宋体"/>
          <w:b/>
        </w:rPr>
        <w:t xml:space="preserve">13.3 </w:t>
      </w:r>
      <w:r>
        <w:rPr>
          <w:rFonts w:hint="eastAsia" w:ascii="宋体" w:hAnsi="宋体"/>
          <w:b/>
        </w:rPr>
        <w:t>工程试车双方责任</w:t>
      </w:r>
    </w:p>
    <w:p w14:paraId="32DADA6D">
      <w:pPr>
        <w:snapToGrid w:val="0"/>
        <w:ind w:left="41" w:leftChars="17" w:firstLine="480" w:firstLineChars="200"/>
        <w:rPr>
          <w:rFonts w:ascii="宋体" w:hAnsi="宋体"/>
        </w:rPr>
      </w:pPr>
      <w:r>
        <w:rPr>
          <w:rFonts w:hint="eastAsia" w:ascii="宋体" w:hAnsi="宋体"/>
        </w:rPr>
        <w:t>（</w:t>
      </w:r>
      <w:r>
        <w:rPr>
          <w:rFonts w:ascii="宋体" w:hAnsi="宋体"/>
        </w:rPr>
        <w:t>1）工程投产试运行前，发包人应向政府行政主管部门办理消防验收、防雷设施验收、试运行方案备案、试运行申请等相关手续。</w:t>
      </w:r>
    </w:p>
    <w:p w14:paraId="62222C05">
      <w:pPr>
        <w:snapToGrid w:val="0"/>
        <w:ind w:left="41" w:leftChars="17" w:firstLine="480" w:firstLineChars="200"/>
        <w:rPr>
          <w:rFonts w:ascii="宋体" w:hAnsi="宋体"/>
        </w:rPr>
      </w:pPr>
      <w:r>
        <w:rPr>
          <w:rFonts w:hint="eastAsia" w:ascii="宋体" w:hAnsi="宋体"/>
        </w:rPr>
        <w:t>（</w:t>
      </w:r>
      <w:r>
        <w:rPr>
          <w:rFonts w:ascii="宋体" w:hAnsi="宋体"/>
        </w:rPr>
        <w:t>2）特种设备投入使用前或者投入使用后30天内，应向特种设备安全监督管理部门办理登记手续。</w:t>
      </w:r>
    </w:p>
    <w:p w14:paraId="33F18217">
      <w:pPr>
        <w:adjustRightInd w:val="0"/>
        <w:snapToGrid w:val="0"/>
        <w:ind w:left="41" w:leftChars="17" w:firstLine="480" w:firstLineChars="200"/>
        <w:rPr>
          <w:rFonts w:ascii="宋体" w:hAnsi="宋体"/>
        </w:rPr>
      </w:pPr>
      <w:r>
        <w:rPr>
          <w:rFonts w:hint="eastAsia" w:ascii="宋体" w:hAnsi="宋体"/>
        </w:rPr>
        <w:t>（</w:t>
      </w:r>
      <w:r>
        <w:rPr>
          <w:rFonts w:ascii="宋体" w:hAnsi="宋体"/>
        </w:rPr>
        <w:t>3）由于设计原因试车或试运行达不到验收要求，发包人安排修改设计，承包人按修改后的设计重新施工，工期相应顺延，费用由发包人承担。</w:t>
      </w:r>
    </w:p>
    <w:p w14:paraId="62D2DF20">
      <w:pPr>
        <w:snapToGrid w:val="0"/>
        <w:ind w:left="41" w:leftChars="17" w:firstLine="480" w:firstLineChars="200"/>
        <w:rPr>
          <w:rFonts w:ascii="宋体" w:hAnsi="宋体"/>
        </w:rPr>
      </w:pPr>
      <w:r>
        <w:rPr>
          <w:rFonts w:hint="eastAsia" w:ascii="宋体" w:hAnsi="宋体"/>
        </w:rPr>
        <w:t>（</w:t>
      </w:r>
      <w:r>
        <w:rPr>
          <w:rFonts w:ascii="宋体" w:hAnsi="宋体"/>
        </w:rPr>
        <w:t>4）由于设备制造原因试车及试运行达不到验收要求，由该设备采购一方负责重新</w:t>
      </w:r>
      <w:r>
        <w:rPr>
          <w:rFonts w:hint="eastAsia" w:ascii="宋体" w:hAnsi="宋体"/>
        </w:rPr>
        <w:t>采</w:t>
      </w:r>
      <w:r>
        <w:rPr>
          <w:rFonts w:ascii="宋体" w:hAnsi="宋体"/>
        </w:rPr>
        <w:t>购或修理，承包人负责拆除和重新安装。设备由承包人采购的，由承包人承担修理或重新</w:t>
      </w:r>
      <w:r>
        <w:rPr>
          <w:rFonts w:hint="eastAsia" w:ascii="宋体" w:hAnsi="宋体"/>
        </w:rPr>
        <w:t>采</w:t>
      </w:r>
      <w:r>
        <w:rPr>
          <w:rFonts w:ascii="宋体" w:hAnsi="宋体"/>
        </w:rPr>
        <w:t>购、拆除及重新安装的费用，工期不予顺延；设备由发包人采购的，由此增加的费用和（或）延误的工期</w:t>
      </w:r>
      <w:r>
        <w:rPr>
          <w:rFonts w:hint="eastAsia" w:ascii="宋体" w:hAnsi="宋体"/>
        </w:rPr>
        <w:t>按照合同相关规定执行。</w:t>
      </w:r>
    </w:p>
    <w:p w14:paraId="4D3EEF97">
      <w:pPr>
        <w:snapToGrid w:val="0"/>
        <w:ind w:left="41" w:leftChars="17" w:firstLine="480" w:firstLineChars="200"/>
        <w:rPr>
          <w:rFonts w:ascii="宋体" w:hAnsi="宋体"/>
        </w:rPr>
      </w:pPr>
      <w:r>
        <w:rPr>
          <w:rFonts w:hint="eastAsia" w:ascii="宋体" w:hAnsi="宋体"/>
        </w:rPr>
        <w:t>（</w:t>
      </w:r>
      <w:r>
        <w:rPr>
          <w:rFonts w:ascii="宋体" w:hAnsi="宋体"/>
        </w:rPr>
        <w:t>5）由于材料原因试车及试运行达不到验收要求，该</w:t>
      </w:r>
      <w:r>
        <w:rPr>
          <w:rFonts w:hint="eastAsia" w:ascii="宋体" w:hAnsi="宋体"/>
        </w:rPr>
        <w:t>材料由发包人（生产单位）</w:t>
      </w:r>
      <w:r>
        <w:rPr>
          <w:rFonts w:ascii="宋体" w:hAnsi="宋体"/>
        </w:rPr>
        <w:t>采购</w:t>
      </w:r>
      <w:r>
        <w:rPr>
          <w:rFonts w:hint="eastAsia" w:ascii="宋体" w:hAnsi="宋体"/>
        </w:rPr>
        <w:t>的，由发包人（生产单位）</w:t>
      </w:r>
      <w:r>
        <w:rPr>
          <w:rFonts w:ascii="宋体" w:hAnsi="宋体"/>
        </w:rPr>
        <w:t>负责</w:t>
      </w:r>
      <w:r>
        <w:rPr>
          <w:rFonts w:hint="eastAsia" w:ascii="宋体" w:hAnsi="宋体"/>
        </w:rPr>
        <w:t>重新采购或修理</w:t>
      </w:r>
      <w:r>
        <w:rPr>
          <w:rFonts w:ascii="宋体" w:hAnsi="宋体"/>
        </w:rPr>
        <w:t>，承包人负责拆除和重新安装</w:t>
      </w:r>
      <w:r>
        <w:rPr>
          <w:rFonts w:hint="eastAsia" w:ascii="宋体" w:hAnsi="宋体"/>
        </w:rPr>
        <w:t>，</w:t>
      </w:r>
      <w:r>
        <w:rPr>
          <w:rFonts w:ascii="宋体" w:hAnsi="宋体"/>
        </w:rPr>
        <w:t>由此增加的费用和（或）延误的工期</w:t>
      </w:r>
      <w:r>
        <w:rPr>
          <w:rFonts w:hint="eastAsia" w:ascii="宋体" w:hAnsi="宋体"/>
        </w:rPr>
        <w:t>按照合同相关规定执行。该材料</w:t>
      </w:r>
      <w:r>
        <w:rPr>
          <w:rFonts w:ascii="宋体" w:hAnsi="宋体"/>
        </w:rPr>
        <w:t>由承包人采购的，由承包人承担修理或重新</w:t>
      </w:r>
      <w:r>
        <w:rPr>
          <w:rFonts w:hint="eastAsia" w:ascii="宋体" w:hAnsi="宋体"/>
        </w:rPr>
        <w:t>采购</w:t>
      </w:r>
      <w:r>
        <w:rPr>
          <w:rFonts w:ascii="宋体" w:hAnsi="宋体"/>
        </w:rPr>
        <w:t>、拆除及重新安装的费用，工期不予顺延</w:t>
      </w:r>
      <w:r>
        <w:rPr>
          <w:rFonts w:hint="eastAsia" w:ascii="宋体" w:hAnsi="宋体"/>
        </w:rPr>
        <w:t>。</w:t>
      </w:r>
    </w:p>
    <w:p w14:paraId="53782B65">
      <w:pPr>
        <w:snapToGrid w:val="0"/>
        <w:ind w:left="41" w:leftChars="17" w:firstLine="480" w:firstLineChars="200"/>
        <w:rPr>
          <w:rFonts w:ascii="宋体" w:hAnsi="宋体"/>
        </w:rPr>
      </w:pPr>
      <w:r>
        <w:rPr>
          <w:rFonts w:hint="eastAsia" w:ascii="宋体" w:hAnsi="宋体"/>
        </w:rPr>
        <w:t>（</w:t>
      </w:r>
      <w:r>
        <w:rPr>
          <w:rFonts w:ascii="宋体" w:hAnsi="宋体"/>
        </w:rPr>
        <w:t>6）由于承包人施工原因试车及试运行达不到验收要求，承包人按发包人要求重新安装和试车及试运行，并承担重新安装和试车及试运行的全部费用，工期不予顺延。</w:t>
      </w:r>
    </w:p>
    <w:p w14:paraId="094A83E2">
      <w:pPr>
        <w:snapToGrid w:val="0"/>
        <w:ind w:left="41" w:leftChars="17" w:firstLine="480" w:firstLineChars="200"/>
        <w:rPr>
          <w:rFonts w:ascii="宋体" w:hAnsi="宋体"/>
        </w:rPr>
      </w:pPr>
      <w:r>
        <w:rPr>
          <w:rFonts w:hint="eastAsia" w:ascii="宋体" w:hAnsi="宋体"/>
        </w:rPr>
        <w:t>（</w:t>
      </w:r>
      <w:r>
        <w:rPr>
          <w:rFonts w:ascii="宋体" w:hAnsi="宋体"/>
        </w:rPr>
        <w:t>7）试车及试运行合格后，发包人人员不在试车及试运行记录上签字，试车及试运行结束24</w:t>
      </w:r>
      <w:r>
        <w:rPr>
          <w:rFonts w:hint="eastAsia" w:ascii="宋体" w:hAnsi="宋体"/>
        </w:rPr>
        <w:t>小时后，视为发包人已经认可试车及试运行记录，承包人可继续施工或办理交工验收手续。</w:t>
      </w:r>
    </w:p>
    <w:p w14:paraId="1FC6D6D7">
      <w:pPr>
        <w:adjustRightInd w:val="0"/>
        <w:snapToGrid w:val="0"/>
        <w:ind w:left="41" w:leftChars="17" w:firstLine="482" w:firstLineChars="200"/>
        <w:rPr>
          <w:rFonts w:ascii="宋体" w:hAnsi="宋体"/>
          <w:b/>
        </w:rPr>
      </w:pPr>
      <w:r>
        <w:rPr>
          <w:rFonts w:ascii="宋体" w:hAnsi="宋体"/>
          <w:b/>
        </w:rPr>
        <w:t>13.4交工验收</w:t>
      </w:r>
    </w:p>
    <w:p w14:paraId="2465B264">
      <w:pPr>
        <w:adjustRightInd w:val="0"/>
        <w:snapToGrid w:val="0"/>
        <w:ind w:left="41" w:leftChars="17" w:firstLine="480" w:firstLineChars="200"/>
        <w:rPr>
          <w:rFonts w:ascii="宋体" w:hAnsi="宋体"/>
        </w:rPr>
      </w:pPr>
      <w:r>
        <w:rPr>
          <w:rFonts w:ascii="宋体" w:hAnsi="宋体"/>
        </w:rPr>
        <w:t xml:space="preserve">13.4.1工程项目交工验收应符合下列规定： </w:t>
      </w:r>
    </w:p>
    <w:p w14:paraId="2C05C2CE">
      <w:pPr>
        <w:snapToGrid w:val="0"/>
        <w:ind w:left="41" w:leftChars="17" w:firstLine="480" w:firstLineChars="200"/>
        <w:rPr>
          <w:rFonts w:ascii="宋体" w:hAnsi="宋体"/>
        </w:rPr>
      </w:pPr>
      <w:r>
        <w:rPr>
          <w:rFonts w:hint="eastAsia" w:ascii="宋体" w:hAnsi="宋体"/>
        </w:rPr>
        <w:t>（</w:t>
      </w:r>
      <w:r>
        <w:rPr>
          <w:rFonts w:ascii="宋体" w:hAnsi="宋体"/>
        </w:rPr>
        <w:t xml:space="preserve">1）全部工程内容已按工程合同完成，验收合格； </w:t>
      </w:r>
    </w:p>
    <w:p w14:paraId="2C14F6AA">
      <w:pPr>
        <w:snapToGrid w:val="0"/>
        <w:ind w:left="41" w:leftChars="17" w:firstLine="480" w:firstLineChars="200"/>
        <w:rPr>
          <w:rFonts w:ascii="宋体" w:hAnsi="宋体"/>
        </w:rPr>
      </w:pPr>
      <w:r>
        <w:rPr>
          <w:rFonts w:hint="eastAsia" w:ascii="宋体" w:hAnsi="宋体"/>
        </w:rPr>
        <w:t>（</w:t>
      </w:r>
      <w:r>
        <w:rPr>
          <w:rFonts w:ascii="宋体" w:hAnsi="宋体"/>
        </w:rPr>
        <w:t>2）按照国家、</w:t>
      </w:r>
      <w:r>
        <w:rPr>
          <w:rFonts w:hint="eastAsia" w:ascii="宋体" w:hAnsi="宋体"/>
        </w:rPr>
        <w:t>相关</w:t>
      </w:r>
      <w:r>
        <w:rPr>
          <w:rFonts w:ascii="宋体" w:hAnsi="宋体"/>
        </w:rPr>
        <w:t xml:space="preserve">行业规定及工程合同约定向发包人移交交工技术文件； </w:t>
      </w:r>
    </w:p>
    <w:p w14:paraId="7A978122">
      <w:pPr>
        <w:snapToGrid w:val="0"/>
        <w:ind w:left="41" w:leftChars="17" w:firstLine="480" w:firstLineChars="200"/>
        <w:rPr>
          <w:rFonts w:ascii="宋体" w:hAnsi="宋体"/>
        </w:rPr>
      </w:pPr>
      <w:r>
        <w:rPr>
          <w:rFonts w:hint="eastAsia" w:ascii="宋体" w:hAnsi="宋体"/>
        </w:rPr>
        <w:t>（</w:t>
      </w:r>
      <w:r>
        <w:rPr>
          <w:rFonts w:ascii="宋体" w:hAnsi="宋体"/>
        </w:rPr>
        <w:t xml:space="preserve">3）工程质量保修书已出具； </w:t>
      </w:r>
    </w:p>
    <w:p w14:paraId="6E54C92C">
      <w:pPr>
        <w:snapToGrid w:val="0"/>
        <w:ind w:left="41" w:leftChars="17" w:firstLine="480" w:firstLineChars="200"/>
        <w:rPr>
          <w:rFonts w:ascii="宋体" w:hAnsi="宋体"/>
        </w:rPr>
      </w:pPr>
      <w:r>
        <w:rPr>
          <w:rFonts w:hint="eastAsia" w:ascii="宋体" w:hAnsi="宋体"/>
        </w:rPr>
        <w:t>（</w:t>
      </w:r>
      <w:r>
        <w:rPr>
          <w:rFonts w:ascii="宋体" w:hAnsi="宋体"/>
        </w:rPr>
        <w:t xml:space="preserve">4）工程交工验收申请已向发包人提交； </w:t>
      </w:r>
    </w:p>
    <w:p w14:paraId="5CF7CA89">
      <w:pPr>
        <w:snapToGrid w:val="0"/>
        <w:ind w:left="41" w:leftChars="17" w:firstLine="480" w:firstLineChars="200"/>
        <w:rPr>
          <w:rFonts w:ascii="宋体" w:hAnsi="宋体"/>
        </w:rPr>
      </w:pPr>
      <w:r>
        <w:rPr>
          <w:rFonts w:hint="eastAsia" w:ascii="宋体" w:hAnsi="宋体"/>
        </w:rPr>
        <w:t>（</w:t>
      </w:r>
      <w:r>
        <w:rPr>
          <w:rFonts w:ascii="宋体" w:hAnsi="宋体"/>
        </w:rPr>
        <w:t>5）工程已通过生产考核。</w:t>
      </w:r>
    </w:p>
    <w:p w14:paraId="25BF169B">
      <w:pPr>
        <w:adjustRightInd w:val="0"/>
        <w:snapToGrid w:val="0"/>
        <w:ind w:left="41" w:leftChars="17" w:firstLine="480" w:firstLineChars="200"/>
        <w:rPr>
          <w:rFonts w:ascii="宋体" w:hAnsi="宋体"/>
        </w:rPr>
      </w:pPr>
      <w:r>
        <w:rPr>
          <w:rFonts w:ascii="宋体" w:hAnsi="宋体"/>
        </w:rPr>
        <w:t>13.4.2承包人按照国家、</w:t>
      </w:r>
      <w:r>
        <w:rPr>
          <w:rFonts w:hint="eastAsia" w:ascii="宋体" w:hAnsi="宋体"/>
        </w:rPr>
        <w:t>相关</w:t>
      </w:r>
      <w:r>
        <w:rPr>
          <w:rFonts w:ascii="宋体" w:hAnsi="宋体"/>
        </w:rPr>
        <w:t xml:space="preserve">行业规定向发包人移交交工技术文件，并提交验收申请。 </w:t>
      </w:r>
    </w:p>
    <w:p w14:paraId="2E9F3908">
      <w:pPr>
        <w:adjustRightInd w:val="0"/>
        <w:snapToGrid w:val="0"/>
        <w:ind w:left="41" w:leftChars="17" w:firstLine="480" w:firstLineChars="200"/>
        <w:rPr>
          <w:rFonts w:ascii="宋体" w:hAnsi="宋体"/>
        </w:rPr>
      </w:pPr>
      <w:r>
        <w:rPr>
          <w:rFonts w:ascii="宋体" w:hAnsi="宋体"/>
        </w:rPr>
        <w:t xml:space="preserve">13.4.3 在一个总体建设项目中包含多个单项工程的，每个单项工程应单独办理交工验收。 </w:t>
      </w:r>
    </w:p>
    <w:p w14:paraId="5AF6B50B">
      <w:pPr>
        <w:adjustRightInd w:val="0"/>
        <w:snapToGrid w:val="0"/>
        <w:ind w:left="41" w:leftChars="17" w:firstLine="480" w:firstLineChars="200"/>
        <w:rPr>
          <w:rFonts w:ascii="宋体" w:hAnsi="宋体"/>
        </w:rPr>
      </w:pPr>
      <w:r>
        <w:rPr>
          <w:rFonts w:ascii="宋体" w:hAnsi="宋体"/>
        </w:rPr>
        <w:t xml:space="preserve">13.4.4发包人在受理承包人提交的交工验收申请后，应在规定期间内组织发包人（生产单位）、承包人、设计、施工、监理及有关单位对工程项目进行检查、验收。 </w:t>
      </w:r>
    </w:p>
    <w:p w14:paraId="7A1433A4">
      <w:pPr>
        <w:adjustRightInd w:val="0"/>
        <w:snapToGrid w:val="0"/>
        <w:ind w:left="41" w:leftChars="17" w:firstLine="480" w:firstLineChars="200"/>
        <w:rPr>
          <w:rFonts w:ascii="宋体" w:hAnsi="宋体"/>
        </w:rPr>
      </w:pPr>
      <w:r>
        <w:rPr>
          <w:rFonts w:ascii="宋体" w:hAnsi="宋体"/>
        </w:rPr>
        <w:t xml:space="preserve">13.4.5交工验收后应办理工程交工验收手续，各方签署“工程交工证书”。 </w:t>
      </w:r>
    </w:p>
    <w:p w14:paraId="5A25FE49">
      <w:pPr>
        <w:adjustRightInd w:val="0"/>
        <w:snapToGrid w:val="0"/>
        <w:ind w:left="41" w:leftChars="17" w:firstLine="480" w:firstLineChars="200"/>
        <w:rPr>
          <w:rFonts w:ascii="宋体" w:hAnsi="宋体"/>
        </w:rPr>
      </w:pPr>
      <w:r>
        <w:rPr>
          <w:rFonts w:ascii="宋体" w:hAnsi="宋体"/>
        </w:rPr>
        <w:t xml:space="preserve">13.4.6 自签署“工程交工证书”之日，承包人开始履行保修责任。 </w:t>
      </w:r>
    </w:p>
    <w:p w14:paraId="1B1B9531">
      <w:pPr>
        <w:adjustRightInd w:val="0"/>
        <w:snapToGrid w:val="0"/>
        <w:ind w:left="41" w:leftChars="17" w:firstLine="480" w:firstLineChars="200"/>
        <w:rPr>
          <w:rFonts w:ascii="宋体" w:hAnsi="宋体"/>
        </w:rPr>
      </w:pPr>
      <w:r>
        <w:rPr>
          <w:rFonts w:ascii="宋体" w:hAnsi="宋体"/>
        </w:rPr>
        <w:t xml:space="preserve">13.4.7 </w:t>
      </w:r>
      <w:r>
        <w:rPr>
          <w:rFonts w:hint="eastAsia" w:ascii="宋体" w:hAnsi="宋体"/>
        </w:rPr>
        <w:t>交工验收其他规定见专用合同条款。</w:t>
      </w:r>
    </w:p>
    <w:p w14:paraId="656DE0CD">
      <w:pPr>
        <w:adjustRightInd w:val="0"/>
        <w:snapToGrid w:val="0"/>
        <w:ind w:left="41" w:leftChars="17" w:firstLine="482" w:firstLineChars="200"/>
        <w:rPr>
          <w:rFonts w:ascii="宋体" w:hAnsi="宋体"/>
          <w:b/>
        </w:rPr>
      </w:pPr>
      <w:r>
        <w:rPr>
          <w:rFonts w:ascii="宋体" w:hAnsi="宋体"/>
          <w:b/>
        </w:rPr>
        <w:t xml:space="preserve">13.5 </w:t>
      </w:r>
      <w:r>
        <w:rPr>
          <w:rFonts w:hint="eastAsia" w:ascii="宋体" w:hAnsi="宋体"/>
          <w:b/>
        </w:rPr>
        <w:t>竣工验收</w:t>
      </w:r>
    </w:p>
    <w:p w14:paraId="4CE411E5">
      <w:pPr>
        <w:adjustRightInd w:val="0"/>
        <w:snapToGrid w:val="0"/>
        <w:ind w:left="41" w:leftChars="17" w:firstLine="480" w:firstLineChars="200"/>
        <w:rPr>
          <w:rFonts w:ascii="宋体" w:hAnsi="宋体"/>
        </w:rPr>
      </w:pPr>
      <w:r>
        <w:rPr>
          <w:rFonts w:ascii="宋体" w:hAnsi="宋体"/>
        </w:rPr>
        <w:t xml:space="preserve">13.5.1 当本工程是新建整体产能建设项目的一部分，且新建整体产能建设项目按规定要求进行竣工验收工作时，承包人需按照相关规定和发包人的要求参与新建整体产能建设项目的竣工验收工作。 </w:t>
      </w:r>
    </w:p>
    <w:p w14:paraId="372492FB">
      <w:pPr>
        <w:adjustRightInd w:val="0"/>
        <w:snapToGrid w:val="0"/>
        <w:ind w:left="41" w:leftChars="17" w:firstLine="480" w:firstLineChars="200"/>
        <w:rPr>
          <w:rFonts w:ascii="宋体" w:hAnsi="宋体"/>
        </w:rPr>
      </w:pPr>
      <w:r>
        <w:rPr>
          <w:rFonts w:ascii="宋体" w:hAnsi="宋体"/>
        </w:rPr>
        <w:t>13.5.2竣工验收的其他规定见专用合同条款。</w:t>
      </w:r>
    </w:p>
    <w:bookmarkEnd w:id="668"/>
    <w:bookmarkEnd w:id="669"/>
    <w:bookmarkEnd w:id="670"/>
    <w:bookmarkEnd w:id="671"/>
    <w:p w14:paraId="7CCDFCBC">
      <w:pPr>
        <w:adjustRightInd w:val="0"/>
        <w:snapToGrid w:val="0"/>
        <w:ind w:left="41" w:leftChars="17" w:firstLine="482" w:firstLineChars="200"/>
        <w:rPr>
          <w:rFonts w:ascii="宋体" w:hAnsi="宋体"/>
          <w:b/>
        </w:rPr>
      </w:pPr>
      <w:r>
        <w:rPr>
          <w:rFonts w:ascii="宋体" w:hAnsi="宋体"/>
          <w:b/>
        </w:rPr>
        <w:t>13.7交工清场</w:t>
      </w:r>
    </w:p>
    <w:p w14:paraId="440AF096">
      <w:pPr>
        <w:adjustRightInd w:val="0"/>
        <w:snapToGrid w:val="0"/>
        <w:ind w:left="41" w:leftChars="17" w:firstLine="480" w:firstLineChars="200"/>
        <w:rPr>
          <w:rFonts w:ascii="宋体" w:hAnsi="宋体"/>
        </w:rPr>
      </w:pPr>
      <w:r>
        <w:rPr>
          <w:rFonts w:ascii="宋体" w:hAnsi="宋体"/>
        </w:rPr>
        <w:t>13.7.1</w:t>
      </w:r>
      <w:r>
        <w:rPr>
          <w:rFonts w:hint="eastAsia" w:ascii="宋体" w:hAnsi="宋体"/>
        </w:rPr>
        <w:t>工程交工证书颁发后，承包人应按以下要求对施工场地进行清理，直至监理人检验合格为止。清场费用由承包人承担。</w:t>
      </w:r>
    </w:p>
    <w:p w14:paraId="3B741384">
      <w:pPr>
        <w:adjustRightInd w:val="0"/>
        <w:snapToGrid w:val="0"/>
        <w:ind w:left="41" w:leftChars="17" w:firstLine="480" w:firstLineChars="200"/>
        <w:rPr>
          <w:rFonts w:ascii="宋体" w:hAnsi="宋体"/>
        </w:rPr>
      </w:pPr>
      <w:r>
        <w:rPr>
          <w:rFonts w:hint="eastAsia" w:ascii="宋体" w:hAnsi="宋体"/>
        </w:rPr>
        <w:t>（</w:t>
      </w:r>
      <w:r>
        <w:rPr>
          <w:rFonts w:ascii="宋体" w:hAnsi="宋体"/>
        </w:rPr>
        <w:t>1</w:t>
      </w:r>
      <w:r>
        <w:rPr>
          <w:rFonts w:hint="eastAsia" w:ascii="宋体" w:hAnsi="宋体"/>
        </w:rPr>
        <w:t>）施工场地内残留的垃圾已全部清除出场；</w:t>
      </w:r>
    </w:p>
    <w:p w14:paraId="1F2E0D6B">
      <w:pPr>
        <w:adjustRightInd w:val="0"/>
        <w:snapToGrid w:val="0"/>
        <w:ind w:left="41" w:leftChars="17" w:firstLine="480" w:firstLineChars="200"/>
        <w:rPr>
          <w:rFonts w:ascii="宋体" w:hAnsi="宋体"/>
        </w:rPr>
      </w:pPr>
      <w:r>
        <w:rPr>
          <w:rFonts w:hint="eastAsia" w:ascii="宋体" w:hAnsi="宋体"/>
        </w:rPr>
        <w:t>（</w:t>
      </w:r>
      <w:r>
        <w:rPr>
          <w:rFonts w:ascii="宋体" w:hAnsi="宋体"/>
        </w:rPr>
        <w:t>2</w:t>
      </w:r>
      <w:r>
        <w:rPr>
          <w:rFonts w:hint="eastAsia" w:ascii="宋体" w:hAnsi="宋体"/>
        </w:rPr>
        <w:t>）临时工程已拆除，场地已按合同要求进行清理、平整或复原；</w:t>
      </w:r>
    </w:p>
    <w:p w14:paraId="17BAE6B3">
      <w:pPr>
        <w:adjustRightInd w:val="0"/>
        <w:snapToGrid w:val="0"/>
        <w:ind w:left="41" w:leftChars="17" w:firstLine="480" w:firstLineChars="200"/>
        <w:rPr>
          <w:rFonts w:ascii="宋体" w:hAnsi="宋体"/>
        </w:rPr>
      </w:pPr>
      <w:r>
        <w:rPr>
          <w:rFonts w:hint="eastAsia" w:ascii="宋体" w:hAnsi="宋体"/>
        </w:rPr>
        <w:t>（</w:t>
      </w:r>
      <w:r>
        <w:rPr>
          <w:rFonts w:ascii="宋体" w:hAnsi="宋体"/>
        </w:rPr>
        <w:t>3</w:t>
      </w:r>
      <w:r>
        <w:rPr>
          <w:rFonts w:hint="eastAsia" w:ascii="宋体" w:hAnsi="宋体"/>
        </w:rPr>
        <w:t>）按合同约定应撤离的承包人设备和剩余的材料，包括废弃的施工设备和材料，已按计划撤离施工场地；</w:t>
      </w:r>
    </w:p>
    <w:p w14:paraId="48C8EA0E">
      <w:pPr>
        <w:adjustRightInd w:val="0"/>
        <w:snapToGrid w:val="0"/>
        <w:ind w:left="41" w:leftChars="17" w:firstLine="480" w:firstLineChars="200"/>
        <w:rPr>
          <w:rFonts w:ascii="宋体" w:hAnsi="宋体"/>
        </w:rPr>
      </w:pPr>
      <w:r>
        <w:rPr>
          <w:rFonts w:hint="eastAsia" w:ascii="宋体" w:hAnsi="宋体"/>
        </w:rPr>
        <w:t>（</w:t>
      </w:r>
      <w:r>
        <w:rPr>
          <w:rFonts w:ascii="宋体" w:hAnsi="宋体"/>
        </w:rPr>
        <w:t>4</w:t>
      </w:r>
      <w:r>
        <w:rPr>
          <w:rFonts w:hint="eastAsia" w:ascii="宋体" w:hAnsi="宋体"/>
        </w:rPr>
        <w:t>）工程建筑物周边及其附近道路、河道的施工堆积物，已按监理人指示全部清理；</w:t>
      </w:r>
    </w:p>
    <w:p w14:paraId="55780177">
      <w:pPr>
        <w:adjustRightInd w:val="0"/>
        <w:snapToGrid w:val="0"/>
        <w:ind w:left="41" w:leftChars="17" w:firstLine="480" w:firstLineChars="200"/>
        <w:rPr>
          <w:rFonts w:ascii="宋体" w:hAnsi="宋体"/>
        </w:rPr>
      </w:pPr>
      <w:r>
        <w:rPr>
          <w:rFonts w:hint="eastAsia" w:ascii="宋体" w:hAnsi="宋体"/>
        </w:rPr>
        <w:t>（</w:t>
      </w:r>
      <w:r>
        <w:rPr>
          <w:rFonts w:ascii="宋体" w:hAnsi="宋体"/>
        </w:rPr>
        <w:t>5</w:t>
      </w:r>
      <w:r>
        <w:rPr>
          <w:rFonts w:hint="eastAsia" w:ascii="宋体" w:hAnsi="宋体"/>
        </w:rPr>
        <w:t>）监理人指示的其他场地清理工作已全部完成。</w:t>
      </w:r>
    </w:p>
    <w:p w14:paraId="1C186C69">
      <w:pPr>
        <w:adjustRightInd w:val="0"/>
        <w:snapToGrid w:val="0"/>
        <w:ind w:left="41" w:leftChars="17" w:firstLine="480" w:firstLineChars="200"/>
        <w:rPr>
          <w:rFonts w:ascii="宋体" w:hAnsi="宋体"/>
        </w:rPr>
      </w:pPr>
      <w:r>
        <w:rPr>
          <w:rFonts w:ascii="宋体" w:hAnsi="宋体"/>
        </w:rPr>
        <w:t xml:space="preserve">13.7.2 </w:t>
      </w:r>
      <w:r>
        <w:rPr>
          <w:rFonts w:hint="eastAsia" w:ascii="宋体" w:hAnsi="宋体"/>
        </w:rPr>
        <w:t>承包人未按监理人的要求恢复临时占地，或者场地清理未达到合同约定的，发包人有权委托其他人恢复或清理，所发生的金额从拟支付给承包人的款项中扣除。</w:t>
      </w:r>
    </w:p>
    <w:p w14:paraId="2DDC781F">
      <w:pPr>
        <w:adjustRightInd w:val="0"/>
        <w:snapToGrid w:val="0"/>
        <w:ind w:left="41" w:leftChars="17" w:firstLine="482" w:firstLineChars="200"/>
        <w:rPr>
          <w:rFonts w:ascii="宋体" w:hAnsi="宋体"/>
          <w:b/>
        </w:rPr>
      </w:pPr>
      <w:r>
        <w:rPr>
          <w:rFonts w:ascii="宋体" w:hAnsi="宋体"/>
          <w:b/>
        </w:rPr>
        <w:t xml:space="preserve">13.8 </w:t>
      </w:r>
      <w:r>
        <w:rPr>
          <w:rFonts w:hint="eastAsia" w:ascii="宋体" w:hAnsi="宋体"/>
          <w:b/>
        </w:rPr>
        <w:t>施工队伍的撤离</w:t>
      </w:r>
    </w:p>
    <w:p w14:paraId="6F4C13F2">
      <w:pPr>
        <w:adjustRightInd w:val="0"/>
        <w:snapToGrid w:val="0"/>
        <w:ind w:left="41" w:leftChars="17" w:firstLine="480" w:firstLineChars="200"/>
        <w:rPr>
          <w:rFonts w:ascii="宋体" w:hAnsi="宋体"/>
        </w:rPr>
      </w:pPr>
      <w:r>
        <w:rPr>
          <w:rFonts w:hint="eastAsia" w:ascii="宋体" w:hAnsi="宋体"/>
        </w:rPr>
        <w:t>工程交工证书颁发后的</w:t>
      </w:r>
      <w:r>
        <w:rPr>
          <w:rFonts w:ascii="宋体" w:hAnsi="宋体"/>
        </w:rPr>
        <w:t>56</w:t>
      </w:r>
      <w:r>
        <w:rPr>
          <w:rFonts w:hint="eastAsia" w:ascii="宋体" w:hAnsi="宋体"/>
        </w:rPr>
        <w:t>天内，除了经监理人同意需在缺陷责任期内继续工作和使用的人员、施工设备和临时工程外，其余的人员、施工设备和临时工程均应撤离施工场地或拆除。</w:t>
      </w:r>
    </w:p>
    <w:p w14:paraId="094D5323">
      <w:pPr>
        <w:ind w:left="41" w:leftChars="17"/>
        <w:outlineLvl w:val="1"/>
        <w:rPr>
          <w:rFonts w:ascii="宋体" w:hAnsi="宋体"/>
          <w:b/>
          <w:bCs/>
          <w:kern w:val="0"/>
        </w:rPr>
      </w:pPr>
      <w:bookmarkStart w:id="677" w:name="_Toc410986372"/>
      <w:bookmarkStart w:id="678" w:name="_Toc6241370"/>
      <w:bookmarkStart w:id="679" w:name="_Toc439160173"/>
      <w:bookmarkStart w:id="680" w:name="_Toc489084318"/>
      <w:bookmarkStart w:id="681" w:name="_Toc526793385"/>
      <w:bookmarkStart w:id="682" w:name="_Toc27613"/>
      <w:r>
        <w:rPr>
          <w:rFonts w:ascii="宋体" w:hAnsi="宋体"/>
          <w:b/>
          <w:bCs/>
          <w:kern w:val="0"/>
        </w:rPr>
        <w:t xml:space="preserve">14. </w:t>
      </w:r>
      <w:r>
        <w:rPr>
          <w:rFonts w:hint="eastAsia" w:ascii="宋体" w:hAnsi="宋体"/>
          <w:b/>
          <w:bCs/>
          <w:kern w:val="0"/>
        </w:rPr>
        <w:t>缺陷责任与保修责任</w:t>
      </w:r>
      <w:bookmarkEnd w:id="672"/>
      <w:bookmarkEnd w:id="673"/>
      <w:bookmarkEnd w:id="674"/>
      <w:bookmarkEnd w:id="675"/>
      <w:bookmarkEnd w:id="676"/>
      <w:bookmarkEnd w:id="677"/>
      <w:bookmarkEnd w:id="678"/>
      <w:bookmarkEnd w:id="679"/>
      <w:bookmarkEnd w:id="680"/>
      <w:bookmarkEnd w:id="681"/>
      <w:bookmarkEnd w:id="682"/>
    </w:p>
    <w:p w14:paraId="17621C4A">
      <w:pPr>
        <w:snapToGrid w:val="0"/>
        <w:ind w:left="41" w:leftChars="17"/>
        <w:rPr>
          <w:rFonts w:ascii="宋体" w:hAnsi="宋体"/>
          <w:b/>
        </w:rPr>
      </w:pPr>
      <w:bookmarkStart w:id="683" w:name="_Toc247085832"/>
      <w:bookmarkStart w:id="684" w:name="_Toc246996317"/>
      <w:bookmarkStart w:id="685" w:name="_Toc296602563"/>
      <w:bookmarkStart w:id="686" w:name="_Toc246997060"/>
      <w:r>
        <w:rPr>
          <w:rFonts w:ascii="宋体" w:hAnsi="宋体"/>
          <w:b/>
        </w:rPr>
        <w:t xml:space="preserve">    14.1 缺陷责任</w:t>
      </w:r>
      <w:bookmarkEnd w:id="683"/>
      <w:bookmarkEnd w:id="684"/>
      <w:bookmarkEnd w:id="685"/>
      <w:bookmarkEnd w:id="686"/>
    </w:p>
    <w:p w14:paraId="7A99BB68">
      <w:pPr>
        <w:snapToGrid w:val="0"/>
        <w:ind w:left="41" w:leftChars="17" w:firstLine="480" w:firstLineChars="200"/>
        <w:rPr>
          <w:rFonts w:ascii="宋体" w:hAnsi="宋体"/>
        </w:rPr>
      </w:pPr>
      <w:r>
        <w:rPr>
          <w:rFonts w:hint="eastAsia" w:ascii="宋体" w:hAnsi="宋体"/>
        </w:rPr>
        <w:t>缺陷责任自实际交工日期起计算。在缺陷责任期内，已交付的工程</w:t>
      </w:r>
      <w:r>
        <w:rPr>
          <w:rFonts w:ascii="宋体" w:hAnsi="宋体"/>
        </w:rPr>
        <w:t>由于</w:t>
      </w:r>
      <w:r>
        <w:rPr>
          <w:rFonts w:hint="eastAsia" w:ascii="宋体" w:hAnsi="宋体"/>
        </w:rPr>
        <w:t>承包</w:t>
      </w:r>
      <w:r>
        <w:rPr>
          <w:rFonts w:ascii="宋体" w:hAnsi="宋体"/>
        </w:rPr>
        <w:t>人的材料、设备或工艺不符合合同要求所产生的缺陷，修补费用由</w:t>
      </w:r>
      <w:r>
        <w:rPr>
          <w:rFonts w:hint="eastAsia" w:ascii="宋体" w:hAnsi="宋体"/>
        </w:rPr>
        <w:t>承包</w:t>
      </w:r>
      <w:r>
        <w:rPr>
          <w:rFonts w:ascii="宋体" w:hAnsi="宋体"/>
        </w:rPr>
        <w:t>人承担</w:t>
      </w:r>
      <w:r>
        <w:rPr>
          <w:rFonts w:hint="eastAsia" w:ascii="宋体" w:hAnsi="宋体"/>
        </w:rPr>
        <w:t>。由于承包人原因造成某项缺陷或损坏使某项工程或工程设备不能按原定目标使用而需要再次检查、检验和修复的，发包人有权要求承包人相应延长缺陷责任期，但缺陷责任期最长不超过</w:t>
      </w:r>
      <w:r>
        <w:rPr>
          <w:rFonts w:ascii="宋体" w:hAnsi="宋体"/>
        </w:rPr>
        <w:t>24个月。</w:t>
      </w:r>
    </w:p>
    <w:p w14:paraId="6E43B40D">
      <w:pPr>
        <w:adjustRightInd w:val="0"/>
        <w:snapToGrid w:val="0"/>
        <w:ind w:left="41" w:leftChars="17" w:firstLine="480" w:firstLineChars="200"/>
        <w:rPr>
          <w:rFonts w:ascii="宋体" w:hAnsi="宋体"/>
        </w:rPr>
      </w:pPr>
      <w:r>
        <w:rPr>
          <w:rFonts w:ascii="宋体" w:hAnsi="宋体"/>
        </w:rPr>
        <w:t>除专用合同条款另有约定外，</w:t>
      </w:r>
      <w:r>
        <w:rPr>
          <w:rFonts w:hint="eastAsia" w:ascii="宋体" w:hAnsi="宋体"/>
        </w:rPr>
        <w:t>缺陷责任期为</w:t>
      </w:r>
      <w:r>
        <w:rPr>
          <w:rFonts w:ascii="宋体" w:hAnsi="宋体"/>
        </w:rPr>
        <w:t>24个月。</w:t>
      </w:r>
    </w:p>
    <w:p w14:paraId="6AFCAD32">
      <w:pPr>
        <w:snapToGrid w:val="0"/>
        <w:ind w:left="41" w:leftChars="17"/>
        <w:rPr>
          <w:rFonts w:ascii="宋体" w:hAnsi="宋体"/>
          <w:b/>
        </w:rPr>
      </w:pPr>
      <w:bookmarkStart w:id="687" w:name="_Toc246996318"/>
      <w:bookmarkStart w:id="688" w:name="_Toc247085833"/>
      <w:bookmarkStart w:id="689" w:name="_Toc296602564"/>
      <w:bookmarkStart w:id="690" w:name="_Toc246997061"/>
      <w:r>
        <w:rPr>
          <w:rFonts w:ascii="宋体" w:hAnsi="宋体"/>
          <w:b/>
        </w:rPr>
        <w:t xml:space="preserve">    14.2 保修责任</w:t>
      </w:r>
      <w:bookmarkEnd w:id="687"/>
      <w:bookmarkEnd w:id="688"/>
      <w:bookmarkEnd w:id="689"/>
      <w:bookmarkEnd w:id="690"/>
    </w:p>
    <w:p w14:paraId="6023D955">
      <w:pPr>
        <w:snapToGrid w:val="0"/>
        <w:ind w:left="41" w:leftChars="17" w:firstLine="480" w:firstLineChars="200"/>
        <w:rPr>
          <w:rFonts w:ascii="宋体" w:hAnsi="宋体"/>
        </w:rPr>
      </w:pPr>
      <w:r>
        <w:rPr>
          <w:rFonts w:hint="eastAsia" w:ascii="宋体" w:hAnsi="宋体"/>
        </w:rPr>
        <w:t>保修期自实际交工日期起计算。</w:t>
      </w:r>
    </w:p>
    <w:p w14:paraId="1823C79E">
      <w:pPr>
        <w:snapToGrid w:val="0"/>
        <w:ind w:left="41" w:leftChars="17" w:firstLine="480" w:firstLineChars="200"/>
        <w:rPr>
          <w:rFonts w:ascii="宋体" w:hAnsi="宋体"/>
        </w:rPr>
      </w:pPr>
      <w:r>
        <w:rPr>
          <w:rFonts w:hint="eastAsia" w:ascii="宋体" w:hAnsi="宋体"/>
        </w:rPr>
        <w:t>合同当事人根据有关法律规定，在专用合同条款中约定工程质量保修范围、期限和责任，但不得低于法定保修年限。在工程保修期内，承包人应当根据有关法律规定以及合同约定承担保修责任。</w:t>
      </w:r>
      <w:bookmarkStart w:id="691" w:name="_Toc246997062"/>
      <w:bookmarkStart w:id="692" w:name="_Toc247085834"/>
      <w:bookmarkStart w:id="693" w:name="_Toc246996319"/>
      <w:bookmarkStart w:id="694" w:name="_Toc184635117"/>
    </w:p>
    <w:p w14:paraId="434E085B">
      <w:pPr>
        <w:ind w:left="41" w:leftChars="17"/>
        <w:outlineLvl w:val="1"/>
        <w:rPr>
          <w:rFonts w:ascii="宋体" w:hAnsi="宋体"/>
          <w:b/>
          <w:bCs/>
          <w:kern w:val="0"/>
        </w:rPr>
      </w:pPr>
      <w:bookmarkStart w:id="695" w:name="_Toc410986373"/>
      <w:bookmarkStart w:id="696" w:name="_Toc489084319"/>
      <w:bookmarkStart w:id="697" w:name="_Toc25901"/>
      <w:bookmarkStart w:id="698" w:name="_Toc6241371"/>
      <w:bookmarkStart w:id="699" w:name="_Toc296602565"/>
      <w:bookmarkStart w:id="700" w:name="_Toc526793386"/>
      <w:bookmarkStart w:id="701" w:name="_Toc439160174"/>
      <w:r>
        <w:rPr>
          <w:rFonts w:ascii="宋体" w:hAnsi="宋体"/>
          <w:b/>
          <w:bCs/>
          <w:kern w:val="0"/>
        </w:rPr>
        <w:t xml:space="preserve">15. </w:t>
      </w:r>
      <w:r>
        <w:rPr>
          <w:rFonts w:hint="eastAsia" w:ascii="宋体" w:hAnsi="宋体"/>
          <w:b/>
          <w:bCs/>
          <w:kern w:val="0"/>
        </w:rPr>
        <w:t>保险</w:t>
      </w:r>
      <w:bookmarkEnd w:id="691"/>
      <w:bookmarkEnd w:id="692"/>
      <w:bookmarkEnd w:id="693"/>
      <w:bookmarkEnd w:id="694"/>
      <w:bookmarkEnd w:id="695"/>
      <w:bookmarkEnd w:id="696"/>
      <w:bookmarkEnd w:id="697"/>
      <w:bookmarkEnd w:id="698"/>
      <w:bookmarkEnd w:id="699"/>
      <w:bookmarkEnd w:id="700"/>
      <w:bookmarkEnd w:id="701"/>
    </w:p>
    <w:p w14:paraId="7BB9B82F">
      <w:pPr>
        <w:snapToGrid w:val="0"/>
        <w:ind w:left="41" w:leftChars="17"/>
        <w:rPr>
          <w:rFonts w:ascii="宋体" w:hAnsi="宋体"/>
          <w:b/>
        </w:rPr>
      </w:pPr>
      <w:bookmarkStart w:id="702" w:name="_Toc296602566"/>
      <w:bookmarkStart w:id="703" w:name="_Toc246997063"/>
      <w:bookmarkStart w:id="704" w:name="_Toc246996320"/>
      <w:bookmarkStart w:id="705" w:name="_Toc247085835"/>
      <w:r>
        <w:rPr>
          <w:rFonts w:ascii="宋体" w:hAnsi="宋体"/>
          <w:b/>
        </w:rPr>
        <w:t xml:space="preserve">    15.1 保险范围</w:t>
      </w:r>
      <w:bookmarkEnd w:id="702"/>
      <w:bookmarkEnd w:id="703"/>
      <w:bookmarkEnd w:id="704"/>
      <w:bookmarkEnd w:id="705"/>
    </w:p>
    <w:p w14:paraId="38E8BDFC">
      <w:pPr>
        <w:snapToGrid w:val="0"/>
        <w:ind w:left="41" w:leftChars="17" w:firstLine="480" w:firstLineChars="200"/>
        <w:rPr>
          <w:rFonts w:ascii="宋体" w:hAnsi="宋体"/>
        </w:rPr>
      </w:pPr>
      <w:r>
        <w:rPr>
          <w:rFonts w:ascii="宋体" w:hAnsi="宋体"/>
        </w:rPr>
        <w:t>15.1.1除专用合同条款另有约定外，</w:t>
      </w:r>
      <w:r>
        <w:rPr>
          <w:rFonts w:hint="eastAsia" w:ascii="宋体" w:hAnsi="宋体"/>
        </w:rPr>
        <w:t>发</w:t>
      </w:r>
      <w:r>
        <w:rPr>
          <w:rFonts w:ascii="宋体" w:hAnsi="宋体"/>
        </w:rPr>
        <w:t xml:space="preserve">包人按照约定向双方同意的保险人投保建筑工程一切险或安装工程一切险等保险，具体的投保险种、保险范围、保险金额、保险费率、保险期限、保险费承担等有关内容应当在专用合同条款中明确约定。 </w:t>
      </w:r>
    </w:p>
    <w:p w14:paraId="23E8C7E5">
      <w:pPr>
        <w:snapToGrid w:val="0"/>
        <w:ind w:left="41" w:leftChars="17" w:firstLine="480" w:firstLineChars="200"/>
        <w:rPr>
          <w:rFonts w:ascii="宋体" w:hAnsi="宋体"/>
        </w:rPr>
      </w:pPr>
      <w:r>
        <w:rPr>
          <w:rFonts w:ascii="宋体" w:hAnsi="宋体"/>
        </w:rPr>
        <w:t>15.1.2承包人应依照有关法律规定参加工伤保险和人身意外伤害险，为其履行合同所雇佣的全部人员，缴纳工伤保险费和</w:t>
      </w:r>
      <w:r>
        <w:rPr>
          <w:rFonts w:hint="eastAsia" w:ascii="宋体" w:hAnsi="宋体"/>
        </w:rPr>
        <w:t>人身</w:t>
      </w:r>
      <w:r>
        <w:rPr>
          <w:rFonts w:ascii="宋体" w:hAnsi="宋体"/>
        </w:rPr>
        <w:t>意外伤害险费。</w:t>
      </w:r>
    </w:p>
    <w:p w14:paraId="7E91FEF4">
      <w:pPr>
        <w:snapToGrid w:val="0"/>
        <w:ind w:left="41" w:leftChars="17" w:firstLine="480" w:firstLineChars="200"/>
        <w:rPr>
          <w:rFonts w:ascii="宋体" w:hAnsi="宋体"/>
        </w:rPr>
      </w:pPr>
      <w:r>
        <w:rPr>
          <w:rFonts w:ascii="宋体" w:hAnsi="宋体"/>
        </w:rPr>
        <w:t>15.1.3发包人应依照有关法律规定参加工伤保险和人身意外伤害险，为其现场机构雇佣的全部人员，缴纳工伤保险费和人身意外伤害险费，并要求其监理人也进行此类保险</w:t>
      </w:r>
      <w:r>
        <w:rPr>
          <w:rFonts w:hint="eastAsia" w:ascii="宋体" w:hAnsi="宋体"/>
        </w:rPr>
        <w:t>。</w:t>
      </w:r>
    </w:p>
    <w:p w14:paraId="61F108E9">
      <w:pPr>
        <w:snapToGrid w:val="0"/>
        <w:ind w:left="41" w:leftChars="17"/>
        <w:rPr>
          <w:rFonts w:ascii="宋体" w:hAnsi="宋体"/>
          <w:b/>
        </w:rPr>
      </w:pPr>
      <w:bookmarkStart w:id="706" w:name="_Toc246996321"/>
      <w:bookmarkStart w:id="707" w:name="_Toc246997064"/>
      <w:bookmarkStart w:id="708" w:name="_Toc296602567"/>
      <w:bookmarkStart w:id="709" w:name="_Toc247085836"/>
      <w:r>
        <w:rPr>
          <w:rFonts w:ascii="宋体" w:hAnsi="宋体"/>
          <w:b/>
        </w:rPr>
        <w:t xml:space="preserve">    15.2 未办理保</w:t>
      </w:r>
      <w:r>
        <w:rPr>
          <w:rFonts w:hint="eastAsia" w:ascii="宋体" w:hAnsi="宋体"/>
          <w:b/>
        </w:rPr>
        <w:t>险</w:t>
      </w:r>
      <w:bookmarkEnd w:id="706"/>
      <w:bookmarkEnd w:id="707"/>
      <w:bookmarkEnd w:id="708"/>
      <w:bookmarkEnd w:id="709"/>
    </w:p>
    <w:p w14:paraId="3801D80B">
      <w:pPr>
        <w:snapToGrid w:val="0"/>
        <w:ind w:left="41" w:leftChars="17" w:firstLine="480" w:firstLineChars="200"/>
        <w:rPr>
          <w:rFonts w:ascii="宋体" w:hAnsi="宋体"/>
        </w:rPr>
      </w:pPr>
      <w:bookmarkStart w:id="710" w:name="_Toc184635118"/>
      <w:r>
        <w:rPr>
          <w:rFonts w:ascii="宋体" w:hAnsi="宋体"/>
        </w:rPr>
        <w:t>15.2.1由于负有投保义务的一方当事人未按合同约定办理保险，或未能使保险持续有效的，另一方当事人可代为办理，所需费用由对方当事人承担。</w:t>
      </w:r>
    </w:p>
    <w:p w14:paraId="2F8843C4">
      <w:pPr>
        <w:snapToGrid w:val="0"/>
        <w:ind w:left="41" w:leftChars="17" w:firstLine="480" w:firstLineChars="200"/>
        <w:rPr>
          <w:rFonts w:ascii="宋体" w:hAnsi="宋体"/>
        </w:rPr>
      </w:pPr>
      <w:r>
        <w:rPr>
          <w:rFonts w:ascii="宋体" w:hAnsi="宋体"/>
        </w:rPr>
        <w:t>15.2.2由于负有投保义务的一方当事人未按合同约定办理某项保险，导致受益人未能得到保险人的赔偿，原应从该项保险得到的保险金应由负有投保义务的一方当事人支付</w:t>
      </w:r>
      <w:r>
        <w:rPr>
          <w:rFonts w:hint="eastAsia" w:ascii="宋体" w:hAnsi="宋体"/>
        </w:rPr>
        <w:t>。</w:t>
      </w:r>
    </w:p>
    <w:bookmarkEnd w:id="710"/>
    <w:p w14:paraId="794402DD">
      <w:pPr>
        <w:ind w:left="41" w:leftChars="17"/>
        <w:outlineLvl w:val="1"/>
        <w:rPr>
          <w:rFonts w:ascii="宋体" w:hAnsi="宋体"/>
          <w:b/>
          <w:bCs/>
          <w:kern w:val="0"/>
        </w:rPr>
      </w:pPr>
      <w:bookmarkStart w:id="711" w:name="_Toc247514180"/>
      <w:bookmarkStart w:id="712" w:name="_Toc439160175"/>
      <w:bookmarkStart w:id="713" w:name="_Toc526793387"/>
      <w:bookmarkStart w:id="714" w:name="_Toc6241372"/>
      <w:bookmarkStart w:id="715" w:name="_Toc11269"/>
      <w:bookmarkStart w:id="716" w:name="_Toc489084320"/>
      <w:bookmarkStart w:id="717" w:name="_Toc271821895"/>
      <w:bookmarkStart w:id="718" w:name="_Toc296602568"/>
      <w:bookmarkStart w:id="719" w:name="_Toc410986374"/>
      <w:bookmarkStart w:id="720" w:name="_Toc247527781"/>
      <w:bookmarkStart w:id="721" w:name="_Toc247085837"/>
      <w:bookmarkStart w:id="722" w:name="_Toc246996322"/>
      <w:bookmarkStart w:id="723" w:name="_Toc246997065"/>
      <w:bookmarkStart w:id="724" w:name="_Toc184635119"/>
      <w:r>
        <w:rPr>
          <w:rFonts w:ascii="宋体" w:hAnsi="宋体"/>
          <w:b/>
          <w:bCs/>
          <w:kern w:val="0"/>
        </w:rPr>
        <w:t xml:space="preserve">16. </w:t>
      </w:r>
      <w:r>
        <w:rPr>
          <w:rFonts w:hint="eastAsia" w:ascii="宋体" w:hAnsi="宋体"/>
          <w:b/>
          <w:bCs/>
          <w:kern w:val="0"/>
        </w:rPr>
        <w:t>不可抗力</w:t>
      </w:r>
      <w:bookmarkEnd w:id="711"/>
      <w:bookmarkEnd w:id="712"/>
      <w:bookmarkEnd w:id="713"/>
      <w:bookmarkEnd w:id="714"/>
      <w:bookmarkEnd w:id="715"/>
      <w:bookmarkEnd w:id="716"/>
      <w:bookmarkEnd w:id="717"/>
      <w:bookmarkEnd w:id="718"/>
      <w:bookmarkEnd w:id="719"/>
      <w:bookmarkEnd w:id="720"/>
    </w:p>
    <w:p w14:paraId="7A9FD441">
      <w:pPr>
        <w:snapToGrid w:val="0"/>
        <w:ind w:left="41" w:leftChars="17"/>
        <w:rPr>
          <w:rFonts w:ascii="宋体" w:hAnsi="宋体"/>
          <w:b/>
        </w:rPr>
      </w:pPr>
      <w:bookmarkStart w:id="725" w:name="_Toc247514181"/>
      <w:bookmarkStart w:id="726" w:name="_Toc247527782"/>
      <w:bookmarkStart w:id="727" w:name="_Toc271821896"/>
      <w:bookmarkStart w:id="728" w:name="_Toc296602569"/>
      <w:r>
        <w:rPr>
          <w:rFonts w:ascii="宋体" w:hAnsi="宋体"/>
          <w:b/>
        </w:rPr>
        <w:t xml:space="preserve">    16.1 不可抗力的确认</w:t>
      </w:r>
      <w:bookmarkEnd w:id="725"/>
      <w:bookmarkEnd w:id="726"/>
      <w:bookmarkEnd w:id="727"/>
      <w:bookmarkEnd w:id="728"/>
    </w:p>
    <w:p w14:paraId="52A93C1F">
      <w:pPr>
        <w:snapToGrid w:val="0"/>
        <w:ind w:left="41" w:leftChars="17" w:firstLine="480" w:firstLineChars="200"/>
        <w:rPr>
          <w:rFonts w:ascii="宋体" w:hAnsi="宋体"/>
        </w:rPr>
      </w:pPr>
      <w:r>
        <w:rPr>
          <w:rFonts w:ascii="宋体" w:hAnsi="宋体"/>
        </w:rPr>
        <w:t xml:space="preserve">16.1.1 </w:t>
      </w:r>
      <w:r>
        <w:rPr>
          <w:rFonts w:hint="eastAsia" w:ascii="宋体" w:hAnsi="宋体"/>
        </w:rPr>
        <w:t>不可抗力是指承包人和发包人在订立合同时不可预见，在履行合同过程中不可避免发生并不能克服的自然灾害和社会性突发事件，如地震、海啸、瘟疫、水灾、骚乱、暴动、战争和专用合同条款约定的其他情形。</w:t>
      </w:r>
    </w:p>
    <w:p w14:paraId="590B4862">
      <w:pPr>
        <w:snapToGrid w:val="0"/>
        <w:ind w:left="41" w:leftChars="17" w:firstLine="480" w:firstLineChars="200"/>
        <w:rPr>
          <w:rFonts w:ascii="宋体" w:hAnsi="宋体"/>
        </w:rPr>
      </w:pPr>
      <w:r>
        <w:rPr>
          <w:rFonts w:ascii="宋体" w:hAnsi="宋体"/>
        </w:rPr>
        <w:t xml:space="preserve">16.1.2 </w:t>
      </w:r>
      <w:r>
        <w:rPr>
          <w:rFonts w:hint="eastAsia" w:ascii="宋体" w:hAnsi="宋体"/>
        </w:rPr>
        <w:t>不可抗力发生后，发包人和承包人应及时认真统计所造成的损失，收集不可抗力造成损失的证据。</w:t>
      </w:r>
    </w:p>
    <w:p w14:paraId="0E522E89">
      <w:pPr>
        <w:snapToGrid w:val="0"/>
        <w:ind w:left="41" w:leftChars="17"/>
        <w:rPr>
          <w:rFonts w:ascii="宋体" w:hAnsi="宋体"/>
          <w:b/>
        </w:rPr>
      </w:pPr>
      <w:bookmarkStart w:id="729" w:name="_Toc271821897"/>
      <w:bookmarkStart w:id="730" w:name="_Toc296602570"/>
      <w:bookmarkStart w:id="731" w:name="_Toc247514182"/>
      <w:bookmarkStart w:id="732" w:name="_Toc247527783"/>
      <w:r>
        <w:rPr>
          <w:rFonts w:ascii="宋体" w:hAnsi="宋体"/>
          <w:b/>
        </w:rPr>
        <w:t xml:space="preserve">    16.2 不可抗力的通知</w:t>
      </w:r>
      <w:bookmarkEnd w:id="729"/>
      <w:bookmarkEnd w:id="730"/>
      <w:bookmarkEnd w:id="731"/>
      <w:bookmarkEnd w:id="732"/>
    </w:p>
    <w:p w14:paraId="576A4210">
      <w:pPr>
        <w:snapToGrid w:val="0"/>
        <w:ind w:left="41" w:leftChars="17" w:firstLine="480" w:firstLineChars="200"/>
        <w:rPr>
          <w:rFonts w:ascii="宋体" w:hAnsi="宋体"/>
        </w:rPr>
      </w:pPr>
      <w:r>
        <w:rPr>
          <w:rFonts w:hint="eastAsia" w:ascii="宋体" w:hAnsi="宋体"/>
        </w:rPr>
        <w:t>合同一方当事人遇到不可抗力事件，使其履行合同义务受到阻碍时，应立即通知合同另一方当事人和监理人，书面说明不可抗力和受阻碍的详细情况，并提供必要的证明。如不可抗力持续发生，合同一方当事人应及时向合同另一方当事人和监理人提交中间报告，说明不可抗力和履行合同受阻的情况，并于不可抗力事件结束后</w:t>
      </w:r>
      <w:r>
        <w:rPr>
          <w:rFonts w:ascii="宋体" w:hAnsi="宋体"/>
        </w:rPr>
        <w:t>14天内提交最终报告及有关资料。</w:t>
      </w:r>
    </w:p>
    <w:p w14:paraId="263624D9">
      <w:pPr>
        <w:snapToGrid w:val="0"/>
        <w:ind w:left="41" w:leftChars="17"/>
        <w:rPr>
          <w:rFonts w:ascii="宋体" w:hAnsi="宋体"/>
          <w:b/>
        </w:rPr>
      </w:pPr>
      <w:bookmarkStart w:id="733" w:name="_Toc247527784"/>
      <w:bookmarkStart w:id="734" w:name="_Toc296602571"/>
      <w:bookmarkStart w:id="735" w:name="_Toc247514183"/>
      <w:bookmarkStart w:id="736" w:name="_Toc271821898"/>
      <w:r>
        <w:rPr>
          <w:rFonts w:ascii="宋体" w:hAnsi="宋体"/>
          <w:b/>
        </w:rPr>
        <w:t xml:space="preserve">    16.3 不可抗力后果及其处理</w:t>
      </w:r>
      <w:bookmarkEnd w:id="733"/>
      <w:bookmarkEnd w:id="734"/>
      <w:bookmarkEnd w:id="735"/>
      <w:bookmarkEnd w:id="736"/>
    </w:p>
    <w:p w14:paraId="772A3425">
      <w:pPr>
        <w:snapToGrid w:val="0"/>
        <w:ind w:left="41" w:leftChars="17" w:firstLine="480" w:firstLineChars="200"/>
        <w:rPr>
          <w:rFonts w:ascii="宋体" w:hAnsi="宋体"/>
        </w:rPr>
      </w:pPr>
      <w:r>
        <w:rPr>
          <w:rFonts w:hint="eastAsia" w:ascii="宋体" w:hAnsi="宋体"/>
        </w:rPr>
        <w:t>除专用合同条款另有约定外，不可抗力导致的人员伤亡、财产损失、费用增加和（或）工期延误等后果，由合同双方按以下原则承担：</w:t>
      </w:r>
    </w:p>
    <w:p w14:paraId="10BFB280">
      <w:pPr>
        <w:snapToGrid w:val="0"/>
        <w:ind w:left="41" w:leftChars="17" w:firstLine="480" w:firstLineChars="200"/>
        <w:rPr>
          <w:rFonts w:ascii="宋体" w:hAnsi="宋体"/>
        </w:rPr>
      </w:pPr>
      <w:r>
        <w:rPr>
          <w:rFonts w:hint="eastAsia" w:ascii="宋体" w:hAnsi="宋体"/>
        </w:rPr>
        <w:t>（</w:t>
      </w:r>
      <w:r>
        <w:rPr>
          <w:rFonts w:ascii="宋体" w:hAnsi="宋体"/>
        </w:rPr>
        <w:t>1）永久工程，包括已运至施工场地的材料和工程设备的损害，以及因工程损害造成的第三者人员伤亡和财产损失由发包人承担；</w:t>
      </w:r>
    </w:p>
    <w:p w14:paraId="3C2D7B6F">
      <w:pPr>
        <w:snapToGrid w:val="0"/>
        <w:ind w:left="41" w:leftChars="17" w:firstLine="480" w:firstLineChars="200"/>
        <w:rPr>
          <w:rFonts w:ascii="宋体" w:hAnsi="宋体"/>
        </w:rPr>
      </w:pPr>
      <w:r>
        <w:rPr>
          <w:rFonts w:hint="eastAsia" w:ascii="宋体" w:hAnsi="宋体"/>
        </w:rPr>
        <w:t>（</w:t>
      </w:r>
      <w:r>
        <w:rPr>
          <w:rFonts w:ascii="宋体" w:hAnsi="宋体"/>
        </w:rPr>
        <w:t>2）承包人设备的损坏由承包人承担；</w:t>
      </w:r>
    </w:p>
    <w:p w14:paraId="7379D25A">
      <w:pPr>
        <w:snapToGrid w:val="0"/>
        <w:ind w:left="41" w:leftChars="17" w:firstLine="480" w:firstLineChars="200"/>
        <w:rPr>
          <w:rFonts w:ascii="宋体" w:hAnsi="宋体"/>
        </w:rPr>
      </w:pPr>
      <w:r>
        <w:rPr>
          <w:rFonts w:hint="eastAsia" w:ascii="宋体" w:hAnsi="宋体"/>
        </w:rPr>
        <w:t>（</w:t>
      </w:r>
      <w:r>
        <w:rPr>
          <w:rFonts w:ascii="宋体" w:hAnsi="宋体"/>
        </w:rPr>
        <w:t>3）发包人和承包人各自承担其人员伤亡和其他财产损失及其相关费用；</w:t>
      </w:r>
    </w:p>
    <w:p w14:paraId="59AF8DDA">
      <w:pPr>
        <w:snapToGrid w:val="0"/>
        <w:ind w:left="41" w:leftChars="17" w:firstLine="480" w:firstLineChars="200"/>
        <w:rPr>
          <w:rFonts w:ascii="宋体" w:hAnsi="宋体"/>
        </w:rPr>
      </w:pPr>
      <w:r>
        <w:rPr>
          <w:rFonts w:hint="eastAsia" w:ascii="宋体" w:hAnsi="宋体"/>
        </w:rPr>
        <w:t>（</w:t>
      </w:r>
      <w:r>
        <w:rPr>
          <w:rFonts w:ascii="宋体" w:hAnsi="宋体"/>
        </w:rPr>
        <w:t>4）承包人的停工损失由承包人承担，但停工期间应监理人要求照管工程和清理、修复工程的金额由发包人承担；</w:t>
      </w:r>
    </w:p>
    <w:p w14:paraId="3E1A8655">
      <w:pPr>
        <w:snapToGrid w:val="0"/>
        <w:ind w:left="41" w:leftChars="17" w:firstLine="480" w:firstLineChars="200"/>
        <w:rPr>
          <w:rFonts w:ascii="宋体" w:hAnsi="宋体"/>
        </w:rPr>
      </w:pPr>
      <w:r>
        <w:rPr>
          <w:rFonts w:hint="eastAsia" w:ascii="宋体" w:hAnsi="宋体"/>
        </w:rPr>
        <w:t>（</w:t>
      </w:r>
      <w:r>
        <w:rPr>
          <w:rFonts w:ascii="宋体" w:hAnsi="宋体"/>
        </w:rPr>
        <w:t>5）不能按期交工的，应合理延长工期，承包人不需支付逾期交工违约金。发包人要求赶工的，承包人应采取赶工措施，赶工费用由发包人承担。</w:t>
      </w:r>
    </w:p>
    <w:p w14:paraId="5DE52295">
      <w:pPr>
        <w:ind w:left="41" w:leftChars="17"/>
        <w:outlineLvl w:val="1"/>
        <w:rPr>
          <w:rFonts w:ascii="宋体" w:hAnsi="宋体"/>
          <w:b/>
          <w:bCs/>
          <w:kern w:val="0"/>
        </w:rPr>
      </w:pPr>
      <w:bookmarkStart w:id="737" w:name="_Toc439160176"/>
      <w:bookmarkStart w:id="738" w:name="_Toc410986375"/>
      <w:bookmarkStart w:id="739" w:name="_Toc296602572"/>
      <w:bookmarkStart w:id="740" w:name="_Toc489084321"/>
      <w:bookmarkStart w:id="741" w:name="_Toc526793388"/>
      <w:bookmarkStart w:id="742" w:name="_Toc6241373"/>
      <w:bookmarkStart w:id="743" w:name="_Toc3608"/>
      <w:r>
        <w:rPr>
          <w:rFonts w:ascii="宋体" w:hAnsi="宋体"/>
          <w:b/>
          <w:bCs/>
          <w:kern w:val="0"/>
        </w:rPr>
        <w:t xml:space="preserve">17. </w:t>
      </w:r>
      <w:r>
        <w:rPr>
          <w:rFonts w:hint="eastAsia" w:ascii="宋体" w:hAnsi="宋体"/>
          <w:b/>
          <w:bCs/>
          <w:kern w:val="0"/>
        </w:rPr>
        <w:t>违约</w:t>
      </w:r>
      <w:bookmarkEnd w:id="721"/>
      <w:bookmarkEnd w:id="722"/>
      <w:bookmarkEnd w:id="723"/>
      <w:bookmarkEnd w:id="724"/>
      <w:bookmarkEnd w:id="737"/>
      <w:bookmarkEnd w:id="738"/>
      <w:bookmarkEnd w:id="739"/>
      <w:bookmarkEnd w:id="740"/>
      <w:bookmarkEnd w:id="741"/>
      <w:bookmarkEnd w:id="742"/>
      <w:bookmarkEnd w:id="743"/>
    </w:p>
    <w:p w14:paraId="764DC883">
      <w:pPr>
        <w:snapToGrid w:val="0"/>
        <w:ind w:left="41" w:leftChars="17"/>
        <w:rPr>
          <w:rFonts w:ascii="宋体" w:hAnsi="宋体"/>
          <w:b/>
        </w:rPr>
      </w:pPr>
      <w:bookmarkStart w:id="744" w:name="_Toc246996323"/>
      <w:bookmarkStart w:id="745" w:name="_Toc247085838"/>
      <w:bookmarkStart w:id="746" w:name="_Toc246997066"/>
      <w:bookmarkStart w:id="747" w:name="_Toc296602573"/>
      <w:r>
        <w:rPr>
          <w:rFonts w:ascii="宋体" w:hAnsi="宋体"/>
          <w:b/>
        </w:rPr>
        <w:t xml:space="preserve">    17.1 承包人违约</w:t>
      </w:r>
      <w:bookmarkEnd w:id="744"/>
      <w:bookmarkEnd w:id="745"/>
      <w:bookmarkEnd w:id="746"/>
      <w:bookmarkEnd w:id="747"/>
    </w:p>
    <w:p w14:paraId="18FDDD1E">
      <w:pPr>
        <w:snapToGrid w:val="0"/>
        <w:ind w:left="41" w:leftChars="17" w:firstLine="480" w:firstLineChars="200"/>
        <w:rPr>
          <w:rFonts w:ascii="宋体" w:hAnsi="宋体"/>
        </w:rPr>
      </w:pPr>
      <w:r>
        <w:rPr>
          <w:rFonts w:ascii="宋体" w:hAnsi="宋体"/>
        </w:rPr>
        <w:t>17.1.1 如果</w:t>
      </w:r>
      <w:r>
        <w:rPr>
          <w:rFonts w:hint="eastAsia" w:ascii="宋体" w:hAnsi="宋体"/>
        </w:rPr>
        <w:t>承包</w:t>
      </w:r>
      <w:r>
        <w:rPr>
          <w:rFonts w:ascii="宋体" w:hAnsi="宋体"/>
        </w:rPr>
        <w:t>人拒绝或未能遵守监理人的指示，或未能按合同进度计划及时完成合同约定的工作，已造成或预期造成工期延误，或违反合同不顾书面警告，监理人可发出通知</w:t>
      </w:r>
      <w:r>
        <w:rPr>
          <w:rFonts w:hint="eastAsia" w:ascii="宋体" w:hAnsi="宋体"/>
        </w:rPr>
        <w:t>，告知</w:t>
      </w:r>
      <w:r>
        <w:rPr>
          <w:rFonts w:ascii="宋体" w:hAnsi="宋体"/>
        </w:rPr>
        <w:t>承包人违约</w:t>
      </w:r>
      <w:r>
        <w:rPr>
          <w:rFonts w:hint="eastAsia" w:ascii="宋体" w:hAnsi="宋体"/>
        </w:rPr>
        <w:t>。</w:t>
      </w:r>
    </w:p>
    <w:p w14:paraId="23458140">
      <w:pPr>
        <w:snapToGrid w:val="0"/>
        <w:ind w:left="41" w:leftChars="17" w:firstLine="480" w:firstLineChars="200"/>
        <w:rPr>
          <w:rFonts w:ascii="宋体" w:hAnsi="宋体"/>
        </w:rPr>
      </w:pPr>
      <w:r>
        <w:rPr>
          <w:rFonts w:ascii="宋体" w:hAnsi="宋体"/>
        </w:rPr>
        <w:t>17.1.2 如果</w:t>
      </w:r>
      <w:r>
        <w:rPr>
          <w:rFonts w:hint="eastAsia" w:ascii="宋体" w:hAnsi="宋体"/>
        </w:rPr>
        <w:t>承包</w:t>
      </w:r>
      <w:r>
        <w:rPr>
          <w:rFonts w:ascii="宋体" w:hAnsi="宋体"/>
        </w:rPr>
        <w:t>人在收到监理人通知后21天内，没有采取可行的措施纠正违约，发包人可向</w:t>
      </w:r>
      <w:r>
        <w:rPr>
          <w:rFonts w:hint="eastAsia" w:ascii="宋体" w:hAnsi="宋体"/>
        </w:rPr>
        <w:t>承包</w:t>
      </w:r>
      <w:r>
        <w:rPr>
          <w:rFonts w:ascii="宋体" w:hAnsi="宋体"/>
        </w:rPr>
        <w:t>人发出解除合同通知。发包人因继续完成该工程的需要，有权扣留使用承包人在现场的材料、设备</w:t>
      </w:r>
      <w:r>
        <w:rPr>
          <w:rFonts w:hint="eastAsia" w:ascii="宋体" w:hAnsi="宋体"/>
        </w:rPr>
        <w:t>和</w:t>
      </w:r>
      <w:r>
        <w:rPr>
          <w:rFonts w:ascii="宋体" w:hAnsi="宋体"/>
        </w:rPr>
        <w:t>临时设施。但发包人的这一行动不免除</w:t>
      </w:r>
      <w:r>
        <w:rPr>
          <w:rFonts w:hint="eastAsia" w:ascii="宋体" w:hAnsi="宋体"/>
        </w:rPr>
        <w:t>承包</w:t>
      </w:r>
      <w:r>
        <w:rPr>
          <w:rFonts w:ascii="宋体" w:hAnsi="宋体"/>
        </w:rPr>
        <w:t>人应承担的违约责任，也不影响发包人根据合同约定享有的索赔权利</w:t>
      </w:r>
      <w:r>
        <w:rPr>
          <w:rFonts w:hint="eastAsia" w:ascii="宋体" w:hAnsi="宋体"/>
        </w:rPr>
        <w:t>。</w:t>
      </w:r>
    </w:p>
    <w:p w14:paraId="5F905F4A">
      <w:pPr>
        <w:snapToGrid w:val="0"/>
        <w:ind w:left="41" w:leftChars="17"/>
        <w:rPr>
          <w:rFonts w:ascii="宋体" w:hAnsi="宋体"/>
          <w:b/>
        </w:rPr>
      </w:pPr>
      <w:bookmarkStart w:id="748" w:name="_Toc247085839"/>
      <w:bookmarkStart w:id="749" w:name="_Toc246996324"/>
      <w:bookmarkStart w:id="750" w:name="_Toc296602574"/>
      <w:bookmarkStart w:id="751" w:name="_Toc246997067"/>
      <w:r>
        <w:rPr>
          <w:rFonts w:ascii="宋体" w:hAnsi="宋体"/>
          <w:b/>
        </w:rPr>
        <w:t xml:space="preserve">    17.2 发包人违约</w:t>
      </w:r>
      <w:bookmarkEnd w:id="748"/>
      <w:bookmarkEnd w:id="749"/>
      <w:bookmarkEnd w:id="750"/>
      <w:bookmarkEnd w:id="751"/>
    </w:p>
    <w:p w14:paraId="07C08F0B">
      <w:pPr>
        <w:snapToGrid w:val="0"/>
        <w:ind w:left="41" w:leftChars="17" w:firstLine="480" w:firstLineChars="200"/>
        <w:rPr>
          <w:rFonts w:ascii="宋体" w:hAnsi="宋体"/>
        </w:rPr>
      </w:pPr>
      <w:r>
        <w:rPr>
          <w:rFonts w:ascii="宋体" w:hAnsi="宋体"/>
        </w:rPr>
        <w:t>17.2.1 如果发包人未能按合同付款，或违反合同不顾书面警告，承包人可发出通知</w:t>
      </w:r>
      <w:r>
        <w:rPr>
          <w:rFonts w:hint="eastAsia" w:ascii="宋体" w:hAnsi="宋体"/>
        </w:rPr>
        <w:t>，告知</w:t>
      </w:r>
      <w:r>
        <w:rPr>
          <w:rFonts w:ascii="宋体" w:hAnsi="宋体"/>
        </w:rPr>
        <w:t>发包人违约。如果发包人在收到该通知后14天内</w:t>
      </w:r>
      <w:r>
        <w:rPr>
          <w:rFonts w:hint="eastAsia" w:ascii="宋体" w:hAnsi="宋体"/>
        </w:rPr>
        <w:t>未</w:t>
      </w:r>
      <w:r>
        <w:rPr>
          <w:rFonts w:ascii="宋体" w:hAnsi="宋体"/>
        </w:rPr>
        <w:t>纠正违约，承包人可暂停工作或放慢工作进度。</w:t>
      </w:r>
    </w:p>
    <w:p w14:paraId="0A7CE9D0">
      <w:pPr>
        <w:snapToGrid w:val="0"/>
        <w:ind w:left="41" w:leftChars="17" w:firstLine="480" w:firstLineChars="200"/>
        <w:rPr>
          <w:rFonts w:ascii="宋体" w:hAnsi="宋体"/>
        </w:rPr>
      </w:pPr>
      <w:r>
        <w:rPr>
          <w:rFonts w:ascii="宋体" w:hAnsi="宋体"/>
        </w:rPr>
        <w:t>17.2.2 如果发包人收到承包人通知后28</w:t>
      </w:r>
      <w:r>
        <w:rPr>
          <w:rFonts w:hint="eastAsia" w:ascii="宋体" w:hAnsi="宋体"/>
        </w:rPr>
        <w:t>天</w:t>
      </w:r>
      <w:r>
        <w:rPr>
          <w:rFonts w:ascii="宋体" w:hAnsi="宋体"/>
        </w:rPr>
        <w:t>内</w:t>
      </w:r>
      <w:r>
        <w:rPr>
          <w:rFonts w:hint="eastAsia" w:ascii="宋体" w:hAnsi="宋体"/>
        </w:rPr>
        <w:t>未</w:t>
      </w:r>
      <w:r>
        <w:rPr>
          <w:rFonts w:ascii="宋体" w:hAnsi="宋体"/>
        </w:rPr>
        <w:t>纠正违约，承包人可向发包人发出解除合同通知。合同解除后，承包人应妥善做好已交工工程和已购材料、设备的保护和移交工作，按发包人要求将承包人设备和人员撤出施工场地，同时发包人应为承包人</w:t>
      </w:r>
      <w:r>
        <w:rPr>
          <w:rFonts w:hint="eastAsia" w:ascii="宋体" w:hAnsi="宋体"/>
        </w:rPr>
        <w:t>的</w:t>
      </w:r>
      <w:r>
        <w:rPr>
          <w:rFonts w:ascii="宋体" w:hAnsi="宋体"/>
        </w:rPr>
        <w:t>撤出提供必要条件</w:t>
      </w:r>
      <w:r>
        <w:rPr>
          <w:rFonts w:hint="eastAsia" w:ascii="宋体" w:hAnsi="宋体"/>
        </w:rPr>
        <w:t>，</w:t>
      </w:r>
      <w:r>
        <w:rPr>
          <w:rFonts w:ascii="宋体" w:hAnsi="宋体"/>
        </w:rPr>
        <w:t>但承包人的</w:t>
      </w:r>
      <w:r>
        <w:rPr>
          <w:rFonts w:hint="eastAsia" w:ascii="宋体" w:hAnsi="宋体"/>
        </w:rPr>
        <w:t>这一</w:t>
      </w:r>
      <w:r>
        <w:rPr>
          <w:rFonts w:ascii="宋体" w:hAnsi="宋体"/>
        </w:rPr>
        <w:t>行动不免除发包人应承担的违约责任，也不影响承包人根据合同约定享有的索赔权利</w:t>
      </w:r>
      <w:r>
        <w:rPr>
          <w:rFonts w:hint="eastAsia" w:ascii="宋体" w:hAnsi="宋体"/>
        </w:rPr>
        <w:t>。</w:t>
      </w:r>
    </w:p>
    <w:p w14:paraId="076A846D">
      <w:pPr>
        <w:ind w:left="41" w:leftChars="17"/>
        <w:outlineLvl w:val="1"/>
        <w:rPr>
          <w:rFonts w:ascii="宋体" w:hAnsi="宋体"/>
          <w:b/>
          <w:bCs/>
          <w:kern w:val="0"/>
        </w:rPr>
      </w:pPr>
      <w:bookmarkStart w:id="752" w:name="_Toc6241374"/>
      <w:bookmarkStart w:id="753" w:name="_Toc184635120"/>
      <w:bookmarkStart w:id="754" w:name="_Toc5949"/>
      <w:bookmarkStart w:id="755" w:name="_Toc439160177"/>
      <w:bookmarkStart w:id="756" w:name="_Toc489084322"/>
      <w:bookmarkStart w:id="757" w:name="_Toc296602575"/>
      <w:bookmarkStart w:id="758" w:name="_Toc246996326"/>
      <w:bookmarkStart w:id="759" w:name="_Toc526793389"/>
      <w:bookmarkStart w:id="760" w:name="_Toc247085841"/>
      <w:bookmarkStart w:id="761" w:name="_Toc410986376"/>
      <w:bookmarkStart w:id="762" w:name="_Toc246997069"/>
      <w:r>
        <w:rPr>
          <w:rFonts w:ascii="宋体" w:hAnsi="宋体"/>
          <w:b/>
          <w:bCs/>
          <w:kern w:val="0"/>
        </w:rPr>
        <w:t xml:space="preserve">18. </w:t>
      </w:r>
      <w:r>
        <w:rPr>
          <w:rFonts w:hint="eastAsia" w:ascii="宋体" w:hAnsi="宋体"/>
          <w:b/>
          <w:bCs/>
          <w:kern w:val="0"/>
        </w:rPr>
        <w:t>索赔</w:t>
      </w:r>
      <w:bookmarkEnd w:id="752"/>
      <w:bookmarkEnd w:id="753"/>
      <w:bookmarkEnd w:id="754"/>
      <w:bookmarkEnd w:id="755"/>
      <w:bookmarkEnd w:id="756"/>
      <w:bookmarkEnd w:id="757"/>
      <w:bookmarkEnd w:id="758"/>
      <w:bookmarkEnd w:id="759"/>
      <w:bookmarkEnd w:id="760"/>
      <w:bookmarkEnd w:id="761"/>
      <w:bookmarkEnd w:id="762"/>
    </w:p>
    <w:p w14:paraId="74CCE9C1">
      <w:pPr>
        <w:snapToGrid w:val="0"/>
        <w:spacing w:line="336" w:lineRule="auto"/>
        <w:ind w:left="41" w:leftChars="17"/>
        <w:rPr>
          <w:rFonts w:ascii="宋体" w:hAnsi="宋体"/>
          <w:b/>
        </w:rPr>
      </w:pPr>
      <w:bookmarkStart w:id="763" w:name="_Toc246997070"/>
      <w:bookmarkStart w:id="764" w:name="_Toc246996327"/>
      <w:bookmarkStart w:id="765" w:name="_Toc296602576"/>
      <w:bookmarkStart w:id="766" w:name="_Toc247085842"/>
      <w:r>
        <w:rPr>
          <w:rFonts w:ascii="宋体" w:hAnsi="宋体"/>
          <w:b/>
        </w:rPr>
        <w:t xml:space="preserve">    18.1 承包人索赔的提出</w:t>
      </w:r>
      <w:bookmarkEnd w:id="763"/>
      <w:bookmarkEnd w:id="764"/>
      <w:bookmarkEnd w:id="765"/>
      <w:bookmarkEnd w:id="766"/>
    </w:p>
    <w:p w14:paraId="1281BA6A">
      <w:pPr>
        <w:snapToGrid w:val="0"/>
        <w:spacing w:line="336" w:lineRule="auto"/>
        <w:ind w:left="41" w:leftChars="17" w:firstLine="480" w:firstLineChars="200"/>
        <w:rPr>
          <w:rFonts w:ascii="宋体" w:hAnsi="宋体"/>
        </w:rPr>
      </w:pPr>
      <w:r>
        <w:rPr>
          <w:rFonts w:hint="eastAsia" w:ascii="宋体" w:hAnsi="宋体"/>
        </w:rPr>
        <w:t>根据合同约定，承包人认为有权得到追加付款和（或）延长工期的，应按以下程序向发包人提出索赔：</w:t>
      </w:r>
    </w:p>
    <w:p w14:paraId="32FE15FB">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1</w:t>
      </w:r>
      <w:r>
        <w:rPr>
          <w:rFonts w:hint="eastAsia" w:ascii="宋体" w:hAnsi="宋体"/>
        </w:rPr>
        <w:t>）承包人应在知道或应当知道索赔事件发生后</w:t>
      </w:r>
      <w:r>
        <w:rPr>
          <w:rFonts w:ascii="宋体" w:hAnsi="宋体"/>
        </w:rPr>
        <w:t xml:space="preserve">28 </w:t>
      </w:r>
      <w:r>
        <w:rPr>
          <w:rFonts w:hint="eastAsia" w:ascii="宋体" w:hAnsi="宋体"/>
        </w:rPr>
        <w:t>天内，向监理人递交索赔意向通知书，并说明发生索赔事件的事由。承包人未在前述</w:t>
      </w:r>
      <w:r>
        <w:rPr>
          <w:rFonts w:ascii="宋体" w:hAnsi="宋体"/>
        </w:rPr>
        <w:t>28</w:t>
      </w:r>
      <w:r>
        <w:rPr>
          <w:rFonts w:hint="eastAsia" w:ascii="宋体" w:hAnsi="宋体"/>
        </w:rPr>
        <w:t>天内发出索赔意向通知书的，丧失要求追加付款和（或）延长工期的权利；</w:t>
      </w:r>
    </w:p>
    <w:p w14:paraId="1A60A02B">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2</w:t>
      </w:r>
      <w:r>
        <w:rPr>
          <w:rFonts w:hint="eastAsia" w:ascii="宋体" w:hAnsi="宋体"/>
        </w:rPr>
        <w:t>）承包人应在发出索赔意向通知书后</w:t>
      </w:r>
      <w:r>
        <w:rPr>
          <w:rFonts w:ascii="宋体" w:hAnsi="宋体"/>
        </w:rPr>
        <w:t>28</w:t>
      </w:r>
      <w:r>
        <w:rPr>
          <w:rFonts w:hint="eastAsia" w:ascii="宋体" w:hAnsi="宋体"/>
        </w:rPr>
        <w:t>天内，向监理人正式递交索赔通知书。索赔通知书应详细说明索赔理由以及要求追加的付款金额和（或）延长的工期，并附必要的记录和证明材料；</w:t>
      </w:r>
    </w:p>
    <w:p w14:paraId="6AEAA1A9">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3</w:t>
      </w:r>
      <w:r>
        <w:rPr>
          <w:rFonts w:hint="eastAsia" w:ascii="宋体" w:hAnsi="宋体"/>
        </w:rPr>
        <w:t>）索赔事件具有连续影响的，承包人应按合理时间间隔继续递交延续索赔通知，说明连续影响的实际情况和记录，列出累计的追加付款金额和（或）工期延长天数；</w:t>
      </w:r>
    </w:p>
    <w:p w14:paraId="3B71C329">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4</w:t>
      </w:r>
      <w:r>
        <w:rPr>
          <w:rFonts w:hint="eastAsia" w:ascii="宋体" w:hAnsi="宋体"/>
        </w:rPr>
        <w:t>）在索赔事件影响结束后的</w:t>
      </w:r>
      <w:r>
        <w:rPr>
          <w:rFonts w:ascii="宋体" w:hAnsi="宋体"/>
        </w:rPr>
        <w:t xml:space="preserve">28 </w:t>
      </w:r>
      <w:r>
        <w:rPr>
          <w:rFonts w:hint="eastAsia" w:ascii="宋体" w:hAnsi="宋体"/>
        </w:rPr>
        <w:t>天内，承包人应向监理人递交最终索赔通知书，说明最终要求索赔的追加付款金额和延长的工期，并附必要的记录和证明材料。</w:t>
      </w:r>
    </w:p>
    <w:p w14:paraId="6B5F9046">
      <w:pPr>
        <w:snapToGrid w:val="0"/>
        <w:spacing w:line="336" w:lineRule="auto"/>
        <w:ind w:left="41" w:leftChars="17"/>
        <w:rPr>
          <w:rFonts w:ascii="宋体" w:hAnsi="宋体"/>
          <w:b/>
        </w:rPr>
      </w:pPr>
      <w:bookmarkStart w:id="767" w:name="_Toc246997071"/>
      <w:bookmarkStart w:id="768" w:name="_Toc246996328"/>
      <w:bookmarkStart w:id="769" w:name="_Toc247085843"/>
      <w:bookmarkStart w:id="770" w:name="_Toc296602577"/>
      <w:r>
        <w:rPr>
          <w:rFonts w:ascii="宋体" w:hAnsi="宋体"/>
          <w:b/>
        </w:rPr>
        <w:t xml:space="preserve">    18.2 承包人索赔处理程序</w:t>
      </w:r>
      <w:bookmarkEnd w:id="767"/>
      <w:bookmarkEnd w:id="768"/>
      <w:bookmarkEnd w:id="769"/>
      <w:bookmarkEnd w:id="770"/>
    </w:p>
    <w:p w14:paraId="729C1435">
      <w:pPr>
        <w:snapToGrid w:val="0"/>
        <w:spacing w:line="336" w:lineRule="auto"/>
        <w:ind w:left="41" w:leftChars="17" w:firstLine="480" w:firstLineChars="200"/>
        <w:rPr>
          <w:rFonts w:ascii="宋体" w:hAnsi="宋体"/>
        </w:rPr>
      </w:pPr>
      <w:bookmarkStart w:id="771" w:name="_Toc247085844"/>
      <w:bookmarkStart w:id="772" w:name="_Toc246997072"/>
      <w:bookmarkStart w:id="773" w:name="_Toc296602578"/>
      <w:bookmarkStart w:id="774" w:name="_Toc246996329"/>
      <w:r>
        <w:rPr>
          <w:rFonts w:hint="eastAsia" w:ascii="宋体" w:hAnsi="宋体"/>
        </w:rPr>
        <w:t>（</w:t>
      </w:r>
      <w:r>
        <w:rPr>
          <w:rFonts w:ascii="宋体" w:hAnsi="宋体"/>
        </w:rPr>
        <w:t>1</w:t>
      </w:r>
      <w:r>
        <w:rPr>
          <w:rFonts w:hint="eastAsia" w:ascii="宋体" w:hAnsi="宋体"/>
        </w:rPr>
        <w:t>）监理人收到承包人提交的索赔通知书后，应及时审查索赔通知书的内容、查验承包人的记录和证明材料，必要时监理人可要求承包人提交全部原始记录副本。</w:t>
      </w:r>
    </w:p>
    <w:p w14:paraId="6FA83DB6">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2</w:t>
      </w:r>
      <w:r>
        <w:rPr>
          <w:rFonts w:hint="eastAsia" w:ascii="宋体" w:hAnsi="宋体"/>
        </w:rPr>
        <w:t>）监理人应审核追加的付款和（或）延长的工期，并在收到上述索赔通知书或有关索赔的进一步证明材料后的</w:t>
      </w:r>
      <w:r>
        <w:rPr>
          <w:rFonts w:ascii="宋体" w:hAnsi="宋体"/>
        </w:rPr>
        <w:t>28</w:t>
      </w:r>
      <w:r>
        <w:rPr>
          <w:rFonts w:hint="eastAsia" w:ascii="宋体" w:hAnsi="宋体"/>
        </w:rPr>
        <w:t>天内，将索赔审核结果提交发包人。发包人应当在收到索赔通知书或有关索赔的进一步证明材料及监理人初审意见后的</w:t>
      </w:r>
      <w:r>
        <w:rPr>
          <w:rFonts w:ascii="宋体" w:hAnsi="宋体"/>
        </w:rPr>
        <w:t>28</w:t>
      </w:r>
      <w:r>
        <w:rPr>
          <w:rFonts w:hint="eastAsia" w:ascii="宋体" w:hAnsi="宋体"/>
        </w:rPr>
        <w:t>天内给予答复，不予答复的，视为认可索赔。</w:t>
      </w:r>
    </w:p>
    <w:p w14:paraId="110AE8AF">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3</w:t>
      </w:r>
      <w:r>
        <w:rPr>
          <w:rFonts w:hint="eastAsia" w:ascii="宋体" w:hAnsi="宋体"/>
        </w:rPr>
        <w:t>）承包人接受索赔处理结果的，发包人应在作出索赔处理结果答复后</w:t>
      </w:r>
      <w:r>
        <w:rPr>
          <w:rFonts w:ascii="宋体" w:hAnsi="宋体"/>
        </w:rPr>
        <w:t xml:space="preserve">28 </w:t>
      </w:r>
      <w:r>
        <w:rPr>
          <w:rFonts w:hint="eastAsia" w:ascii="宋体" w:hAnsi="宋体"/>
        </w:rPr>
        <w:t>天内完成赔付。承包人不接受索赔处理结果的，按第</w:t>
      </w:r>
      <w:r>
        <w:rPr>
          <w:rFonts w:ascii="宋体" w:hAnsi="宋体"/>
        </w:rPr>
        <w:t>19条的约定执行。</w:t>
      </w:r>
    </w:p>
    <w:p w14:paraId="4BD2C55B">
      <w:pPr>
        <w:snapToGrid w:val="0"/>
        <w:spacing w:line="336" w:lineRule="auto"/>
        <w:ind w:left="41" w:leftChars="17"/>
        <w:rPr>
          <w:rFonts w:ascii="宋体" w:hAnsi="宋体"/>
          <w:b/>
        </w:rPr>
      </w:pPr>
      <w:r>
        <w:rPr>
          <w:rFonts w:ascii="宋体" w:hAnsi="宋体"/>
          <w:b/>
        </w:rPr>
        <w:t xml:space="preserve">    18.3 承包人提出索赔的期限</w:t>
      </w:r>
      <w:bookmarkEnd w:id="771"/>
      <w:bookmarkEnd w:id="772"/>
      <w:bookmarkEnd w:id="773"/>
      <w:bookmarkEnd w:id="774"/>
    </w:p>
    <w:p w14:paraId="575B0743">
      <w:pPr>
        <w:snapToGrid w:val="0"/>
        <w:spacing w:line="336" w:lineRule="auto"/>
        <w:ind w:left="41" w:leftChars="17" w:firstLine="480" w:firstLineChars="200"/>
        <w:rPr>
          <w:rFonts w:ascii="宋体" w:hAnsi="宋体"/>
          <w:kern w:val="0"/>
        </w:rPr>
      </w:pPr>
      <w:r>
        <w:rPr>
          <w:rFonts w:hint="eastAsia" w:ascii="宋体" w:hAnsi="宋体"/>
          <w:kern w:val="0"/>
        </w:rPr>
        <w:t>承包人接受了发包人审核的工程结算书后，应被认为已无权再提出此前所发生的其它任何索赔。</w:t>
      </w:r>
    </w:p>
    <w:p w14:paraId="3959084B">
      <w:pPr>
        <w:snapToGrid w:val="0"/>
        <w:spacing w:line="336" w:lineRule="auto"/>
        <w:ind w:left="41" w:leftChars="17"/>
        <w:rPr>
          <w:rFonts w:ascii="宋体" w:hAnsi="宋体"/>
          <w:b/>
        </w:rPr>
      </w:pPr>
      <w:bookmarkStart w:id="775" w:name="_Toc296602579"/>
      <w:r>
        <w:rPr>
          <w:rFonts w:ascii="宋体" w:hAnsi="宋体"/>
          <w:b/>
        </w:rPr>
        <w:t xml:space="preserve">    18.4 发包人索赔的提出</w:t>
      </w:r>
      <w:bookmarkEnd w:id="775"/>
    </w:p>
    <w:p w14:paraId="6F5F589B">
      <w:pPr>
        <w:snapToGrid w:val="0"/>
        <w:spacing w:line="336" w:lineRule="auto"/>
        <w:ind w:left="41" w:leftChars="17" w:firstLine="480" w:firstLineChars="200"/>
        <w:rPr>
          <w:rFonts w:ascii="宋体" w:hAnsi="宋体"/>
          <w:kern w:val="0"/>
        </w:rPr>
      </w:pPr>
      <w:r>
        <w:rPr>
          <w:rFonts w:ascii="宋体" w:hAnsi="宋体"/>
          <w:kern w:val="0"/>
        </w:rPr>
        <w:t>根据合同约定，发包人认为有权得到赔付金额和（或）延长缺陷责任期的，</w:t>
      </w:r>
      <w:r>
        <w:rPr>
          <w:rFonts w:hint="eastAsia" w:ascii="宋体" w:hAnsi="宋体"/>
          <w:kern w:val="0"/>
        </w:rPr>
        <w:t>应按以下程序向承包人提出索赔：</w:t>
      </w:r>
    </w:p>
    <w:p w14:paraId="60E9691D">
      <w:pPr>
        <w:snapToGrid w:val="0"/>
        <w:spacing w:line="336" w:lineRule="auto"/>
        <w:ind w:left="41" w:leftChars="17" w:firstLine="480" w:firstLineChars="200"/>
        <w:rPr>
          <w:rFonts w:ascii="宋体" w:hAnsi="宋体"/>
          <w:kern w:val="0"/>
        </w:rPr>
      </w:pPr>
      <w:r>
        <w:rPr>
          <w:rFonts w:ascii="宋体" w:hAnsi="宋体"/>
          <w:kern w:val="0"/>
        </w:rPr>
        <w:t>（1）发包人应在知道或应当知道索赔事件发生后28天内通过监理人向承包人提出索赔意向通知书，发包人未在前述28天内发出索赔意向通知书的，丧失要求赔付金额和（或）延长缺陷责任期的权利。</w:t>
      </w:r>
    </w:p>
    <w:p w14:paraId="02AE362B">
      <w:pPr>
        <w:snapToGrid w:val="0"/>
        <w:spacing w:line="336" w:lineRule="auto"/>
        <w:ind w:left="41" w:leftChars="17" w:firstLine="480" w:firstLineChars="200"/>
        <w:rPr>
          <w:rFonts w:ascii="宋体" w:hAnsi="宋体"/>
          <w:kern w:val="0"/>
        </w:rPr>
      </w:pPr>
      <w:r>
        <w:rPr>
          <w:rFonts w:ascii="宋体" w:hAnsi="宋体"/>
          <w:kern w:val="0"/>
        </w:rPr>
        <w:t>（2）发包人应在发出索赔意向通知书后28天内，通过监理人向承包人正式递交索赔报告。</w:t>
      </w:r>
    </w:p>
    <w:p w14:paraId="27E677CA">
      <w:pPr>
        <w:snapToGrid w:val="0"/>
        <w:spacing w:line="336" w:lineRule="auto"/>
        <w:ind w:left="41" w:leftChars="17"/>
        <w:rPr>
          <w:rFonts w:ascii="宋体" w:hAnsi="宋体"/>
          <w:b/>
        </w:rPr>
      </w:pPr>
      <w:bookmarkStart w:id="776" w:name="_Toc296602580"/>
      <w:r>
        <w:rPr>
          <w:rFonts w:ascii="宋体" w:hAnsi="宋体"/>
          <w:b/>
        </w:rPr>
        <w:t xml:space="preserve">    18.5 发包人索赔处理程序</w:t>
      </w:r>
      <w:bookmarkEnd w:id="776"/>
    </w:p>
    <w:p w14:paraId="787876DE">
      <w:pPr>
        <w:snapToGrid w:val="0"/>
        <w:spacing w:line="336" w:lineRule="auto"/>
        <w:ind w:left="41" w:leftChars="17" w:firstLine="480" w:firstLineChars="200"/>
        <w:rPr>
          <w:rFonts w:ascii="宋体" w:hAnsi="宋体"/>
          <w:kern w:val="0"/>
        </w:rPr>
      </w:pPr>
      <w:r>
        <w:rPr>
          <w:rFonts w:hint="eastAsia" w:ascii="宋体" w:hAnsi="宋体"/>
          <w:kern w:val="0"/>
        </w:rPr>
        <w:t>（</w:t>
      </w:r>
      <w:r>
        <w:rPr>
          <w:rFonts w:ascii="宋体" w:hAnsi="宋体"/>
          <w:kern w:val="0"/>
        </w:rPr>
        <w:t>1）发包人应在知道或应当知道索赔事件发生后28</w:t>
      </w:r>
      <w:r>
        <w:rPr>
          <w:rFonts w:hint="eastAsia" w:ascii="宋体" w:hAnsi="宋体"/>
          <w:kern w:val="0"/>
        </w:rPr>
        <w:t>天内，向承包人发出索赔通知，并说明发包人有权扣减的付款和（或）延长缺陷责任期的细节和依据。发包人未在前述</w:t>
      </w:r>
      <w:r>
        <w:rPr>
          <w:rFonts w:ascii="宋体" w:hAnsi="宋体"/>
          <w:kern w:val="0"/>
        </w:rPr>
        <w:t>28</w:t>
      </w:r>
      <w:r>
        <w:rPr>
          <w:rFonts w:hint="eastAsia" w:ascii="宋体" w:hAnsi="宋体"/>
          <w:kern w:val="0"/>
        </w:rPr>
        <w:t>天内发出索赔通知的，丧失要求扣减付款和（或）延长缺陷责任期的权利。发包人提出索赔的期限和要求与第</w:t>
      </w:r>
      <w:r>
        <w:rPr>
          <w:rFonts w:ascii="宋体" w:hAnsi="宋体"/>
          <w:kern w:val="0"/>
        </w:rPr>
        <w:t xml:space="preserve">18.3 </w:t>
      </w:r>
      <w:r>
        <w:rPr>
          <w:rFonts w:hint="eastAsia" w:ascii="宋体" w:hAnsi="宋体"/>
          <w:kern w:val="0"/>
        </w:rPr>
        <w:t>款的约定相同，要求延长缺陷责任期通知应在缺陷责任期届满前发出。</w:t>
      </w:r>
    </w:p>
    <w:p w14:paraId="11CE2E90">
      <w:pPr>
        <w:snapToGrid w:val="0"/>
        <w:spacing w:line="336" w:lineRule="auto"/>
        <w:ind w:left="41" w:leftChars="17" w:firstLine="480" w:firstLineChars="200"/>
        <w:rPr>
          <w:rFonts w:ascii="宋体" w:hAnsi="宋体"/>
          <w:kern w:val="0"/>
        </w:rPr>
      </w:pPr>
      <w:r>
        <w:rPr>
          <w:rFonts w:hint="eastAsia" w:ascii="宋体" w:hAnsi="宋体"/>
          <w:kern w:val="0"/>
        </w:rPr>
        <w:t>（</w:t>
      </w:r>
      <w:r>
        <w:rPr>
          <w:rFonts w:ascii="宋体" w:hAnsi="宋体"/>
          <w:kern w:val="0"/>
        </w:rPr>
        <w:t>2）承包人应付给发包人的金额可从拟支付给承包人的合同价款中扣除，或由承包人以其他方式支付给发包人。</w:t>
      </w:r>
    </w:p>
    <w:p w14:paraId="43FDCA13">
      <w:pPr>
        <w:spacing w:line="336" w:lineRule="auto"/>
        <w:ind w:left="41" w:leftChars="17"/>
        <w:outlineLvl w:val="1"/>
        <w:rPr>
          <w:rFonts w:ascii="宋体" w:hAnsi="宋体"/>
          <w:b/>
          <w:bCs/>
          <w:kern w:val="0"/>
        </w:rPr>
      </w:pPr>
      <w:bookmarkStart w:id="777" w:name="_Toc489084323"/>
      <w:bookmarkStart w:id="778" w:name="_Toc13345"/>
      <w:bookmarkStart w:id="779" w:name="_Toc410986377"/>
      <w:bookmarkStart w:id="780" w:name="_Toc6241375"/>
      <w:bookmarkStart w:id="781" w:name="_Toc439160178"/>
      <w:bookmarkStart w:id="782" w:name="_Toc526793390"/>
      <w:bookmarkStart w:id="783" w:name="_Toc296602585"/>
      <w:bookmarkStart w:id="784" w:name="_Toc246996335"/>
      <w:bookmarkStart w:id="785" w:name="_Toc247085850"/>
      <w:bookmarkStart w:id="786" w:name="_Toc246997078"/>
      <w:r>
        <w:rPr>
          <w:rFonts w:ascii="宋体" w:hAnsi="宋体"/>
          <w:b/>
          <w:bCs/>
          <w:kern w:val="0"/>
        </w:rPr>
        <w:t xml:space="preserve">19. </w:t>
      </w:r>
      <w:r>
        <w:rPr>
          <w:rFonts w:hint="eastAsia" w:ascii="宋体" w:hAnsi="宋体"/>
          <w:b/>
          <w:bCs/>
          <w:kern w:val="0"/>
        </w:rPr>
        <w:t>争议解决</w:t>
      </w:r>
      <w:bookmarkEnd w:id="777"/>
      <w:bookmarkEnd w:id="778"/>
      <w:bookmarkEnd w:id="779"/>
      <w:bookmarkEnd w:id="780"/>
      <w:bookmarkEnd w:id="781"/>
      <w:bookmarkEnd w:id="782"/>
    </w:p>
    <w:p w14:paraId="7511C649">
      <w:pPr>
        <w:snapToGrid w:val="0"/>
        <w:spacing w:line="336" w:lineRule="auto"/>
        <w:ind w:left="41" w:leftChars="17"/>
        <w:rPr>
          <w:rFonts w:ascii="宋体" w:hAnsi="宋体"/>
          <w:b/>
        </w:rPr>
      </w:pPr>
      <w:r>
        <w:rPr>
          <w:rFonts w:ascii="宋体" w:hAnsi="宋体"/>
          <w:b/>
        </w:rPr>
        <w:t xml:space="preserve">    19.1争议的解决方式</w:t>
      </w:r>
    </w:p>
    <w:p w14:paraId="1C025741">
      <w:pPr>
        <w:snapToGrid w:val="0"/>
        <w:spacing w:line="336" w:lineRule="auto"/>
        <w:ind w:left="41" w:leftChars="17" w:firstLine="480" w:firstLineChars="200"/>
        <w:rPr>
          <w:rFonts w:ascii="宋体" w:hAnsi="宋体"/>
        </w:rPr>
      </w:pPr>
      <w:r>
        <w:rPr>
          <w:rFonts w:hint="eastAsia" w:ascii="宋体" w:hAnsi="宋体"/>
        </w:rPr>
        <w:t>发包人和承包人在履行合同中发生争议的，双方</w:t>
      </w:r>
      <w:r>
        <w:rPr>
          <w:rFonts w:ascii="宋体" w:hAnsi="宋体"/>
        </w:rPr>
        <w:t>进行调解，调解达成协议的，经双方签字并盖章后作为合同补充文件，双方均应遵照执行。</w:t>
      </w:r>
      <w:r>
        <w:rPr>
          <w:rFonts w:hint="eastAsia" w:ascii="宋体" w:hAnsi="宋体"/>
        </w:rPr>
        <w:t>合同当事人调解不成的，可在专用合同条款中约定下列一种方式解决：</w:t>
      </w:r>
    </w:p>
    <w:p w14:paraId="1D023056">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l）向约定的仲裁委员会申请仲裁；</w:t>
      </w:r>
    </w:p>
    <w:p w14:paraId="16715BAB">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2）向有管辖权的人民法院提起诉讼；</w:t>
      </w:r>
    </w:p>
    <w:p w14:paraId="1B50F17C">
      <w:pPr>
        <w:snapToGrid w:val="0"/>
        <w:spacing w:line="336" w:lineRule="auto"/>
        <w:ind w:left="41" w:leftChars="17" w:firstLine="480" w:firstLineChars="200"/>
        <w:rPr>
          <w:rFonts w:ascii="宋体" w:hAnsi="宋体"/>
        </w:rPr>
      </w:pPr>
      <w:r>
        <w:rPr>
          <w:rFonts w:hint="eastAsia" w:ascii="宋体" w:hAnsi="宋体"/>
        </w:rPr>
        <w:t>（</w:t>
      </w:r>
      <w:r>
        <w:rPr>
          <w:rFonts w:ascii="宋体" w:hAnsi="宋体"/>
        </w:rPr>
        <w:t>3）其他争议解决方式。</w:t>
      </w:r>
    </w:p>
    <w:p w14:paraId="00A8D0C1">
      <w:pPr>
        <w:snapToGrid w:val="0"/>
        <w:spacing w:line="336" w:lineRule="auto"/>
        <w:ind w:left="41" w:leftChars="17"/>
        <w:rPr>
          <w:rFonts w:ascii="宋体" w:hAnsi="宋体"/>
          <w:b/>
        </w:rPr>
      </w:pPr>
      <w:r>
        <w:rPr>
          <w:rFonts w:ascii="宋体" w:hAnsi="宋体"/>
          <w:b/>
        </w:rPr>
        <w:t xml:space="preserve">    19.2 友好协商解决</w:t>
      </w:r>
    </w:p>
    <w:p w14:paraId="7C184CF6">
      <w:pPr>
        <w:snapToGrid w:val="0"/>
        <w:spacing w:line="336" w:lineRule="auto"/>
        <w:ind w:left="41" w:leftChars="17" w:firstLine="480" w:firstLineChars="200"/>
        <w:rPr>
          <w:rFonts w:ascii="宋体" w:hAnsi="宋体"/>
        </w:rPr>
      </w:pPr>
      <w:r>
        <w:rPr>
          <w:rFonts w:hint="eastAsia" w:ascii="宋体" w:hAnsi="宋体"/>
        </w:rPr>
        <w:t>在调解、提请仲裁或者诉讼前，以及在调解、仲裁或诉讼过程中，发包人和承包人均可共同努力友好协商解决争议。</w:t>
      </w:r>
    </w:p>
    <w:p w14:paraId="5D5B2414">
      <w:pPr>
        <w:snapToGrid w:val="0"/>
        <w:spacing w:line="336" w:lineRule="auto"/>
        <w:ind w:left="41" w:leftChars="17"/>
        <w:rPr>
          <w:rFonts w:ascii="宋体" w:hAnsi="宋体"/>
          <w:b/>
        </w:rPr>
      </w:pPr>
      <w:r>
        <w:rPr>
          <w:rFonts w:ascii="宋体" w:hAnsi="宋体"/>
          <w:b/>
        </w:rPr>
        <w:t xml:space="preserve">    19.3争议解决条款效力</w:t>
      </w:r>
    </w:p>
    <w:p w14:paraId="1EF42279">
      <w:pPr>
        <w:snapToGrid w:val="0"/>
        <w:spacing w:line="336" w:lineRule="auto"/>
        <w:ind w:left="41" w:leftChars="17" w:firstLine="480" w:firstLineChars="200"/>
        <w:rPr>
          <w:rFonts w:ascii="宋体" w:hAnsi="宋体"/>
          <w:b/>
        </w:rPr>
      </w:pPr>
      <w:r>
        <w:rPr>
          <w:rFonts w:ascii="宋体" w:hAnsi="宋体"/>
        </w:rPr>
        <w:t>合同有关争议解决的条款独立存在，合同的变更、解除、终止、无效或者被撤销均不影响其效力。</w:t>
      </w:r>
      <w:bookmarkEnd w:id="783"/>
      <w:bookmarkEnd w:id="784"/>
      <w:bookmarkEnd w:id="785"/>
      <w:bookmarkEnd w:id="786"/>
      <w:bookmarkStart w:id="787" w:name="_Toc410986378"/>
      <w:bookmarkStart w:id="788" w:name="_Toc401303319"/>
    </w:p>
    <w:p w14:paraId="75EAD4D6">
      <w:pPr>
        <w:jc w:val="left"/>
        <w:rPr>
          <w:rFonts w:ascii="Arial" w:hAnsi="Arial"/>
          <w:b/>
          <w:bCs/>
          <w:kern w:val="0"/>
          <w:sz w:val="40"/>
          <w:szCs w:val="40"/>
        </w:rPr>
      </w:pPr>
      <w:bookmarkStart w:id="789" w:name="_Toc439160179"/>
      <w:bookmarkStart w:id="790" w:name="_Toc489084324"/>
      <w:bookmarkStart w:id="791" w:name="_Toc6241376"/>
      <w:bookmarkStart w:id="792" w:name="_Toc8492"/>
      <w:bookmarkStart w:id="793" w:name="_Toc526793391"/>
      <w:r>
        <w:rPr>
          <w:rFonts w:ascii="Arial" w:hAnsi="Arial"/>
          <w:b/>
          <w:bCs/>
          <w:kern w:val="0"/>
          <w:sz w:val="40"/>
          <w:szCs w:val="40"/>
        </w:rPr>
        <w:br w:type="page"/>
      </w:r>
    </w:p>
    <w:p w14:paraId="29E034F9">
      <w:pPr>
        <w:ind w:left="41" w:leftChars="17"/>
        <w:jc w:val="center"/>
        <w:outlineLvl w:val="1"/>
        <w:rPr>
          <w:rFonts w:ascii="Arial" w:hAnsi="Arial"/>
          <w:b/>
          <w:bCs/>
          <w:kern w:val="0"/>
          <w:sz w:val="40"/>
          <w:szCs w:val="40"/>
        </w:rPr>
      </w:pPr>
      <w:r>
        <w:rPr>
          <w:rFonts w:hint="eastAsia" w:ascii="Arial" w:hAnsi="Arial"/>
          <w:b/>
          <w:bCs/>
          <w:kern w:val="0"/>
          <w:sz w:val="40"/>
          <w:szCs w:val="40"/>
        </w:rPr>
        <w:t>第三部分</w:t>
      </w:r>
      <w:r>
        <w:rPr>
          <w:rFonts w:ascii="Arial" w:hAnsi="Arial"/>
          <w:b/>
          <w:bCs/>
          <w:kern w:val="0"/>
          <w:sz w:val="40"/>
          <w:szCs w:val="40"/>
        </w:rPr>
        <w:t xml:space="preserve"> </w:t>
      </w:r>
      <w:r>
        <w:rPr>
          <w:rFonts w:hint="eastAsia" w:ascii="Arial" w:hAnsi="Arial"/>
          <w:b/>
          <w:bCs/>
          <w:kern w:val="0"/>
          <w:sz w:val="40"/>
          <w:szCs w:val="40"/>
        </w:rPr>
        <w:t>专用合同条款</w:t>
      </w:r>
      <w:bookmarkEnd w:id="787"/>
      <w:bookmarkEnd w:id="788"/>
      <w:bookmarkEnd w:id="789"/>
      <w:bookmarkEnd w:id="790"/>
      <w:bookmarkEnd w:id="791"/>
      <w:bookmarkEnd w:id="792"/>
      <w:bookmarkEnd w:id="793"/>
    </w:p>
    <w:p w14:paraId="49B2E87A">
      <w:pPr>
        <w:ind w:left="41" w:leftChars="17"/>
        <w:outlineLvl w:val="1"/>
        <w:rPr>
          <w:rFonts w:ascii="宋体" w:hAnsi="宋体"/>
          <w:bCs/>
          <w:kern w:val="0"/>
        </w:rPr>
      </w:pPr>
      <w:bookmarkStart w:id="794" w:name="_Toc439160180"/>
      <w:bookmarkStart w:id="795" w:name="_Toc489084325"/>
      <w:bookmarkStart w:id="796" w:name="_Toc6241377"/>
      <w:bookmarkStart w:id="797" w:name="_Toc2266"/>
      <w:bookmarkStart w:id="798" w:name="_Toc410986379"/>
      <w:bookmarkStart w:id="799" w:name="_Toc526793392"/>
      <w:r>
        <w:rPr>
          <w:rFonts w:ascii="宋体" w:hAnsi="宋体"/>
          <w:b/>
          <w:bCs/>
          <w:kern w:val="0"/>
        </w:rPr>
        <w:t xml:space="preserve">1. </w:t>
      </w:r>
      <w:r>
        <w:rPr>
          <w:rFonts w:hint="eastAsia" w:ascii="宋体" w:hAnsi="宋体"/>
          <w:b/>
          <w:bCs/>
          <w:kern w:val="0"/>
        </w:rPr>
        <w:t>一般约定</w:t>
      </w:r>
      <w:bookmarkEnd w:id="794"/>
      <w:bookmarkEnd w:id="795"/>
      <w:bookmarkEnd w:id="796"/>
      <w:bookmarkEnd w:id="797"/>
      <w:bookmarkEnd w:id="798"/>
      <w:bookmarkEnd w:id="799"/>
    </w:p>
    <w:p w14:paraId="7DCBB505">
      <w:pPr>
        <w:snapToGrid w:val="0"/>
        <w:ind w:left="41" w:leftChars="17"/>
        <w:rPr>
          <w:rFonts w:ascii="宋体" w:hAnsi="宋体"/>
          <w:b/>
        </w:rPr>
      </w:pPr>
      <w:r>
        <w:rPr>
          <w:rFonts w:ascii="宋体" w:hAnsi="宋体"/>
          <w:b/>
        </w:rPr>
        <w:t xml:space="preserve">    1.1 词语定义与解释</w:t>
      </w:r>
    </w:p>
    <w:p w14:paraId="2873F28A">
      <w:pPr>
        <w:snapToGrid w:val="0"/>
        <w:ind w:left="41" w:leftChars="17" w:firstLine="480" w:firstLineChars="200"/>
        <w:rPr>
          <w:rFonts w:ascii="宋体" w:hAnsi="宋体"/>
        </w:rPr>
      </w:pPr>
      <w:r>
        <w:rPr>
          <w:rFonts w:ascii="宋体" w:hAnsi="宋体"/>
        </w:rPr>
        <w:t xml:space="preserve">1.1.3 </w:t>
      </w:r>
      <w:r>
        <w:rPr>
          <w:rFonts w:hint="eastAsia" w:ascii="宋体" w:hAnsi="宋体"/>
        </w:rPr>
        <w:t>工程和设备</w:t>
      </w:r>
    </w:p>
    <w:p w14:paraId="6DA69DB2">
      <w:pPr>
        <w:snapToGrid w:val="0"/>
        <w:ind w:left="41" w:leftChars="17" w:firstLine="480" w:firstLineChars="200"/>
        <w:rPr>
          <w:rFonts w:ascii="宋体"/>
          <w:kern w:val="0"/>
        </w:rPr>
      </w:pPr>
      <w:r>
        <w:rPr>
          <w:rFonts w:ascii="宋体" w:hAnsi="宋体"/>
        </w:rPr>
        <w:t>1.1.3.9</w:t>
      </w:r>
      <w:r>
        <w:rPr>
          <w:rFonts w:hint="eastAsia" w:ascii="宋体" w:hAnsi="宋体"/>
          <w:kern w:val="0"/>
        </w:rPr>
        <w:t>永久占地包括</w:t>
      </w:r>
      <w:r>
        <w:rPr>
          <w:rFonts w:ascii="宋体" w:hAnsi="宋体"/>
          <w:kern w:val="0"/>
        </w:rPr>
        <w:t>：</w:t>
      </w:r>
      <w:r>
        <w:rPr>
          <w:rFonts w:ascii="宋体" w:hAnsi="宋体"/>
          <w:u w:val="single"/>
        </w:rPr>
        <w:t>/</w:t>
      </w:r>
      <w:r>
        <w:rPr>
          <w:rFonts w:hint="eastAsia" w:ascii="宋体" w:hAnsi="宋体"/>
        </w:rPr>
        <w:t>。</w:t>
      </w:r>
    </w:p>
    <w:p w14:paraId="443FEA56">
      <w:pPr>
        <w:snapToGrid w:val="0"/>
        <w:ind w:left="41" w:leftChars="17" w:firstLine="480" w:firstLineChars="200"/>
        <w:rPr>
          <w:rFonts w:ascii="宋体"/>
          <w:kern w:val="0"/>
        </w:rPr>
      </w:pPr>
      <w:r>
        <w:rPr>
          <w:rFonts w:ascii="宋体" w:hAnsi="宋体"/>
        </w:rPr>
        <w:t>1.1.3.10</w:t>
      </w:r>
      <w:r>
        <w:rPr>
          <w:rFonts w:hint="eastAsia" w:ascii="宋体" w:hAnsi="宋体"/>
          <w:kern w:val="0"/>
        </w:rPr>
        <w:t>临时占地包括</w:t>
      </w:r>
      <w:r>
        <w:rPr>
          <w:rFonts w:ascii="宋体" w:hAnsi="宋体"/>
          <w:kern w:val="0"/>
        </w:rPr>
        <w:t>：</w:t>
      </w:r>
      <w:r>
        <w:rPr>
          <w:rFonts w:ascii="宋体" w:hAnsi="宋体"/>
          <w:u w:val="single"/>
        </w:rPr>
        <w:t>/</w:t>
      </w:r>
      <w:r>
        <w:rPr>
          <w:rFonts w:hint="eastAsia" w:ascii="宋体" w:hAnsi="宋体"/>
        </w:rPr>
        <w:t>。</w:t>
      </w:r>
    </w:p>
    <w:p w14:paraId="240BD56F">
      <w:pPr>
        <w:snapToGrid w:val="0"/>
        <w:ind w:left="41" w:leftChars="17"/>
        <w:rPr>
          <w:rFonts w:ascii="宋体" w:hAnsi="宋体"/>
          <w:b/>
        </w:rPr>
      </w:pPr>
      <w:r>
        <w:rPr>
          <w:rFonts w:ascii="宋体" w:hAnsi="宋体"/>
          <w:b/>
        </w:rPr>
        <w:t xml:space="preserve">1.3 </w:t>
      </w:r>
      <w:r>
        <w:rPr>
          <w:rFonts w:hint="eastAsia" w:ascii="宋体" w:hAnsi="宋体"/>
          <w:b/>
        </w:rPr>
        <w:t>法律、标准及规范</w:t>
      </w:r>
    </w:p>
    <w:p w14:paraId="7090AF82">
      <w:pPr>
        <w:snapToGrid w:val="0"/>
        <w:ind w:left="41" w:leftChars="17" w:firstLine="480" w:firstLineChars="200"/>
        <w:rPr>
          <w:rFonts w:ascii="宋体"/>
        </w:rPr>
      </w:pPr>
      <w:r>
        <w:rPr>
          <w:rFonts w:ascii="宋体" w:hAnsi="宋体"/>
        </w:rPr>
        <w:t xml:space="preserve">1.3.2 </w:t>
      </w:r>
      <w:r>
        <w:rPr>
          <w:rFonts w:hint="eastAsia" w:ascii="宋体" w:hAnsi="宋体"/>
        </w:rPr>
        <w:t>标准及规范</w:t>
      </w:r>
    </w:p>
    <w:p w14:paraId="1E5D5B38">
      <w:pPr>
        <w:snapToGrid w:val="0"/>
        <w:ind w:left="41" w:leftChars="17" w:firstLine="480" w:firstLineChars="200"/>
        <w:rPr>
          <w:rFonts w:ascii="宋体" w:hAnsi="宋体"/>
        </w:rPr>
      </w:pPr>
      <w:r>
        <w:rPr>
          <w:rFonts w:ascii="宋体" w:hAnsi="宋体"/>
        </w:rPr>
        <w:t>1.3.2.1适用于工程</w:t>
      </w:r>
      <w:r>
        <w:rPr>
          <w:rFonts w:hint="eastAsia" w:ascii="宋体" w:hAnsi="宋体"/>
        </w:rPr>
        <w:t>的特别</w:t>
      </w:r>
      <w:r>
        <w:rPr>
          <w:rFonts w:ascii="宋体" w:hAnsi="宋体"/>
        </w:rPr>
        <w:t>的标准</w:t>
      </w:r>
      <w:r>
        <w:rPr>
          <w:rFonts w:hint="eastAsia" w:ascii="宋体" w:hAnsi="宋体"/>
        </w:rPr>
        <w:t>、</w:t>
      </w:r>
      <w:r>
        <w:rPr>
          <w:rFonts w:ascii="宋体" w:hAnsi="宋体"/>
        </w:rPr>
        <w:t>规范包括：</w:t>
      </w:r>
      <w:r>
        <w:rPr>
          <w:rFonts w:ascii="宋体" w:hAnsi="宋体"/>
          <w:u w:val="single"/>
        </w:rPr>
        <w:t xml:space="preserve">  《中华人民共和国民法典》、《中华人民共和国建筑法》、《中华人民共和国招标投标法》、《建设工程质量管理条例》、《建设工程施工发包与承包价格暂行规定》等国家及地方现行有关法律法规</w:t>
      </w:r>
      <w:r>
        <w:rPr>
          <w:rFonts w:hint="eastAsia" w:ascii="宋体" w:hAnsi="宋体"/>
        </w:rPr>
        <w:t>。</w:t>
      </w:r>
    </w:p>
    <w:p w14:paraId="28D76A81">
      <w:pPr>
        <w:snapToGrid w:val="0"/>
        <w:ind w:left="41" w:leftChars="17" w:firstLine="480" w:firstLineChars="200"/>
        <w:rPr>
          <w:rFonts w:ascii="宋体" w:hAnsi="宋体"/>
        </w:rPr>
      </w:pPr>
      <w:r>
        <w:rPr>
          <w:rFonts w:ascii="宋体" w:hAnsi="宋体"/>
        </w:rPr>
        <w:t xml:space="preserve">1.3.2.2 </w:t>
      </w:r>
      <w:r>
        <w:rPr>
          <w:rFonts w:hint="eastAsia" w:ascii="宋体" w:hAnsi="宋体"/>
        </w:rPr>
        <w:t>发包人</w:t>
      </w:r>
      <w:r>
        <w:rPr>
          <w:rFonts w:ascii="宋体" w:hAnsi="宋体"/>
        </w:rPr>
        <w:t>提供国外标准、规范的名称：</w:t>
      </w:r>
      <w:r>
        <w:rPr>
          <w:rFonts w:ascii="宋体" w:hAnsi="宋体"/>
          <w:u w:val="single"/>
        </w:rPr>
        <w:t xml:space="preserve">       无         </w:t>
      </w:r>
      <w:r>
        <w:rPr>
          <w:rFonts w:hint="eastAsia" w:ascii="宋体" w:hAnsi="宋体"/>
        </w:rPr>
        <w:t>。</w:t>
      </w:r>
    </w:p>
    <w:p w14:paraId="09E59C9D">
      <w:pPr>
        <w:snapToGrid w:val="0"/>
        <w:ind w:left="41" w:leftChars="17" w:firstLine="480" w:firstLineChars="200"/>
        <w:rPr>
          <w:rFonts w:ascii="宋体" w:hAnsi="宋体"/>
        </w:rPr>
      </w:pPr>
      <w:r>
        <w:rPr>
          <w:rFonts w:hint="eastAsia" w:ascii="宋体" w:hAnsi="宋体"/>
        </w:rPr>
        <w:t>发包人</w:t>
      </w:r>
      <w:r>
        <w:rPr>
          <w:rFonts w:ascii="宋体" w:hAnsi="宋体"/>
        </w:rPr>
        <w:t>提供国外标准、规范的份数：</w:t>
      </w:r>
      <w:r>
        <w:rPr>
          <w:rFonts w:ascii="宋体" w:hAnsi="宋体"/>
          <w:u w:val="single"/>
        </w:rPr>
        <w:t xml:space="preserve">          无              </w:t>
      </w:r>
      <w:r>
        <w:rPr>
          <w:rFonts w:hint="eastAsia" w:ascii="宋体" w:hAnsi="宋体"/>
        </w:rPr>
        <w:t>。</w:t>
      </w:r>
    </w:p>
    <w:p w14:paraId="4FFDD35B">
      <w:pPr>
        <w:snapToGrid w:val="0"/>
        <w:ind w:left="41" w:leftChars="17" w:firstLine="480" w:firstLineChars="200"/>
        <w:rPr>
          <w:rFonts w:ascii="宋体" w:hAnsi="宋体"/>
        </w:rPr>
      </w:pPr>
      <w:r>
        <w:rPr>
          <w:rFonts w:hint="eastAsia" w:ascii="宋体" w:hAnsi="宋体"/>
        </w:rPr>
        <w:t>发包人</w:t>
      </w:r>
      <w:r>
        <w:rPr>
          <w:rFonts w:ascii="宋体" w:hAnsi="宋体"/>
        </w:rPr>
        <w:t>提供国外标准、规范的</w:t>
      </w:r>
      <w:r>
        <w:rPr>
          <w:rFonts w:hint="eastAsia" w:ascii="宋体" w:hAnsi="宋体"/>
        </w:rPr>
        <w:t>时间</w:t>
      </w:r>
      <w:r>
        <w:rPr>
          <w:rFonts w:ascii="宋体" w:hAnsi="宋体"/>
        </w:rPr>
        <w:t>：</w:t>
      </w:r>
      <w:r>
        <w:rPr>
          <w:rFonts w:ascii="宋体" w:hAnsi="宋体"/>
          <w:u w:val="single"/>
        </w:rPr>
        <w:t xml:space="preserve">       无                 </w:t>
      </w:r>
      <w:r>
        <w:rPr>
          <w:rFonts w:hint="eastAsia" w:ascii="宋体" w:hAnsi="宋体"/>
        </w:rPr>
        <w:t>。</w:t>
      </w:r>
    </w:p>
    <w:p w14:paraId="35510EFF">
      <w:pPr>
        <w:snapToGrid w:val="0"/>
        <w:ind w:left="41" w:leftChars="17" w:firstLine="480" w:firstLineChars="200"/>
        <w:rPr>
          <w:rFonts w:ascii="宋体" w:hAnsi="宋体"/>
        </w:rPr>
      </w:pPr>
      <w:r>
        <w:rPr>
          <w:rFonts w:ascii="宋体" w:hAnsi="宋体"/>
        </w:rPr>
        <w:t xml:space="preserve">1.3.2.3 </w:t>
      </w:r>
      <w:r>
        <w:rPr>
          <w:rFonts w:hint="eastAsia" w:ascii="宋体" w:hAnsi="宋体"/>
        </w:rPr>
        <w:t>发包人对</w:t>
      </w:r>
      <w:r>
        <w:rPr>
          <w:rFonts w:ascii="宋体" w:hAnsi="宋体"/>
        </w:rPr>
        <w:t>工程技术标准和功能的特殊要求</w:t>
      </w:r>
      <w:r>
        <w:rPr>
          <w:rFonts w:hint="eastAsia" w:ascii="宋体" w:hAnsi="宋体"/>
        </w:rPr>
        <w:t>：</w:t>
      </w:r>
      <w:r>
        <w:rPr>
          <w:rFonts w:ascii="宋体" w:hAnsi="宋体"/>
          <w:u w:val="single"/>
        </w:rPr>
        <w:t xml:space="preserve">     无     </w:t>
      </w:r>
      <w:r>
        <w:rPr>
          <w:rFonts w:hint="eastAsia" w:ascii="宋体" w:hAnsi="宋体"/>
        </w:rPr>
        <w:t>。</w:t>
      </w:r>
    </w:p>
    <w:p w14:paraId="0371B0E0">
      <w:pPr>
        <w:snapToGrid w:val="0"/>
        <w:ind w:left="41" w:leftChars="17"/>
        <w:rPr>
          <w:rFonts w:ascii="宋体" w:hAnsi="宋体"/>
          <w:b/>
        </w:rPr>
      </w:pPr>
      <w:r>
        <w:rPr>
          <w:rFonts w:ascii="宋体" w:hAnsi="宋体"/>
          <w:b/>
        </w:rPr>
        <w:t xml:space="preserve">    1.4 合同文件的优先顺序</w:t>
      </w:r>
    </w:p>
    <w:p w14:paraId="18659F2B">
      <w:pPr>
        <w:snapToGrid w:val="0"/>
        <w:ind w:left="41" w:leftChars="17" w:firstLine="480" w:firstLineChars="200"/>
        <w:rPr>
          <w:rFonts w:ascii="宋体" w:hAnsi="宋体"/>
          <w:u w:val="single"/>
        </w:rPr>
      </w:pPr>
      <w:r>
        <w:rPr>
          <w:rFonts w:hint="eastAsia" w:ascii="宋体" w:hAnsi="宋体"/>
          <w:u w:val="single"/>
        </w:rPr>
        <w:t>合同文件的组成及解释的优先顺序为：</w:t>
      </w:r>
      <w:r>
        <w:rPr>
          <w:rFonts w:ascii="宋体" w:hAnsi="宋体"/>
          <w:u w:val="single"/>
        </w:rPr>
        <w:t xml:space="preserve"> </w:t>
      </w:r>
    </w:p>
    <w:p w14:paraId="6471E8E8">
      <w:pPr>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1）本合同协议书；</w:t>
      </w:r>
    </w:p>
    <w:p w14:paraId="2323C86D">
      <w:pPr>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2）中标通知书；</w:t>
      </w:r>
    </w:p>
    <w:p w14:paraId="50AC38D5">
      <w:pPr>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3）投标书及其附件、招标文件、招标答疑会议纪要；</w:t>
      </w:r>
    </w:p>
    <w:p w14:paraId="3824DD93">
      <w:pPr>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4）本合同专用条款；</w:t>
      </w:r>
    </w:p>
    <w:p w14:paraId="44EE9726">
      <w:pPr>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5）本合同通用条款；</w:t>
      </w:r>
    </w:p>
    <w:p w14:paraId="7A95A321">
      <w:pPr>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6）洽商、变更等明确双方权利义务的纪要、协议；</w:t>
      </w:r>
    </w:p>
    <w:p w14:paraId="1D20967A">
      <w:pPr>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7）标准、规范和其他有关技术资料、技术要求；</w:t>
      </w:r>
    </w:p>
    <w:p w14:paraId="02E688E6">
      <w:pPr>
        <w:snapToGrid w:val="0"/>
        <w:ind w:left="41" w:leftChars="17" w:firstLine="480" w:firstLineChars="200"/>
        <w:rPr>
          <w:rFonts w:ascii="宋体" w:hAnsi="宋体"/>
        </w:rPr>
      </w:pPr>
      <w:r>
        <w:rPr>
          <w:rFonts w:hint="eastAsia" w:ascii="宋体" w:hAnsi="宋体"/>
          <w:u w:val="single"/>
        </w:rPr>
        <w:t>（</w:t>
      </w:r>
      <w:r>
        <w:rPr>
          <w:rFonts w:ascii="宋体" w:hAnsi="宋体"/>
          <w:u w:val="single"/>
        </w:rPr>
        <w:t>8</w:t>
      </w:r>
      <w:r>
        <w:rPr>
          <w:rFonts w:hint="eastAsia" w:ascii="宋体" w:hAnsi="宋体"/>
          <w:u w:val="single"/>
        </w:rPr>
        <w:t>）工程施工图纸、工程量清单或双方确认的预算书及报价书、图纸会审记录、例会记录、审定的施工方案等</w:t>
      </w:r>
      <w:r>
        <w:rPr>
          <w:rFonts w:hint="eastAsia" w:ascii="宋体" w:hAnsi="宋体"/>
        </w:rPr>
        <w:t>。</w:t>
      </w:r>
    </w:p>
    <w:p w14:paraId="723815A4">
      <w:pPr>
        <w:snapToGrid w:val="0"/>
        <w:ind w:left="41" w:leftChars="17"/>
        <w:rPr>
          <w:rFonts w:ascii="宋体" w:hAnsi="宋体"/>
          <w:b/>
        </w:rPr>
      </w:pPr>
      <w:r>
        <w:rPr>
          <w:rFonts w:ascii="宋体" w:hAnsi="宋体"/>
          <w:b/>
        </w:rPr>
        <w:t xml:space="preserve">    1.5 图纸和承包人文件</w:t>
      </w:r>
    </w:p>
    <w:p w14:paraId="293C9382">
      <w:pPr>
        <w:snapToGrid w:val="0"/>
        <w:ind w:left="41" w:leftChars="17" w:firstLine="480" w:firstLineChars="200"/>
        <w:rPr>
          <w:rFonts w:ascii="宋体" w:hAnsi="宋体"/>
        </w:rPr>
      </w:pPr>
      <w:r>
        <w:rPr>
          <w:rFonts w:ascii="宋体" w:hAnsi="宋体"/>
        </w:rPr>
        <w:t xml:space="preserve">1.5.1 图纸的提供和交底 </w:t>
      </w:r>
    </w:p>
    <w:p w14:paraId="0503F7E8">
      <w:pPr>
        <w:snapToGrid w:val="0"/>
        <w:ind w:left="41" w:leftChars="17" w:firstLine="480" w:firstLineChars="200"/>
        <w:rPr>
          <w:rFonts w:ascii="宋体" w:hAnsi="宋体"/>
        </w:rPr>
      </w:pPr>
      <w:r>
        <w:rPr>
          <w:rFonts w:hint="eastAsia" w:ascii="宋体" w:hAnsi="宋体"/>
        </w:rPr>
        <w:t>发包人提供的图纸包括：</w:t>
      </w:r>
      <w:r>
        <w:rPr>
          <w:rFonts w:hint="eastAsia" w:ascii="宋体" w:hAnsi="宋体"/>
          <w:u w:val="single"/>
        </w:rPr>
        <w:t>无</w:t>
      </w:r>
      <w:r>
        <w:rPr>
          <w:rFonts w:hint="eastAsia" w:ascii="宋体" w:hAnsi="宋体"/>
        </w:rPr>
        <w:t>。</w:t>
      </w:r>
    </w:p>
    <w:p w14:paraId="6FBC5AF8">
      <w:pPr>
        <w:snapToGrid w:val="0"/>
        <w:ind w:left="41" w:leftChars="17" w:firstLine="480" w:firstLineChars="200"/>
        <w:rPr>
          <w:rFonts w:ascii="宋体" w:hAnsi="宋体"/>
        </w:rPr>
      </w:pPr>
      <w:r>
        <w:rPr>
          <w:rFonts w:hint="eastAsia" w:ascii="宋体" w:hAnsi="宋体"/>
        </w:rPr>
        <w:t>发包人提供图纸的期限：</w:t>
      </w:r>
      <w:r>
        <w:rPr>
          <w:rFonts w:ascii="宋体" w:hAnsi="宋体"/>
          <w:u w:val="single"/>
        </w:rPr>
        <w:t xml:space="preserve"> 无       </w:t>
      </w:r>
      <w:r>
        <w:rPr>
          <w:rFonts w:hint="eastAsia" w:ascii="宋体" w:hAnsi="宋体"/>
        </w:rPr>
        <w:t>。</w:t>
      </w:r>
    </w:p>
    <w:p w14:paraId="4B2B7B79">
      <w:pPr>
        <w:snapToGrid w:val="0"/>
        <w:ind w:left="41" w:leftChars="17" w:firstLine="480" w:firstLineChars="200"/>
        <w:rPr>
          <w:rFonts w:ascii="宋体" w:hAnsi="宋体"/>
        </w:rPr>
      </w:pPr>
      <w:r>
        <w:rPr>
          <w:rFonts w:hint="eastAsia" w:ascii="宋体" w:hAnsi="宋体"/>
        </w:rPr>
        <w:t>发包人提供图纸的数量：</w:t>
      </w:r>
      <w:r>
        <w:rPr>
          <w:rFonts w:ascii="宋体" w:hAnsi="宋体"/>
          <w:u w:val="single"/>
        </w:rPr>
        <w:t xml:space="preserve"> 无          </w:t>
      </w:r>
      <w:r>
        <w:rPr>
          <w:rFonts w:hint="eastAsia" w:ascii="宋体" w:hAnsi="宋体"/>
        </w:rPr>
        <w:t>。</w:t>
      </w:r>
    </w:p>
    <w:p w14:paraId="6D6508D5">
      <w:pPr>
        <w:snapToGrid w:val="0"/>
        <w:ind w:left="41" w:leftChars="17" w:firstLine="480" w:firstLineChars="200"/>
        <w:rPr>
          <w:rFonts w:ascii="宋体" w:hAnsi="宋体"/>
        </w:rPr>
      </w:pPr>
      <w:r>
        <w:rPr>
          <w:rFonts w:ascii="宋体" w:hAnsi="宋体"/>
        </w:rPr>
        <w:t xml:space="preserve">1.5.4 </w:t>
      </w:r>
      <w:r>
        <w:rPr>
          <w:rFonts w:hint="eastAsia" w:ascii="宋体" w:hAnsi="宋体"/>
        </w:rPr>
        <w:t>承包人文件</w:t>
      </w:r>
    </w:p>
    <w:p w14:paraId="3F3A2708">
      <w:pPr>
        <w:snapToGrid w:val="0"/>
        <w:ind w:left="41" w:leftChars="17" w:firstLine="480" w:firstLineChars="200"/>
        <w:rPr>
          <w:rFonts w:ascii="宋体" w:hAnsi="宋体"/>
        </w:rPr>
      </w:pPr>
      <w:r>
        <w:rPr>
          <w:rFonts w:hint="eastAsia" w:ascii="宋体" w:hAnsi="宋体"/>
        </w:rPr>
        <w:t>承包人应提供的承包人文件包括：</w:t>
      </w:r>
      <w:r>
        <w:rPr>
          <w:rFonts w:ascii="宋体" w:hAnsi="宋体"/>
          <w:u w:val="single"/>
        </w:rPr>
        <w:t xml:space="preserve">  施工日志、竣工资料、竣工图纸等其他发包人要求的资料及电子文档  </w:t>
      </w:r>
      <w:r>
        <w:rPr>
          <w:rFonts w:hint="eastAsia" w:ascii="宋体" w:hAnsi="宋体"/>
        </w:rPr>
        <w:t>。</w:t>
      </w:r>
    </w:p>
    <w:p w14:paraId="348F5AE5">
      <w:pPr>
        <w:snapToGrid w:val="0"/>
        <w:ind w:left="41" w:leftChars="17" w:firstLine="480" w:firstLineChars="200"/>
        <w:rPr>
          <w:rFonts w:ascii="宋体" w:hAnsi="宋体"/>
        </w:rPr>
      </w:pPr>
      <w:r>
        <w:rPr>
          <w:rFonts w:hint="eastAsia" w:ascii="宋体" w:hAnsi="宋体"/>
        </w:rPr>
        <w:t>承包人应提供的承包人文件的期限：</w:t>
      </w:r>
      <w:r>
        <w:rPr>
          <w:rFonts w:ascii="宋体" w:hAnsi="宋体"/>
          <w:u w:val="single"/>
        </w:rPr>
        <w:t xml:space="preserve"> 双方另行协商 </w:t>
      </w:r>
      <w:r>
        <w:rPr>
          <w:rFonts w:hint="eastAsia" w:ascii="宋体" w:hAnsi="宋体"/>
        </w:rPr>
        <w:t>。</w:t>
      </w:r>
    </w:p>
    <w:p w14:paraId="6829BC4F">
      <w:pPr>
        <w:snapToGrid w:val="0"/>
        <w:ind w:left="41" w:leftChars="17" w:firstLine="480" w:firstLineChars="200"/>
        <w:rPr>
          <w:rFonts w:ascii="宋体" w:hAnsi="宋体"/>
        </w:rPr>
      </w:pPr>
      <w:r>
        <w:rPr>
          <w:rFonts w:hint="eastAsia" w:ascii="宋体" w:hAnsi="宋体"/>
        </w:rPr>
        <w:t>承包人应提供的承包人文件的数量：</w:t>
      </w:r>
      <w:r>
        <w:rPr>
          <w:rFonts w:ascii="宋体" w:hAnsi="宋体"/>
          <w:u w:val="single"/>
        </w:rPr>
        <w:t xml:space="preserve">4套   </w:t>
      </w:r>
      <w:r>
        <w:rPr>
          <w:rFonts w:hint="eastAsia" w:ascii="宋体" w:hAnsi="宋体"/>
        </w:rPr>
        <w:t>。</w:t>
      </w:r>
    </w:p>
    <w:p w14:paraId="0A001910">
      <w:pPr>
        <w:snapToGrid w:val="0"/>
        <w:ind w:left="41" w:leftChars="17" w:firstLine="480" w:firstLineChars="200"/>
        <w:rPr>
          <w:rFonts w:ascii="宋体" w:hAnsi="宋体"/>
        </w:rPr>
      </w:pPr>
      <w:r>
        <w:rPr>
          <w:rFonts w:hint="eastAsia" w:ascii="宋体" w:hAnsi="宋体"/>
        </w:rPr>
        <w:t>承包人应提供的承包人文件的形式：</w:t>
      </w:r>
      <w:r>
        <w:rPr>
          <w:rFonts w:ascii="宋体" w:hAnsi="宋体"/>
          <w:u w:val="single"/>
        </w:rPr>
        <w:t xml:space="preserve"> 书面及电子文档   </w:t>
      </w:r>
      <w:r>
        <w:rPr>
          <w:rFonts w:hint="eastAsia" w:ascii="宋体" w:hAnsi="宋体"/>
        </w:rPr>
        <w:t>。</w:t>
      </w:r>
    </w:p>
    <w:p w14:paraId="675D27C5">
      <w:pPr>
        <w:snapToGrid w:val="0"/>
        <w:ind w:left="41" w:leftChars="17" w:firstLine="480" w:firstLineChars="200"/>
        <w:rPr>
          <w:rFonts w:ascii="宋体" w:hAnsi="宋体"/>
        </w:rPr>
      </w:pPr>
      <w:r>
        <w:rPr>
          <w:rFonts w:hint="eastAsia" w:ascii="宋体" w:hAnsi="宋体"/>
        </w:rPr>
        <w:t>监理人审查承包人文件的期限：</w:t>
      </w:r>
      <w:r>
        <w:rPr>
          <w:rFonts w:ascii="宋体" w:hAnsi="宋体"/>
          <w:u w:val="single"/>
        </w:rPr>
        <w:t xml:space="preserve"> 竣工验收合格后，承包人在三十天内向发包人提交完整的竣工资料    </w:t>
      </w:r>
      <w:r>
        <w:rPr>
          <w:rFonts w:hint="eastAsia" w:ascii="宋体" w:hAnsi="宋体"/>
        </w:rPr>
        <w:t>。</w:t>
      </w:r>
    </w:p>
    <w:p w14:paraId="63D27D76">
      <w:pPr>
        <w:snapToGrid w:val="0"/>
        <w:ind w:left="41" w:leftChars="17" w:firstLine="480" w:firstLineChars="200"/>
      </w:pPr>
      <w:r>
        <w:rPr>
          <w:rFonts w:ascii="宋体" w:hAnsi="宋体"/>
        </w:rPr>
        <w:t xml:space="preserve">1.5.5 </w:t>
      </w:r>
      <w:r>
        <w:rPr>
          <w:rFonts w:hint="eastAsia"/>
        </w:rPr>
        <w:t>图纸</w:t>
      </w:r>
      <w:r>
        <w:rPr>
          <w:rFonts w:ascii="宋体" w:hAnsi="宋体"/>
          <w:kern w:val="0"/>
        </w:rPr>
        <w:t>和承包人文件的保管</w:t>
      </w:r>
    </w:p>
    <w:p w14:paraId="360713F4">
      <w:pPr>
        <w:snapToGrid w:val="0"/>
        <w:ind w:left="41" w:leftChars="17" w:firstLine="480" w:firstLineChars="200"/>
      </w:pPr>
      <w:r>
        <w:rPr>
          <w:rFonts w:hint="eastAsia"/>
        </w:rPr>
        <w:t>对承包人在施工现场保存图纸和文件的要求：</w:t>
      </w:r>
      <w:r>
        <w:rPr>
          <w:rFonts w:ascii="宋体" w:hAnsi="宋体"/>
          <w:u w:val="single"/>
        </w:rPr>
        <w:t>/</w:t>
      </w:r>
      <w:r>
        <w:rPr>
          <w:rFonts w:hint="eastAsia"/>
        </w:rPr>
        <w:t>。</w:t>
      </w:r>
    </w:p>
    <w:p w14:paraId="53A68A6A">
      <w:pPr>
        <w:snapToGrid w:val="0"/>
        <w:ind w:left="41" w:leftChars="17"/>
        <w:rPr>
          <w:rFonts w:ascii="宋体" w:hAnsi="宋体"/>
          <w:b/>
        </w:rPr>
      </w:pPr>
      <w:bookmarkStart w:id="800" w:name="_Toc410986380"/>
      <w:r>
        <w:rPr>
          <w:rFonts w:ascii="宋体" w:hAnsi="宋体"/>
          <w:b/>
        </w:rPr>
        <w:t xml:space="preserve">1.8知识产权 </w:t>
      </w:r>
    </w:p>
    <w:p w14:paraId="188EFA9F">
      <w:pPr>
        <w:snapToGrid w:val="0"/>
        <w:ind w:left="41" w:leftChars="17" w:firstLine="480" w:firstLineChars="200"/>
        <w:rPr>
          <w:rFonts w:ascii="宋体" w:hAnsi="宋体"/>
        </w:rPr>
      </w:pPr>
      <w:r>
        <w:rPr>
          <w:rFonts w:ascii="宋体" w:hAnsi="宋体"/>
        </w:rPr>
        <w:t>1.8.1发包人提供给承包人的图纸、发包人为实施工程自行编制或委托编制的技术规范以及反映发包人要求</w:t>
      </w:r>
      <w:r>
        <w:rPr>
          <w:rFonts w:hint="eastAsia" w:ascii="宋体" w:hAnsi="宋体"/>
        </w:rPr>
        <w:t>的</w:t>
      </w:r>
      <w:r>
        <w:rPr>
          <w:rFonts w:ascii="宋体" w:hAnsi="宋体"/>
        </w:rPr>
        <w:t>或其他类似性质文件的著作权</w:t>
      </w:r>
      <w:r>
        <w:rPr>
          <w:rFonts w:hint="eastAsia" w:ascii="宋体" w:hAnsi="宋体"/>
        </w:rPr>
        <w:t>的</w:t>
      </w:r>
      <w:r>
        <w:rPr>
          <w:rFonts w:ascii="宋体" w:hAnsi="宋体"/>
        </w:rPr>
        <w:t>归属：</w:t>
      </w:r>
      <w:r>
        <w:rPr>
          <w:rFonts w:ascii="宋体" w:hAnsi="宋体"/>
          <w:u w:val="single"/>
        </w:rPr>
        <w:t>/</w:t>
      </w:r>
      <w:r>
        <w:rPr>
          <w:rFonts w:ascii="宋体" w:hAnsi="宋体"/>
        </w:rPr>
        <w:t>。</w:t>
      </w:r>
    </w:p>
    <w:p w14:paraId="553FB619">
      <w:pPr>
        <w:snapToGrid w:val="0"/>
        <w:ind w:left="41" w:leftChars="17" w:firstLine="480" w:firstLineChars="200"/>
        <w:rPr>
          <w:rFonts w:ascii="宋体" w:hAnsi="宋体"/>
        </w:rPr>
      </w:pPr>
      <w:r>
        <w:rPr>
          <w:rFonts w:ascii="宋体" w:hAnsi="宋体"/>
        </w:rPr>
        <w:t>发包人提供上述文件的使用限制要求：</w:t>
      </w:r>
      <w:r>
        <w:rPr>
          <w:rFonts w:ascii="宋体" w:hAnsi="宋体"/>
          <w:u w:val="single"/>
        </w:rPr>
        <w:t>/</w:t>
      </w:r>
      <w:r>
        <w:rPr>
          <w:rFonts w:ascii="宋体" w:hAnsi="宋体"/>
        </w:rPr>
        <w:t>。</w:t>
      </w:r>
    </w:p>
    <w:p w14:paraId="796B12E2">
      <w:pPr>
        <w:snapToGrid w:val="0"/>
        <w:ind w:left="41" w:leftChars="17" w:firstLine="480" w:firstLineChars="200"/>
        <w:rPr>
          <w:rFonts w:ascii="宋体" w:hAnsi="宋体"/>
        </w:rPr>
      </w:pPr>
      <w:r>
        <w:rPr>
          <w:rFonts w:ascii="宋体" w:hAnsi="宋体"/>
        </w:rPr>
        <w:t>1.8.2 承包人为实施工程所编制文件著作权的归属：</w:t>
      </w:r>
      <w:r>
        <w:rPr>
          <w:rFonts w:ascii="宋体" w:hAnsi="宋体"/>
          <w:u w:val="single"/>
        </w:rPr>
        <w:t>/</w:t>
      </w:r>
      <w:r>
        <w:rPr>
          <w:rFonts w:ascii="宋体" w:hAnsi="宋体"/>
        </w:rPr>
        <w:t>。</w:t>
      </w:r>
    </w:p>
    <w:p w14:paraId="4A723A78">
      <w:pPr>
        <w:snapToGrid w:val="0"/>
        <w:ind w:left="41" w:leftChars="17" w:firstLine="480" w:firstLineChars="200"/>
        <w:rPr>
          <w:rFonts w:ascii="宋体" w:hAnsi="宋体"/>
        </w:rPr>
      </w:pPr>
      <w:r>
        <w:rPr>
          <w:rFonts w:ascii="宋体" w:hAnsi="宋体"/>
        </w:rPr>
        <w:t>承包人提供的上述文件的使用限制要求：</w:t>
      </w:r>
      <w:r>
        <w:rPr>
          <w:rFonts w:ascii="宋体" w:hAnsi="宋体"/>
          <w:u w:val="single"/>
        </w:rPr>
        <w:t>/</w:t>
      </w:r>
      <w:r>
        <w:rPr>
          <w:rFonts w:ascii="宋体" w:hAnsi="宋体"/>
        </w:rPr>
        <w:t>。</w:t>
      </w:r>
    </w:p>
    <w:p w14:paraId="44F5BC7F">
      <w:pPr>
        <w:snapToGrid w:val="0"/>
        <w:ind w:left="41" w:leftChars="17" w:firstLine="480" w:firstLineChars="200"/>
        <w:rPr>
          <w:rFonts w:ascii="宋体" w:hAnsi="宋体"/>
        </w:rPr>
      </w:pPr>
      <w:r>
        <w:rPr>
          <w:rFonts w:ascii="宋体" w:hAnsi="宋体"/>
        </w:rPr>
        <w:t>1.8.4 承包人在施工过程中所采用的专利、专有技术、技术秘密使用费的承担方式：</w:t>
      </w:r>
      <w:r>
        <w:rPr>
          <w:rFonts w:ascii="宋体" w:hAnsi="宋体"/>
          <w:u w:val="single"/>
        </w:rPr>
        <w:t xml:space="preserve">    执行通用条款 </w:t>
      </w:r>
      <w:r>
        <w:rPr>
          <w:rFonts w:ascii="宋体" w:hAnsi="宋体"/>
        </w:rPr>
        <w:t>。</w:t>
      </w:r>
    </w:p>
    <w:p w14:paraId="6ABC056D">
      <w:pPr>
        <w:ind w:left="41" w:leftChars="17"/>
        <w:outlineLvl w:val="1"/>
        <w:rPr>
          <w:rFonts w:ascii="宋体" w:hAnsi="宋体"/>
          <w:b/>
          <w:bCs/>
          <w:kern w:val="0"/>
        </w:rPr>
      </w:pPr>
      <w:bookmarkStart w:id="801" w:name="_Toc6035"/>
      <w:bookmarkStart w:id="802" w:name="_Toc489084326"/>
      <w:bookmarkStart w:id="803" w:name="_Toc439160181"/>
      <w:bookmarkStart w:id="804" w:name="_Toc6241378"/>
      <w:bookmarkStart w:id="805" w:name="_Toc526793393"/>
      <w:r>
        <w:rPr>
          <w:rFonts w:ascii="宋体" w:hAnsi="宋体"/>
          <w:b/>
          <w:bCs/>
          <w:kern w:val="0"/>
        </w:rPr>
        <w:t xml:space="preserve">2. </w:t>
      </w:r>
      <w:r>
        <w:rPr>
          <w:rFonts w:hint="eastAsia" w:ascii="宋体" w:hAnsi="宋体"/>
          <w:b/>
          <w:bCs/>
          <w:kern w:val="0"/>
        </w:rPr>
        <w:t>发包人义务</w:t>
      </w:r>
      <w:bookmarkEnd w:id="800"/>
      <w:bookmarkEnd w:id="801"/>
      <w:bookmarkEnd w:id="802"/>
      <w:bookmarkEnd w:id="803"/>
      <w:bookmarkEnd w:id="804"/>
      <w:bookmarkEnd w:id="805"/>
    </w:p>
    <w:p w14:paraId="4CF1E151">
      <w:pPr>
        <w:snapToGrid w:val="0"/>
        <w:ind w:left="41" w:leftChars="17"/>
        <w:rPr>
          <w:rFonts w:ascii="宋体" w:hAnsi="宋体"/>
          <w:b/>
        </w:rPr>
      </w:pPr>
      <w:r>
        <w:rPr>
          <w:rFonts w:ascii="宋体" w:hAnsi="宋体"/>
          <w:b/>
        </w:rPr>
        <w:t xml:space="preserve">2.1 </w:t>
      </w:r>
      <w:r>
        <w:rPr>
          <w:rFonts w:hint="eastAsia" w:ascii="宋体" w:hAnsi="宋体"/>
          <w:b/>
        </w:rPr>
        <w:t>指派发包人代表</w:t>
      </w:r>
    </w:p>
    <w:p w14:paraId="06F845B0">
      <w:pPr>
        <w:snapToGrid w:val="0"/>
        <w:ind w:left="41" w:leftChars="17" w:firstLine="480" w:firstLineChars="200"/>
        <w:rPr>
          <w:rFonts w:ascii="宋体" w:hAnsi="宋体"/>
        </w:rPr>
      </w:pPr>
      <w:r>
        <w:rPr>
          <w:rFonts w:ascii="宋体" w:hAnsi="宋体"/>
        </w:rPr>
        <w:t>发包人代表：</w:t>
      </w:r>
    </w:p>
    <w:p w14:paraId="44853A71">
      <w:pPr>
        <w:snapToGrid w:val="0"/>
        <w:ind w:left="41" w:leftChars="17" w:firstLine="480" w:firstLineChars="200"/>
        <w:rPr>
          <w:rFonts w:ascii="宋体" w:hAnsi="宋体"/>
        </w:rPr>
      </w:pPr>
      <w:r>
        <w:rPr>
          <w:rFonts w:ascii="宋体" w:hAnsi="宋体"/>
        </w:rPr>
        <w:t>姓    名：</w:t>
      </w:r>
      <w:r>
        <w:rPr>
          <w:rFonts w:ascii="宋体" w:hAnsi="宋体"/>
          <w:u w:val="single"/>
        </w:rPr>
        <w:sym w:font="宋体" w:char="E5E5"/>
      </w:r>
      <w:r>
        <w:rPr>
          <w:rFonts w:ascii="宋体" w:hAnsi="宋体"/>
          <w:kern w:val="0"/>
          <w:u w:val="single"/>
        </w:rPr>
        <w:t xml:space="preserve">   </w:t>
      </w:r>
      <w:r>
        <w:rPr>
          <w:rFonts w:ascii="宋体" w:hAnsi="宋体"/>
          <w:u w:val="single"/>
        </w:rPr>
        <w:sym w:font="宋体" w:char="E5E5"/>
      </w:r>
      <w:r>
        <w:rPr>
          <w:rFonts w:ascii="宋体" w:hAnsi="宋体"/>
          <w:u w:val="single"/>
        </w:rPr>
        <w:sym w:font="宋体" w:char="0020"/>
      </w:r>
      <w:r>
        <w:rPr>
          <w:rFonts w:ascii="宋体" w:hAnsi="宋体"/>
          <w:u w:val="single"/>
        </w:rPr>
        <w:sym w:font="宋体" w:char="E5E5"/>
      </w:r>
      <w:r>
        <w:rPr>
          <w:rFonts w:hint="eastAsia" w:ascii="宋体" w:hAnsi="宋体"/>
        </w:rPr>
        <w:t>。</w:t>
      </w:r>
    </w:p>
    <w:p w14:paraId="44414162">
      <w:pPr>
        <w:snapToGrid w:val="0"/>
        <w:ind w:left="41" w:leftChars="17" w:firstLine="480" w:firstLineChars="200"/>
        <w:rPr>
          <w:rFonts w:ascii="宋体" w:hAnsi="宋体"/>
        </w:rPr>
      </w:pPr>
      <w:r>
        <w:rPr>
          <w:rFonts w:ascii="宋体" w:hAnsi="宋体"/>
        </w:rPr>
        <w:t>身份证号：</w:t>
      </w:r>
      <w:r>
        <w:rPr>
          <w:rFonts w:ascii="宋体" w:hAnsi="宋体"/>
          <w:u w:val="single"/>
        </w:rPr>
        <w:sym w:font="宋体" w:char="E5E5"/>
      </w:r>
      <w:r>
        <w:rPr>
          <w:rFonts w:ascii="宋体" w:hAnsi="宋体"/>
          <w:u w:val="single"/>
        </w:rPr>
        <w:sym w:font="宋体" w:char="E5E5"/>
      </w:r>
      <w:r>
        <w:rPr>
          <w:rFonts w:ascii="宋体" w:hAnsi="宋体"/>
          <w:u w:val="single"/>
        </w:rPr>
        <w:sym w:font="宋体" w:char="E5E5"/>
      </w:r>
      <w:r>
        <w:rPr>
          <w:rFonts w:ascii="宋体" w:hAnsi="宋体"/>
          <w:u w:val="single"/>
        </w:rPr>
        <w:t xml:space="preserve"> </w:t>
      </w:r>
      <w:r>
        <w:rPr>
          <w:rFonts w:hint="eastAsia" w:ascii="宋体" w:hAnsi="宋体"/>
        </w:rPr>
        <w:t>。</w:t>
      </w:r>
    </w:p>
    <w:p w14:paraId="27FD331D">
      <w:pPr>
        <w:snapToGrid w:val="0"/>
        <w:ind w:left="41" w:leftChars="17" w:firstLine="480" w:firstLineChars="200"/>
        <w:rPr>
          <w:rFonts w:ascii="宋体" w:hAnsi="宋体"/>
        </w:rPr>
      </w:pPr>
      <w:r>
        <w:rPr>
          <w:rFonts w:ascii="宋体" w:hAnsi="宋体"/>
        </w:rPr>
        <w:t xml:space="preserve">职    </w:t>
      </w:r>
      <w:r>
        <w:rPr>
          <w:rFonts w:hint="eastAsia" w:ascii="宋体" w:hAnsi="宋体"/>
        </w:rPr>
        <w:t>务</w:t>
      </w:r>
      <w:r>
        <w:rPr>
          <w:rFonts w:ascii="宋体" w:hAnsi="宋体"/>
        </w:rPr>
        <w:t>：</w:t>
      </w:r>
      <w:r>
        <w:rPr>
          <w:rFonts w:ascii="宋体" w:hAnsi="宋体"/>
          <w:u w:val="single"/>
        </w:rPr>
        <w:sym w:font="宋体" w:char="E5E5"/>
      </w:r>
      <w:r>
        <w:rPr>
          <w:rFonts w:ascii="宋体" w:hAnsi="宋体"/>
          <w:u w:val="single"/>
        </w:rPr>
        <w:sym w:font="宋体" w:char="E5E5"/>
      </w:r>
      <w:r>
        <w:rPr>
          <w:rFonts w:ascii="宋体" w:hAnsi="宋体"/>
          <w:u w:val="single"/>
        </w:rPr>
        <w:t xml:space="preserve">  </w:t>
      </w:r>
      <w:r>
        <w:rPr>
          <w:rFonts w:hint="eastAsia" w:ascii="宋体" w:hAnsi="宋体"/>
        </w:rPr>
        <w:t>。</w:t>
      </w:r>
    </w:p>
    <w:p w14:paraId="3D875E2E">
      <w:pPr>
        <w:snapToGrid w:val="0"/>
        <w:ind w:left="41" w:leftChars="17" w:firstLine="480" w:firstLineChars="200"/>
        <w:rPr>
          <w:rFonts w:ascii="宋体" w:hAnsi="宋体"/>
        </w:rPr>
      </w:pPr>
      <w:r>
        <w:rPr>
          <w:rFonts w:ascii="宋体" w:hAnsi="宋体"/>
        </w:rPr>
        <w:t>联系电话：</w:t>
      </w:r>
      <w:r>
        <w:rPr>
          <w:rFonts w:ascii="宋体" w:hAnsi="宋体"/>
          <w:u w:val="single"/>
        </w:rPr>
        <w:sym w:font="宋体" w:char="E5E5"/>
      </w:r>
      <w:r>
        <w:rPr>
          <w:rFonts w:ascii="宋体" w:hAnsi="宋体"/>
          <w:kern w:val="0"/>
          <w:u w:val="single"/>
        </w:rPr>
        <w:t xml:space="preserve">  </w:t>
      </w:r>
      <w:r>
        <w:rPr>
          <w:rFonts w:ascii="宋体" w:hAnsi="宋体"/>
          <w:u w:val="single"/>
        </w:rPr>
        <w:sym w:font="宋体" w:char="E5E5"/>
      </w:r>
      <w:r>
        <w:rPr>
          <w:rFonts w:ascii="宋体" w:hAnsi="宋体"/>
          <w:u w:val="single"/>
        </w:rPr>
        <w:sym w:font="宋体" w:char="0020"/>
      </w:r>
      <w:r>
        <w:rPr>
          <w:rFonts w:ascii="宋体" w:hAnsi="宋体"/>
          <w:u w:val="single"/>
        </w:rPr>
        <w:sym w:font="宋体" w:char="E5E5"/>
      </w:r>
      <w:r>
        <w:rPr>
          <w:rFonts w:hint="eastAsia" w:ascii="宋体" w:hAnsi="宋体"/>
        </w:rPr>
        <w:t>。</w:t>
      </w:r>
    </w:p>
    <w:p w14:paraId="0A260B30">
      <w:pPr>
        <w:snapToGrid w:val="0"/>
        <w:ind w:left="41" w:leftChars="17" w:firstLine="480" w:firstLineChars="200"/>
        <w:rPr>
          <w:rFonts w:ascii="宋体" w:hAnsi="宋体"/>
        </w:rPr>
      </w:pPr>
      <w:r>
        <w:rPr>
          <w:rFonts w:ascii="宋体" w:hAnsi="宋体"/>
        </w:rPr>
        <w:t>电子信箱：</w:t>
      </w:r>
      <w:r>
        <w:rPr>
          <w:rFonts w:ascii="宋体" w:hAnsi="宋体"/>
          <w:u w:val="single"/>
        </w:rPr>
        <w:sym w:font="宋体" w:char="E5E5"/>
      </w:r>
      <w:r>
        <w:rPr>
          <w:rFonts w:ascii="宋体" w:hAnsi="宋体"/>
          <w:u w:val="single"/>
        </w:rPr>
        <w:sym w:font="宋体" w:char="E5E5"/>
      </w:r>
      <w:r>
        <w:rPr>
          <w:rFonts w:ascii="宋体" w:hAnsi="宋体"/>
          <w:u w:val="single"/>
        </w:rPr>
        <w:sym w:font="宋体" w:char="E5E5"/>
      </w:r>
      <w:r>
        <w:rPr>
          <w:rFonts w:ascii="宋体" w:hAnsi="宋体"/>
          <w:u w:val="single"/>
        </w:rPr>
        <w:sym w:font="宋体" w:char="E5E5"/>
      </w:r>
      <w:r>
        <w:rPr>
          <w:rFonts w:ascii="宋体" w:hAnsi="宋体"/>
          <w:u w:val="single"/>
        </w:rPr>
        <w:sym w:font="宋体" w:char="E5E5"/>
      </w:r>
      <w:r>
        <w:rPr>
          <w:rFonts w:ascii="宋体" w:hAnsi="宋体"/>
          <w:u w:val="single"/>
        </w:rPr>
        <w:sym w:font="宋体" w:char="E5E5"/>
      </w:r>
      <w:r>
        <w:rPr>
          <w:rFonts w:hint="eastAsia" w:ascii="宋体" w:hAnsi="宋体"/>
        </w:rPr>
        <w:t>。</w:t>
      </w:r>
    </w:p>
    <w:p w14:paraId="0469D2BD">
      <w:pPr>
        <w:snapToGrid w:val="0"/>
        <w:ind w:left="41" w:leftChars="17" w:firstLine="480" w:firstLineChars="200"/>
        <w:rPr>
          <w:rFonts w:ascii="宋体" w:hAnsi="宋体"/>
        </w:rPr>
      </w:pPr>
      <w:r>
        <w:rPr>
          <w:rFonts w:ascii="宋体" w:hAnsi="宋体"/>
        </w:rPr>
        <w:t>通信地址：</w:t>
      </w:r>
      <w:r>
        <w:rPr>
          <w:rFonts w:ascii="宋体" w:hAnsi="宋体"/>
          <w:u w:val="single"/>
        </w:rPr>
        <w:sym w:font="宋体" w:char="E5E5"/>
      </w:r>
      <w:r>
        <w:rPr>
          <w:rFonts w:hint="eastAsia" w:ascii="宋体" w:hAnsi="宋体"/>
          <w:u w:val="single"/>
        </w:rPr>
        <w:t xml:space="preserve"> </w:t>
      </w:r>
      <w:r>
        <w:rPr>
          <w:rFonts w:hint="eastAsia" w:ascii="宋体" w:hAnsi="宋体"/>
          <w:kern w:val="0"/>
          <w:u w:val="single"/>
        </w:rPr>
        <w:t></w:t>
      </w:r>
      <w:r>
        <w:rPr>
          <w:rFonts w:ascii="宋体" w:hAnsi="宋体"/>
        </w:rPr>
        <w:t>。</w:t>
      </w:r>
    </w:p>
    <w:p w14:paraId="021D1A57">
      <w:pPr>
        <w:snapToGrid w:val="0"/>
        <w:ind w:left="41" w:leftChars="17" w:firstLine="480" w:firstLineChars="200"/>
        <w:rPr>
          <w:rFonts w:ascii="宋体" w:hAnsi="宋体"/>
          <w:u w:val="single"/>
        </w:rPr>
      </w:pPr>
      <w:r>
        <w:rPr>
          <w:rFonts w:ascii="宋体" w:hAnsi="宋体"/>
        </w:rPr>
        <w:t>发包人对发包人代表的授权范围如下</w:t>
      </w:r>
      <w:r>
        <w:rPr>
          <w:rFonts w:hint="eastAsia" w:ascii="宋体" w:hAnsi="宋体"/>
          <w:kern w:val="0"/>
          <w:u w:val="single"/>
        </w:rPr>
        <w:t>：</w:t>
      </w:r>
      <w:r>
        <w:rPr>
          <w:rFonts w:ascii="宋体" w:hAnsi="宋体"/>
          <w:kern w:val="0"/>
          <w:u w:val="single"/>
        </w:rPr>
        <w:t xml:space="preserve"> 1.确认承包人提出的顺延工期的签证；2.对发生的不可抗力造成工程无法施工的处置；3.设计变更及施工条件变更等有关签证的确认</w:t>
      </w:r>
      <w:r>
        <w:rPr>
          <w:rFonts w:hint="eastAsia" w:ascii="宋体" w:hAnsi="宋体"/>
          <w:kern w:val="0"/>
          <w:u w:val="single"/>
        </w:rPr>
        <w:t>；</w:t>
      </w:r>
      <w:r>
        <w:rPr>
          <w:rFonts w:ascii="宋体" w:hAnsi="宋体"/>
          <w:kern w:val="0"/>
          <w:u w:val="single"/>
        </w:rPr>
        <w:t xml:space="preserve">4.工程竣工验收报告的确认；5.工程款的审批；6.处理和协调外部施工条件；7.代表发包人行使本合同约定的其他权利和义务      </w:t>
      </w:r>
      <w:r>
        <w:rPr>
          <w:rFonts w:ascii="宋体" w:hAnsi="宋体"/>
        </w:rPr>
        <w:t>。</w:t>
      </w:r>
    </w:p>
    <w:p w14:paraId="715DD52B">
      <w:pPr>
        <w:snapToGrid w:val="0"/>
        <w:ind w:left="41" w:leftChars="17"/>
        <w:rPr>
          <w:rFonts w:ascii="宋体" w:hAnsi="宋体"/>
          <w:b/>
        </w:rPr>
      </w:pPr>
      <w:r>
        <w:rPr>
          <w:rFonts w:ascii="宋体" w:hAnsi="宋体"/>
          <w:b/>
        </w:rPr>
        <w:t xml:space="preserve">    2.3 提供施工场地、施工条件</w:t>
      </w:r>
    </w:p>
    <w:p w14:paraId="78FC8226">
      <w:pPr>
        <w:snapToGrid w:val="0"/>
        <w:ind w:left="41" w:leftChars="17" w:firstLine="480" w:firstLineChars="200"/>
        <w:jc w:val="left"/>
        <w:rPr>
          <w:rFonts w:ascii="宋体" w:hAnsi="宋体"/>
        </w:rPr>
      </w:pPr>
      <w:r>
        <w:rPr>
          <w:rFonts w:ascii="宋体" w:hAnsi="宋体"/>
        </w:rPr>
        <w:t>发包人</w:t>
      </w:r>
      <w:r>
        <w:rPr>
          <w:rFonts w:hint="eastAsia" w:ascii="宋体" w:hAnsi="宋体"/>
        </w:rPr>
        <w:t>向承包人提供的施工场地，包括：</w:t>
      </w:r>
      <w:r>
        <w:rPr>
          <w:rFonts w:hint="eastAsia" w:ascii="宋体" w:hAnsi="宋体"/>
          <w:kern w:val="0"/>
          <w:u w:val="single"/>
        </w:rPr>
        <w:t xml:space="preserve">中山市 </w:t>
      </w:r>
      <w:r>
        <w:rPr>
          <w:rFonts w:ascii="宋体" w:hAnsi="宋体"/>
          <w:kern w:val="0"/>
        </w:rPr>
        <w:t>。</w:t>
      </w:r>
    </w:p>
    <w:p w14:paraId="6AA355DB">
      <w:pPr>
        <w:snapToGrid w:val="0"/>
        <w:ind w:left="41" w:leftChars="17" w:firstLine="480" w:firstLineChars="200"/>
        <w:jc w:val="left"/>
        <w:rPr>
          <w:rFonts w:ascii="宋体" w:hAnsi="宋体"/>
          <w:kern w:val="0"/>
        </w:rPr>
      </w:pPr>
      <w:r>
        <w:rPr>
          <w:rFonts w:ascii="宋体" w:hAnsi="宋体"/>
        </w:rPr>
        <w:t>发包人</w:t>
      </w:r>
      <w:r>
        <w:rPr>
          <w:rFonts w:hint="eastAsia" w:ascii="宋体" w:hAnsi="宋体"/>
        </w:rPr>
        <w:t>向承包人</w:t>
      </w:r>
      <w:r>
        <w:rPr>
          <w:rFonts w:ascii="宋体" w:hAnsi="宋体"/>
        </w:rPr>
        <w:t>移交施工</w:t>
      </w:r>
      <w:r>
        <w:rPr>
          <w:rFonts w:hint="eastAsia" w:ascii="宋体" w:hAnsi="宋体"/>
        </w:rPr>
        <w:t>场地</w:t>
      </w:r>
      <w:r>
        <w:rPr>
          <w:rFonts w:ascii="宋体" w:hAnsi="宋体"/>
        </w:rPr>
        <w:t>的期</w:t>
      </w:r>
      <w:r>
        <w:rPr>
          <w:rFonts w:hint="eastAsia" w:ascii="宋体" w:hAnsi="宋体"/>
          <w:lang w:val="en-US" w:eastAsia="zh-CN"/>
        </w:rPr>
        <w:t>限</w:t>
      </w:r>
      <w:r>
        <w:rPr>
          <w:rFonts w:ascii="宋体" w:hAnsi="宋体"/>
        </w:rPr>
        <w:t>：</w:t>
      </w:r>
      <w:r>
        <w:rPr>
          <w:rFonts w:ascii="宋体" w:hAnsi="宋体"/>
          <w:kern w:val="0"/>
          <w:u w:val="single"/>
        </w:rPr>
        <w:t xml:space="preserve">  开工当天 </w:t>
      </w:r>
      <w:r>
        <w:rPr>
          <w:rFonts w:ascii="宋体" w:hAnsi="宋体"/>
          <w:kern w:val="0"/>
        </w:rPr>
        <w:t>。</w:t>
      </w:r>
    </w:p>
    <w:p w14:paraId="79E58B37">
      <w:pPr>
        <w:snapToGrid w:val="0"/>
        <w:ind w:left="41" w:leftChars="17" w:firstLine="480" w:firstLineChars="200"/>
        <w:rPr>
          <w:rFonts w:ascii="宋体" w:hAnsi="宋体"/>
          <w:kern w:val="0"/>
          <w:u w:val="single"/>
        </w:rPr>
      </w:pPr>
      <w:r>
        <w:rPr>
          <w:rFonts w:ascii="宋体" w:hAnsi="宋体"/>
        </w:rPr>
        <w:t>发包人负责提供</w:t>
      </w:r>
      <w:r>
        <w:rPr>
          <w:rFonts w:hint="eastAsia" w:ascii="宋体" w:hAnsi="宋体"/>
        </w:rPr>
        <w:t>进场</w:t>
      </w:r>
      <w:r>
        <w:rPr>
          <w:rFonts w:ascii="宋体" w:hAnsi="宋体"/>
        </w:rPr>
        <w:t>施工</w:t>
      </w:r>
      <w:r>
        <w:rPr>
          <w:rFonts w:hint="eastAsia" w:ascii="宋体" w:hAnsi="宋体"/>
        </w:rPr>
        <w:t>所需要的条件，</w:t>
      </w:r>
      <w:r>
        <w:rPr>
          <w:rFonts w:ascii="宋体" w:hAnsi="宋体"/>
        </w:rPr>
        <w:t>包括：</w:t>
      </w:r>
      <w:r>
        <w:rPr>
          <w:rFonts w:ascii="宋体" w:hAnsi="宋体"/>
          <w:kern w:val="0"/>
          <w:u w:val="single"/>
        </w:rPr>
        <w:t>/</w:t>
      </w:r>
      <w:r>
        <w:rPr>
          <w:rFonts w:ascii="宋体" w:hAnsi="宋体"/>
        </w:rPr>
        <w:t>。</w:t>
      </w:r>
    </w:p>
    <w:p w14:paraId="114CF6E1">
      <w:pPr>
        <w:snapToGrid w:val="0"/>
        <w:ind w:left="41" w:leftChars="17" w:firstLine="480" w:firstLineChars="200"/>
        <w:rPr>
          <w:rFonts w:ascii="宋体" w:hAnsi="宋体"/>
        </w:rPr>
      </w:pPr>
      <w:r>
        <w:rPr>
          <w:rFonts w:ascii="宋体" w:hAnsi="宋体"/>
        </w:rPr>
        <w:t>发包人负责提供</w:t>
      </w:r>
      <w:r>
        <w:rPr>
          <w:rFonts w:hint="eastAsia" w:ascii="宋体" w:hAnsi="宋体"/>
        </w:rPr>
        <w:t>进场</w:t>
      </w:r>
      <w:r>
        <w:rPr>
          <w:rFonts w:ascii="宋体" w:hAnsi="宋体"/>
        </w:rPr>
        <w:t>施工</w:t>
      </w:r>
      <w:r>
        <w:rPr>
          <w:rFonts w:hint="eastAsia" w:ascii="宋体" w:hAnsi="宋体"/>
        </w:rPr>
        <w:t>所需要的条件的移交期限：</w:t>
      </w:r>
      <w:r>
        <w:rPr>
          <w:rFonts w:ascii="宋体" w:hAnsi="宋体"/>
          <w:kern w:val="0"/>
          <w:u w:val="single"/>
        </w:rPr>
        <w:t xml:space="preserve">  开工当天  </w:t>
      </w:r>
      <w:r>
        <w:rPr>
          <w:rFonts w:ascii="宋体" w:hAnsi="宋体"/>
        </w:rPr>
        <w:t>。</w:t>
      </w:r>
    </w:p>
    <w:p w14:paraId="784C6671">
      <w:pPr>
        <w:snapToGrid w:val="0"/>
        <w:ind w:left="41" w:leftChars="17" w:firstLine="480"/>
        <w:rPr>
          <w:rFonts w:ascii="宋体" w:hAnsi="宋体"/>
        </w:rPr>
      </w:pPr>
      <w:r>
        <w:rPr>
          <w:rFonts w:ascii="宋体" w:hAnsi="宋体"/>
        </w:rPr>
        <w:t>发包人</w:t>
      </w:r>
      <w:r>
        <w:rPr>
          <w:rFonts w:ascii="宋体" w:hAnsi="宋体"/>
          <w:kern w:val="0"/>
        </w:rPr>
        <w:t>提供的其他设施和条件</w:t>
      </w:r>
      <w:r>
        <w:rPr>
          <w:rFonts w:hint="eastAsia" w:ascii="宋体" w:hAnsi="宋体"/>
          <w:kern w:val="0"/>
        </w:rPr>
        <w:t>：</w:t>
      </w:r>
      <w:r>
        <w:rPr>
          <w:rFonts w:ascii="宋体" w:hAnsi="宋体"/>
          <w:kern w:val="0"/>
          <w:u w:val="single"/>
        </w:rPr>
        <w:t>/</w:t>
      </w:r>
      <w:r>
        <w:rPr>
          <w:rFonts w:ascii="宋体" w:hAnsi="宋体"/>
        </w:rPr>
        <w:t>。</w:t>
      </w:r>
    </w:p>
    <w:p w14:paraId="2C1B8BF2">
      <w:pPr>
        <w:snapToGrid w:val="0"/>
        <w:ind w:left="41" w:leftChars="17" w:firstLine="480"/>
        <w:rPr>
          <w:rFonts w:ascii="宋体" w:hAnsi="宋体"/>
        </w:rPr>
      </w:pPr>
      <w:r>
        <w:rPr>
          <w:rFonts w:ascii="宋体" w:hAnsi="宋体"/>
        </w:rPr>
        <w:t>发包人</w:t>
      </w:r>
      <w:r>
        <w:rPr>
          <w:rFonts w:ascii="宋体" w:hAnsi="宋体"/>
          <w:kern w:val="0"/>
        </w:rPr>
        <w:t>提供的其他设施和条件</w:t>
      </w:r>
      <w:r>
        <w:rPr>
          <w:rFonts w:hint="eastAsia" w:ascii="宋体" w:hAnsi="宋体"/>
          <w:kern w:val="0"/>
        </w:rPr>
        <w:t>的移交期限：</w:t>
      </w:r>
      <w:r>
        <w:rPr>
          <w:rFonts w:ascii="宋体" w:hAnsi="宋体"/>
          <w:kern w:val="0"/>
          <w:u w:val="single"/>
        </w:rPr>
        <w:t>/</w:t>
      </w:r>
      <w:r>
        <w:rPr>
          <w:rFonts w:ascii="宋体" w:hAnsi="宋体"/>
        </w:rPr>
        <w:t>。</w:t>
      </w:r>
    </w:p>
    <w:p w14:paraId="2A6540E1">
      <w:pPr>
        <w:snapToGrid w:val="0"/>
        <w:ind w:left="41" w:leftChars="17"/>
        <w:rPr>
          <w:rFonts w:ascii="宋体" w:hAnsi="宋体"/>
          <w:b/>
        </w:rPr>
      </w:pPr>
      <w:r>
        <w:rPr>
          <w:rFonts w:ascii="宋体" w:hAnsi="宋体"/>
          <w:b/>
        </w:rPr>
        <w:t xml:space="preserve">    2.8 其他义务</w:t>
      </w:r>
    </w:p>
    <w:p w14:paraId="22A3AA5C">
      <w:pPr>
        <w:snapToGrid w:val="0"/>
        <w:ind w:left="41" w:leftChars="17" w:firstLine="480" w:firstLineChars="200"/>
        <w:rPr>
          <w:rFonts w:ascii="宋体" w:hAnsi="宋体"/>
        </w:rPr>
      </w:pPr>
      <w:r>
        <w:rPr>
          <w:rFonts w:hint="eastAsia" w:ascii="宋体" w:hAnsi="宋体"/>
        </w:rPr>
        <w:t>发包人应履行的其他义务：</w:t>
      </w:r>
      <w:r>
        <w:rPr>
          <w:rFonts w:ascii="宋体" w:hAnsi="宋体"/>
          <w:u w:val="single"/>
        </w:rPr>
        <w:t>/</w:t>
      </w:r>
      <w:r>
        <w:rPr>
          <w:rFonts w:hint="eastAsia" w:ascii="宋体" w:hAnsi="宋体"/>
        </w:rPr>
        <w:t>。</w:t>
      </w:r>
    </w:p>
    <w:p w14:paraId="45E5C192">
      <w:pPr>
        <w:ind w:left="41" w:leftChars="17"/>
        <w:outlineLvl w:val="1"/>
        <w:rPr>
          <w:rFonts w:ascii="宋体" w:hAnsi="宋体"/>
          <w:b/>
          <w:bCs/>
          <w:kern w:val="0"/>
        </w:rPr>
      </w:pPr>
      <w:bookmarkStart w:id="806" w:name="_Toc489084327"/>
      <w:bookmarkStart w:id="807" w:name="_Toc526793394"/>
      <w:bookmarkStart w:id="808" w:name="_Toc25484"/>
      <w:bookmarkStart w:id="809" w:name="_Toc410986381"/>
      <w:bookmarkStart w:id="810" w:name="_Toc439160182"/>
      <w:bookmarkStart w:id="811" w:name="_Toc6241379"/>
      <w:r>
        <w:rPr>
          <w:rFonts w:ascii="宋体" w:hAnsi="宋体"/>
          <w:b/>
          <w:bCs/>
          <w:kern w:val="0"/>
        </w:rPr>
        <w:t xml:space="preserve">3. </w:t>
      </w:r>
      <w:r>
        <w:rPr>
          <w:rFonts w:hint="eastAsia" w:ascii="宋体" w:hAnsi="宋体"/>
          <w:b/>
          <w:bCs/>
          <w:kern w:val="0"/>
        </w:rPr>
        <w:t>监理人</w:t>
      </w:r>
      <w:bookmarkEnd w:id="806"/>
      <w:bookmarkEnd w:id="807"/>
      <w:bookmarkEnd w:id="808"/>
      <w:bookmarkEnd w:id="809"/>
      <w:bookmarkEnd w:id="810"/>
      <w:bookmarkEnd w:id="811"/>
    </w:p>
    <w:p w14:paraId="4DA7AECF">
      <w:pPr>
        <w:snapToGrid w:val="0"/>
        <w:ind w:firstLine="482" w:firstLineChars="200"/>
        <w:rPr>
          <w:rFonts w:ascii="宋体" w:hAnsi="宋体"/>
          <w:b/>
        </w:rPr>
      </w:pPr>
      <w:r>
        <w:rPr>
          <w:rFonts w:ascii="宋体" w:hAnsi="宋体"/>
          <w:b/>
        </w:rPr>
        <w:t>3.1 监理人的职责和权力</w:t>
      </w:r>
    </w:p>
    <w:p w14:paraId="7BADE400">
      <w:pPr>
        <w:ind w:firstLine="480" w:firstLineChars="200"/>
      </w:pPr>
      <w:r>
        <w:rPr>
          <w:rFonts w:ascii="宋体" w:hAnsi="宋体"/>
        </w:rPr>
        <w:t>3.1.1 监理人须经发包人事先批准才能行使的权力，包括：</w:t>
      </w:r>
      <w:r>
        <w:rPr>
          <w:rFonts w:ascii="宋体" w:hAnsi="宋体"/>
          <w:u w:val="single"/>
        </w:rPr>
        <w:t>/</w:t>
      </w:r>
      <w:r>
        <w:rPr>
          <w:rFonts w:hint="eastAsia"/>
        </w:rPr>
        <w:t>。</w:t>
      </w:r>
    </w:p>
    <w:p w14:paraId="483BF8BA">
      <w:pPr>
        <w:snapToGrid w:val="0"/>
        <w:ind w:firstLine="482" w:firstLineChars="200"/>
        <w:rPr>
          <w:rFonts w:ascii="宋体" w:hAnsi="宋体"/>
        </w:rPr>
      </w:pPr>
      <w:r>
        <w:rPr>
          <w:rFonts w:ascii="宋体" w:hAnsi="宋体"/>
          <w:b/>
        </w:rPr>
        <w:t>3.4 监理人的指示</w:t>
      </w:r>
    </w:p>
    <w:p w14:paraId="1468D634">
      <w:pPr>
        <w:snapToGrid w:val="0"/>
        <w:ind w:firstLine="480" w:firstLineChars="200"/>
        <w:rPr>
          <w:rFonts w:ascii="宋体" w:hAnsi="宋体"/>
          <w:b/>
        </w:rPr>
      </w:pPr>
      <w:r>
        <w:rPr>
          <w:rFonts w:ascii="宋体" w:hAnsi="宋体"/>
        </w:rPr>
        <w:t xml:space="preserve">3.4.4 </w:t>
      </w:r>
      <w:r>
        <w:rPr>
          <w:rFonts w:hint="eastAsia" w:ascii="宋体" w:hAnsi="宋体"/>
        </w:rPr>
        <w:t>承包人取得发包人等其他方指示的约定：</w:t>
      </w:r>
      <w:r>
        <w:rPr>
          <w:rFonts w:ascii="宋体" w:hAnsi="宋体"/>
          <w:u w:val="single"/>
        </w:rPr>
        <w:t>/</w:t>
      </w:r>
      <w:r>
        <w:rPr>
          <w:rFonts w:hint="eastAsia" w:ascii="宋体" w:hAnsi="宋体"/>
        </w:rPr>
        <w:t>。</w:t>
      </w:r>
    </w:p>
    <w:p w14:paraId="0564CF1D">
      <w:pPr>
        <w:ind w:left="41" w:leftChars="17"/>
        <w:outlineLvl w:val="1"/>
        <w:rPr>
          <w:rFonts w:ascii="宋体" w:hAnsi="宋体"/>
          <w:b/>
          <w:bCs/>
          <w:kern w:val="0"/>
        </w:rPr>
      </w:pPr>
      <w:bookmarkStart w:id="812" w:name="_Toc439160183"/>
      <w:bookmarkStart w:id="813" w:name="_Toc489084328"/>
      <w:bookmarkStart w:id="814" w:name="_Toc6241380"/>
      <w:bookmarkStart w:id="815" w:name="_Toc526793395"/>
      <w:bookmarkStart w:id="816" w:name="_Toc31459"/>
      <w:bookmarkStart w:id="817" w:name="_Toc410986382"/>
      <w:r>
        <w:rPr>
          <w:rFonts w:ascii="宋体" w:hAnsi="宋体"/>
          <w:b/>
          <w:bCs/>
          <w:kern w:val="0"/>
        </w:rPr>
        <w:t xml:space="preserve">4. </w:t>
      </w:r>
      <w:r>
        <w:rPr>
          <w:rFonts w:hint="eastAsia" w:ascii="宋体" w:hAnsi="宋体"/>
          <w:b/>
          <w:bCs/>
          <w:kern w:val="0"/>
        </w:rPr>
        <w:t>承包人</w:t>
      </w:r>
      <w:bookmarkEnd w:id="812"/>
      <w:bookmarkEnd w:id="813"/>
      <w:bookmarkEnd w:id="814"/>
      <w:bookmarkEnd w:id="815"/>
      <w:bookmarkEnd w:id="816"/>
      <w:bookmarkEnd w:id="817"/>
    </w:p>
    <w:p w14:paraId="02B51109">
      <w:pPr>
        <w:snapToGrid w:val="0"/>
        <w:ind w:left="41" w:leftChars="17"/>
        <w:rPr>
          <w:rFonts w:ascii="宋体" w:hAnsi="宋体"/>
          <w:b/>
        </w:rPr>
      </w:pPr>
      <w:r>
        <w:rPr>
          <w:rFonts w:ascii="宋体" w:hAnsi="宋体"/>
          <w:b/>
        </w:rPr>
        <w:t xml:space="preserve">    4.1 承包人的一般义务</w:t>
      </w:r>
    </w:p>
    <w:p w14:paraId="7B416F3A">
      <w:pPr>
        <w:ind w:firstLine="480" w:firstLineChars="200"/>
        <w:jc w:val="left"/>
        <w:rPr>
          <w:rFonts w:ascii="宋体" w:hAnsi="宋体"/>
        </w:rPr>
      </w:pPr>
      <w:r>
        <w:rPr>
          <w:rFonts w:ascii="宋体" w:hAnsi="宋体"/>
        </w:rPr>
        <w:t xml:space="preserve">4.1.3 </w:t>
      </w:r>
      <w:r>
        <w:rPr>
          <w:rFonts w:hint="eastAsia" w:ascii="宋体" w:hAnsi="宋体"/>
        </w:rPr>
        <w:t>关于提供</w:t>
      </w:r>
      <w:r>
        <w:rPr>
          <w:rFonts w:ascii="宋体" w:hAnsi="宋体"/>
        </w:rPr>
        <w:t>完成工程所需的</w:t>
      </w:r>
      <w:r>
        <w:rPr>
          <w:rFonts w:hint="eastAsia" w:ascii="宋体" w:hAnsi="宋体"/>
        </w:rPr>
        <w:t>劳务、</w:t>
      </w:r>
      <w:r>
        <w:rPr>
          <w:rFonts w:ascii="宋体" w:hAnsi="宋体"/>
        </w:rPr>
        <w:t>材料、</w:t>
      </w:r>
      <w:r>
        <w:rPr>
          <w:rFonts w:hint="eastAsia" w:ascii="宋体" w:hAnsi="宋体"/>
        </w:rPr>
        <w:t>施工设备、</w:t>
      </w:r>
      <w:r>
        <w:rPr>
          <w:rFonts w:ascii="宋体" w:hAnsi="宋体"/>
        </w:rPr>
        <w:t>工程设备</w:t>
      </w:r>
      <w:r>
        <w:rPr>
          <w:rFonts w:hint="eastAsia" w:ascii="宋体" w:hAnsi="宋体"/>
        </w:rPr>
        <w:t>、其他物品</w:t>
      </w:r>
      <w:r>
        <w:rPr>
          <w:rFonts w:ascii="宋体" w:hAnsi="宋体"/>
        </w:rPr>
        <w:t>以及临时设施</w:t>
      </w:r>
      <w:r>
        <w:rPr>
          <w:rFonts w:hint="eastAsia" w:ascii="宋体" w:hAnsi="宋体"/>
        </w:rPr>
        <w:t>的约定：</w:t>
      </w:r>
      <w:r>
        <w:rPr>
          <w:rFonts w:ascii="宋体" w:hAnsi="宋体"/>
          <w:u w:val="single"/>
        </w:rPr>
        <w:t>/</w:t>
      </w:r>
      <w:r>
        <w:rPr>
          <w:rFonts w:hint="eastAsia" w:ascii="宋体" w:hAnsi="宋体"/>
        </w:rPr>
        <w:t>。</w:t>
      </w:r>
    </w:p>
    <w:p w14:paraId="1339E678">
      <w:pPr>
        <w:ind w:firstLine="480" w:firstLineChars="200"/>
        <w:jc w:val="left"/>
        <w:rPr>
          <w:rFonts w:ascii="宋体" w:hAnsi="宋体"/>
        </w:rPr>
      </w:pPr>
      <w:r>
        <w:rPr>
          <w:rFonts w:ascii="宋体" w:hAnsi="宋体"/>
        </w:rPr>
        <w:t xml:space="preserve">4.1.8 </w:t>
      </w:r>
      <w:r>
        <w:rPr>
          <w:rFonts w:hint="eastAsia" w:ascii="宋体" w:hAnsi="宋体"/>
        </w:rPr>
        <w:t>承包人应履行的其他义务：</w:t>
      </w:r>
    </w:p>
    <w:p w14:paraId="32DEA483">
      <w:pPr>
        <w:ind w:firstLine="480" w:firstLineChars="200"/>
        <w:jc w:val="left"/>
        <w:rPr>
          <w:rFonts w:ascii="宋体" w:hAnsi="宋体"/>
          <w:u w:val="single"/>
        </w:rPr>
      </w:pPr>
      <w:r>
        <w:rPr>
          <w:rFonts w:hint="eastAsia" w:ascii="宋体" w:hAnsi="宋体"/>
          <w:u w:val="single"/>
        </w:rPr>
        <w:t>1.</w:t>
      </w:r>
      <w:r>
        <w:rPr>
          <w:rFonts w:hint="eastAsia" w:ascii="宋体" w:hAnsi="宋体"/>
          <w:u w:val="single"/>
          <w:lang w:val="en-US" w:eastAsia="zh-CN"/>
        </w:rPr>
        <w:t>协助发包人办理项目各项报建和竣工验收相关手续。</w:t>
      </w:r>
    </w:p>
    <w:p w14:paraId="360E0E07">
      <w:pPr>
        <w:ind w:firstLine="480" w:firstLineChars="200"/>
        <w:jc w:val="left"/>
        <w:rPr>
          <w:rFonts w:ascii="宋体" w:hAnsi="宋体"/>
          <w:u w:val="single"/>
        </w:rPr>
      </w:pPr>
      <w:r>
        <w:rPr>
          <w:rFonts w:hint="eastAsia" w:ascii="宋体" w:hAnsi="宋体"/>
          <w:u w:val="single"/>
        </w:rPr>
        <w:t>2.承包人在各支付阶段向发包人提交支付审查材料时，有义务同步开具好对应付款进度的税务部门认可的正式有效增值税专用发票（收取质保金的应提供含质量保证金的全额发票，退还质量保证金时不再另行开具发票），并承担因此带来的一切税费；有义务准备好发包人要求的竣工验收结算材料。承包人应按照发包人结算通知要求，在发包人规定时间内提供上述发票和竣工验收结算材料。如未能按要求提供前述资料的，视为未履行合同主要义务。</w:t>
      </w:r>
    </w:p>
    <w:p w14:paraId="6281A367">
      <w:pPr>
        <w:snapToGrid w:val="0"/>
        <w:ind w:left="41" w:leftChars="17"/>
        <w:rPr>
          <w:rFonts w:ascii="宋体" w:hAnsi="宋体"/>
          <w:b/>
        </w:rPr>
      </w:pPr>
      <w:r>
        <w:rPr>
          <w:rFonts w:ascii="宋体" w:hAnsi="宋体"/>
          <w:b/>
        </w:rPr>
        <w:t xml:space="preserve">    4.2 履约担保</w:t>
      </w:r>
    </w:p>
    <w:p w14:paraId="5FE2736F">
      <w:pPr>
        <w:snapToGrid w:val="0"/>
        <w:ind w:left="41" w:leftChars="17" w:firstLine="480" w:firstLineChars="200"/>
        <w:rPr>
          <w:rFonts w:ascii="宋体" w:hAnsi="宋体"/>
        </w:rPr>
      </w:pPr>
      <w:r>
        <w:rPr>
          <w:rFonts w:ascii="宋体" w:hAnsi="宋体"/>
        </w:rPr>
        <w:t>4.2.1承包人提供履约担保的金额及期限：</w:t>
      </w:r>
      <w:r>
        <w:rPr>
          <w:rFonts w:ascii="宋体" w:hAnsi="宋体"/>
          <w:u w:val="single"/>
        </w:rPr>
        <w:t>/</w:t>
      </w:r>
      <w:r>
        <w:rPr>
          <w:rFonts w:hint="eastAsia" w:ascii="宋体" w:hAnsi="宋体"/>
        </w:rPr>
        <w:t>。</w:t>
      </w:r>
    </w:p>
    <w:p w14:paraId="1E441E9F">
      <w:pPr>
        <w:snapToGrid w:val="0"/>
        <w:ind w:left="41" w:leftChars="17"/>
        <w:rPr>
          <w:rFonts w:ascii="宋体" w:hAnsi="宋体"/>
          <w:b/>
        </w:rPr>
      </w:pPr>
      <w:r>
        <w:rPr>
          <w:rFonts w:ascii="宋体" w:hAnsi="宋体"/>
          <w:b/>
        </w:rPr>
        <w:t xml:space="preserve">    4.3 承包人项目经理</w:t>
      </w:r>
    </w:p>
    <w:p w14:paraId="2BB27263">
      <w:pPr>
        <w:ind w:firstLine="480" w:firstLineChars="200"/>
        <w:rPr>
          <w:rFonts w:ascii="宋体" w:hAnsi="宋体" w:cs="宋体"/>
        </w:rPr>
      </w:pPr>
      <w:r>
        <w:rPr>
          <w:rFonts w:hint="eastAsia" w:ascii="宋体" w:hAnsi="宋体" w:cs="宋体"/>
        </w:rPr>
        <w:t>承包人对项目经理的授权范围如下：</w:t>
      </w:r>
      <w:r>
        <w:rPr>
          <w:rFonts w:hint="eastAsia" w:ascii="宋体" w:hAnsi="宋体" w:cs="宋体"/>
          <w:u w:val="single"/>
        </w:rPr>
        <w:t>作为总承包人（中标人）在项目的授权代表，全面履行本工程项目的土建总承包管理职责，为工程参与各方做好协调和服务，在资金、质量、安全、环境保护、文明</w:t>
      </w:r>
      <w:r>
        <w:fldChar w:fldCharType="begin"/>
      </w:r>
      <w:r>
        <w:instrText xml:space="preserve"> HYPERLINK "http://www.fdcew.com/Soft/jzsg/Index.html" \t "_blank" </w:instrText>
      </w:r>
      <w:r>
        <w:fldChar w:fldCharType="separate"/>
      </w:r>
      <w:r>
        <w:rPr>
          <w:rFonts w:hint="eastAsia" w:ascii="宋体" w:hAnsi="宋体" w:cs="宋体"/>
        </w:rPr>
        <w:t>施工</w:t>
      </w:r>
      <w:r>
        <w:rPr>
          <w:rFonts w:hint="eastAsia" w:ascii="宋体" w:hAnsi="宋体" w:cs="宋体"/>
        </w:rPr>
        <w:fldChar w:fldCharType="end"/>
      </w:r>
      <w:r>
        <w:rPr>
          <w:rFonts w:hint="eastAsia" w:ascii="宋体" w:hAnsi="宋体" w:cs="宋体"/>
          <w:u w:val="single"/>
        </w:rPr>
        <w:t>等合约目标范围向业主直接负责</w:t>
      </w:r>
      <w:r>
        <w:rPr>
          <w:rFonts w:hint="eastAsia" w:ascii="宋体" w:hAnsi="宋体" w:cs="宋体"/>
        </w:rPr>
        <w:t>。</w:t>
      </w:r>
    </w:p>
    <w:p w14:paraId="52DDE122">
      <w:pPr>
        <w:ind w:firstLine="480" w:firstLineChars="200"/>
        <w:jc w:val="left"/>
        <w:rPr>
          <w:rFonts w:ascii="宋体" w:hAnsi="宋体" w:cs="宋体"/>
          <w:kern w:val="0"/>
        </w:rPr>
      </w:pPr>
      <w:r>
        <w:rPr>
          <w:rFonts w:hint="eastAsia" w:ascii="宋体" w:hAnsi="宋体" w:cs="宋体"/>
          <w:kern w:val="0"/>
        </w:rPr>
        <w:t>关于项目经理每月在施工现场的时间要求：</w:t>
      </w:r>
      <w:r>
        <w:rPr>
          <w:rFonts w:ascii="宋体" w:hAnsi="宋体" w:cs="宋体"/>
          <w:u w:val="single"/>
        </w:rPr>
        <w:t xml:space="preserve">  项目实施全过程在场</w:t>
      </w:r>
      <w:r>
        <w:rPr>
          <w:rFonts w:hint="eastAsia" w:ascii="宋体" w:hAnsi="宋体" w:cs="宋体"/>
        </w:rPr>
        <w:t>。</w:t>
      </w:r>
    </w:p>
    <w:p w14:paraId="2292352C">
      <w:pPr>
        <w:ind w:firstLine="480" w:firstLineChars="200"/>
        <w:rPr>
          <w:rFonts w:ascii="宋体" w:hAnsi="宋体" w:cs="宋体"/>
          <w:kern w:val="0"/>
        </w:rPr>
      </w:pPr>
      <w:r>
        <w:rPr>
          <w:rFonts w:hint="eastAsia" w:ascii="宋体" w:hAnsi="宋体" w:cs="宋体"/>
          <w:kern w:val="0"/>
        </w:rPr>
        <w:t>承包人未提交劳动合同，以及没有为项目经理缴纳社会保险证明的违约责任：</w:t>
      </w:r>
      <w:r>
        <w:rPr>
          <w:rFonts w:hint="eastAsia" w:ascii="宋体" w:hAnsi="宋体" w:cs="宋体"/>
          <w:u w:val="single"/>
        </w:rPr>
        <w:t>处以</w:t>
      </w:r>
      <w:r>
        <w:rPr>
          <w:rFonts w:hint="eastAsia" w:ascii="宋体" w:hAnsi="宋体" w:cs="宋体"/>
          <w:u w:val="single"/>
          <w:lang w:val="en-US" w:eastAsia="zh-CN"/>
        </w:rPr>
        <w:t>1万</w:t>
      </w:r>
      <w:r>
        <w:rPr>
          <w:rFonts w:ascii="宋体" w:hAnsi="宋体" w:cs="宋体"/>
          <w:u w:val="single"/>
        </w:rPr>
        <w:t>元罚款，责令限期补缴社会保险</w:t>
      </w:r>
      <w:r>
        <w:rPr>
          <w:rFonts w:hint="eastAsia" w:ascii="宋体" w:hAnsi="宋体" w:cs="宋体"/>
        </w:rPr>
        <w:t>。</w:t>
      </w:r>
    </w:p>
    <w:p w14:paraId="09135162">
      <w:pPr>
        <w:ind w:firstLine="480" w:firstLineChars="200"/>
        <w:rPr>
          <w:rFonts w:ascii="宋体" w:hAnsi="宋体" w:cs="宋体"/>
        </w:rPr>
      </w:pPr>
      <w:r>
        <w:rPr>
          <w:rFonts w:ascii="宋体" w:hAnsi="宋体" w:cs="宋体"/>
        </w:rPr>
        <w:t xml:space="preserve"> 承包人擅自更换项目经理的违约责任：</w:t>
      </w:r>
      <w:r>
        <w:rPr>
          <w:rFonts w:hint="eastAsia" w:ascii="宋体" w:hAnsi="宋体" w:cs="宋体"/>
          <w:u w:val="single"/>
        </w:rPr>
        <w:t>处以</w:t>
      </w:r>
      <w:r>
        <w:rPr>
          <w:rFonts w:hint="eastAsia" w:ascii="宋体" w:hAnsi="宋体" w:cs="宋体"/>
          <w:highlight w:val="none"/>
          <w:u w:val="single"/>
          <w:lang w:val="en-US" w:eastAsia="zh-CN"/>
        </w:rPr>
        <w:t>50万</w:t>
      </w:r>
      <w:r>
        <w:rPr>
          <w:rFonts w:ascii="宋体" w:hAnsi="宋体" w:cs="宋体"/>
          <w:u w:val="single"/>
        </w:rPr>
        <w:t>元罚款，承包人承担上述违约给发包人造成的一切损失</w:t>
      </w:r>
      <w:r>
        <w:rPr>
          <w:rFonts w:hint="eastAsia" w:ascii="宋体" w:hAnsi="宋体" w:cs="宋体"/>
        </w:rPr>
        <w:t>。</w:t>
      </w:r>
    </w:p>
    <w:p w14:paraId="327E67DC">
      <w:pPr>
        <w:snapToGrid w:val="0"/>
        <w:ind w:left="41" w:leftChars="17" w:firstLine="480" w:firstLineChars="200"/>
        <w:rPr>
          <w:rFonts w:ascii="宋体" w:hAnsi="宋体" w:cs="宋体"/>
        </w:rPr>
      </w:pPr>
      <w:r>
        <w:rPr>
          <w:rFonts w:hint="eastAsia" w:ascii="宋体" w:hAnsi="宋体" w:cs="宋体"/>
        </w:rPr>
        <w:t>承包人无正当理由拒绝更换项目经理的违约责任：</w:t>
      </w:r>
      <w:r>
        <w:rPr>
          <w:rFonts w:hint="eastAsia" w:ascii="宋体" w:hAnsi="宋体" w:cs="宋体"/>
          <w:u w:val="single"/>
        </w:rPr>
        <w:t>处以</w:t>
      </w:r>
      <w:r>
        <w:rPr>
          <w:rFonts w:hint="eastAsia" w:ascii="宋体" w:hAnsi="宋体" w:cs="宋体"/>
          <w:u w:val="single"/>
          <w:lang w:val="en-US" w:eastAsia="zh-CN"/>
        </w:rPr>
        <w:t>1万</w:t>
      </w:r>
      <w:r>
        <w:rPr>
          <w:rFonts w:ascii="宋体" w:hAnsi="宋体" w:cs="宋体"/>
          <w:u w:val="single"/>
        </w:rPr>
        <w:t>元罚款，承包人承担上述违约给发包人造成的一切损失</w:t>
      </w:r>
      <w:r>
        <w:rPr>
          <w:rFonts w:hint="eastAsia" w:ascii="宋体" w:hAnsi="宋体" w:cs="宋体"/>
        </w:rPr>
        <w:t>。</w:t>
      </w:r>
    </w:p>
    <w:p w14:paraId="368D7DF0">
      <w:pPr>
        <w:pStyle w:val="2"/>
        <w:ind w:firstLine="480" w:firstLineChars="200"/>
        <w:rPr>
          <w:rFonts w:hint="eastAsia" w:hAnsi="宋体"/>
          <w:kern w:val="2"/>
          <w:sz w:val="24"/>
          <w:szCs w:val="24"/>
        </w:rPr>
      </w:pPr>
      <w:r>
        <w:rPr>
          <w:rFonts w:hint="eastAsia" w:hAnsi="宋体"/>
          <w:kern w:val="2"/>
          <w:sz w:val="24"/>
          <w:szCs w:val="24"/>
        </w:rPr>
        <w:t>由发包人组织的工程会议或监理组织的每周工地例会，项目经理和项目技术负责人必须出席（经发包人批准除外），每缺席一次</w:t>
      </w:r>
      <w:r>
        <w:rPr>
          <w:rFonts w:hint="eastAsia" w:hAnsi="宋体"/>
          <w:kern w:val="2"/>
          <w:sz w:val="24"/>
          <w:szCs w:val="24"/>
          <w:lang w:val="en-US" w:eastAsia="zh-CN"/>
        </w:rPr>
        <w:t>处以1万元/次罚款。</w:t>
      </w:r>
    </w:p>
    <w:p w14:paraId="670AF3F4">
      <w:pPr>
        <w:snapToGrid w:val="0"/>
        <w:ind w:left="41" w:leftChars="17" w:firstLine="482" w:firstLineChars="200"/>
        <w:rPr>
          <w:rFonts w:ascii="宋体" w:hAnsi="宋体"/>
          <w:b/>
        </w:rPr>
      </w:pPr>
      <w:r>
        <w:rPr>
          <w:rFonts w:ascii="宋体" w:hAnsi="宋体"/>
          <w:b/>
        </w:rPr>
        <w:t xml:space="preserve">4.5 </w:t>
      </w:r>
      <w:r>
        <w:rPr>
          <w:rFonts w:hint="eastAsia" w:ascii="宋体" w:hAnsi="宋体"/>
          <w:b/>
        </w:rPr>
        <w:t>不利物质条件</w:t>
      </w:r>
    </w:p>
    <w:p w14:paraId="4A756D45">
      <w:pPr>
        <w:snapToGrid w:val="0"/>
        <w:ind w:left="41" w:leftChars="17" w:firstLine="480" w:firstLineChars="200"/>
        <w:rPr>
          <w:rFonts w:ascii="宋体" w:hAnsi="宋体"/>
        </w:rPr>
      </w:pPr>
      <w:r>
        <w:rPr>
          <w:rFonts w:ascii="宋体" w:hAnsi="宋体"/>
        </w:rPr>
        <w:t xml:space="preserve">4.5.1 </w:t>
      </w:r>
      <w:r>
        <w:rPr>
          <w:rFonts w:hint="eastAsia" w:ascii="宋体" w:hAnsi="宋体"/>
        </w:rPr>
        <w:t>不利物质条件的约定：</w:t>
      </w:r>
      <w:r>
        <w:rPr>
          <w:rFonts w:ascii="宋体" w:hAnsi="宋体"/>
          <w:u w:val="single"/>
        </w:rPr>
        <w:t>/</w:t>
      </w:r>
      <w:r>
        <w:rPr>
          <w:rFonts w:hint="eastAsia" w:ascii="宋体" w:hAnsi="宋体"/>
        </w:rPr>
        <w:t>。</w:t>
      </w:r>
    </w:p>
    <w:p w14:paraId="7D8DD6D6">
      <w:pPr>
        <w:ind w:left="41" w:leftChars="17"/>
        <w:outlineLvl w:val="1"/>
        <w:rPr>
          <w:rFonts w:ascii="宋体" w:hAnsi="宋体"/>
          <w:b/>
          <w:bCs/>
          <w:kern w:val="0"/>
        </w:rPr>
      </w:pPr>
      <w:bookmarkStart w:id="818" w:name="_Toc6241381"/>
      <w:bookmarkStart w:id="819" w:name="_Toc439160184"/>
      <w:bookmarkStart w:id="820" w:name="_Toc22540"/>
      <w:bookmarkStart w:id="821" w:name="_Toc489084329"/>
      <w:bookmarkStart w:id="822" w:name="_Toc526793396"/>
      <w:bookmarkStart w:id="823" w:name="_Toc410986383"/>
      <w:r>
        <w:rPr>
          <w:rFonts w:ascii="宋体" w:hAnsi="宋体"/>
          <w:b/>
          <w:bCs/>
          <w:kern w:val="0"/>
        </w:rPr>
        <w:t xml:space="preserve">5. </w:t>
      </w:r>
      <w:r>
        <w:rPr>
          <w:rFonts w:hint="eastAsia" w:ascii="宋体" w:hAnsi="宋体"/>
          <w:b/>
          <w:bCs/>
          <w:kern w:val="0"/>
        </w:rPr>
        <w:t>施工控制网</w:t>
      </w:r>
      <w:bookmarkEnd w:id="818"/>
      <w:bookmarkEnd w:id="819"/>
      <w:bookmarkEnd w:id="820"/>
      <w:bookmarkEnd w:id="821"/>
      <w:bookmarkEnd w:id="822"/>
      <w:bookmarkEnd w:id="823"/>
    </w:p>
    <w:p w14:paraId="15A97361">
      <w:pPr>
        <w:snapToGrid w:val="0"/>
        <w:ind w:left="41" w:leftChars="17" w:firstLine="482" w:firstLineChars="200"/>
        <w:rPr>
          <w:rFonts w:ascii="宋体" w:hAnsi="宋体"/>
          <w:b/>
        </w:rPr>
      </w:pPr>
      <w:r>
        <w:rPr>
          <w:rFonts w:ascii="宋体" w:hAnsi="宋体"/>
          <w:b/>
        </w:rPr>
        <w:t>5.1测设施工控制网</w:t>
      </w:r>
    </w:p>
    <w:p w14:paraId="21CA9F6E">
      <w:pPr>
        <w:snapToGrid w:val="0"/>
        <w:ind w:left="41" w:leftChars="17" w:firstLine="480" w:firstLineChars="200"/>
        <w:rPr>
          <w:rFonts w:ascii="宋体" w:hAnsi="宋体"/>
        </w:rPr>
      </w:pPr>
      <w:r>
        <w:rPr>
          <w:rFonts w:hint="eastAsia" w:ascii="宋体" w:hAnsi="宋体"/>
        </w:rPr>
        <w:t>发包人提供测量基准点、基准线和水准点及其书面资料的期限：</w:t>
      </w:r>
      <w:r>
        <w:rPr>
          <w:rFonts w:ascii="宋体" w:hAnsi="宋体"/>
          <w:u w:val="single"/>
        </w:rPr>
        <w:t xml:space="preserve">/ </w:t>
      </w:r>
      <w:r>
        <w:rPr>
          <w:rFonts w:hint="eastAsia" w:ascii="宋体" w:hAnsi="宋体"/>
        </w:rPr>
        <w:t>。</w:t>
      </w:r>
    </w:p>
    <w:p w14:paraId="36681909">
      <w:pPr>
        <w:snapToGrid w:val="0"/>
        <w:ind w:left="41" w:leftChars="17" w:firstLine="480" w:firstLineChars="200"/>
        <w:rPr>
          <w:rFonts w:ascii="宋体" w:hAnsi="宋体"/>
        </w:rPr>
      </w:pPr>
      <w:r>
        <w:rPr>
          <w:rFonts w:hint="eastAsia" w:ascii="宋体" w:hAnsi="宋体"/>
        </w:rPr>
        <w:t>承包人向监理人报送施工控制网测设资料的期限：</w:t>
      </w:r>
      <w:r>
        <w:rPr>
          <w:rFonts w:ascii="宋体" w:hAnsi="宋体"/>
          <w:u w:val="single"/>
        </w:rPr>
        <w:t>/</w:t>
      </w:r>
      <w:r>
        <w:rPr>
          <w:rFonts w:hint="eastAsia" w:ascii="宋体" w:hAnsi="宋体"/>
        </w:rPr>
        <w:t>。</w:t>
      </w:r>
    </w:p>
    <w:p w14:paraId="3B1F0240">
      <w:pPr>
        <w:ind w:left="41" w:leftChars="17"/>
        <w:outlineLvl w:val="1"/>
        <w:rPr>
          <w:rFonts w:ascii="宋体" w:hAnsi="宋体"/>
          <w:b/>
          <w:bCs/>
          <w:kern w:val="0"/>
        </w:rPr>
      </w:pPr>
      <w:bookmarkStart w:id="824" w:name="_Toc6241382"/>
      <w:bookmarkStart w:id="825" w:name="_Toc439160185"/>
      <w:bookmarkStart w:id="826" w:name="_Toc410986384"/>
      <w:bookmarkStart w:id="827" w:name="_Toc22580"/>
      <w:bookmarkStart w:id="828" w:name="_Toc489084330"/>
      <w:bookmarkStart w:id="829" w:name="_Toc526793397"/>
      <w:r>
        <w:rPr>
          <w:rFonts w:ascii="宋体" w:hAnsi="宋体"/>
          <w:b/>
          <w:bCs/>
          <w:kern w:val="0"/>
        </w:rPr>
        <w:t xml:space="preserve">6. </w:t>
      </w:r>
      <w:r>
        <w:rPr>
          <w:rFonts w:hint="eastAsia" w:ascii="宋体" w:hAnsi="宋体"/>
          <w:b/>
          <w:bCs/>
          <w:kern w:val="0"/>
        </w:rPr>
        <w:t>工期</w:t>
      </w:r>
      <w:bookmarkEnd w:id="824"/>
      <w:bookmarkEnd w:id="825"/>
      <w:bookmarkEnd w:id="826"/>
      <w:bookmarkEnd w:id="827"/>
      <w:bookmarkEnd w:id="828"/>
      <w:bookmarkEnd w:id="829"/>
    </w:p>
    <w:p w14:paraId="089EC271">
      <w:pPr>
        <w:snapToGrid w:val="0"/>
        <w:ind w:left="41" w:leftChars="17"/>
        <w:rPr>
          <w:rFonts w:ascii="宋体" w:hAnsi="宋体"/>
          <w:b/>
        </w:rPr>
      </w:pPr>
      <w:r>
        <w:rPr>
          <w:rFonts w:ascii="宋体" w:hAnsi="宋体"/>
          <w:b/>
        </w:rPr>
        <w:t xml:space="preserve">    6.1 进度计划</w:t>
      </w:r>
    </w:p>
    <w:p w14:paraId="043C0D46">
      <w:pPr>
        <w:snapToGrid w:val="0"/>
        <w:ind w:left="41" w:leftChars="17" w:firstLine="480" w:firstLineChars="200"/>
        <w:rPr>
          <w:rFonts w:ascii="宋体" w:hAnsi="宋体"/>
        </w:rPr>
      </w:pPr>
      <w:r>
        <w:rPr>
          <w:rFonts w:hint="eastAsia" w:ascii="宋体" w:hAnsi="宋体"/>
        </w:rPr>
        <w:t>承包</w:t>
      </w:r>
      <w:r>
        <w:rPr>
          <w:rFonts w:ascii="宋体" w:hAnsi="宋体"/>
        </w:rPr>
        <w:t>人向监理人提交进度</w:t>
      </w:r>
      <w:r>
        <w:rPr>
          <w:rFonts w:hint="eastAsia" w:ascii="宋体" w:hAnsi="宋体"/>
        </w:rPr>
        <w:t>计划</w:t>
      </w:r>
      <w:r>
        <w:rPr>
          <w:rFonts w:ascii="宋体" w:hAnsi="宋体"/>
        </w:rPr>
        <w:t>的时间</w:t>
      </w:r>
      <w:r>
        <w:rPr>
          <w:rFonts w:hint="eastAsia" w:ascii="宋体" w:hAnsi="宋体"/>
        </w:rPr>
        <w:t>：</w:t>
      </w:r>
      <w:r>
        <w:rPr>
          <w:rFonts w:ascii="宋体" w:hAnsi="宋体"/>
          <w:u w:val="single"/>
        </w:rPr>
        <w:t>/</w:t>
      </w:r>
      <w:r>
        <w:rPr>
          <w:rFonts w:hint="eastAsia" w:ascii="宋体" w:hAnsi="宋体"/>
        </w:rPr>
        <w:t>。</w:t>
      </w:r>
    </w:p>
    <w:p w14:paraId="196F38C3">
      <w:pPr>
        <w:snapToGrid w:val="0"/>
        <w:ind w:left="41" w:leftChars="17"/>
        <w:rPr>
          <w:rFonts w:ascii="宋体" w:hAnsi="宋体"/>
          <w:b/>
        </w:rPr>
      </w:pPr>
      <w:r>
        <w:rPr>
          <w:rFonts w:ascii="宋体" w:hAnsi="宋体"/>
          <w:b/>
        </w:rPr>
        <w:t xml:space="preserve">    6.3 发包人引起的工期延误</w:t>
      </w:r>
    </w:p>
    <w:p w14:paraId="7DDEA03D">
      <w:pPr>
        <w:snapToGrid w:val="0"/>
        <w:ind w:left="41" w:leftChars="17" w:firstLine="480" w:firstLineChars="200"/>
        <w:rPr>
          <w:rFonts w:ascii="宋体" w:hAnsi="宋体"/>
        </w:rPr>
      </w:pPr>
      <w:r>
        <w:rPr>
          <w:rFonts w:ascii="宋体" w:hAnsi="宋体"/>
        </w:rPr>
        <w:t>6.3.1 （11）</w:t>
      </w:r>
      <w:r>
        <w:rPr>
          <w:rFonts w:hint="eastAsia" w:ascii="宋体" w:hAnsi="宋体"/>
        </w:rPr>
        <w:t>需要修订合同进度计划的其他情形</w:t>
      </w:r>
      <w:r>
        <w:rPr>
          <w:rFonts w:ascii="宋体" w:hAnsi="宋体"/>
          <w:u w:val="single"/>
        </w:rPr>
        <w:t>/</w:t>
      </w:r>
      <w:r>
        <w:rPr>
          <w:rFonts w:hint="eastAsia" w:ascii="宋体" w:hAnsi="宋体"/>
        </w:rPr>
        <w:t>。</w:t>
      </w:r>
      <w:r>
        <w:rPr>
          <w:rFonts w:ascii="宋体" w:hAnsi="宋体"/>
        </w:rPr>
        <w:t xml:space="preserve"> </w:t>
      </w:r>
    </w:p>
    <w:p w14:paraId="00E5523B">
      <w:pPr>
        <w:snapToGrid w:val="0"/>
        <w:ind w:left="41" w:leftChars="17"/>
        <w:rPr>
          <w:rFonts w:ascii="宋体" w:hAnsi="宋体"/>
          <w:b/>
        </w:rPr>
      </w:pPr>
      <w:r>
        <w:rPr>
          <w:rFonts w:ascii="宋体" w:hAnsi="宋体"/>
          <w:b/>
        </w:rPr>
        <w:t xml:space="preserve">    6.4 异常恶劣的气候条件</w:t>
      </w:r>
    </w:p>
    <w:p w14:paraId="49C53BBD">
      <w:pPr>
        <w:snapToGrid w:val="0"/>
        <w:ind w:left="41" w:leftChars="17" w:firstLine="480" w:firstLineChars="200"/>
        <w:rPr>
          <w:rFonts w:ascii="宋体" w:hAnsi="宋体"/>
        </w:rPr>
      </w:pPr>
      <w:r>
        <w:rPr>
          <w:rFonts w:hint="eastAsia" w:ascii="宋体" w:hAnsi="宋体"/>
        </w:rPr>
        <w:t>异常恶劣气候的约定：</w:t>
      </w:r>
      <w:r>
        <w:rPr>
          <w:rFonts w:ascii="宋体" w:hAnsi="宋体"/>
          <w:u w:val="single"/>
        </w:rPr>
        <w:t>/</w:t>
      </w:r>
      <w:r>
        <w:rPr>
          <w:rFonts w:hint="eastAsia" w:ascii="宋体" w:hAnsi="宋体"/>
        </w:rPr>
        <w:t>。</w:t>
      </w:r>
    </w:p>
    <w:p w14:paraId="7FAE919C">
      <w:pPr>
        <w:snapToGrid w:val="0"/>
        <w:ind w:left="41" w:leftChars="17"/>
        <w:rPr>
          <w:rFonts w:ascii="宋体" w:hAnsi="宋体"/>
          <w:b/>
        </w:rPr>
      </w:pPr>
      <w:r>
        <w:rPr>
          <w:rFonts w:ascii="宋体" w:hAnsi="宋体"/>
          <w:b/>
        </w:rPr>
        <w:t xml:space="preserve">    6.5 承包人引起的工期延误</w:t>
      </w:r>
    </w:p>
    <w:p w14:paraId="7E757E06">
      <w:pPr>
        <w:snapToGrid w:val="0"/>
        <w:ind w:left="41" w:leftChars="17" w:firstLine="480" w:firstLineChars="200"/>
        <w:rPr>
          <w:rFonts w:ascii="宋体" w:hAnsi="宋体"/>
        </w:rPr>
      </w:pPr>
      <w:r>
        <w:rPr>
          <w:rFonts w:ascii="宋体" w:hAnsi="宋体"/>
        </w:rPr>
        <w:t>逾期交工违约金</w:t>
      </w:r>
      <w:r>
        <w:rPr>
          <w:rFonts w:hint="eastAsia" w:ascii="宋体" w:hAnsi="宋体"/>
        </w:rPr>
        <w:t>：</w:t>
      </w:r>
      <w:r>
        <w:rPr>
          <w:rFonts w:hint="eastAsia" w:ascii="宋体" w:hAnsi="宋体"/>
          <w:u w:val="single"/>
        </w:rPr>
        <w:t>每日历天应赔付额度为1000</w:t>
      </w:r>
      <w:r>
        <w:rPr>
          <w:rFonts w:ascii="宋体" w:hAnsi="宋体"/>
          <w:u w:val="single"/>
        </w:rPr>
        <w:t xml:space="preserve">元       </w:t>
      </w:r>
      <w:r>
        <w:rPr>
          <w:rFonts w:hint="eastAsia" w:ascii="宋体" w:hAnsi="宋体"/>
        </w:rPr>
        <w:t>。</w:t>
      </w:r>
    </w:p>
    <w:p w14:paraId="154E0ABB">
      <w:pPr>
        <w:ind w:left="41" w:leftChars="17"/>
        <w:outlineLvl w:val="1"/>
        <w:rPr>
          <w:rFonts w:ascii="宋体" w:hAnsi="宋体"/>
          <w:b/>
          <w:bCs/>
          <w:kern w:val="0"/>
        </w:rPr>
      </w:pPr>
      <w:bookmarkStart w:id="830" w:name="_Toc19776"/>
      <w:bookmarkStart w:id="831" w:name="_Toc439160186"/>
      <w:bookmarkStart w:id="832" w:name="_Toc526793398"/>
      <w:bookmarkStart w:id="833" w:name="_Toc6241383"/>
      <w:bookmarkStart w:id="834" w:name="_Toc489084331"/>
      <w:r>
        <w:rPr>
          <w:rFonts w:ascii="宋体" w:hAnsi="宋体"/>
          <w:b/>
          <w:bCs/>
          <w:kern w:val="0"/>
        </w:rPr>
        <w:t xml:space="preserve">7. </w:t>
      </w:r>
      <w:r>
        <w:rPr>
          <w:rFonts w:hint="eastAsia" w:ascii="宋体" w:hAnsi="宋体"/>
          <w:b/>
          <w:bCs/>
          <w:kern w:val="0"/>
        </w:rPr>
        <w:t>工程质量</w:t>
      </w:r>
      <w:bookmarkEnd w:id="830"/>
      <w:bookmarkEnd w:id="831"/>
      <w:bookmarkEnd w:id="832"/>
      <w:bookmarkEnd w:id="833"/>
      <w:bookmarkEnd w:id="834"/>
    </w:p>
    <w:p w14:paraId="2D6244E1">
      <w:pPr>
        <w:snapToGrid w:val="0"/>
        <w:ind w:left="41" w:leftChars="17"/>
        <w:rPr>
          <w:rFonts w:ascii="宋体" w:hAnsi="宋体"/>
          <w:b/>
        </w:rPr>
      </w:pPr>
      <w:r>
        <w:rPr>
          <w:rFonts w:ascii="宋体" w:hAnsi="宋体"/>
          <w:b/>
        </w:rPr>
        <w:t xml:space="preserve">    7.5 质量争议</w:t>
      </w:r>
    </w:p>
    <w:p w14:paraId="10AC1D06">
      <w:pPr>
        <w:snapToGrid w:val="0"/>
        <w:ind w:left="41" w:leftChars="17" w:firstLine="480" w:firstLineChars="200"/>
        <w:jc w:val="left"/>
        <w:rPr>
          <w:rFonts w:ascii="宋体" w:hAnsi="宋体"/>
        </w:rPr>
      </w:pPr>
      <w:r>
        <w:rPr>
          <w:rFonts w:hint="eastAsia" w:ascii="宋体" w:hAnsi="宋体"/>
        </w:rPr>
        <w:t>合同当事人对工程质量有争议时，</w:t>
      </w:r>
      <w:r>
        <w:rPr>
          <w:rFonts w:hint="eastAsia" w:ascii="宋体" w:hAnsi="宋体"/>
          <w:kern w:val="0"/>
        </w:rPr>
        <w:t>双方协商确定的工程质量检测机构：</w:t>
      </w:r>
      <w:r>
        <w:rPr>
          <w:rFonts w:ascii="宋体" w:hAnsi="宋体"/>
          <w:u w:val="single"/>
        </w:rPr>
        <w:t>/</w:t>
      </w:r>
      <w:r>
        <w:rPr>
          <w:rFonts w:hint="eastAsia" w:ascii="宋体" w:hAnsi="宋体"/>
        </w:rPr>
        <w:t>。</w:t>
      </w:r>
    </w:p>
    <w:p w14:paraId="42B63FEF">
      <w:pPr>
        <w:ind w:left="41" w:leftChars="17"/>
        <w:outlineLvl w:val="1"/>
        <w:rPr>
          <w:rFonts w:ascii="宋体" w:hAnsi="宋体"/>
          <w:b/>
          <w:bCs/>
          <w:kern w:val="0"/>
        </w:rPr>
      </w:pPr>
      <w:bookmarkStart w:id="835" w:name="_Toc6212"/>
      <w:bookmarkStart w:id="836" w:name="_Toc526793399"/>
      <w:bookmarkStart w:id="837" w:name="_Toc489084332"/>
      <w:bookmarkStart w:id="838" w:name="_Toc439160187"/>
      <w:bookmarkStart w:id="839" w:name="_Toc410986385"/>
      <w:bookmarkStart w:id="840" w:name="_Toc6241384"/>
      <w:r>
        <w:rPr>
          <w:rFonts w:ascii="宋体" w:hAnsi="宋体"/>
          <w:b/>
          <w:bCs/>
          <w:kern w:val="0"/>
        </w:rPr>
        <w:t>8. 安全文明施工与环境保护</w:t>
      </w:r>
      <w:bookmarkEnd w:id="835"/>
      <w:bookmarkEnd w:id="836"/>
      <w:bookmarkEnd w:id="837"/>
      <w:bookmarkEnd w:id="838"/>
      <w:bookmarkEnd w:id="839"/>
      <w:bookmarkEnd w:id="840"/>
    </w:p>
    <w:p w14:paraId="250EABE4">
      <w:pPr>
        <w:snapToGrid w:val="0"/>
        <w:ind w:left="41" w:leftChars="17"/>
        <w:rPr>
          <w:rFonts w:ascii="宋体" w:hAnsi="宋体"/>
          <w:b/>
        </w:rPr>
      </w:pPr>
      <w:r>
        <w:rPr>
          <w:rFonts w:ascii="宋体" w:hAnsi="宋体"/>
          <w:b/>
        </w:rPr>
        <w:t xml:space="preserve">    8.1安全文明施工</w:t>
      </w:r>
    </w:p>
    <w:p w14:paraId="4C4D2372">
      <w:pPr>
        <w:snapToGrid w:val="0"/>
        <w:ind w:left="41" w:leftChars="17" w:firstLine="480" w:firstLineChars="200"/>
        <w:rPr>
          <w:rFonts w:ascii="宋体" w:hAnsi="宋体"/>
        </w:rPr>
      </w:pPr>
      <w:r>
        <w:rPr>
          <w:rFonts w:ascii="宋体" w:hAnsi="宋体"/>
        </w:rPr>
        <w:t>8.1.1安全生产要求</w:t>
      </w:r>
    </w:p>
    <w:p w14:paraId="3F4394D0">
      <w:pPr>
        <w:snapToGrid w:val="0"/>
        <w:ind w:left="41" w:leftChars="17" w:firstLine="480" w:firstLineChars="200"/>
        <w:rPr>
          <w:rFonts w:ascii="宋体" w:hAnsi="宋体"/>
        </w:rPr>
      </w:pPr>
      <w:r>
        <w:rPr>
          <w:rFonts w:hint="eastAsia" w:ascii="宋体" w:hAnsi="宋体"/>
        </w:rPr>
        <w:t>（</w:t>
      </w:r>
      <w:r>
        <w:rPr>
          <w:rFonts w:ascii="宋体" w:hAnsi="宋体"/>
        </w:rPr>
        <w:t>1）有特别要求的施工项目安全生产标准化达标目标及相应事项</w:t>
      </w:r>
      <w:r>
        <w:rPr>
          <w:rFonts w:hint="eastAsia" w:ascii="宋体" w:hAnsi="宋体"/>
        </w:rPr>
        <w:t>：</w:t>
      </w:r>
      <w:r>
        <w:rPr>
          <w:rFonts w:ascii="宋体" w:hAnsi="宋体"/>
          <w:u w:val="single"/>
        </w:rPr>
        <w:t xml:space="preserve">  达到《建筑施工安全检查标准》（JGJ59-2011）标准    </w:t>
      </w:r>
      <w:r>
        <w:rPr>
          <w:rFonts w:hint="eastAsia" w:ascii="宋体" w:hAnsi="宋体"/>
        </w:rPr>
        <w:t>。</w:t>
      </w:r>
    </w:p>
    <w:p w14:paraId="6AFFB67B">
      <w:pPr>
        <w:snapToGrid w:val="0"/>
        <w:ind w:left="41" w:leftChars="17" w:firstLine="480" w:firstLineChars="200"/>
        <w:rPr>
          <w:rFonts w:ascii="宋体" w:hAnsi="宋体"/>
        </w:rPr>
      </w:pPr>
      <w:r>
        <w:rPr>
          <w:rFonts w:ascii="宋体" w:hAnsi="宋体"/>
        </w:rPr>
        <w:t>8.1.4 治安保卫</w:t>
      </w:r>
    </w:p>
    <w:p w14:paraId="7641F351">
      <w:pPr>
        <w:snapToGrid w:val="0"/>
        <w:ind w:left="41" w:leftChars="17" w:firstLine="480" w:firstLineChars="200"/>
        <w:rPr>
          <w:rFonts w:ascii="宋体" w:hAnsi="宋体"/>
        </w:rPr>
      </w:pPr>
      <w:r>
        <w:rPr>
          <w:rFonts w:hint="eastAsia" w:ascii="宋体" w:hAnsi="宋体"/>
        </w:rPr>
        <w:t>（</w:t>
      </w:r>
      <w:r>
        <w:rPr>
          <w:rFonts w:ascii="宋体" w:hAnsi="宋体"/>
        </w:rPr>
        <w:t>2）治安保卫的约定：</w:t>
      </w:r>
      <w:r>
        <w:rPr>
          <w:rFonts w:ascii="宋体" w:hAnsi="宋体"/>
          <w:u w:val="single"/>
        </w:rPr>
        <w:t xml:space="preserve">    按通用条款执行        </w:t>
      </w:r>
      <w:r>
        <w:rPr>
          <w:rFonts w:ascii="宋体" w:hAnsi="宋体"/>
        </w:rPr>
        <w:t>。</w:t>
      </w:r>
    </w:p>
    <w:p w14:paraId="7CE096DC">
      <w:pPr>
        <w:snapToGrid w:val="0"/>
        <w:ind w:left="41" w:leftChars="17" w:firstLine="480" w:firstLineChars="200"/>
        <w:rPr>
          <w:rFonts w:ascii="宋体" w:hAnsi="宋体"/>
        </w:rPr>
      </w:pPr>
      <w:r>
        <w:rPr>
          <w:rFonts w:hint="eastAsia" w:ascii="宋体" w:hAnsi="宋体"/>
        </w:rPr>
        <w:t>（</w:t>
      </w:r>
      <w:r>
        <w:rPr>
          <w:rFonts w:ascii="宋体" w:hAnsi="宋体"/>
        </w:rPr>
        <w:t>4）编制施工场地治安管理计划，制定应对突发治安事件的紧急预案</w:t>
      </w:r>
      <w:r>
        <w:rPr>
          <w:rFonts w:hint="eastAsia" w:ascii="宋体" w:hAnsi="宋体"/>
        </w:rPr>
        <w:t>的约定：</w:t>
      </w:r>
      <w:r>
        <w:rPr>
          <w:rFonts w:ascii="宋体" w:hAnsi="宋体"/>
          <w:u w:val="single"/>
        </w:rPr>
        <w:t xml:space="preserve">  按国家、省及市有关法律、法规执行并保证文明施工安全生产  </w:t>
      </w:r>
      <w:r>
        <w:rPr>
          <w:rFonts w:hint="eastAsia" w:ascii="宋体" w:hAnsi="宋体"/>
        </w:rPr>
        <w:t>。</w:t>
      </w:r>
    </w:p>
    <w:p w14:paraId="680C947C">
      <w:pPr>
        <w:snapToGrid w:val="0"/>
        <w:ind w:left="41" w:leftChars="17" w:firstLine="480" w:firstLineChars="200"/>
        <w:rPr>
          <w:rFonts w:ascii="宋体" w:hAnsi="宋体"/>
        </w:rPr>
      </w:pPr>
      <w:r>
        <w:rPr>
          <w:rFonts w:ascii="宋体" w:hAnsi="宋体"/>
        </w:rPr>
        <w:t>8.1.5 文明施工</w:t>
      </w:r>
    </w:p>
    <w:p w14:paraId="0234BBF1">
      <w:pPr>
        <w:snapToGrid w:val="0"/>
        <w:ind w:left="41" w:leftChars="17" w:firstLine="480" w:firstLineChars="200"/>
        <w:rPr>
          <w:rFonts w:ascii="宋体" w:hAnsi="宋体"/>
        </w:rPr>
      </w:pPr>
      <w:r>
        <w:rPr>
          <w:rFonts w:hint="eastAsia" w:ascii="宋体" w:hAnsi="宋体"/>
        </w:rPr>
        <w:t>（</w:t>
      </w:r>
      <w:r>
        <w:rPr>
          <w:rFonts w:ascii="宋体" w:hAnsi="宋体"/>
        </w:rPr>
        <w:t>1）文明施工的其他要求：</w:t>
      </w:r>
      <w:r>
        <w:rPr>
          <w:rFonts w:ascii="宋体" w:hAnsi="宋体"/>
          <w:u w:val="single"/>
        </w:rPr>
        <w:t>/</w:t>
      </w:r>
      <w:r>
        <w:rPr>
          <w:rFonts w:hint="eastAsia" w:ascii="宋体" w:hAnsi="宋体"/>
        </w:rPr>
        <w:t>。</w:t>
      </w:r>
    </w:p>
    <w:p w14:paraId="35490BA1">
      <w:pPr>
        <w:snapToGrid w:val="0"/>
        <w:ind w:left="41" w:leftChars="17" w:firstLine="480" w:firstLineChars="200"/>
        <w:rPr>
          <w:rFonts w:ascii="宋体" w:hAnsi="宋体"/>
        </w:rPr>
      </w:pPr>
      <w:r>
        <w:rPr>
          <w:rFonts w:ascii="宋体" w:hAnsi="宋体"/>
        </w:rPr>
        <w:t xml:space="preserve">8.1.6 </w:t>
      </w:r>
      <w:r>
        <w:rPr>
          <w:rFonts w:hint="eastAsia" w:ascii="宋体" w:hAnsi="宋体"/>
        </w:rPr>
        <w:t>绿色施工安全防护措施费</w:t>
      </w:r>
    </w:p>
    <w:p w14:paraId="62961443">
      <w:pPr>
        <w:snapToGrid w:val="0"/>
        <w:ind w:left="41" w:leftChars="17" w:firstLine="480" w:firstLineChars="200"/>
        <w:rPr>
          <w:rFonts w:ascii="宋体" w:hAnsi="宋体"/>
        </w:rPr>
      </w:pPr>
      <w:r>
        <w:rPr>
          <w:rFonts w:hint="eastAsia" w:ascii="宋体" w:hAnsi="宋体"/>
        </w:rPr>
        <w:t>（</w:t>
      </w:r>
      <w:r>
        <w:rPr>
          <w:rFonts w:ascii="宋体" w:hAnsi="宋体"/>
        </w:rPr>
        <w:t>3）绿色施工安全防护措施费支付比例和支付期限的约定：</w:t>
      </w:r>
      <w:r>
        <w:rPr>
          <w:rFonts w:hint="eastAsia" w:ascii="宋体" w:hAnsi="宋体"/>
          <w:u w:val="single"/>
        </w:rPr>
        <w:t>与进度款支付比例一致。</w:t>
      </w:r>
    </w:p>
    <w:p w14:paraId="6A37F1C9">
      <w:pPr>
        <w:snapToGrid w:val="0"/>
        <w:ind w:left="41" w:leftChars="17" w:firstLine="480" w:firstLineChars="200"/>
        <w:rPr>
          <w:rFonts w:ascii="宋体" w:hAnsi="宋体"/>
        </w:rPr>
      </w:pPr>
      <w:r>
        <w:rPr>
          <w:rFonts w:ascii="宋体" w:hAnsi="宋体"/>
        </w:rPr>
        <w:t>8.1.9 安全生产责任</w:t>
      </w:r>
    </w:p>
    <w:p w14:paraId="21D75F1B">
      <w:pPr>
        <w:snapToGrid w:val="0"/>
        <w:ind w:left="41" w:leftChars="17" w:firstLine="480" w:firstLineChars="200"/>
        <w:rPr>
          <w:rFonts w:ascii="宋体" w:hAnsi="宋体"/>
        </w:rPr>
      </w:pPr>
      <w:r>
        <w:rPr>
          <w:rFonts w:ascii="宋体" w:hAnsi="宋体"/>
        </w:rPr>
        <w:t>8.1.9.1 发包人的安全责任</w:t>
      </w:r>
    </w:p>
    <w:p w14:paraId="6CCB72F0">
      <w:pPr>
        <w:snapToGrid w:val="0"/>
        <w:ind w:left="41" w:leftChars="17" w:firstLine="480" w:firstLineChars="200"/>
        <w:rPr>
          <w:rFonts w:ascii="宋体" w:hAnsi="宋体"/>
        </w:rPr>
      </w:pPr>
      <w:r>
        <w:rPr>
          <w:rFonts w:ascii="宋体" w:hAnsi="宋体"/>
        </w:rPr>
        <w:t>发包人负责赔偿</w:t>
      </w:r>
      <w:r>
        <w:rPr>
          <w:rFonts w:hint="eastAsia" w:ascii="宋体" w:hAnsi="宋体"/>
        </w:rPr>
        <w:t>的约定：</w:t>
      </w:r>
      <w:r>
        <w:rPr>
          <w:rFonts w:ascii="宋体" w:hAnsi="宋体"/>
          <w:u w:val="single"/>
        </w:rPr>
        <w:t xml:space="preserve">  无</w:t>
      </w:r>
      <w:r>
        <w:rPr>
          <w:rFonts w:hint="eastAsia" w:ascii="宋体" w:hAnsi="宋体"/>
        </w:rPr>
        <w:t>。</w:t>
      </w:r>
    </w:p>
    <w:p w14:paraId="0EEBAF7E">
      <w:pPr>
        <w:ind w:left="41" w:leftChars="17"/>
        <w:outlineLvl w:val="1"/>
        <w:rPr>
          <w:rFonts w:ascii="宋体" w:hAnsi="宋体"/>
          <w:b/>
          <w:bCs/>
          <w:kern w:val="0"/>
        </w:rPr>
      </w:pPr>
      <w:bookmarkStart w:id="841" w:name="_Toc439160188"/>
      <w:bookmarkStart w:id="842" w:name="_Toc526793400"/>
      <w:bookmarkStart w:id="843" w:name="_Toc489084333"/>
      <w:bookmarkStart w:id="844" w:name="_Toc22705"/>
      <w:bookmarkStart w:id="845" w:name="_Toc6241385"/>
      <w:bookmarkStart w:id="846" w:name="_Toc410986386"/>
      <w:r>
        <w:rPr>
          <w:rFonts w:ascii="宋体" w:hAnsi="宋体"/>
          <w:b/>
          <w:bCs/>
          <w:kern w:val="0"/>
        </w:rPr>
        <w:t>9. 材料与设备</w:t>
      </w:r>
      <w:bookmarkEnd w:id="841"/>
      <w:bookmarkEnd w:id="842"/>
      <w:bookmarkEnd w:id="843"/>
      <w:bookmarkEnd w:id="844"/>
      <w:bookmarkEnd w:id="845"/>
      <w:bookmarkEnd w:id="846"/>
    </w:p>
    <w:p w14:paraId="2304643F">
      <w:pPr>
        <w:snapToGrid w:val="0"/>
        <w:ind w:left="41" w:leftChars="17"/>
        <w:rPr>
          <w:rFonts w:ascii="宋体" w:hAnsi="宋体"/>
          <w:b/>
        </w:rPr>
      </w:pPr>
      <w:r>
        <w:rPr>
          <w:rFonts w:ascii="宋体" w:hAnsi="宋体"/>
          <w:b/>
        </w:rPr>
        <w:t xml:space="preserve">    9.1发包人供应材料与工程设备</w:t>
      </w:r>
    </w:p>
    <w:p w14:paraId="48ED6562">
      <w:pPr>
        <w:snapToGrid w:val="0"/>
        <w:ind w:left="41" w:leftChars="17" w:firstLine="480" w:firstLineChars="200"/>
        <w:rPr>
          <w:rFonts w:ascii="宋体" w:hAnsi="宋体"/>
        </w:rPr>
      </w:pPr>
      <w:r>
        <w:rPr>
          <w:rFonts w:ascii="宋体" w:hAnsi="宋体"/>
        </w:rPr>
        <w:t>9.1.2发包人提供的材料和工程设备的卸车、接收、领料、装车、运输、保管的约定：</w:t>
      </w:r>
      <w:r>
        <w:rPr>
          <w:rFonts w:hint="eastAsia" w:ascii="宋体" w:hAnsi="宋体" w:cs="宋体"/>
          <w:u w:val="single"/>
        </w:rPr>
        <w:t>无</w:t>
      </w:r>
      <w:r>
        <w:rPr>
          <w:rFonts w:ascii="宋体" w:hAnsi="宋体" w:cs="宋体"/>
          <w:u w:val="single"/>
        </w:rPr>
        <w:t xml:space="preserve">  </w:t>
      </w:r>
      <w:r>
        <w:rPr>
          <w:rFonts w:hint="eastAsia" w:ascii="宋体" w:hAnsi="宋体"/>
        </w:rPr>
        <w:t>。</w:t>
      </w:r>
    </w:p>
    <w:p w14:paraId="4F71CA10">
      <w:pPr>
        <w:snapToGrid w:val="0"/>
        <w:ind w:left="41" w:leftChars="17" w:firstLine="480" w:firstLineChars="200"/>
        <w:rPr>
          <w:rFonts w:ascii="宋体" w:hAnsi="宋体"/>
        </w:rPr>
      </w:pPr>
      <w:r>
        <w:rPr>
          <w:rFonts w:ascii="宋体" w:hAnsi="宋体"/>
        </w:rPr>
        <w:t>9.1.5发包人提供的材料和工程设备的规格、数量或质量不符合合同要求，或由于发包人原因发生交货日期延误及交货地点变更等情况的，由此导致的费用增加和（或）工期延误的约定：</w:t>
      </w:r>
      <w:r>
        <w:rPr>
          <w:rFonts w:hint="eastAsia" w:ascii="宋体" w:hAnsi="宋体" w:cs="宋体"/>
          <w:u w:val="single"/>
        </w:rPr>
        <w:t>由承包人与发包人另行协商</w:t>
      </w:r>
      <w:r>
        <w:rPr>
          <w:rFonts w:ascii="宋体" w:hAnsi="宋体" w:cs="宋体"/>
          <w:u w:val="single"/>
        </w:rPr>
        <w:t xml:space="preserve">   </w:t>
      </w:r>
      <w:r>
        <w:rPr>
          <w:rFonts w:hint="eastAsia" w:ascii="宋体" w:hAnsi="宋体"/>
        </w:rPr>
        <w:t>。</w:t>
      </w:r>
    </w:p>
    <w:p w14:paraId="5879EFDC">
      <w:pPr>
        <w:snapToGrid w:val="0"/>
        <w:ind w:left="41" w:leftChars="17"/>
        <w:rPr>
          <w:rFonts w:ascii="宋体" w:hAnsi="宋体"/>
          <w:b/>
        </w:rPr>
      </w:pPr>
      <w:r>
        <w:rPr>
          <w:rFonts w:ascii="宋体" w:hAnsi="宋体"/>
          <w:b/>
        </w:rPr>
        <w:t xml:space="preserve">    9.4材料与工程设备的保管与使用</w:t>
      </w:r>
    </w:p>
    <w:p w14:paraId="3CA2D0A3">
      <w:pPr>
        <w:snapToGrid w:val="0"/>
        <w:ind w:left="41" w:leftChars="17" w:firstLine="480" w:firstLineChars="200"/>
        <w:rPr>
          <w:rFonts w:ascii="宋体" w:hAnsi="宋体"/>
        </w:rPr>
      </w:pPr>
      <w:r>
        <w:rPr>
          <w:rFonts w:ascii="宋体" w:hAnsi="宋体"/>
        </w:rPr>
        <w:t>9.4.1 发包人供应材料与工程设备的保管与使用</w:t>
      </w:r>
    </w:p>
    <w:p w14:paraId="19BBAF5E">
      <w:pPr>
        <w:snapToGrid w:val="0"/>
        <w:ind w:left="41" w:leftChars="17" w:firstLine="480" w:firstLineChars="200"/>
        <w:rPr>
          <w:rFonts w:ascii="宋体" w:hAnsi="宋体"/>
        </w:rPr>
      </w:pPr>
      <w:r>
        <w:rPr>
          <w:rFonts w:ascii="宋体" w:hAnsi="宋体"/>
        </w:rPr>
        <w:t>发包人供应的材料</w:t>
      </w:r>
      <w:r>
        <w:rPr>
          <w:rFonts w:hint="eastAsia" w:ascii="宋体" w:hAnsi="宋体"/>
        </w:rPr>
        <w:t>、</w:t>
      </w:r>
      <w:r>
        <w:rPr>
          <w:rFonts w:ascii="宋体" w:hAnsi="宋体"/>
        </w:rPr>
        <w:t>工程设备</w:t>
      </w:r>
      <w:r>
        <w:rPr>
          <w:rFonts w:hint="eastAsia" w:ascii="宋体" w:hAnsi="宋体"/>
        </w:rPr>
        <w:t>从发包人仓库至施工现场的运输费和工地</w:t>
      </w:r>
      <w:r>
        <w:rPr>
          <w:rFonts w:ascii="宋体" w:hAnsi="宋体"/>
        </w:rPr>
        <w:t>保管费用</w:t>
      </w:r>
      <w:r>
        <w:rPr>
          <w:rFonts w:hint="eastAsia" w:ascii="宋体" w:hAnsi="宋体"/>
        </w:rPr>
        <w:t>的承担：</w:t>
      </w:r>
      <w:r>
        <w:rPr>
          <w:rFonts w:ascii="宋体" w:hAnsi="宋体"/>
          <w:u w:val="single"/>
        </w:rPr>
        <w:t xml:space="preserve"> 无 </w:t>
      </w:r>
      <w:r>
        <w:rPr>
          <w:rFonts w:hint="eastAsia" w:ascii="宋体" w:hAnsi="宋体"/>
        </w:rPr>
        <w:t>。</w:t>
      </w:r>
    </w:p>
    <w:p w14:paraId="71721B88">
      <w:pPr>
        <w:snapToGrid w:val="0"/>
        <w:ind w:left="41" w:leftChars="17"/>
        <w:rPr>
          <w:rFonts w:ascii="宋体" w:hAnsi="宋体"/>
          <w:b/>
        </w:rPr>
      </w:pPr>
      <w:r>
        <w:rPr>
          <w:rFonts w:ascii="宋体" w:hAnsi="宋体"/>
          <w:b/>
        </w:rPr>
        <w:t xml:space="preserve">    9.5禁止使用不合格的材料和工程设备</w:t>
      </w:r>
    </w:p>
    <w:p w14:paraId="063F2A60">
      <w:pPr>
        <w:snapToGrid w:val="0"/>
        <w:ind w:left="41" w:leftChars="17" w:firstLine="480" w:firstLineChars="200"/>
        <w:rPr>
          <w:rFonts w:ascii="宋体" w:hAnsi="宋体"/>
        </w:rPr>
      </w:pPr>
      <w:r>
        <w:rPr>
          <w:rFonts w:ascii="宋体" w:hAnsi="宋体"/>
        </w:rPr>
        <w:t>9.5.3发包人提供的材料或工程设备不符合合同要求的，承包人有权拒绝，并可要求发包人更换</w:t>
      </w:r>
      <w:r>
        <w:rPr>
          <w:rFonts w:hint="eastAsia" w:ascii="宋体" w:hAnsi="宋体"/>
        </w:rPr>
        <w:t>，由此导致的费用增加和（或）工期延误的约定：</w:t>
      </w:r>
      <w:r>
        <w:rPr>
          <w:rFonts w:ascii="宋体" w:hAnsi="宋体"/>
          <w:u w:val="single"/>
        </w:rPr>
        <w:t xml:space="preserve">  无</w:t>
      </w:r>
      <w:r>
        <w:rPr>
          <w:rFonts w:hint="eastAsia" w:ascii="宋体" w:hAnsi="宋体"/>
        </w:rPr>
        <w:t>。</w:t>
      </w:r>
    </w:p>
    <w:p w14:paraId="606FD040">
      <w:pPr>
        <w:snapToGrid w:val="0"/>
        <w:ind w:left="41" w:leftChars="17"/>
        <w:rPr>
          <w:rFonts w:ascii="宋体" w:hAnsi="宋体"/>
          <w:b/>
        </w:rPr>
      </w:pPr>
      <w:r>
        <w:rPr>
          <w:rFonts w:ascii="宋体" w:hAnsi="宋体"/>
          <w:b/>
        </w:rPr>
        <w:t xml:space="preserve">    9.6 样品</w:t>
      </w:r>
    </w:p>
    <w:p w14:paraId="4330DEC3">
      <w:pPr>
        <w:snapToGrid w:val="0"/>
        <w:ind w:left="41" w:leftChars="17" w:firstLine="480" w:firstLineChars="200"/>
        <w:rPr>
          <w:rFonts w:ascii="宋体" w:hAnsi="宋体"/>
        </w:rPr>
      </w:pPr>
      <w:r>
        <w:rPr>
          <w:rFonts w:ascii="宋体" w:hAnsi="宋体"/>
        </w:rPr>
        <w:t>9.6.1</w:t>
      </w:r>
      <w:r>
        <w:rPr>
          <w:rFonts w:ascii="宋体" w:hAnsi="宋体"/>
        </w:rPr>
        <w:tab/>
      </w:r>
      <w:r>
        <w:rPr>
          <w:rFonts w:ascii="宋体" w:hAnsi="宋体"/>
        </w:rPr>
        <w:t>样品的报送</w:t>
      </w:r>
      <w:r>
        <w:rPr>
          <w:rFonts w:hint="eastAsia" w:ascii="宋体" w:hAnsi="宋体"/>
        </w:rPr>
        <w:t>与封存</w:t>
      </w:r>
    </w:p>
    <w:p w14:paraId="6732D4CF">
      <w:pPr>
        <w:snapToGrid w:val="0"/>
        <w:ind w:left="41" w:leftChars="17" w:firstLine="480" w:firstLineChars="200"/>
        <w:rPr>
          <w:rFonts w:ascii="宋体" w:hAnsi="宋体"/>
        </w:rPr>
      </w:pPr>
      <w:r>
        <w:rPr>
          <w:rFonts w:ascii="宋体" w:hAnsi="宋体"/>
        </w:rPr>
        <w:t>需要承包人报送样品的材料或工程设备，样品的种类、名称、规格、数量要求</w:t>
      </w:r>
      <w:r>
        <w:rPr>
          <w:rFonts w:hint="eastAsia" w:ascii="宋体" w:hAnsi="宋体"/>
        </w:rPr>
        <w:t>：</w:t>
      </w:r>
      <w:r>
        <w:rPr>
          <w:rFonts w:hint="eastAsia" w:ascii="宋体" w:hAnsi="宋体"/>
          <w:u w:val="single"/>
        </w:rPr>
        <w:t>按管理部门要求和发包人需求确定，本工程使用的工程材料，订货前，承包人应提供生产厂家的合格证书及试验报告，如发生货不对板，发包人有权拒用，并由承包人承担损失</w:t>
      </w:r>
      <w:r>
        <w:rPr>
          <w:rFonts w:ascii="宋体" w:hAnsi="宋体"/>
          <w:u w:val="single"/>
        </w:rPr>
        <w:t xml:space="preserve"> </w:t>
      </w:r>
      <w:r>
        <w:rPr>
          <w:rFonts w:hint="eastAsia" w:ascii="宋体" w:hAnsi="宋体"/>
        </w:rPr>
        <w:t>。</w:t>
      </w:r>
    </w:p>
    <w:p w14:paraId="21392B9A">
      <w:pPr>
        <w:ind w:left="41" w:leftChars="17"/>
        <w:rPr>
          <w:rFonts w:ascii="宋体" w:hAnsi="宋体"/>
          <w:b/>
        </w:rPr>
      </w:pPr>
      <w:r>
        <w:rPr>
          <w:rFonts w:ascii="宋体" w:hAnsi="宋体"/>
          <w:b/>
        </w:rPr>
        <w:t xml:space="preserve">    9.8施工设备和临时设施</w:t>
      </w:r>
    </w:p>
    <w:p w14:paraId="1A6BA6F0">
      <w:pPr>
        <w:autoSpaceDE w:val="0"/>
        <w:autoSpaceDN w:val="0"/>
        <w:snapToGrid w:val="0"/>
        <w:ind w:left="41" w:leftChars="17" w:firstLine="480" w:firstLineChars="200"/>
        <w:rPr>
          <w:rFonts w:ascii="宋体" w:hAnsi="宋体"/>
        </w:rPr>
      </w:pPr>
      <w:r>
        <w:rPr>
          <w:rFonts w:ascii="宋体" w:hAnsi="宋体"/>
        </w:rPr>
        <w:t>9.8.1 承包人提供的施工设备和临时设施</w:t>
      </w:r>
    </w:p>
    <w:p w14:paraId="2DF01EF4">
      <w:pPr>
        <w:snapToGrid w:val="0"/>
        <w:ind w:left="41" w:leftChars="17" w:firstLine="480" w:firstLineChars="200"/>
        <w:rPr>
          <w:rFonts w:ascii="宋体" w:hAnsi="宋体"/>
        </w:rPr>
      </w:pPr>
      <w:r>
        <w:rPr>
          <w:rFonts w:hint="eastAsia" w:ascii="宋体" w:hAnsi="宋体"/>
        </w:rPr>
        <w:t>施工现场</w:t>
      </w:r>
      <w:r>
        <w:rPr>
          <w:rFonts w:ascii="宋体" w:hAnsi="宋体"/>
        </w:rPr>
        <w:t>临时占地</w:t>
      </w:r>
      <w:r>
        <w:rPr>
          <w:rFonts w:hint="eastAsia" w:ascii="宋体" w:hAnsi="宋体"/>
        </w:rPr>
        <w:t>提供的约定：</w:t>
      </w:r>
      <w:r>
        <w:rPr>
          <w:rFonts w:ascii="宋体" w:hAnsi="宋体"/>
          <w:u w:val="single"/>
        </w:rPr>
        <w:t>/</w:t>
      </w:r>
      <w:r>
        <w:rPr>
          <w:rFonts w:hint="eastAsia" w:ascii="宋体" w:hAnsi="宋体"/>
        </w:rPr>
        <w:t>。</w:t>
      </w:r>
    </w:p>
    <w:p w14:paraId="0A999A05">
      <w:pPr>
        <w:snapToGrid w:val="0"/>
        <w:ind w:left="41" w:leftChars="17" w:firstLine="480" w:firstLineChars="200"/>
        <w:rPr>
          <w:rFonts w:ascii="宋体" w:hAnsi="宋体"/>
        </w:rPr>
      </w:pPr>
      <w:r>
        <w:rPr>
          <w:rFonts w:ascii="宋体" w:hAnsi="宋体"/>
        </w:rPr>
        <w:t>修建临时设施费用</w:t>
      </w:r>
      <w:r>
        <w:rPr>
          <w:rFonts w:hint="eastAsia" w:ascii="宋体" w:hAnsi="宋体"/>
        </w:rPr>
        <w:t>承担的约定：</w:t>
      </w:r>
      <w:r>
        <w:rPr>
          <w:rFonts w:ascii="宋体" w:hAnsi="宋体"/>
          <w:u w:val="single"/>
        </w:rPr>
        <w:t xml:space="preserve">     由承包人承担  </w:t>
      </w:r>
      <w:r>
        <w:rPr>
          <w:rFonts w:hint="eastAsia" w:ascii="宋体" w:hAnsi="宋体"/>
        </w:rPr>
        <w:t>。</w:t>
      </w:r>
    </w:p>
    <w:p w14:paraId="2CB84503">
      <w:pPr>
        <w:autoSpaceDE w:val="0"/>
        <w:autoSpaceDN w:val="0"/>
        <w:snapToGrid w:val="0"/>
        <w:ind w:left="41" w:leftChars="17" w:firstLine="480" w:firstLineChars="200"/>
        <w:rPr>
          <w:rFonts w:ascii="宋体" w:hAnsi="宋体"/>
        </w:rPr>
      </w:pPr>
      <w:r>
        <w:rPr>
          <w:rFonts w:ascii="宋体" w:hAnsi="宋体"/>
        </w:rPr>
        <w:t>9.8.2发包人提供的施工设备和临时设施</w:t>
      </w:r>
    </w:p>
    <w:p w14:paraId="1BF4329C">
      <w:pPr>
        <w:autoSpaceDE w:val="0"/>
        <w:autoSpaceDN w:val="0"/>
        <w:snapToGrid w:val="0"/>
        <w:ind w:left="41" w:leftChars="17" w:firstLine="480" w:firstLineChars="200"/>
        <w:rPr>
          <w:rFonts w:ascii="宋体" w:hAnsi="宋体"/>
        </w:rPr>
      </w:pPr>
      <w:r>
        <w:rPr>
          <w:rFonts w:ascii="宋体" w:hAnsi="宋体"/>
        </w:rPr>
        <w:t>发包人提供的施工设备或临时设施</w:t>
      </w:r>
      <w:r>
        <w:rPr>
          <w:rFonts w:hint="eastAsia" w:ascii="宋体" w:hAnsi="宋体"/>
        </w:rPr>
        <w:t>：</w:t>
      </w:r>
      <w:r>
        <w:rPr>
          <w:rFonts w:ascii="宋体" w:hAnsi="宋体"/>
          <w:u w:val="single"/>
        </w:rPr>
        <w:t xml:space="preserve">    无        </w:t>
      </w:r>
      <w:r>
        <w:rPr>
          <w:rFonts w:hint="eastAsia" w:ascii="宋体" w:hAnsi="宋体"/>
        </w:rPr>
        <w:t>。</w:t>
      </w:r>
    </w:p>
    <w:p w14:paraId="4D615568">
      <w:pPr>
        <w:ind w:left="41" w:leftChars="17"/>
        <w:outlineLvl w:val="1"/>
        <w:rPr>
          <w:rFonts w:ascii="宋体" w:hAnsi="宋体"/>
          <w:b/>
          <w:bCs/>
          <w:kern w:val="0"/>
        </w:rPr>
      </w:pPr>
      <w:bookmarkStart w:id="847" w:name="_Toc526793401"/>
      <w:bookmarkStart w:id="848" w:name="_Toc489084334"/>
      <w:bookmarkStart w:id="849" w:name="_Toc439160189"/>
      <w:bookmarkStart w:id="850" w:name="_Toc4909"/>
      <w:bookmarkStart w:id="851" w:name="_Toc6241386"/>
      <w:bookmarkStart w:id="852" w:name="_Toc410986387"/>
      <w:r>
        <w:rPr>
          <w:rFonts w:ascii="宋体" w:hAnsi="宋体"/>
          <w:b/>
          <w:bCs/>
          <w:kern w:val="0"/>
        </w:rPr>
        <w:t xml:space="preserve">11. </w:t>
      </w:r>
      <w:r>
        <w:rPr>
          <w:rFonts w:hint="eastAsia" w:ascii="宋体" w:hAnsi="宋体"/>
          <w:b/>
          <w:bCs/>
          <w:kern w:val="0"/>
        </w:rPr>
        <w:t>变更</w:t>
      </w:r>
      <w:bookmarkEnd w:id="847"/>
      <w:bookmarkEnd w:id="848"/>
      <w:bookmarkEnd w:id="849"/>
      <w:bookmarkEnd w:id="850"/>
      <w:bookmarkEnd w:id="851"/>
      <w:bookmarkEnd w:id="852"/>
    </w:p>
    <w:p w14:paraId="11D7F00A">
      <w:pPr>
        <w:snapToGrid w:val="0"/>
        <w:ind w:left="41" w:leftChars="17" w:firstLine="482" w:firstLineChars="200"/>
        <w:rPr>
          <w:rFonts w:ascii="宋体" w:hAnsi="宋体"/>
          <w:b/>
        </w:rPr>
      </w:pPr>
      <w:r>
        <w:rPr>
          <w:rFonts w:ascii="宋体" w:hAnsi="宋体"/>
          <w:b/>
        </w:rPr>
        <w:t>11.1变更的范围</w:t>
      </w:r>
    </w:p>
    <w:p w14:paraId="19244029">
      <w:pPr>
        <w:snapToGrid w:val="0"/>
        <w:ind w:left="41" w:leftChars="17" w:firstLine="480" w:firstLineChars="200"/>
        <w:rPr>
          <w:rFonts w:hint="default" w:ascii="宋体" w:hAnsi="宋体" w:eastAsia="宋体"/>
          <w:b/>
          <w:lang w:val="en-US" w:eastAsia="zh-CN"/>
        </w:rPr>
      </w:pPr>
      <w:r>
        <w:rPr>
          <w:rFonts w:hint="eastAsia" w:ascii="宋体" w:hAnsi="宋体"/>
          <w:bCs/>
        </w:rPr>
        <w:t>变更范围的约定：</w:t>
      </w:r>
      <w:r>
        <w:rPr>
          <w:rFonts w:ascii="宋体" w:hAnsi="宋体"/>
          <w:bCs/>
          <w:highlight w:val="none"/>
          <w:u w:val="single"/>
        </w:rPr>
        <w:t xml:space="preserve"> 对减少工程量或图纸范围外的工程量增加，必须以发包人现场实际意见为依据，进行调整。所有变更工程费用须报招标人和有关部门审定后，在中标清单单价的基础上增加或扣减工程费用</w:t>
      </w:r>
      <w:r>
        <w:rPr>
          <w:rFonts w:hint="eastAsia" w:ascii="宋体" w:hAnsi="宋体"/>
          <w:bCs/>
          <w:highlight w:val="none"/>
          <w:u w:val="single"/>
          <w:lang w:eastAsia="zh-CN"/>
        </w:rPr>
        <w:t>，</w:t>
      </w:r>
      <w:r>
        <w:rPr>
          <w:rFonts w:hint="eastAsia" w:ascii="宋体" w:hAnsi="宋体"/>
          <w:bCs/>
          <w:highlight w:val="none"/>
          <w:u w:val="single"/>
          <w:lang w:val="en-US" w:eastAsia="zh-CN"/>
        </w:rPr>
        <w:t>若清单单价经造价单位核实属于不平衡报价则发包人有权对清单单价进行调整。</w:t>
      </w:r>
    </w:p>
    <w:p w14:paraId="0C213D0F">
      <w:pPr>
        <w:snapToGrid w:val="0"/>
        <w:ind w:left="41" w:leftChars="17" w:firstLine="482" w:firstLineChars="200"/>
        <w:rPr>
          <w:rFonts w:ascii="宋体" w:hAnsi="宋体"/>
          <w:b/>
        </w:rPr>
      </w:pPr>
      <w:r>
        <w:rPr>
          <w:rFonts w:ascii="宋体" w:hAnsi="宋体"/>
          <w:b/>
        </w:rPr>
        <w:t>11.3 变更程序</w:t>
      </w:r>
    </w:p>
    <w:p w14:paraId="1F5D3ECA">
      <w:pPr>
        <w:snapToGrid w:val="0"/>
        <w:ind w:left="41" w:leftChars="17" w:firstLine="480" w:firstLineChars="200"/>
        <w:rPr>
          <w:rFonts w:ascii="宋体" w:hAnsi="宋体"/>
        </w:rPr>
      </w:pPr>
      <w:r>
        <w:rPr>
          <w:rFonts w:hint="eastAsia" w:ascii="宋体" w:hAnsi="宋体"/>
        </w:rPr>
        <w:t>变更程序的约定：</w:t>
      </w:r>
      <w:r>
        <w:rPr>
          <w:rFonts w:ascii="宋体" w:hAnsi="宋体"/>
          <w:u w:val="single"/>
        </w:rPr>
        <w:t xml:space="preserve"> 按照通用条款执行  </w:t>
      </w:r>
      <w:r>
        <w:rPr>
          <w:rFonts w:hint="eastAsia" w:ascii="宋体" w:hAnsi="宋体"/>
        </w:rPr>
        <w:t>。</w:t>
      </w:r>
    </w:p>
    <w:p w14:paraId="68FFC59A">
      <w:pPr>
        <w:snapToGrid w:val="0"/>
        <w:ind w:left="41" w:leftChars="17"/>
        <w:rPr>
          <w:rFonts w:ascii="宋体" w:hAnsi="宋体"/>
          <w:b/>
        </w:rPr>
      </w:pPr>
      <w:r>
        <w:rPr>
          <w:rFonts w:ascii="宋体" w:hAnsi="宋体"/>
          <w:b/>
        </w:rPr>
        <w:t xml:space="preserve">    11.4 变更估价</w:t>
      </w:r>
    </w:p>
    <w:p w14:paraId="418589F0">
      <w:pPr>
        <w:snapToGrid w:val="0"/>
        <w:ind w:left="41" w:leftChars="17" w:firstLine="480" w:firstLineChars="200"/>
        <w:rPr>
          <w:rFonts w:ascii="宋体" w:hAnsi="宋体"/>
        </w:rPr>
      </w:pPr>
      <w:r>
        <w:rPr>
          <w:rFonts w:ascii="宋体" w:hAnsi="宋体"/>
        </w:rPr>
        <w:t xml:space="preserve">11.4.1 </w:t>
      </w:r>
      <w:r>
        <w:rPr>
          <w:rFonts w:hint="eastAsia" w:ascii="宋体" w:hAnsi="宋体"/>
        </w:rPr>
        <w:t>变更的估价原则</w:t>
      </w:r>
    </w:p>
    <w:p w14:paraId="0BD1EEE8">
      <w:pPr>
        <w:snapToGrid w:val="0"/>
        <w:ind w:left="41" w:leftChars="17" w:firstLine="480" w:firstLineChars="200"/>
        <w:rPr>
          <w:rFonts w:ascii="宋体" w:hAnsi="宋体"/>
        </w:rPr>
      </w:pPr>
      <w:r>
        <w:rPr>
          <w:rFonts w:hint="eastAsia" w:ascii="宋体" w:hAnsi="宋体"/>
        </w:rPr>
        <w:t>变更估价的约定：</w:t>
      </w:r>
      <w:r>
        <w:rPr>
          <w:rFonts w:ascii="宋体" w:hAnsi="宋体"/>
          <w:u w:val="single"/>
        </w:rPr>
        <w:t xml:space="preserve"> 按照通用条款执行 </w:t>
      </w:r>
      <w:r>
        <w:rPr>
          <w:rFonts w:hint="eastAsia" w:ascii="宋体" w:hAnsi="宋体"/>
        </w:rPr>
        <w:t>。</w:t>
      </w:r>
    </w:p>
    <w:p w14:paraId="56F6C411">
      <w:pPr>
        <w:snapToGrid w:val="0"/>
        <w:ind w:left="41" w:leftChars="17"/>
        <w:rPr>
          <w:rFonts w:ascii="宋体" w:hAnsi="宋体"/>
          <w:b/>
        </w:rPr>
      </w:pPr>
      <w:r>
        <w:rPr>
          <w:rFonts w:ascii="宋体" w:hAnsi="宋体"/>
          <w:b/>
        </w:rPr>
        <w:t xml:space="preserve">    11.5 暂列金额</w:t>
      </w:r>
    </w:p>
    <w:p w14:paraId="5258027A">
      <w:pPr>
        <w:autoSpaceDE w:val="0"/>
        <w:autoSpaceDN w:val="0"/>
        <w:snapToGrid w:val="0"/>
        <w:ind w:left="41" w:leftChars="17" w:firstLine="480" w:firstLineChars="200"/>
        <w:rPr>
          <w:rFonts w:ascii="宋体" w:hAnsi="宋体"/>
        </w:rPr>
      </w:pPr>
      <w:r>
        <w:rPr>
          <w:rFonts w:hint="eastAsia" w:ascii="宋体" w:hAnsi="宋体"/>
        </w:rPr>
        <w:t>合同当事人关于</w:t>
      </w:r>
      <w:r>
        <w:rPr>
          <w:rFonts w:ascii="宋体" w:hAnsi="宋体"/>
        </w:rPr>
        <w:t>暂列金额使用</w:t>
      </w:r>
      <w:r>
        <w:rPr>
          <w:rFonts w:hint="eastAsia" w:ascii="宋体" w:hAnsi="宋体"/>
        </w:rPr>
        <w:t>的约定：</w:t>
      </w:r>
      <w:r>
        <w:rPr>
          <w:rFonts w:hint="eastAsia" w:ascii="宋体" w:hAnsi="宋体"/>
          <w:u w:val="single"/>
        </w:rPr>
        <w:t>由发包人确定</w:t>
      </w:r>
      <w:r>
        <w:rPr>
          <w:rFonts w:hint="eastAsia" w:ascii="宋体" w:hAnsi="宋体"/>
        </w:rPr>
        <w:t>。</w:t>
      </w:r>
    </w:p>
    <w:p w14:paraId="53124989">
      <w:pPr>
        <w:ind w:left="41" w:leftChars="17"/>
        <w:outlineLvl w:val="1"/>
        <w:rPr>
          <w:rFonts w:ascii="宋体" w:hAnsi="宋体"/>
          <w:b/>
          <w:bCs/>
          <w:kern w:val="0"/>
        </w:rPr>
      </w:pPr>
      <w:bookmarkStart w:id="853" w:name="_Toc439160190"/>
      <w:bookmarkStart w:id="854" w:name="_Toc410986388"/>
      <w:bookmarkStart w:id="855" w:name="_Toc526793402"/>
      <w:bookmarkStart w:id="856" w:name="_Toc6241387"/>
      <w:bookmarkStart w:id="857" w:name="_Toc489084335"/>
      <w:bookmarkStart w:id="858" w:name="_Toc4070"/>
      <w:r>
        <w:rPr>
          <w:rFonts w:ascii="宋体" w:hAnsi="宋体"/>
          <w:b/>
          <w:bCs/>
          <w:kern w:val="0"/>
        </w:rPr>
        <w:t xml:space="preserve">12. </w:t>
      </w:r>
      <w:r>
        <w:rPr>
          <w:rFonts w:hint="eastAsia" w:ascii="宋体" w:hAnsi="宋体"/>
          <w:b/>
          <w:bCs/>
          <w:kern w:val="0"/>
        </w:rPr>
        <w:t>计量与支付</w:t>
      </w:r>
      <w:bookmarkEnd w:id="853"/>
      <w:bookmarkEnd w:id="854"/>
      <w:bookmarkEnd w:id="855"/>
      <w:bookmarkEnd w:id="856"/>
      <w:bookmarkEnd w:id="857"/>
      <w:bookmarkEnd w:id="858"/>
    </w:p>
    <w:p w14:paraId="56EA4140">
      <w:pPr>
        <w:autoSpaceDE w:val="0"/>
        <w:autoSpaceDN w:val="0"/>
        <w:snapToGrid w:val="0"/>
        <w:ind w:left="41" w:leftChars="17"/>
        <w:rPr>
          <w:rFonts w:ascii="宋体" w:hAnsi="宋体"/>
          <w:b/>
        </w:rPr>
      </w:pPr>
      <w:r>
        <w:rPr>
          <w:rFonts w:ascii="宋体" w:hAnsi="宋体"/>
          <w:b/>
        </w:rPr>
        <w:t xml:space="preserve">    12.1 计量</w:t>
      </w:r>
    </w:p>
    <w:p w14:paraId="33711148">
      <w:pPr>
        <w:autoSpaceDE w:val="0"/>
        <w:autoSpaceDN w:val="0"/>
        <w:snapToGrid w:val="0"/>
        <w:ind w:left="41" w:leftChars="17" w:firstLine="480" w:firstLineChars="200"/>
        <w:rPr>
          <w:rFonts w:ascii="宋体" w:hAnsi="宋体"/>
        </w:rPr>
      </w:pPr>
      <w:r>
        <w:rPr>
          <w:rFonts w:hint="eastAsia" w:ascii="宋体" w:hAnsi="宋体"/>
        </w:rPr>
        <w:t>关于计量与支付的规定：</w:t>
      </w:r>
      <w:r>
        <w:rPr>
          <w:rFonts w:ascii="宋体" w:hAnsi="宋体"/>
          <w:u w:val="single"/>
        </w:rPr>
        <w:t xml:space="preserve">  建设工程工程量清单计价规范（GB 50500-2013）</w:t>
      </w:r>
      <w:r>
        <w:rPr>
          <w:rFonts w:hint="eastAsia" w:ascii="宋体" w:hAnsi="宋体"/>
        </w:rPr>
        <w:t>。</w:t>
      </w:r>
    </w:p>
    <w:p w14:paraId="3C6B55D5">
      <w:pPr>
        <w:autoSpaceDE w:val="0"/>
        <w:autoSpaceDN w:val="0"/>
        <w:snapToGrid w:val="0"/>
        <w:ind w:left="41" w:leftChars="17"/>
        <w:rPr>
          <w:rFonts w:ascii="宋体" w:hAnsi="宋体"/>
          <w:b/>
        </w:rPr>
      </w:pPr>
      <w:r>
        <w:rPr>
          <w:rFonts w:ascii="宋体" w:hAnsi="宋体"/>
          <w:b/>
        </w:rPr>
        <w:t xml:space="preserve">    12.2 预付款</w:t>
      </w:r>
    </w:p>
    <w:p w14:paraId="01377DD6">
      <w:pPr>
        <w:autoSpaceDE w:val="0"/>
        <w:autoSpaceDN w:val="0"/>
        <w:snapToGrid w:val="0"/>
        <w:ind w:left="41" w:leftChars="17" w:firstLine="480" w:firstLineChars="200"/>
        <w:rPr>
          <w:rFonts w:ascii="宋体" w:hAnsi="宋体"/>
        </w:rPr>
      </w:pPr>
      <w:r>
        <w:rPr>
          <w:rFonts w:ascii="宋体" w:hAnsi="宋体"/>
        </w:rPr>
        <w:t xml:space="preserve">12.2.1 </w:t>
      </w:r>
      <w:r>
        <w:rPr>
          <w:rFonts w:hint="eastAsia" w:ascii="宋体" w:hAnsi="宋体"/>
        </w:rPr>
        <w:t>预付款</w:t>
      </w:r>
    </w:p>
    <w:p w14:paraId="42B929D4">
      <w:pPr>
        <w:snapToGrid w:val="0"/>
        <w:ind w:left="41" w:leftChars="17" w:firstLine="480" w:firstLineChars="200"/>
        <w:rPr>
          <w:rFonts w:ascii="宋体" w:hAnsi="宋体"/>
        </w:rPr>
      </w:pPr>
      <w:r>
        <w:rPr>
          <w:rFonts w:hint="eastAsia" w:ascii="宋体" w:hAnsi="宋体"/>
        </w:rPr>
        <w:t>预付款支付比例或金额：</w:t>
      </w:r>
      <w:r>
        <w:rPr>
          <w:rFonts w:hint="eastAsia" w:ascii="宋体" w:hAnsi="宋体"/>
          <w:u w:val="single"/>
        </w:rPr>
        <w:t>合同价款（不含暂列</w:t>
      </w:r>
      <w:r>
        <w:rPr>
          <w:rFonts w:hint="eastAsia" w:ascii="宋体" w:hAnsi="宋体"/>
          <w:highlight w:val="none"/>
          <w:u w:val="single"/>
        </w:rPr>
        <w:t>金）的</w:t>
      </w:r>
      <w:r>
        <w:rPr>
          <w:rFonts w:hint="eastAsia" w:ascii="宋体" w:hAnsi="宋体"/>
          <w:highlight w:val="none"/>
          <w:u w:val="single"/>
          <w:lang w:eastAsia="zh-CN"/>
        </w:rPr>
        <w:t>3</w:t>
      </w:r>
      <w:r>
        <w:rPr>
          <w:rFonts w:hint="eastAsia" w:ascii="宋体" w:hAnsi="宋体"/>
          <w:highlight w:val="none"/>
          <w:u w:val="single"/>
          <w:lang w:val="en-US" w:eastAsia="zh-CN"/>
        </w:rPr>
        <w:t>0</w:t>
      </w:r>
      <w:r>
        <w:rPr>
          <w:rFonts w:ascii="宋体" w:hAnsi="宋体"/>
          <w:highlight w:val="none"/>
          <w:u w:val="single"/>
        </w:rPr>
        <w:t xml:space="preserve">% </w:t>
      </w:r>
      <w:r>
        <w:rPr>
          <w:rFonts w:hint="eastAsia" w:ascii="宋体" w:hAnsi="宋体"/>
          <w:highlight w:val="none"/>
        </w:rPr>
        <w:t>。</w:t>
      </w:r>
    </w:p>
    <w:p w14:paraId="743E8F78">
      <w:pPr>
        <w:snapToGrid w:val="0"/>
        <w:ind w:left="41" w:leftChars="17" w:firstLine="480" w:firstLineChars="200"/>
        <w:rPr>
          <w:rFonts w:ascii="宋体" w:hAnsi="宋体"/>
        </w:rPr>
      </w:pPr>
      <w:r>
        <w:rPr>
          <w:rFonts w:ascii="宋体" w:hAnsi="宋体"/>
        </w:rPr>
        <w:t>预付款</w:t>
      </w:r>
      <w:r>
        <w:rPr>
          <w:rFonts w:hint="eastAsia" w:ascii="宋体" w:hAnsi="宋体"/>
        </w:rPr>
        <w:t>的</w:t>
      </w:r>
      <w:r>
        <w:rPr>
          <w:rFonts w:ascii="宋体" w:hAnsi="宋体"/>
        </w:rPr>
        <w:t>支付期限</w:t>
      </w:r>
      <w:r>
        <w:rPr>
          <w:rFonts w:hint="eastAsia" w:ascii="宋体" w:hAnsi="宋体"/>
        </w:rPr>
        <w:t>：。</w:t>
      </w:r>
    </w:p>
    <w:p w14:paraId="3B4598FF">
      <w:pPr>
        <w:snapToGrid w:val="0"/>
        <w:ind w:left="41" w:leftChars="17" w:firstLine="480" w:firstLineChars="200"/>
        <w:rPr>
          <w:rFonts w:ascii="宋体" w:hAnsi="宋体"/>
        </w:rPr>
      </w:pPr>
      <w:r>
        <w:rPr>
          <w:rFonts w:ascii="宋体" w:hAnsi="宋体"/>
        </w:rPr>
        <w:t xml:space="preserve">12.2.2 </w:t>
      </w:r>
      <w:r>
        <w:rPr>
          <w:rFonts w:hint="eastAsia" w:ascii="宋体" w:hAnsi="宋体"/>
        </w:rPr>
        <w:t>预付款保函</w:t>
      </w:r>
    </w:p>
    <w:p w14:paraId="38C73EC1">
      <w:pPr>
        <w:snapToGrid w:val="0"/>
        <w:ind w:left="41" w:leftChars="17" w:firstLine="480" w:firstLineChars="200"/>
        <w:rPr>
          <w:rFonts w:ascii="宋体" w:hAnsi="宋体"/>
        </w:rPr>
      </w:pPr>
      <w:r>
        <w:rPr>
          <w:rFonts w:hint="eastAsia" w:ascii="宋体" w:hAnsi="宋体"/>
        </w:rPr>
        <w:t>承包人是否提供预付款保函的约定：</w:t>
      </w:r>
      <w:r>
        <w:rPr>
          <w:rFonts w:ascii="宋体" w:hAnsi="宋体"/>
          <w:u w:val="single"/>
        </w:rPr>
        <w:t>/</w:t>
      </w:r>
      <w:r>
        <w:rPr>
          <w:rFonts w:ascii="宋体" w:hAnsi="宋体"/>
        </w:rPr>
        <w:t>。</w:t>
      </w:r>
    </w:p>
    <w:p w14:paraId="5F4AC400">
      <w:pPr>
        <w:snapToGrid w:val="0"/>
        <w:ind w:left="41" w:leftChars="17" w:firstLine="480" w:firstLineChars="200"/>
        <w:rPr>
          <w:rFonts w:ascii="宋体" w:hAnsi="宋体"/>
        </w:rPr>
      </w:pPr>
      <w:r>
        <w:rPr>
          <w:rFonts w:ascii="宋体" w:hAnsi="宋体"/>
        </w:rPr>
        <w:t>承包人提交预付款</w:t>
      </w:r>
      <w:r>
        <w:rPr>
          <w:rFonts w:hint="eastAsia" w:ascii="宋体" w:hAnsi="宋体"/>
        </w:rPr>
        <w:t>保函</w:t>
      </w:r>
      <w:r>
        <w:rPr>
          <w:rFonts w:ascii="宋体" w:hAnsi="宋体"/>
        </w:rPr>
        <w:t>的</w:t>
      </w:r>
      <w:r>
        <w:rPr>
          <w:rFonts w:hint="eastAsia" w:ascii="宋体" w:hAnsi="宋体"/>
        </w:rPr>
        <w:t>金额</w:t>
      </w:r>
      <w:r>
        <w:rPr>
          <w:rFonts w:ascii="宋体" w:hAnsi="宋体"/>
        </w:rPr>
        <w:t>：</w:t>
      </w:r>
      <w:r>
        <w:rPr>
          <w:rFonts w:ascii="宋体" w:hAnsi="宋体"/>
          <w:kern w:val="0"/>
          <w:u w:val="single"/>
        </w:rPr>
        <w:t>/</w:t>
      </w:r>
      <w:r>
        <w:rPr>
          <w:rFonts w:ascii="宋体" w:hAnsi="宋体"/>
        </w:rPr>
        <w:t>。</w:t>
      </w:r>
    </w:p>
    <w:p w14:paraId="2F42A372">
      <w:pPr>
        <w:snapToGrid w:val="0"/>
        <w:ind w:left="41" w:leftChars="17" w:firstLine="480" w:firstLineChars="200"/>
        <w:rPr>
          <w:rFonts w:ascii="宋体" w:hAnsi="宋体"/>
        </w:rPr>
      </w:pPr>
      <w:r>
        <w:rPr>
          <w:rFonts w:ascii="宋体" w:hAnsi="宋体"/>
        </w:rPr>
        <w:t>承包人提交预付款</w:t>
      </w:r>
      <w:r>
        <w:rPr>
          <w:rFonts w:hint="eastAsia" w:ascii="宋体" w:hAnsi="宋体"/>
        </w:rPr>
        <w:t>担保</w:t>
      </w:r>
      <w:r>
        <w:rPr>
          <w:rFonts w:ascii="宋体" w:hAnsi="宋体"/>
        </w:rPr>
        <w:t>的期限：</w:t>
      </w:r>
      <w:r>
        <w:rPr>
          <w:rFonts w:ascii="宋体" w:hAnsi="宋体"/>
          <w:u w:val="single"/>
        </w:rPr>
        <w:t>/</w:t>
      </w:r>
      <w:r>
        <w:rPr>
          <w:rFonts w:ascii="宋体" w:hAnsi="宋体"/>
        </w:rPr>
        <w:t>。</w:t>
      </w:r>
    </w:p>
    <w:p w14:paraId="38E54792">
      <w:pPr>
        <w:snapToGrid w:val="0"/>
        <w:ind w:left="41" w:leftChars="17" w:firstLine="480" w:firstLineChars="200"/>
        <w:rPr>
          <w:rFonts w:ascii="宋体" w:hAnsi="宋体"/>
        </w:rPr>
      </w:pPr>
      <w:r>
        <w:rPr>
          <w:rFonts w:ascii="宋体" w:hAnsi="宋体"/>
        </w:rPr>
        <w:t xml:space="preserve">12.2.3 </w:t>
      </w:r>
      <w:r>
        <w:rPr>
          <w:rFonts w:hint="eastAsia" w:ascii="宋体" w:hAnsi="宋体"/>
        </w:rPr>
        <w:t>预付款的扣回与还清</w:t>
      </w:r>
    </w:p>
    <w:p w14:paraId="7696BD68">
      <w:pPr>
        <w:snapToGrid w:val="0"/>
        <w:ind w:left="41" w:leftChars="17" w:firstLine="480" w:firstLineChars="200"/>
        <w:rPr>
          <w:rFonts w:ascii="宋体" w:hAnsi="宋体"/>
        </w:rPr>
      </w:pPr>
      <w:r>
        <w:rPr>
          <w:rFonts w:ascii="宋体" w:hAnsi="宋体"/>
        </w:rPr>
        <w:t>预付款</w:t>
      </w:r>
      <w:r>
        <w:rPr>
          <w:rFonts w:hint="eastAsia" w:ascii="宋体" w:hAnsi="宋体"/>
        </w:rPr>
        <w:t>的扣回方式：</w:t>
      </w:r>
      <w:r>
        <w:rPr>
          <w:rFonts w:ascii="宋体" w:hAnsi="宋体"/>
          <w:u w:val="single"/>
        </w:rPr>
        <w:t>/</w:t>
      </w:r>
      <w:r>
        <w:rPr>
          <w:rFonts w:hint="eastAsia" w:ascii="宋体" w:hAnsi="宋体"/>
        </w:rPr>
        <w:t>。</w:t>
      </w:r>
    </w:p>
    <w:p w14:paraId="0643FCC4">
      <w:pPr>
        <w:autoSpaceDE w:val="0"/>
        <w:autoSpaceDN w:val="0"/>
        <w:snapToGrid w:val="0"/>
        <w:ind w:left="41" w:leftChars="17"/>
        <w:rPr>
          <w:rFonts w:ascii="宋体" w:hAnsi="宋体"/>
          <w:b/>
        </w:rPr>
      </w:pPr>
      <w:r>
        <w:rPr>
          <w:rFonts w:ascii="宋体" w:hAnsi="宋体"/>
          <w:b/>
        </w:rPr>
        <w:t xml:space="preserve">    12.3 工程进度付款</w:t>
      </w:r>
    </w:p>
    <w:p w14:paraId="338B65C9">
      <w:pPr>
        <w:autoSpaceDE w:val="0"/>
        <w:autoSpaceDN w:val="0"/>
        <w:snapToGrid w:val="0"/>
        <w:ind w:left="41" w:leftChars="17" w:firstLine="480" w:firstLineChars="200"/>
        <w:rPr>
          <w:rFonts w:ascii="宋体" w:hAnsi="宋体"/>
        </w:rPr>
      </w:pPr>
      <w:r>
        <w:rPr>
          <w:rFonts w:hint="eastAsia" w:ascii="宋体" w:hAnsi="宋体"/>
        </w:rPr>
        <w:t>向监理人提交进度付款申请单的份数：</w:t>
      </w:r>
      <w:r>
        <w:rPr>
          <w:rFonts w:ascii="宋体" w:hAnsi="宋体"/>
          <w:u w:val="single"/>
        </w:rPr>
        <w:t>/</w:t>
      </w:r>
      <w:r>
        <w:rPr>
          <w:rFonts w:hint="eastAsia" w:ascii="宋体" w:hAnsi="宋体"/>
        </w:rPr>
        <w:t>。</w:t>
      </w:r>
    </w:p>
    <w:p w14:paraId="6809BA87">
      <w:pPr>
        <w:autoSpaceDE w:val="0"/>
        <w:autoSpaceDN w:val="0"/>
        <w:snapToGrid w:val="0"/>
        <w:ind w:left="41" w:leftChars="17" w:firstLine="480" w:firstLineChars="200"/>
        <w:rPr>
          <w:rFonts w:ascii="宋体" w:hAnsi="宋体"/>
        </w:rPr>
      </w:pPr>
      <w:r>
        <w:rPr>
          <w:rFonts w:hint="eastAsia" w:ascii="宋体" w:hAnsi="宋体"/>
        </w:rPr>
        <w:t>进度付款申请单包括的内容：</w:t>
      </w:r>
    </w:p>
    <w:p w14:paraId="21B5CB1A">
      <w:pPr>
        <w:autoSpaceDE w:val="0"/>
        <w:autoSpaceDN w:val="0"/>
        <w:snapToGrid w:val="0"/>
        <w:ind w:left="41" w:leftChars="17" w:firstLine="480" w:firstLineChars="200"/>
        <w:rPr>
          <w:rFonts w:ascii="宋体" w:hAnsi="宋体"/>
          <w:u w:val="single"/>
        </w:rPr>
      </w:pPr>
      <w:r>
        <w:rPr>
          <w:rFonts w:hint="eastAsia" w:ascii="宋体" w:hAnsi="宋体"/>
          <w:u w:val="single"/>
        </w:rPr>
        <w:t>（1）承包人完工并通过验收合格后，支付到合同总价（不含暂列金）的85%；</w:t>
      </w:r>
    </w:p>
    <w:p w14:paraId="513649C6">
      <w:pPr>
        <w:autoSpaceDE w:val="0"/>
        <w:autoSpaceDN w:val="0"/>
        <w:snapToGrid w:val="0"/>
        <w:ind w:left="41" w:leftChars="17" w:firstLine="480" w:firstLineChars="200"/>
        <w:rPr>
          <w:rFonts w:ascii="宋体" w:hAnsi="宋体"/>
          <w:u w:val="single"/>
        </w:rPr>
      </w:pPr>
      <w:r>
        <w:rPr>
          <w:rFonts w:hint="eastAsia" w:ascii="宋体" w:hAnsi="宋体"/>
          <w:u w:val="single"/>
        </w:rPr>
        <w:t>（2）工程审结后，按照最终结算定案金额的3%预留质量保证金后，支付完余款。</w:t>
      </w:r>
    </w:p>
    <w:p w14:paraId="07490330">
      <w:pPr>
        <w:autoSpaceDE w:val="0"/>
        <w:autoSpaceDN w:val="0"/>
        <w:snapToGrid w:val="0"/>
        <w:ind w:left="41" w:leftChars="17" w:firstLine="480" w:firstLineChars="200"/>
        <w:rPr>
          <w:rFonts w:ascii="宋体" w:hAnsi="宋体"/>
          <w:u w:val="single"/>
        </w:rPr>
      </w:pPr>
      <w:r>
        <w:rPr>
          <w:rFonts w:hint="eastAsia" w:ascii="宋体" w:hAnsi="宋体"/>
          <w:u w:val="single"/>
        </w:rPr>
        <w:t>到达各阶段支付节点后，承包人应按照发包人内部管理要求在规定时间内提交付款申请单、支付证明文件等支付审查材料，发包人审查合格后1个月内完成付款。如承包人未按本协议规定履行主要义务的，视为审查不合格。</w:t>
      </w:r>
    </w:p>
    <w:p w14:paraId="37051DC5">
      <w:pPr>
        <w:autoSpaceDE w:val="0"/>
        <w:autoSpaceDN w:val="0"/>
        <w:snapToGrid w:val="0"/>
        <w:ind w:left="41" w:leftChars="17" w:firstLine="480" w:firstLineChars="200"/>
        <w:rPr>
          <w:rFonts w:ascii="宋体" w:hAnsi="宋体"/>
          <w:u w:val="single"/>
        </w:rPr>
      </w:pPr>
      <w:r>
        <w:rPr>
          <w:rFonts w:hint="eastAsia" w:ascii="宋体" w:hAnsi="宋体"/>
          <w:u w:val="single"/>
        </w:rPr>
        <w:t>在该项目实际投资不超批复金额前提下，最终结算定案金额大于合同金额，需签订结算协议方能支付余款；若该项目实际投资超过批复金额，还需取得发包人股东方单位增资批复后方能支付。</w:t>
      </w:r>
    </w:p>
    <w:p w14:paraId="6B6E5CA8">
      <w:pPr>
        <w:autoSpaceDE w:val="0"/>
        <w:autoSpaceDN w:val="0"/>
        <w:snapToGrid w:val="0"/>
        <w:ind w:left="41" w:leftChars="17" w:firstLine="480" w:firstLineChars="200"/>
        <w:rPr>
          <w:rFonts w:ascii="宋体" w:hAnsi="宋体"/>
          <w:u w:val="single"/>
        </w:rPr>
      </w:pPr>
      <w:r>
        <w:rPr>
          <w:rFonts w:hint="eastAsia" w:ascii="宋体" w:hAnsi="宋体"/>
          <w:u w:val="single"/>
        </w:rPr>
        <w:t>发包人承诺按照法律规定履行项目审批手续、筹集工程建设资金并按照合同约定的期限和方式支付合同价款。</w:t>
      </w:r>
    </w:p>
    <w:p w14:paraId="1EC65D18">
      <w:pPr>
        <w:autoSpaceDE w:val="0"/>
        <w:autoSpaceDN w:val="0"/>
        <w:snapToGrid w:val="0"/>
        <w:ind w:left="41" w:leftChars="17" w:firstLine="480" w:firstLineChars="200"/>
        <w:rPr>
          <w:rFonts w:ascii="宋体" w:hAnsi="宋体"/>
          <w:u w:val="single"/>
        </w:rPr>
      </w:pPr>
      <w:r>
        <w:rPr>
          <w:rFonts w:hint="eastAsia" w:ascii="宋体" w:hAnsi="宋体"/>
          <w:u w:val="single"/>
        </w:rPr>
        <w:t>每次支付由发包人属下广东中粤通油品经营有限公司民众东加油站代为支付，发票开具信息如下：</w:t>
      </w:r>
    </w:p>
    <w:p w14:paraId="69B25DBF">
      <w:pPr>
        <w:autoSpaceDE w:val="0"/>
        <w:autoSpaceDN w:val="0"/>
        <w:snapToGrid w:val="0"/>
        <w:ind w:left="41" w:leftChars="17" w:firstLine="480" w:firstLineChars="200"/>
        <w:rPr>
          <w:rFonts w:ascii="宋体" w:hAnsi="宋体"/>
          <w:u w:val="single"/>
        </w:rPr>
      </w:pPr>
      <w:r>
        <w:rPr>
          <w:rFonts w:hint="eastAsia" w:ascii="宋体" w:hAnsi="宋体"/>
          <w:u w:val="single"/>
        </w:rPr>
        <w:t>开票名称：广东中粤通油品经营有限公司民众东加油站</w:t>
      </w:r>
    </w:p>
    <w:p w14:paraId="635B33CD">
      <w:pPr>
        <w:autoSpaceDE w:val="0"/>
        <w:autoSpaceDN w:val="0"/>
        <w:snapToGrid w:val="0"/>
        <w:ind w:left="41" w:leftChars="17" w:firstLine="480" w:firstLineChars="200"/>
        <w:rPr>
          <w:rFonts w:ascii="宋体" w:hAnsi="宋体"/>
          <w:u w:val="single"/>
        </w:rPr>
      </w:pPr>
      <w:r>
        <w:rPr>
          <w:rFonts w:hint="eastAsia" w:ascii="宋体" w:hAnsi="宋体"/>
          <w:u w:val="single"/>
        </w:rPr>
        <w:t>纳税人识别号：91442000MA54D5RE09</w:t>
      </w:r>
    </w:p>
    <w:p w14:paraId="1EBE8CC0">
      <w:pPr>
        <w:autoSpaceDE w:val="0"/>
        <w:autoSpaceDN w:val="0"/>
        <w:snapToGrid w:val="0"/>
        <w:ind w:left="41" w:leftChars="17" w:firstLine="480" w:firstLineChars="200"/>
        <w:rPr>
          <w:rFonts w:ascii="宋体" w:hAnsi="宋体"/>
          <w:u w:val="single"/>
        </w:rPr>
      </w:pPr>
      <w:r>
        <w:rPr>
          <w:rFonts w:hint="eastAsia" w:ascii="宋体" w:hAnsi="宋体"/>
          <w:u w:val="single"/>
        </w:rPr>
        <w:t>地址、电话：中山市民众镇京珠高速公路广珠浪网路段K63路牌北行 300 米处0760-85556099</w:t>
      </w:r>
    </w:p>
    <w:p w14:paraId="23E32D53">
      <w:pPr>
        <w:autoSpaceDE w:val="0"/>
        <w:autoSpaceDN w:val="0"/>
        <w:snapToGrid w:val="0"/>
        <w:ind w:left="41" w:leftChars="17" w:firstLine="480" w:firstLineChars="200"/>
        <w:rPr>
          <w:rFonts w:ascii="宋体" w:hAnsi="宋体"/>
          <w:u w:val="single"/>
        </w:rPr>
      </w:pPr>
      <w:r>
        <w:rPr>
          <w:rFonts w:hint="eastAsia" w:ascii="宋体" w:hAnsi="宋体"/>
          <w:u w:val="single"/>
        </w:rPr>
        <w:t>开户行及账号：中国银行中山火炬开发区支行634072893141</w:t>
      </w:r>
    </w:p>
    <w:p w14:paraId="0E0E7C02">
      <w:pPr>
        <w:autoSpaceDE w:val="0"/>
        <w:autoSpaceDN w:val="0"/>
        <w:snapToGrid w:val="0"/>
        <w:ind w:left="41" w:leftChars="17"/>
        <w:rPr>
          <w:rFonts w:ascii="宋体" w:hAnsi="宋体"/>
          <w:b/>
        </w:rPr>
      </w:pPr>
      <w:r>
        <w:rPr>
          <w:rFonts w:ascii="宋体" w:hAnsi="宋体"/>
          <w:b/>
        </w:rPr>
        <w:t xml:space="preserve">    12.5 工程结算</w:t>
      </w:r>
    </w:p>
    <w:p w14:paraId="1551DD98">
      <w:pPr>
        <w:autoSpaceDE w:val="0"/>
        <w:autoSpaceDN w:val="0"/>
        <w:snapToGrid w:val="0"/>
        <w:ind w:left="41" w:leftChars="17" w:firstLine="480" w:firstLineChars="200"/>
        <w:rPr>
          <w:rFonts w:ascii="宋体" w:hAnsi="宋体"/>
        </w:rPr>
      </w:pPr>
      <w:r>
        <w:rPr>
          <w:rFonts w:ascii="宋体" w:hAnsi="宋体"/>
        </w:rPr>
        <w:t xml:space="preserve">12.5.1 </w:t>
      </w:r>
      <w:r>
        <w:rPr>
          <w:rFonts w:hint="eastAsia" w:ascii="宋体" w:hAnsi="宋体"/>
        </w:rPr>
        <w:t>物价波动和法律变化是否调整合同价款的约定：。</w:t>
      </w:r>
    </w:p>
    <w:p w14:paraId="7A71DC03">
      <w:pPr>
        <w:autoSpaceDE w:val="0"/>
        <w:autoSpaceDN w:val="0"/>
        <w:snapToGrid w:val="0"/>
        <w:ind w:left="41" w:leftChars="17" w:firstLine="480" w:firstLineChars="200"/>
        <w:rPr>
          <w:rFonts w:ascii="宋体" w:hAnsi="宋体"/>
        </w:rPr>
      </w:pPr>
      <w:r>
        <w:rPr>
          <w:rFonts w:ascii="宋体" w:hAnsi="宋体"/>
        </w:rPr>
        <w:t>12.5.2工期变化引起的调整</w:t>
      </w:r>
    </w:p>
    <w:p w14:paraId="33B7C9E5">
      <w:pPr>
        <w:autoSpaceDE w:val="0"/>
        <w:autoSpaceDN w:val="0"/>
        <w:snapToGrid w:val="0"/>
        <w:ind w:left="41" w:leftChars="17" w:firstLine="480" w:firstLineChars="200"/>
        <w:rPr>
          <w:rFonts w:ascii="宋体" w:hAnsi="宋体"/>
        </w:rPr>
      </w:pPr>
      <w:r>
        <w:rPr>
          <w:rFonts w:ascii="宋体" w:hAnsi="宋体"/>
        </w:rPr>
        <w:t>非承包人原因造成工程开工的延迟、停工</w:t>
      </w:r>
      <w:r>
        <w:rPr>
          <w:rFonts w:hint="eastAsia" w:ascii="宋体" w:hAnsi="宋体"/>
        </w:rPr>
        <w:t>、窝工</w:t>
      </w:r>
      <w:r>
        <w:rPr>
          <w:rFonts w:ascii="宋体" w:hAnsi="宋体"/>
        </w:rPr>
        <w:t>，工程</w:t>
      </w:r>
      <w:r>
        <w:rPr>
          <w:rFonts w:hint="eastAsia" w:ascii="宋体" w:hAnsi="宋体"/>
        </w:rPr>
        <w:t>实际</w:t>
      </w:r>
      <w:r>
        <w:rPr>
          <w:rFonts w:ascii="宋体" w:hAnsi="宋体"/>
        </w:rPr>
        <w:t>工期的变化不超过合同工期的20%（含20%）时，</w:t>
      </w:r>
      <w:r>
        <w:rPr>
          <w:rFonts w:hint="eastAsia" w:ascii="宋体" w:hAnsi="宋体"/>
        </w:rPr>
        <w:t>工期和合同价款调整约定：</w:t>
      </w:r>
      <w:r>
        <w:rPr>
          <w:rFonts w:ascii="宋体" w:hAnsi="宋体"/>
          <w:u w:val="single"/>
        </w:rPr>
        <w:t>/</w:t>
      </w:r>
      <w:r>
        <w:rPr>
          <w:rFonts w:ascii="宋体" w:hAnsi="宋体"/>
        </w:rPr>
        <w:t>。</w:t>
      </w:r>
    </w:p>
    <w:p w14:paraId="67566CA2">
      <w:pPr>
        <w:autoSpaceDE w:val="0"/>
        <w:autoSpaceDN w:val="0"/>
        <w:snapToGrid w:val="0"/>
        <w:ind w:left="41" w:leftChars="17" w:firstLine="480" w:firstLineChars="200"/>
        <w:rPr>
          <w:rFonts w:ascii="宋体" w:hAnsi="宋体"/>
        </w:rPr>
      </w:pPr>
      <w:r>
        <w:rPr>
          <w:rFonts w:ascii="宋体" w:hAnsi="宋体"/>
        </w:rPr>
        <w:t>非承包人原因造成工程开工的延迟、停工</w:t>
      </w:r>
      <w:r>
        <w:rPr>
          <w:rFonts w:hint="eastAsia" w:ascii="宋体" w:hAnsi="宋体"/>
        </w:rPr>
        <w:t>、窝工</w:t>
      </w:r>
      <w:r>
        <w:rPr>
          <w:rFonts w:ascii="宋体" w:hAnsi="宋体"/>
        </w:rPr>
        <w:t>，工程</w:t>
      </w:r>
      <w:r>
        <w:rPr>
          <w:rFonts w:hint="eastAsia" w:ascii="宋体" w:hAnsi="宋体"/>
        </w:rPr>
        <w:t>实际</w:t>
      </w:r>
      <w:r>
        <w:rPr>
          <w:rFonts w:ascii="宋体" w:hAnsi="宋体"/>
        </w:rPr>
        <w:t>工期的变化超过合同工期的20%（</w:t>
      </w:r>
      <w:r>
        <w:rPr>
          <w:rFonts w:hint="eastAsia" w:ascii="宋体" w:hAnsi="宋体"/>
        </w:rPr>
        <w:t>不</w:t>
      </w:r>
      <w:r>
        <w:rPr>
          <w:rFonts w:ascii="宋体" w:hAnsi="宋体"/>
        </w:rPr>
        <w:t>含20%）时，</w:t>
      </w:r>
      <w:r>
        <w:rPr>
          <w:rFonts w:hint="eastAsia" w:ascii="宋体" w:hAnsi="宋体"/>
        </w:rPr>
        <w:t>工期和合同价款调整约定：</w:t>
      </w:r>
      <w:r>
        <w:rPr>
          <w:rFonts w:ascii="宋体" w:hAnsi="宋体"/>
          <w:u w:val="single"/>
        </w:rPr>
        <w:t>/</w:t>
      </w:r>
      <w:r>
        <w:rPr>
          <w:rFonts w:ascii="宋体" w:hAnsi="宋体"/>
        </w:rPr>
        <w:t>。</w:t>
      </w:r>
    </w:p>
    <w:p w14:paraId="38C153DD">
      <w:pPr>
        <w:autoSpaceDE w:val="0"/>
        <w:autoSpaceDN w:val="0"/>
        <w:snapToGrid w:val="0"/>
        <w:ind w:left="41" w:leftChars="17" w:firstLine="480" w:firstLineChars="200"/>
        <w:rPr>
          <w:rFonts w:ascii="宋体" w:hAnsi="宋体"/>
          <w:u w:val="single"/>
        </w:rPr>
      </w:pPr>
      <w:r>
        <w:rPr>
          <w:rFonts w:ascii="宋体" w:hAnsi="宋体"/>
        </w:rPr>
        <w:t xml:space="preserve">12.5.3 </w:t>
      </w:r>
      <w:r>
        <w:rPr>
          <w:rFonts w:hint="eastAsia" w:ascii="宋体" w:hAnsi="宋体"/>
        </w:rPr>
        <w:t>关于工程结算的申请、审核、支付及其他的约定：</w:t>
      </w:r>
      <w:r>
        <w:rPr>
          <w:rFonts w:ascii="宋体" w:hAnsi="宋体"/>
          <w:u w:val="single"/>
        </w:rPr>
        <w:t xml:space="preserve">   工程竣工验收合格 30 天内，乙方应向甲方提供 4 套竣工图、相关设计变更通知书、工程变更现场签证及施工检验、验收资料及采用易达工程计价软编制件工程结算书，施工现场水电缴费收据及经甲方同意代垫工程缴费单据。验收合格 30 天后，甲方将不再接收任何结算资料，因此造成的后果由乙方负责。</w:t>
      </w:r>
    </w:p>
    <w:p w14:paraId="0C6BA13D">
      <w:pPr>
        <w:autoSpaceDE w:val="0"/>
        <w:autoSpaceDN w:val="0"/>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2）乙方在甲方组织的工程竣工验收后一个月内送结算资料到甲方审核。</w:t>
      </w:r>
    </w:p>
    <w:p w14:paraId="5036A722">
      <w:pPr>
        <w:autoSpaceDE w:val="0"/>
        <w:autoSpaceDN w:val="0"/>
        <w:snapToGrid w:val="0"/>
        <w:ind w:left="41" w:leftChars="17" w:firstLine="480" w:firstLineChars="200"/>
        <w:rPr>
          <w:rFonts w:ascii="宋体" w:hAnsi="宋体"/>
          <w:u w:val="single"/>
        </w:rPr>
      </w:pPr>
      <w:r>
        <w:rPr>
          <w:rFonts w:hint="eastAsia" w:ascii="宋体" w:hAnsi="宋体"/>
          <w:u w:val="single"/>
        </w:rPr>
        <w:t>（</w:t>
      </w:r>
      <w:r>
        <w:rPr>
          <w:rFonts w:ascii="宋体" w:hAnsi="宋体"/>
          <w:u w:val="single"/>
        </w:rPr>
        <w:t>3）甲方自收到乙方结算资料后甲方进行结算审核，待</w:t>
      </w:r>
      <w:r>
        <w:rPr>
          <w:rFonts w:hint="eastAsia" w:ascii="宋体" w:hAnsi="宋体"/>
          <w:u w:val="single"/>
        </w:rPr>
        <w:t>甲方</w:t>
      </w:r>
      <w:r>
        <w:rPr>
          <w:rFonts w:ascii="宋体" w:hAnsi="宋体"/>
          <w:u w:val="single"/>
        </w:rPr>
        <w:t xml:space="preserve">审核定案后除留下工程结算总额的 3%作为工程保修金外（按甲乙双方验收合格之日起工程保修期为一年，期满后保修金退还乙方），其余的工程结算金额应在 2 </w:t>
      </w:r>
      <w:r>
        <w:rPr>
          <w:rFonts w:hint="eastAsia" w:ascii="宋体" w:hAnsi="宋体"/>
          <w:u w:val="single"/>
        </w:rPr>
        <w:t>个月内一次支付给乙方。</w:t>
      </w:r>
    </w:p>
    <w:p w14:paraId="67675A5A">
      <w:pPr>
        <w:autoSpaceDE w:val="0"/>
        <w:autoSpaceDN w:val="0"/>
        <w:snapToGrid w:val="0"/>
        <w:ind w:firstLine="480" w:firstLineChars="200"/>
        <w:rPr>
          <w:rFonts w:ascii="宋体" w:hAnsi="宋体"/>
          <w:u w:val="single"/>
        </w:rPr>
      </w:pPr>
      <w:r>
        <w:rPr>
          <w:rFonts w:hint="eastAsia" w:ascii="宋体" w:hAnsi="宋体"/>
          <w:u w:val="single"/>
        </w:rPr>
        <w:t>发包人对工程竣工结算的特殊要求：</w:t>
      </w:r>
    </w:p>
    <w:p w14:paraId="3C66EAE4">
      <w:pPr>
        <w:autoSpaceDE w:val="0"/>
        <w:autoSpaceDN w:val="0"/>
        <w:snapToGrid w:val="0"/>
        <w:ind w:left="41" w:leftChars="17" w:firstLine="480" w:firstLineChars="200"/>
        <w:rPr>
          <w:rFonts w:ascii="宋体" w:hAnsi="宋体"/>
          <w:u w:val="single"/>
        </w:rPr>
      </w:pPr>
      <w:r>
        <w:rPr>
          <w:rFonts w:hint="eastAsia" w:ascii="宋体" w:hAnsi="宋体"/>
          <w:u w:val="single"/>
        </w:rPr>
        <w:t>（1</w:t>
      </w:r>
      <w:r>
        <w:rPr>
          <w:rFonts w:ascii="宋体" w:hAnsi="宋体"/>
          <w:u w:val="single"/>
        </w:rPr>
        <w:t xml:space="preserve">）本工程如有设计变更或招标图纸外增加工程按如下原则计价：直接套用或参照中标综合单价结算，对不能参照中标综合单价的，按以下规则采取定额结算方式：①、按《广东省建筑工程综合定额》（2018 </w:t>
      </w:r>
      <w:r>
        <w:rPr>
          <w:rFonts w:hint="eastAsia" w:ascii="宋体" w:hAnsi="宋体"/>
          <w:u w:val="single"/>
        </w:rPr>
        <w:t>年）、《广东省安装工程综合定额》（</w:t>
      </w:r>
      <w:r>
        <w:rPr>
          <w:rFonts w:ascii="宋体" w:hAnsi="宋体"/>
          <w:u w:val="single"/>
        </w:rPr>
        <w:t xml:space="preserve">2018 </w:t>
      </w:r>
      <w:r>
        <w:rPr>
          <w:rFonts w:hint="eastAsia" w:ascii="宋体" w:hAnsi="宋体"/>
          <w:u w:val="single"/>
        </w:rPr>
        <w:t>年）、《广东省市政工程综合定额》（</w:t>
      </w:r>
      <w:r>
        <w:rPr>
          <w:rFonts w:ascii="宋体" w:hAnsi="宋体"/>
          <w:u w:val="single"/>
        </w:rPr>
        <w:t xml:space="preserve">2018 </w:t>
      </w:r>
      <w:r>
        <w:rPr>
          <w:rFonts w:hint="eastAsia" w:ascii="宋体" w:hAnsi="宋体"/>
          <w:u w:val="single"/>
        </w:rPr>
        <w:t>年）及相应的计价办法计价；②、材料价格参照中山市工程造价机构发布的参考价格</w:t>
      </w:r>
      <w:r>
        <w:rPr>
          <w:rFonts w:ascii="宋体" w:hAnsi="宋体"/>
          <w:u w:val="single"/>
        </w:rPr>
        <w:t>(施工期间当期价格），无信息价的参考市场价；③、设计变更及招标图纸外增加工程不计算措施费；④、合同内工程量增加的单价，按投标价执行；⑤、设计变更及招标图纸外增加工程需经建设方及监理签字认可。</w:t>
      </w:r>
    </w:p>
    <w:p w14:paraId="3CABC836">
      <w:pPr>
        <w:autoSpaceDE w:val="0"/>
        <w:autoSpaceDN w:val="0"/>
        <w:snapToGrid w:val="0"/>
        <w:ind w:left="41" w:leftChars="17" w:firstLine="480" w:firstLineChars="200"/>
        <w:rPr>
          <w:rFonts w:ascii="宋体" w:hAnsi="宋体"/>
          <w:u w:val="single"/>
        </w:rPr>
      </w:pPr>
      <w:r>
        <w:rPr>
          <w:rFonts w:hint="eastAsia" w:ascii="宋体" w:hAnsi="宋体"/>
          <w:u w:val="single"/>
        </w:rPr>
        <w:t>（2</w:t>
      </w:r>
      <w:r>
        <w:rPr>
          <w:rFonts w:ascii="宋体" w:hAnsi="宋体"/>
          <w:u w:val="single"/>
        </w:rPr>
        <w:t>）全部工程造价的结算依据：所有工程竣工图纸、签证（包含隐蔽工程、关键部位施工）都必需提供相片作为结算依据，没有相片支撑证实的项目不作结算。</w:t>
      </w:r>
    </w:p>
    <w:p w14:paraId="57077383">
      <w:pPr>
        <w:autoSpaceDE w:val="0"/>
        <w:autoSpaceDN w:val="0"/>
        <w:snapToGrid w:val="0"/>
        <w:ind w:left="41" w:leftChars="17" w:firstLine="480" w:firstLineChars="200"/>
        <w:rPr>
          <w:rFonts w:ascii="宋体" w:hAnsi="宋体"/>
          <w:u w:val="single"/>
        </w:rPr>
      </w:pPr>
      <w:r>
        <w:rPr>
          <w:rFonts w:hint="eastAsia" w:ascii="宋体" w:hAnsi="宋体"/>
          <w:u w:val="single"/>
        </w:rPr>
        <w:t>（3</w:t>
      </w:r>
      <w:r>
        <w:rPr>
          <w:rFonts w:ascii="宋体" w:hAnsi="宋体"/>
          <w:u w:val="single"/>
        </w:rPr>
        <w:t>）本工程结算是采用综合单价包干：综合单价是指包括了该子目直接费、间接费和所有相关费用，并已得到双方确认的中标单价。在整个合同执行期内综合单价固定不变。投标时的工程量为估算量，最终工程量按实结算，需监理工程师和造价工程师审核，最后经</w:t>
      </w:r>
      <w:r>
        <w:rPr>
          <w:rFonts w:hint="eastAsia" w:ascii="宋体" w:hAnsi="宋体"/>
          <w:u w:val="single"/>
        </w:rPr>
        <w:t>发包人</w:t>
      </w:r>
      <w:r>
        <w:rPr>
          <w:rFonts w:ascii="宋体" w:hAnsi="宋体"/>
          <w:u w:val="single"/>
        </w:rPr>
        <w:t>确定后的竣工图、工程变更及签证工程量为准。最终增减造价由</w:t>
      </w:r>
      <w:r>
        <w:rPr>
          <w:rFonts w:hint="eastAsia" w:ascii="宋体" w:hAnsi="宋体"/>
          <w:u w:val="single"/>
        </w:rPr>
        <w:t>发包人</w:t>
      </w:r>
      <w:r>
        <w:rPr>
          <w:rFonts w:ascii="宋体" w:hAnsi="宋体"/>
          <w:u w:val="single"/>
        </w:rPr>
        <w:t>委托中介单位按图纸等变更资料及签证审定为最终实际工程造价。</w:t>
      </w:r>
    </w:p>
    <w:p w14:paraId="17A6E363">
      <w:pPr>
        <w:autoSpaceDE w:val="0"/>
        <w:autoSpaceDN w:val="0"/>
        <w:snapToGrid w:val="0"/>
        <w:ind w:left="41" w:leftChars="17" w:firstLine="480" w:firstLineChars="200"/>
        <w:rPr>
          <w:rFonts w:ascii="宋体" w:hAnsi="宋体"/>
          <w:u w:val="single"/>
        </w:rPr>
      </w:pPr>
      <w:r>
        <w:rPr>
          <w:rFonts w:hint="eastAsia" w:ascii="宋体" w:hAnsi="宋体"/>
          <w:u w:val="single"/>
        </w:rPr>
        <w:t>（4）                                            。</w:t>
      </w:r>
    </w:p>
    <w:p w14:paraId="253C3868">
      <w:pPr>
        <w:autoSpaceDE w:val="0"/>
        <w:autoSpaceDN w:val="0"/>
        <w:snapToGrid w:val="0"/>
        <w:ind w:left="41" w:leftChars="17" w:firstLine="480" w:firstLineChars="200"/>
        <w:rPr>
          <w:rFonts w:ascii="宋体" w:hAnsi="宋体"/>
        </w:rPr>
      </w:pPr>
      <w:r>
        <w:rPr>
          <w:rFonts w:ascii="宋体" w:hAnsi="宋体"/>
        </w:rPr>
        <w:t xml:space="preserve">12.6 </w:t>
      </w:r>
      <w:r>
        <w:rPr>
          <w:rFonts w:hint="eastAsia" w:ascii="宋体" w:hAnsi="宋体"/>
        </w:rPr>
        <w:t>付款延误</w:t>
      </w:r>
    </w:p>
    <w:p w14:paraId="7636F42C">
      <w:pPr>
        <w:autoSpaceDE w:val="0"/>
        <w:autoSpaceDN w:val="0"/>
        <w:snapToGrid w:val="0"/>
        <w:ind w:left="41" w:leftChars="17" w:firstLine="480" w:firstLineChars="200"/>
        <w:rPr>
          <w:rFonts w:ascii="宋体" w:hAnsi="宋体"/>
        </w:rPr>
      </w:pPr>
      <w:r>
        <w:rPr>
          <w:rFonts w:hint="eastAsia" w:ascii="宋体" w:hAnsi="宋体"/>
        </w:rPr>
        <w:t>发包人逾期付款违约金的约定：</w:t>
      </w:r>
      <w:r>
        <w:rPr>
          <w:rFonts w:ascii="宋体" w:hAnsi="宋体"/>
          <w:u w:val="single"/>
        </w:rPr>
        <w:t>/</w:t>
      </w:r>
      <w:r>
        <w:rPr>
          <w:rFonts w:hint="eastAsia" w:ascii="宋体" w:hAnsi="宋体"/>
        </w:rPr>
        <w:t>。</w:t>
      </w:r>
    </w:p>
    <w:p w14:paraId="61CD7EF2">
      <w:pPr>
        <w:ind w:left="41" w:leftChars="17"/>
        <w:outlineLvl w:val="1"/>
        <w:rPr>
          <w:rFonts w:ascii="Arial" w:hAnsi="Arial"/>
          <w:b/>
          <w:bCs/>
          <w:kern w:val="0"/>
        </w:rPr>
      </w:pPr>
      <w:bookmarkStart w:id="859" w:name="_Toc410986389"/>
      <w:bookmarkStart w:id="860" w:name="_Toc6241388"/>
      <w:bookmarkStart w:id="861" w:name="_Toc439160191"/>
      <w:bookmarkStart w:id="862" w:name="_Toc30437"/>
      <w:bookmarkStart w:id="863" w:name="_Toc489084336"/>
      <w:bookmarkStart w:id="864" w:name="_Toc526793403"/>
      <w:r>
        <w:rPr>
          <w:rFonts w:ascii="Arial" w:hAnsi="Arial"/>
          <w:b/>
          <w:bCs/>
          <w:kern w:val="0"/>
        </w:rPr>
        <w:t xml:space="preserve">13. </w:t>
      </w:r>
      <w:bookmarkEnd w:id="859"/>
      <w:r>
        <w:rPr>
          <w:rFonts w:hint="eastAsia" w:ascii="Arial" w:hAnsi="Arial"/>
          <w:b/>
          <w:bCs/>
          <w:kern w:val="0"/>
        </w:rPr>
        <w:t>单机试车、投产试运行、交工验收和竣工验收</w:t>
      </w:r>
      <w:bookmarkEnd w:id="860"/>
      <w:bookmarkEnd w:id="861"/>
      <w:bookmarkEnd w:id="862"/>
      <w:bookmarkEnd w:id="863"/>
      <w:bookmarkEnd w:id="864"/>
    </w:p>
    <w:p w14:paraId="3ABA2C1A">
      <w:pPr>
        <w:autoSpaceDE w:val="0"/>
        <w:autoSpaceDN w:val="0"/>
        <w:snapToGrid w:val="0"/>
        <w:ind w:left="41" w:leftChars="17"/>
        <w:rPr>
          <w:rFonts w:ascii="宋体" w:hAnsi="宋体"/>
          <w:b/>
        </w:rPr>
      </w:pPr>
      <w:r>
        <w:rPr>
          <w:rFonts w:ascii="宋体" w:hAnsi="宋体"/>
          <w:b/>
        </w:rPr>
        <w:t xml:space="preserve">    13.2投产试运行</w:t>
      </w:r>
    </w:p>
    <w:p w14:paraId="63EB6F12">
      <w:pPr>
        <w:autoSpaceDE w:val="0"/>
        <w:autoSpaceDN w:val="0"/>
        <w:snapToGrid w:val="0"/>
        <w:ind w:left="41" w:leftChars="17" w:firstLine="480" w:firstLineChars="200"/>
        <w:rPr>
          <w:rFonts w:ascii="宋体" w:hAnsi="宋体"/>
        </w:rPr>
      </w:pPr>
      <w:r>
        <w:rPr>
          <w:rFonts w:ascii="宋体" w:hAnsi="宋体"/>
        </w:rPr>
        <w:t>13.2.6投产试运行的其他规定：</w:t>
      </w:r>
      <w:r>
        <w:rPr>
          <w:rFonts w:ascii="宋体" w:hAnsi="宋体"/>
          <w:u w:val="single"/>
        </w:rPr>
        <w:t>/</w:t>
      </w:r>
      <w:r>
        <w:rPr>
          <w:rFonts w:hint="eastAsia" w:ascii="宋体" w:hAnsi="宋体"/>
        </w:rPr>
        <w:t>。</w:t>
      </w:r>
    </w:p>
    <w:p w14:paraId="29A5BA8E">
      <w:pPr>
        <w:autoSpaceDE w:val="0"/>
        <w:autoSpaceDN w:val="0"/>
        <w:snapToGrid w:val="0"/>
        <w:ind w:left="41" w:leftChars="17" w:firstLine="482" w:firstLineChars="200"/>
        <w:rPr>
          <w:rFonts w:ascii="宋体" w:hAnsi="宋体"/>
        </w:rPr>
      </w:pPr>
      <w:r>
        <w:rPr>
          <w:rFonts w:ascii="宋体" w:hAnsi="宋体"/>
          <w:b/>
        </w:rPr>
        <w:t>13.4交工验收</w:t>
      </w:r>
    </w:p>
    <w:p w14:paraId="3B54D2EC">
      <w:pPr>
        <w:autoSpaceDE w:val="0"/>
        <w:autoSpaceDN w:val="0"/>
        <w:snapToGrid w:val="0"/>
        <w:ind w:left="41" w:leftChars="17" w:firstLine="480" w:firstLineChars="200"/>
        <w:rPr>
          <w:rFonts w:ascii="宋体" w:hAnsi="宋体"/>
        </w:rPr>
      </w:pPr>
      <w:r>
        <w:rPr>
          <w:rFonts w:ascii="宋体" w:hAnsi="宋体"/>
        </w:rPr>
        <w:t xml:space="preserve">13.4.7 </w:t>
      </w:r>
      <w:r>
        <w:rPr>
          <w:rFonts w:hint="eastAsia" w:ascii="宋体" w:hAnsi="宋体"/>
        </w:rPr>
        <w:t>交工验收其他规定：</w:t>
      </w:r>
      <w:r>
        <w:rPr>
          <w:rFonts w:ascii="宋体" w:hAnsi="宋体"/>
          <w:u w:val="single"/>
        </w:rPr>
        <w:t>/</w:t>
      </w:r>
      <w:r>
        <w:rPr>
          <w:rFonts w:hint="eastAsia" w:ascii="宋体" w:hAnsi="宋体"/>
        </w:rPr>
        <w:t>。</w:t>
      </w:r>
    </w:p>
    <w:p w14:paraId="7C2B6F7B">
      <w:pPr>
        <w:autoSpaceDE w:val="0"/>
        <w:autoSpaceDN w:val="0"/>
        <w:snapToGrid w:val="0"/>
        <w:ind w:left="41" w:leftChars="17" w:firstLine="482" w:firstLineChars="200"/>
        <w:rPr>
          <w:rFonts w:ascii="宋体" w:hAnsi="宋体"/>
        </w:rPr>
      </w:pPr>
      <w:r>
        <w:rPr>
          <w:rFonts w:ascii="宋体" w:hAnsi="宋体"/>
          <w:b/>
        </w:rPr>
        <w:t>13.5竣工验收</w:t>
      </w:r>
    </w:p>
    <w:p w14:paraId="345AC413">
      <w:pPr>
        <w:autoSpaceDE w:val="0"/>
        <w:autoSpaceDN w:val="0"/>
        <w:snapToGrid w:val="0"/>
        <w:ind w:left="41" w:leftChars="17" w:firstLine="480" w:firstLineChars="200"/>
        <w:rPr>
          <w:rFonts w:ascii="宋体" w:hAnsi="宋体"/>
        </w:rPr>
      </w:pPr>
      <w:r>
        <w:rPr>
          <w:rFonts w:ascii="宋体" w:hAnsi="宋体"/>
        </w:rPr>
        <w:t xml:space="preserve">13.5.2 </w:t>
      </w:r>
      <w:r>
        <w:rPr>
          <w:rFonts w:hint="eastAsia" w:ascii="宋体" w:hAnsi="宋体"/>
        </w:rPr>
        <w:t>竣工验收其他规定：</w:t>
      </w:r>
      <w:r>
        <w:rPr>
          <w:rFonts w:ascii="宋体" w:hAnsi="宋体"/>
          <w:u w:val="single"/>
        </w:rPr>
        <w:t>/</w:t>
      </w:r>
      <w:r>
        <w:rPr>
          <w:rFonts w:hint="eastAsia" w:ascii="宋体" w:hAnsi="宋体"/>
        </w:rPr>
        <w:t>。</w:t>
      </w:r>
    </w:p>
    <w:p w14:paraId="35313A17">
      <w:pPr>
        <w:ind w:left="41" w:leftChars="17"/>
        <w:outlineLvl w:val="1"/>
        <w:rPr>
          <w:rFonts w:ascii="宋体" w:hAnsi="宋体"/>
          <w:b/>
          <w:bCs/>
          <w:kern w:val="0"/>
        </w:rPr>
      </w:pPr>
      <w:bookmarkStart w:id="865" w:name="_Toc410986390"/>
      <w:bookmarkStart w:id="866" w:name="_Toc6241389"/>
      <w:bookmarkStart w:id="867" w:name="_Toc526793404"/>
      <w:bookmarkStart w:id="868" w:name="_Toc439160192"/>
      <w:bookmarkStart w:id="869" w:name="_Toc489084337"/>
      <w:bookmarkStart w:id="870" w:name="_Toc17753"/>
      <w:r>
        <w:rPr>
          <w:rFonts w:ascii="宋体" w:hAnsi="宋体"/>
          <w:b/>
          <w:bCs/>
          <w:kern w:val="0"/>
        </w:rPr>
        <w:t xml:space="preserve">14. </w:t>
      </w:r>
      <w:r>
        <w:rPr>
          <w:rFonts w:hint="eastAsia" w:ascii="宋体" w:hAnsi="宋体"/>
          <w:b/>
          <w:bCs/>
          <w:kern w:val="0"/>
        </w:rPr>
        <w:t>缺陷责任与保修责任</w:t>
      </w:r>
      <w:bookmarkEnd w:id="865"/>
      <w:bookmarkEnd w:id="866"/>
      <w:bookmarkEnd w:id="867"/>
      <w:bookmarkEnd w:id="868"/>
      <w:bookmarkEnd w:id="869"/>
      <w:bookmarkEnd w:id="870"/>
    </w:p>
    <w:p w14:paraId="77E2EB51">
      <w:pPr>
        <w:adjustRightInd w:val="0"/>
        <w:snapToGrid w:val="0"/>
        <w:ind w:left="41" w:leftChars="17" w:firstLine="482" w:firstLineChars="200"/>
        <w:rPr>
          <w:rFonts w:ascii="宋体" w:hAnsi="宋体"/>
          <w:b/>
        </w:rPr>
      </w:pPr>
      <w:r>
        <w:rPr>
          <w:rFonts w:ascii="宋体" w:hAnsi="宋体"/>
          <w:b/>
        </w:rPr>
        <w:t xml:space="preserve">14.1 </w:t>
      </w:r>
      <w:r>
        <w:rPr>
          <w:rFonts w:hint="eastAsia" w:ascii="宋体" w:hAnsi="宋体"/>
          <w:b/>
        </w:rPr>
        <w:t>缺陷责任期</w:t>
      </w:r>
    </w:p>
    <w:p w14:paraId="412B98E3">
      <w:pPr>
        <w:adjustRightInd w:val="0"/>
        <w:snapToGrid w:val="0"/>
        <w:ind w:left="41" w:leftChars="17" w:firstLine="480" w:firstLineChars="200"/>
        <w:rPr>
          <w:rFonts w:ascii="宋体" w:hAnsi="宋体"/>
        </w:rPr>
      </w:pPr>
      <w:r>
        <w:rPr>
          <w:rFonts w:ascii="宋体" w:hAnsi="宋体"/>
        </w:rPr>
        <w:t xml:space="preserve"> 缺陷责任期的期限：</w:t>
      </w:r>
      <w:r>
        <w:rPr>
          <w:rFonts w:hint="eastAsia" w:ascii="宋体" w:hAnsi="宋体"/>
          <w:u w:val="single"/>
        </w:rPr>
        <w:t>缺陷责任期为12个月</w:t>
      </w:r>
      <w:r>
        <w:rPr>
          <w:rFonts w:hint="eastAsia" w:ascii="宋体" w:hAnsi="宋体"/>
        </w:rPr>
        <w:t>。</w:t>
      </w:r>
    </w:p>
    <w:p w14:paraId="6F71DBF2">
      <w:pPr>
        <w:autoSpaceDE w:val="0"/>
        <w:autoSpaceDN w:val="0"/>
        <w:snapToGrid w:val="0"/>
        <w:ind w:left="41" w:leftChars="17" w:firstLine="482" w:firstLineChars="200"/>
        <w:rPr>
          <w:rFonts w:ascii="宋体" w:hAnsi="宋体"/>
          <w:b/>
        </w:rPr>
      </w:pPr>
      <w:r>
        <w:rPr>
          <w:rFonts w:ascii="宋体" w:hAnsi="宋体"/>
          <w:b/>
        </w:rPr>
        <w:t xml:space="preserve">14.2 </w:t>
      </w:r>
      <w:r>
        <w:rPr>
          <w:rFonts w:hint="eastAsia" w:ascii="宋体" w:hAnsi="宋体"/>
          <w:b/>
        </w:rPr>
        <w:t>保修责任</w:t>
      </w:r>
    </w:p>
    <w:p w14:paraId="2EC32D35">
      <w:pPr>
        <w:snapToGrid w:val="0"/>
        <w:ind w:left="41" w:leftChars="17" w:firstLine="480" w:firstLineChars="200"/>
        <w:rPr>
          <w:rFonts w:ascii="宋体" w:hAnsi="宋体"/>
        </w:rPr>
      </w:pPr>
      <w:r>
        <w:rPr>
          <w:rFonts w:hint="eastAsia" w:ascii="宋体" w:hAnsi="宋体"/>
        </w:rPr>
        <w:t>工程质量保修范围：</w:t>
      </w:r>
      <w:r>
        <w:rPr>
          <w:rFonts w:hint="eastAsia" w:ascii="宋体" w:hAnsi="宋体"/>
          <w:u w:val="single"/>
        </w:rPr>
        <w:t>见工程质量保修书</w:t>
      </w:r>
      <w:r>
        <w:rPr>
          <w:rFonts w:ascii="宋体" w:hAnsi="宋体"/>
          <w:u w:val="single"/>
        </w:rPr>
        <w:t xml:space="preserve">                 </w:t>
      </w:r>
      <w:r>
        <w:rPr>
          <w:rFonts w:hint="eastAsia" w:ascii="宋体" w:hAnsi="宋体"/>
        </w:rPr>
        <w:t>。</w:t>
      </w:r>
    </w:p>
    <w:p w14:paraId="3835F348">
      <w:pPr>
        <w:snapToGrid w:val="0"/>
        <w:ind w:left="41" w:leftChars="17" w:firstLine="480" w:firstLineChars="200"/>
        <w:rPr>
          <w:rFonts w:ascii="宋体" w:hAnsi="宋体"/>
        </w:rPr>
      </w:pPr>
      <w:r>
        <w:rPr>
          <w:rFonts w:hint="eastAsia" w:ascii="宋体" w:hAnsi="宋体"/>
        </w:rPr>
        <w:t>工程质量保修期限：</w:t>
      </w:r>
      <w:r>
        <w:rPr>
          <w:rFonts w:ascii="宋体" w:hAnsi="宋体"/>
          <w:u w:val="single"/>
        </w:rPr>
        <w:t xml:space="preserve">工程完工验收后两年之内          </w:t>
      </w:r>
      <w:r>
        <w:rPr>
          <w:rFonts w:hint="eastAsia" w:ascii="宋体" w:hAnsi="宋体"/>
        </w:rPr>
        <w:t>。</w:t>
      </w:r>
    </w:p>
    <w:p w14:paraId="6F6FD01A">
      <w:pPr>
        <w:snapToGrid w:val="0"/>
        <w:ind w:left="41" w:leftChars="17" w:firstLine="480" w:firstLineChars="200"/>
        <w:rPr>
          <w:rFonts w:ascii="宋体" w:hAnsi="宋体"/>
        </w:rPr>
      </w:pPr>
      <w:r>
        <w:rPr>
          <w:rFonts w:hint="eastAsia" w:ascii="宋体" w:hAnsi="宋体"/>
        </w:rPr>
        <w:t>工程质量保修责任：</w:t>
      </w:r>
      <w:r>
        <w:rPr>
          <w:rFonts w:ascii="宋体" w:hAnsi="宋体"/>
          <w:u w:val="single"/>
        </w:rPr>
        <w:t xml:space="preserve">见工程质量保修书   </w:t>
      </w:r>
      <w:r>
        <w:rPr>
          <w:rFonts w:hint="eastAsia" w:ascii="宋体" w:hAnsi="宋体"/>
        </w:rPr>
        <w:t>。</w:t>
      </w:r>
    </w:p>
    <w:p w14:paraId="52461462">
      <w:pPr>
        <w:ind w:left="41" w:leftChars="17"/>
        <w:outlineLvl w:val="1"/>
        <w:rPr>
          <w:rFonts w:ascii="宋体" w:hAnsi="宋体"/>
          <w:b/>
          <w:bCs/>
          <w:kern w:val="0"/>
        </w:rPr>
      </w:pPr>
      <w:bookmarkStart w:id="871" w:name="_Toc16086"/>
      <w:bookmarkStart w:id="872" w:name="_Toc410986391"/>
      <w:bookmarkStart w:id="873" w:name="_Toc439160193"/>
      <w:bookmarkStart w:id="874" w:name="_Toc6241390"/>
      <w:bookmarkStart w:id="875" w:name="_Toc526793405"/>
      <w:bookmarkStart w:id="876" w:name="_Toc489084338"/>
      <w:r>
        <w:rPr>
          <w:rFonts w:ascii="宋体" w:hAnsi="宋体"/>
          <w:b/>
          <w:bCs/>
          <w:kern w:val="0"/>
        </w:rPr>
        <w:t xml:space="preserve">15. </w:t>
      </w:r>
      <w:r>
        <w:rPr>
          <w:rFonts w:hint="eastAsia" w:ascii="宋体" w:hAnsi="宋体"/>
          <w:b/>
          <w:bCs/>
          <w:kern w:val="0"/>
        </w:rPr>
        <w:t>保险</w:t>
      </w:r>
      <w:bookmarkEnd w:id="871"/>
      <w:bookmarkEnd w:id="872"/>
      <w:bookmarkEnd w:id="873"/>
      <w:bookmarkEnd w:id="874"/>
      <w:bookmarkEnd w:id="875"/>
      <w:bookmarkEnd w:id="876"/>
    </w:p>
    <w:p w14:paraId="57504C87">
      <w:pPr>
        <w:autoSpaceDE w:val="0"/>
        <w:autoSpaceDN w:val="0"/>
        <w:snapToGrid w:val="0"/>
        <w:ind w:left="41" w:leftChars="17"/>
        <w:rPr>
          <w:rFonts w:ascii="宋体" w:hAnsi="宋体"/>
          <w:b/>
        </w:rPr>
      </w:pPr>
      <w:r>
        <w:rPr>
          <w:rFonts w:ascii="宋体" w:hAnsi="宋体"/>
          <w:b/>
        </w:rPr>
        <w:t xml:space="preserve">    15.1 保险范围</w:t>
      </w:r>
    </w:p>
    <w:p w14:paraId="650EDFA1">
      <w:pPr>
        <w:snapToGrid w:val="0"/>
        <w:ind w:left="41" w:leftChars="17" w:firstLine="480" w:firstLineChars="200"/>
        <w:rPr>
          <w:rFonts w:ascii="宋体" w:hAnsi="宋体"/>
        </w:rPr>
      </w:pPr>
      <w:r>
        <w:rPr>
          <w:rFonts w:ascii="宋体" w:hAnsi="宋体"/>
        </w:rPr>
        <w:t>15.1.1关于工程保险</w:t>
      </w:r>
      <w:r>
        <w:rPr>
          <w:rFonts w:hint="eastAsia" w:ascii="宋体" w:hAnsi="宋体"/>
        </w:rPr>
        <w:t>投保人</w:t>
      </w:r>
      <w:r>
        <w:rPr>
          <w:rFonts w:ascii="宋体" w:hAnsi="宋体"/>
        </w:rPr>
        <w:t>的约定：</w:t>
      </w:r>
      <w:r>
        <w:rPr>
          <w:rFonts w:ascii="宋体" w:hAnsi="宋体"/>
          <w:kern w:val="0"/>
          <w:u w:val="single"/>
        </w:rPr>
        <w:t>/</w:t>
      </w:r>
      <w:r>
        <w:rPr>
          <w:rFonts w:ascii="宋体" w:hAnsi="宋体"/>
          <w:kern w:val="0"/>
        </w:rPr>
        <w:t>。</w:t>
      </w:r>
    </w:p>
    <w:p w14:paraId="4CD38747">
      <w:pPr>
        <w:snapToGrid w:val="0"/>
        <w:ind w:left="41" w:leftChars="17" w:firstLine="480" w:firstLineChars="200"/>
        <w:rPr>
          <w:rFonts w:ascii="宋体" w:hAnsi="宋体"/>
        </w:rPr>
      </w:pPr>
      <w:r>
        <w:rPr>
          <w:rFonts w:hint="eastAsia" w:ascii="宋体" w:hAnsi="宋体"/>
        </w:rPr>
        <w:t>承包人和发包人同意的保险人：</w:t>
      </w:r>
      <w:r>
        <w:rPr>
          <w:rFonts w:ascii="宋体" w:hAnsi="宋体"/>
          <w:kern w:val="0"/>
          <w:u w:val="single"/>
        </w:rPr>
        <w:t xml:space="preserve"> /</w:t>
      </w:r>
      <w:r>
        <w:rPr>
          <w:rFonts w:ascii="宋体" w:hAnsi="宋体"/>
          <w:kern w:val="0"/>
        </w:rPr>
        <w:t>。</w:t>
      </w:r>
    </w:p>
    <w:p w14:paraId="31CD9936">
      <w:pPr>
        <w:snapToGrid w:val="0"/>
        <w:ind w:left="41" w:leftChars="17" w:firstLine="480" w:firstLineChars="200"/>
        <w:rPr>
          <w:rFonts w:ascii="宋体" w:hAnsi="宋体"/>
        </w:rPr>
      </w:pPr>
      <w:r>
        <w:rPr>
          <w:rFonts w:hint="eastAsia" w:ascii="宋体" w:hAnsi="宋体"/>
        </w:rPr>
        <w:t>建设工程投保的险种、范围、金额、费率、期限的约定：</w:t>
      </w:r>
    </w:p>
    <w:p w14:paraId="3E7C97C0">
      <w:pPr>
        <w:snapToGrid w:val="0"/>
        <w:ind w:left="41" w:leftChars="17" w:firstLine="480"/>
        <w:rPr>
          <w:rFonts w:ascii="宋体" w:hAnsi="宋体"/>
          <w:kern w:val="0"/>
        </w:rPr>
      </w:pPr>
      <w:r>
        <w:rPr>
          <w:rFonts w:ascii="宋体" w:hAnsi="宋体"/>
          <w:kern w:val="0"/>
        </w:rPr>
        <w:t>（1）</w:t>
      </w:r>
      <w:r>
        <w:rPr>
          <w:rFonts w:ascii="宋体" w:hAnsi="宋体"/>
          <w:kern w:val="0"/>
          <w:u w:val="single"/>
        </w:rPr>
        <w:t>/</w:t>
      </w:r>
      <w:r>
        <w:rPr>
          <w:rFonts w:ascii="宋体" w:hAnsi="宋体"/>
          <w:kern w:val="0"/>
        </w:rPr>
        <w:t>。</w:t>
      </w:r>
    </w:p>
    <w:p w14:paraId="025A72B9">
      <w:pPr>
        <w:snapToGrid w:val="0"/>
        <w:ind w:left="41" w:leftChars="17" w:firstLine="480"/>
        <w:rPr>
          <w:rFonts w:ascii="宋体" w:hAnsi="宋体"/>
          <w:kern w:val="0"/>
        </w:rPr>
      </w:pPr>
      <w:r>
        <w:rPr>
          <w:rFonts w:ascii="宋体" w:hAnsi="宋体"/>
          <w:kern w:val="0"/>
        </w:rPr>
        <w:t>（2）。</w:t>
      </w:r>
    </w:p>
    <w:p w14:paraId="40716E13">
      <w:pPr>
        <w:snapToGrid w:val="0"/>
        <w:ind w:left="41" w:leftChars="17" w:firstLine="480"/>
        <w:rPr>
          <w:rFonts w:ascii="宋体" w:hAnsi="宋体"/>
          <w:kern w:val="0"/>
        </w:rPr>
      </w:pPr>
      <w:r>
        <w:rPr>
          <w:rFonts w:ascii="宋体" w:hAnsi="宋体"/>
          <w:kern w:val="0"/>
        </w:rPr>
        <w:t>（3）。</w:t>
      </w:r>
    </w:p>
    <w:p w14:paraId="7B69EBE5">
      <w:pPr>
        <w:snapToGrid w:val="0"/>
        <w:ind w:left="41" w:leftChars="17" w:firstLine="600" w:firstLineChars="250"/>
        <w:rPr>
          <w:rFonts w:ascii="宋体" w:hAnsi="宋体"/>
          <w:kern w:val="0"/>
        </w:rPr>
      </w:pPr>
      <w:r>
        <w:rPr>
          <w:rFonts w:hint="eastAsia" w:ascii="宋体" w:hAnsi="宋体"/>
          <w:kern w:val="0"/>
        </w:rPr>
        <w:t>……</w:t>
      </w:r>
    </w:p>
    <w:p w14:paraId="28EC16E6">
      <w:pPr>
        <w:ind w:left="41" w:leftChars="17"/>
        <w:outlineLvl w:val="1"/>
        <w:rPr>
          <w:rFonts w:ascii="宋体" w:hAnsi="宋体"/>
          <w:b/>
          <w:bCs/>
          <w:kern w:val="0"/>
        </w:rPr>
      </w:pPr>
      <w:bookmarkStart w:id="877" w:name="_Toc439160195"/>
      <w:bookmarkStart w:id="878" w:name="_Toc410986393"/>
      <w:bookmarkStart w:id="879" w:name="_Toc6241392"/>
      <w:bookmarkStart w:id="880" w:name="_Toc489084340"/>
      <w:bookmarkStart w:id="881" w:name="_Toc526793407"/>
      <w:bookmarkStart w:id="882" w:name="_Toc11527"/>
      <w:r>
        <w:rPr>
          <w:rFonts w:ascii="宋体" w:hAnsi="宋体"/>
          <w:b/>
          <w:bCs/>
          <w:kern w:val="0"/>
        </w:rPr>
        <w:t xml:space="preserve">16. </w:t>
      </w:r>
      <w:r>
        <w:rPr>
          <w:rFonts w:hint="eastAsia" w:ascii="宋体" w:hAnsi="宋体"/>
          <w:b/>
          <w:bCs/>
          <w:kern w:val="0"/>
        </w:rPr>
        <w:t>不可抗力</w:t>
      </w:r>
    </w:p>
    <w:p w14:paraId="69A23C48">
      <w:pPr>
        <w:autoSpaceDE w:val="0"/>
        <w:autoSpaceDN w:val="0"/>
        <w:snapToGrid w:val="0"/>
        <w:ind w:left="41" w:leftChars="17" w:firstLine="482" w:firstLineChars="200"/>
        <w:rPr>
          <w:rFonts w:ascii="宋体" w:hAnsi="宋体"/>
          <w:b/>
        </w:rPr>
      </w:pPr>
      <w:r>
        <w:rPr>
          <w:rFonts w:ascii="宋体" w:hAnsi="宋体"/>
          <w:b/>
        </w:rPr>
        <w:t xml:space="preserve">16.1 </w:t>
      </w:r>
      <w:r>
        <w:rPr>
          <w:rFonts w:hint="eastAsia" w:ascii="宋体" w:hAnsi="宋体"/>
          <w:b/>
        </w:rPr>
        <w:t>不可抗力的确认</w:t>
      </w:r>
    </w:p>
    <w:p w14:paraId="03621E95">
      <w:pPr>
        <w:autoSpaceDE w:val="0"/>
        <w:autoSpaceDN w:val="0"/>
        <w:snapToGrid w:val="0"/>
        <w:ind w:left="41" w:leftChars="17" w:firstLine="480" w:firstLineChars="200"/>
        <w:rPr>
          <w:rFonts w:ascii="宋体" w:hAnsi="宋体"/>
        </w:rPr>
      </w:pPr>
      <w:r>
        <w:rPr>
          <w:rFonts w:ascii="宋体" w:hAnsi="宋体"/>
        </w:rPr>
        <w:t xml:space="preserve">16.1.1 </w:t>
      </w:r>
      <w:r>
        <w:rPr>
          <w:rFonts w:hint="eastAsia" w:ascii="宋体" w:hAnsi="宋体"/>
        </w:rPr>
        <w:t>除通用合同条款约定的不可抗力事件外，视为不可抗力的其他情形：</w:t>
      </w:r>
      <w:r>
        <w:rPr>
          <w:rFonts w:hint="eastAsia" w:ascii="宋体" w:hAnsi="宋体"/>
          <w:kern w:val="0"/>
          <w:u w:val="single"/>
        </w:rPr>
        <w:t>按通用条款执行</w:t>
      </w:r>
      <w:r>
        <w:rPr>
          <w:rFonts w:ascii="宋体" w:hAnsi="宋体"/>
          <w:kern w:val="0"/>
          <w:u w:val="single"/>
        </w:rPr>
        <w:t xml:space="preserve"> </w:t>
      </w:r>
      <w:r>
        <w:rPr>
          <w:rFonts w:hint="eastAsia" w:ascii="宋体" w:hAnsi="宋体"/>
        </w:rPr>
        <w:t>。</w:t>
      </w:r>
    </w:p>
    <w:p w14:paraId="0F660AD7">
      <w:pPr>
        <w:autoSpaceDE w:val="0"/>
        <w:autoSpaceDN w:val="0"/>
        <w:snapToGrid w:val="0"/>
        <w:ind w:left="41" w:leftChars="17" w:firstLine="482" w:firstLineChars="200"/>
        <w:rPr>
          <w:rFonts w:ascii="宋体" w:hAnsi="宋体"/>
        </w:rPr>
      </w:pPr>
      <w:r>
        <w:rPr>
          <w:rFonts w:ascii="宋体" w:hAnsi="宋体"/>
          <w:b/>
        </w:rPr>
        <w:t xml:space="preserve">16.3 </w:t>
      </w:r>
      <w:r>
        <w:rPr>
          <w:rFonts w:hint="eastAsia" w:ascii="宋体" w:hAnsi="宋体"/>
          <w:b/>
        </w:rPr>
        <w:t>不可抗力后果及其处理</w:t>
      </w:r>
    </w:p>
    <w:p w14:paraId="0A9DB27F">
      <w:pPr>
        <w:autoSpaceDE w:val="0"/>
        <w:autoSpaceDN w:val="0"/>
        <w:snapToGrid w:val="0"/>
        <w:ind w:left="41" w:leftChars="17" w:firstLine="480" w:firstLineChars="200"/>
        <w:rPr>
          <w:rFonts w:ascii="宋体" w:hAnsi="宋体"/>
        </w:rPr>
      </w:pPr>
      <w:r>
        <w:rPr>
          <w:rFonts w:hint="eastAsia" w:ascii="宋体" w:hAnsi="宋体"/>
        </w:rPr>
        <w:t>合同当事人承担不可抗力引起的后果及造成的损失的约定：</w:t>
      </w:r>
      <w:r>
        <w:rPr>
          <w:rFonts w:ascii="宋体" w:hAnsi="宋体"/>
          <w:kern w:val="0"/>
          <w:u w:val="single"/>
        </w:rPr>
        <w:t xml:space="preserve"> 按通用条款执行  </w:t>
      </w:r>
      <w:r>
        <w:rPr>
          <w:rFonts w:ascii="宋体" w:hAnsi="宋体"/>
        </w:rPr>
        <w:t>。</w:t>
      </w:r>
    </w:p>
    <w:p w14:paraId="025BB4EA">
      <w:pPr>
        <w:ind w:left="41" w:leftChars="17"/>
        <w:outlineLvl w:val="1"/>
        <w:rPr>
          <w:rFonts w:ascii="宋体" w:hAnsi="宋体"/>
          <w:b/>
          <w:bCs/>
          <w:kern w:val="0"/>
        </w:rPr>
      </w:pPr>
      <w:r>
        <w:rPr>
          <w:rFonts w:ascii="宋体" w:hAnsi="宋体"/>
          <w:b/>
          <w:bCs/>
          <w:kern w:val="0"/>
        </w:rPr>
        <w:t xml:space="preserve">19. </w:t>
      </w:r>
      <w:r>
        <w:rPr>
          <w:rFonts w:hint="eastAsia" w:ascii="宋体" w:hAnsi="宋体"/>
          <w:b/>
          <w:bCs/>
          <w:kern w:val="0"/>
        </w:rPr>
        <w:t>争议的解决</w:t>
      </w:r>
      <w:bookmarkEnd w:id="877"/>
      <w:bookmarkEnd w:id="878"/>
      <w:bookmarkEnd w:id="879"/>
      <w:bookmarkEnd w:id="880"/>
      <w:bookmarkEnd w:id="881"/>
      <w:bookmarkEnd w:id="882"/>
    </w:p>
    <w:p w14:paraId="5346AA58">
      <w:pPr>
        <w:autoSpaceDE w:val="0"/>
        <w:autoSpaceDN w:val="0"/>
        <w:snapToGrid w:val="0"/>
        <w:ind w:left="41" w:leftChars="17"/>
        <w:rPr>
          <w:rFonts w:ascii="宋体" w:hAnsi="宋体"/>
          <w:b/>
        </w:rPr>
      </w:pPr>
      <w:r>
        <w:rPr>
          <w:rFonts w:ascii="宋体" w:hAnsi="宋体"/>
          <w:b/>
        </w:rPr>
        <w:t xml:space="preserve">    19.1 争议的解决方式</w:t>
      </w:r>
    </w:p>
    <w:p w14:paraId="502263F3">
      <w:pPr>
        <w:snapToGrid w:val="0"/>
        <w:ind w:left="41" w:leftChars="17" w:firstLine="480" w:firstLineChars="200"/>
        <w:rPr>
          <w:rFonts w:ascii="宋体" w:hAnsi="宋体"/>
        </w:rPr>
      </w:pPr>
      <w:r>
        <w:rPr>
          <w:rFonts w:hint="eastAsia" w:ascii="宋体" w:hAnsi="宋体"/>
        </w:rPr>
        <w:t>合同当事人友好协商、调解不成的，按照以下第</w:t>
      </w:r>
      <w:r>
        <w:rPr>
          <w:rFonts w:ascii="宋体" w:hAnsi="宋体"/>
          <w:u w:val="single"/>
        </w:rPr>
        <w:t>2</w:t>
      </w:r>
      <w:r>
        <w:rPr>
          <w:rFonts w:hint="eastAsia" w:ascii="宋体" w:hAnsi="宋体"/>
        </w:rPr>
        <w:t>种方式解决争议：</w:t>
      </w:r>
    </w:p>
    <w:p w14:paraId="7E4A8FC5">
      <w:pPr>
        <w:snapToGrid w:val="0"/>
        <w:ind w:left="41" w:leftChars="17" w:firstLine="480" w:firstLineChars="200"/>
        <w:rPr>
          <w:rFonts w:ascii="宋体" w:hAnsi="宋体"/>
        </w:rPr>
      </w:pPr>
      <w:r>
        <w:rPr>
          <w:rFonts w:hint="eastAsia" w:ascii="宋体" w:hAnsi="宋体"/>
        </w:rPr>
        <w:t>（</w:t>
      </w:r>
      <w:r>
        <w:rPr>
          <w:rFonts w:ascii="宋体" w:hAnsi="宋体"/>
        </w:rPr>
        <w:t>l）向</w:t>
      </w:r>
      <w:r>
        <w:rPr>
          <w:rFonts w:ascii="宋体" w:hAnsi="宋体"/>
          <w:u w:val="single"/>
        </w:rPr>
        <w:t>/</w:t>
      </w:r>
      <w:r>
        <w:rPr>
          <w:rFonts w:hint="eastAsia" w:ascii="宋体" w:hAnsi="宋体"/>
        </w:rPr>
        <w:t>仲裁委员会申请仲裁；</w:t>
      </w:r>
    </w:p>
    <w:p w14:paraId="6F47FD00">
      <w:pPr>
        <w:snapToGrid w:val="0"/>
        <w:ind w:left="41" w:leftChars="17" w:firstLine="480" w:firstLineChars="200"/>
        <w:rPr>
          <w:rFonts w:ascii="宋体" w:hAnsi="宋体"/>
        </w:rPr>
      </w:pPr>
      <w:r>
        <w:rPr>
          <w:rFonts w:hint="eastAsia" w:ascii="宋体" w:hAnsi="宋体"/>
        </w:rPr>
        <w:t>（</w:t>
      </w:r>
      <w:r>
        <w:rPr>
          <w:rFonts w:ascii="宋体" w:hAnsi="宋体"/>
        </w:rPr>
        <w:t>2）向</w:t>
      </w:r>
      <w:r>
        <w:rPr>
          <w:rFonts w:hint="eastAsia" w:ascii="宋体" w:hAnsi="宋体"/>
          <w:u w:val="single"/>
        </w:rPr>
        <w:t>项目所在地人</w:t>
      </w:r>
      <w:r>
        <w:rPr>
          <w:rFonts w:hint="eastAsia" w:ascii="宋体" w:hAnsi="宋体"/>
        </w:rPr>
        <w:t>民法院提起诉讼；</w:t>
      </w:r>
    </w:p>
    <w:p w14:paraId="1DF24FE7">
      <w:pPr>
        <w:snapToGrid w:val="0"/>
        <w:ind w:left="41" w:leftChars="17" w:firstLine="480" w:firstLineChars="200"/>
        <w:rPr>
          <w:rFonts w:ascii="宋体" w:hAnsi="宋体"/>
        </w:rPr>
      </w:pPr>
      <w:r>
        <w:rPr>
          <w:rFonts w:hint="eastAsia" w:ascii="宋体" w:hAnsi="宋体"/>
        </w:rPr>
        <w:t>（</w:t>
      </w:r>
      <w:r>
        <w:rPr>
          <w:rFonts w:ascii="宋体" w:hAnsi="宋体"/>
        </w:rPr>
        <w:t>3）其他争议解决方式：</w:t>
      </w:r>
      <w:r>
        <w:rPr>
          <w:rFonts w:ascii="宋体" w:hAnsi="宋体"/>
          <w:u w:val="single"/>
        </w:rPr>
        <w:t>/</w:t>
      </w:r>
      <w:r>
        <w:rPr>
          <w:rFonts w:hint="eastAsia" w:ascii="宋体" w:hAnsi="宋体"/>
        </w:rPr>
        <w:t>。</w:t>
      </w:r>
    </w:p>
    <w:p w14:paraId="46A5BA44">
      <w:pPr>
        <w:outlineLvl w:val="1"/>
        <w:rPr>
          <w:rFonts w:ascii="宋体" w:hAnsi="宋体"/>
          <w:b/>
          <w:bCs/>
          <w:kern w:val="0"/>
        </w:rPr>
      </w:pPr>
      <w:bookmarkStart w:id="883" w:name="_Toc526793408"/>
      <w:bookmarkStart w:id="884" w:name="_Toc6241393"/>
      <w:bookmarkStart w:id="885" w:name="_Toc6029"/>
      <w:r>
        <w:rPr>
          <w:rFonts w:ascii="宋体" w:hAnsi="宋体"/>
          <w:b/>
          <w:bCs/>
          <w:kern w:val="0"/>
        </w:rPr>
        <w:t xml:space="preserve">20. </w:t>
      </w:r>
      <w:r>
        <w:rPr>
          <w:rFonts w:hint="eastAsia" w:ascii="宋体" w:hAnsi="宋体"/>
          <w:b/>
          <w:bCs/>
          <w:kern w:val="0"/>
        </w:rPr>
        <w:t>补充条款</w:t>
      </w:r>
      <w:bookmarkEnd w:id="338"/>
      <w:bookmarkEnd w:id="883"/>
      <w:bookmarkEnd w:id="884"/>
      <w:bookmarkEnd w:id="885"/>
    </w:p>
    <w:bookmarkEnd w:id="339"/>
    <w:p w14:paraId="2D3AFE12">
      <w:pPr>
        <w:ind w:firstLine="480" w:firstLineChars="200"/>
        <w:rPr>
          <w:rFonts w:ascii="Calibri" w:hAnsi="Calibri"/>
        </w:rPr>
      </w:pPr>
      <w:bookmarkStart w:id="886" w:name="_Toc410986395"/>
      <w:bookmarkStart w:id="887" w:name="_Toc439160054"/>
      <w:bookmarkStart w:id="888" w:name="_Toc401303320"/>
      <w:r>
        <w:rPr>
          <w:rFonts w:ascii="Calibri" w:hAnsi="Calibri"/>
        </w:rPr>
        <w:t>20.1</w:t>
      </w:r>
      <w:r>
        <w:rPr>
          <w:rFonts w:hint="eastAsia" w:ascii="Calibri" w:hAnsi="Calibri"/>
        </w:rPr>
        <w:t>开工前，承包人必须根据工程项目安全施工的需要，对参加项目的所有员工进行安全培训，并将培训和考试记录报送发包人备查。</w:t>
      </w:r>
    </w:p>
    <w:p w14:paraId="12025E66">
      <w:pPr>
        <w:adjustRightInd w:val="0"/>
        <w:snapToGrid w:val="0"/>
        <w:ind w:firstLine="480" w:firstLineChars="200"/>
        <w:rPr>
          <w:rFonts w:ascii="Calibri" w:hAnsi="Calibri"/>
        </w:rPr>
      </w:pPr>
      <w:r>
        <w:rPr>
          <w:rFonts w:ascii="Calibri" w:hAnsi="Calibri"/>
        </w:rPr>
        <w:t>20.2</w:t>
      </w:r>
      <w:r>
        <w:rPr>
          <w:rFonts w:hint="eastAsia" w:ascii="Calibri" w:hAnsi="Calibri"/>
        </w:rPr>
        <w:t>开工前，承包人必须向发包人、监理人提交工程现场的危险性较大的分部分项和超过一定规模的危险性较大的分部分项工程清单。</w:t>
      </w:r>
    </w:p>
    <w:p w14:paraId="3E3A6FDA">
      <w:pPr>
        <w:adjustRightInd w:val="0"/>
        <w:snapToGrid w:val="0"/>
        <w:ind w:firstLine="480" w:firstLineChars="200"/>
        <w:rPr>
          <w:rFonts w:ascii="Calibri" w:hAnsi="Calibri"/>
          <w:u w:val="single"/>
        </w:rPr>
      </w:pPr>
      <w:r>
        <w:rPr>
          <w:rFonts w:ascii="Calibri" w:hAnsi="Calibri"/>
        </w:rPr>
        <w:t>20.3</w:t>
      </w:r>
      <w:r>
        <w:rPr>
          <w:rFonts w:hint="eastAsia" w:ascii="Calibri" w:hAnsi="Calibri"/>
        </w:rPr>
        <w:t>对参与施工人员工种及技能的要求</w:t>
      </w:r>
      <w:r>
        <w:rPr>
          <w:rFonts w:hint="eastAsia" w:ascii="Calibri" w:hAnsi="Calibri"/>
          <w:u w:val="single"/>
        </w:rPr>
        <w:t>：具有相应资质的架子工，电工、电焊工、移动升高特种作业人员等</w:t>
      </w:r>
      <w:r>
        <w:rPr>
          <w:rFonts w:ascii="Calibri" w:hAnsi="Calibri"/>
          <w:u w:val="single"/>
        </w:rPr>
        <w:t xml:space="preserve"> </w:t>
      </w:r>
    </w:p>
    <w:p w14:paraId="26A8594B">
      <w:pPr>
        <w:adjustRightInd w:val="0"/>
        <w:snapToGrid w:val="0"/>
        <w:ind w:firstLine="480" w:firstLineChars="200"/>
        <w:rPr>
          <w:rFonts w:ascii="Calibri" w:hAnsi="Calibri"/>
          <w:u w:val="single"/>
        </w:rPr>
      </w:pPr>
      <w:r>
        <w:rPr>
          <w:rFonts w:ascii="Calibri" w:hAnsi="Calibri"/>
        </w:rPr>
        <w:t>20.4</w:t>
      </w:r>
      <w:r>
        <w:rPr>
          <w:rFonts w:hint="eastAsia" w:ascii="Calibri" w:hAnsi="Calibri"/>
        </w:rPr>
        <w:t>特种作业人员和关键工种人员的资格要求、报审程序：</w:t>
      </w:r>
      <w:r>
        <w:rPr>
          <w:rFonts w:hint="eastAsia" w:ascii="Calibri" w:hAnsi="Calibri"/>
          <w:u w:val="single"/>
        </w:rPr>
        <w:t>（由发包人在采购或合同签订时明确）</w:t>
      </w:r>
      <w:r>
        <w:rPr>
          <w:rFonts w:ascii="Calibri" w:hAnsi="Calibri"/>
          <w:u w:val="single"/>
        </w:rPr>
        <w:t xml:space="preserve"> </w:t>
      </w:r>
    </w:p>
    <w:p w14:paraId="47B065CA">
      <w:pPr>
        <w:adjustRightInd w:val="0"/>
        <w:snapToGrid w:val="0"/>
        <w:ind w:firstLine="480" w:firstLineChars="200"/>
        <w:rPr>
          <w:rFonts w:ascii="Calibri" w:hAnsi="Calibri"/>
          <w:u w:val="single"/>
        </w:rPr>
      </w:pPr>
      <w:r>
        <w:rPr>
          <w:rFonts w:ascii="Calibri" w:hAnsi="Calibri"/>
        </w:rPr>
        <w:t>20.5</w:t>
      </w:r>
      <w:r>
        <w:rPr>
          <w:rFonts w:hint="eastAsia" w:ascii="Calibri" w:hAnsi="Calibri"/>
        </w:rPr>
        <w:t>主要施工机具设备的种类、规格、性能要求：包括但不限于</w:t>
      </w:r>
      <w:r>
        <w:rPr>
          <w:rFonts w:hint="eastAsia" w:ascii="Calibri" w:hAnsi="Calibri"/>
          <w:u w:val="single"/>
        </w:rPr>
        <w:t>移动高空作业车、五点式安全带，安全绳、二级配电箱、劳保用品等</w:t>
      </w:r>
      <w:r>
        <w:rPr>
          <w:rFonts w:ascii="Calibri" w:hAnsi="Calibri"/>
          <w:u w:val="single"/>
        </w:rPr>
        <w:t xml:space="preserve"> </w:t>
      </w:r>
    </w:p>
    <w:p w14:paraId="45EF0D2C">
      <w:pPr>
        <w:ind w:firstLine="480" w:firstLineChars="200"/>
        <w:rPr>
          <w:rFonts w:ascii="Calibri" w:hAnsi="Calibri"/>
        </w:rPr>
      </w:pPr>
      <w:r>
        <w:rPr>
          <w:rFonts w:ascii="Calibri" w:hAnsi="Calibri"/>
        </w:rPr>
        <w:t>20.6</w:t>
      </w:r>
      <w:r>
        <w:rPr>
          <w:rFonts w:hint="eastAsia" w:ascii="Calibri" w:hAnsi="Calibri"/>
        </w:rPr>
        <w:t>发包人安全管理部门（以下简称安全管理部门）是承包人安全监督归口管理部门。承包人应接受安全管理部门的管理、监督、培训、考核等，内容如下</w:t>
      </w:r>
    </w:p>
    <w:p w14:paraId="1DC03C3A">
      <w:pPr>
        <w:ind w:firstLine="480" w:firstLineChars="200"/>
        <w:rPr>
          <w:rFonts w:ascii="Calibri" w:hAnsi="Calibri"/>
        </w:rPr>
      </w:pPr>
      <w:r>
        <w:rPr>
          <w:rFonts w:hint="eastAsia" w:ascii="Calibri" w:hAnsi="Calibri"/>
        </w:rPr>
        <w:t>（</w:t>
      </w:r>
      <w:r>
        <w:rPr>
          <w:rFonts w:ascii="Calibri" w:hAnsi="Calibri"/>
        </w:rPr>
        <w:t>1</w:t>
      </w:r>
      <w:r>
        <w:rPr>
          <w:rFonts w:hint="eastAsia" w:ascii="Calibri" w:hAnsi="Calibri"/>
        </w:rPr>
        <w:t>）负责制定承包人安全监督管理制度，并监督检查承包人等相关各方落实情况。</w:t>
      </w:r>
    </w:p>
    <w:p w14:paraId="62BCA37F">
      <w:pPr>
        <w:ind w:firstLine="480" w:firstLineChars="200"/>
        <w:rPr>
          <w:rFonts w:ascii="Calibri" w:hAnsi="Calibri"/>
        </w:rPr>
      </w:pPr>
      <w:r>
        <w:rPr>
          <w:rFonts w:hint="eastAsia" w:ascii="Calibri" w:hAnsi="Calibri"/>
        </w:rPr>
        <w:t>（</w:t>
      </w:r>
      <w:r>
        <w:rPr>
          <w:rFonts w:ascii="Calibri" w:hAnsi="Calibri"/>
        </w:rPr>
        <w:t>2</w:t>
      </w:r>
      <w:r>
        <w:rPr>
          <w:rFonts w:hint="eastAsia" w:ascii="Calibri" w:hAnsi="Calibri"/>
        </w:rPr>
        <w:t>）参加承包人安全资质审查。</w:t>
      </w:r>
    </w:p>
    <w:p w14:paraId="333E3F6A">
      <w:pPr>
        <w:ind w:firstLine="480" w:firstLineChars="200"/>
        <w:rPr>
          <w:rFonts w:ascii="Calibri" w:hAnsi="Calibri"/>
        </w:rPr>
      </w:pPr>
      <w:r>
        <w:rPr>
          <w:rFonts w:hint="eastAsia" w:ascii="Calibri" w:hAnsi="Calibri"/>
        </w:rPr>
        <w:t>（</w:t>
      </w:r>
      <w:r>
        <w:rPr>
          <w:rFonts w:ascii="Calibri" w:hAnsi="Calibri"/>
        </w:rPr>
        <w:t>3</w:t>
      </w:r>
      <w:r>
        <w:rPr>
          <w:rFonts w:hint="eastAsia" w:ascii="Calibri" w:hAnsi="Calibri"/>
        </w:rPr>
        <w:t>）参加工程项目安全技术措施或专项施工方案的审查。</w:t>
      </w:r>
    </w:p>
    <w:p w14:paraId="08084336">
      <w:pPr>
        <w:ind w:firstLine="480" w:firstLineChars="200"/>
        <w:rPr>
          <w:rFonts w:ascii="Calibri" w:hAnsi="Calibri"/>
        </w:rPr>
      </w:pPr>
      <w:r>
        <w:rPr>
          <w:rFonts w:hint="eastAsia" w:ascii="Calibri" w:hAnsi="Calibri"/>
        </w:rPr>
        <w:t>（</w:t>
      </w:r>
      <w:r>
        <w:rPr>
          <w:rFonts w:ascii="Calibri" w:hAnsi="Calibri"/>
        </w:rPr>
        <w:t>4</w:t>
      </w:r>
      <w:r>
        <w:rPr>
          <w:rFonts w:hint="eastAsia" w:ascii="Calibri" w:hAnsi="Calibri"/>
        </w:rPr>
        <w:t>）采购文件和合同会审时，负责审核安全保证措施和安全生产管理协议。</w:t>
      </w:r>
    </w:p>
    <w:p w14:paraId="2BF87651">
      <w:pPr>
        <w:ind w:firstLine="480" w:firstLineChars="200"/>
        <w:rPr>
          <w:rFonts w:ascii="Calibri" w:hAnsi="Calibri"/>
        </w:rPr>
      </w:pPr>
      <w:r>
        <w:rPr>
          <w:rFonts w:hint="eastAsia" w:ascii="Calibri" w:hAnsi="Calibri"/>
        </w:rPr>
        <w:t>（</w:t>
      </w:r>
      <w:r>
        <w:rPr>
          <w:rFonts w:ascii="Calibri" w:hAnsi="Calibri"/>
        </w:rPr>
        <w:t>5</w:t>
      </w:r>
      <w:r>
        <w:rPr>
          <w:rFonts w:hint="eastAsia" w:ascii="Calibri" w:hAnsi="Calibri"/>
        </w:rPr>
        <w:t>）参与承包人安全防护措施费用和脚手架费用拨付的会签。</w:t>
      </w:r>
    </w:p>
    <w:p w14:paraId="3D4317F0">
      <w:pPr>
        <w:ind w:firstLine="480" w:firstLineChars="200"/>
        <w:rPr>
          <w:rFonts w:ascii="Calibri" w:hAnsi="Calibri"/>
        </w:rPr>
      </w:pPr>
      <w:r>
        <w:rPr>
          <w:rFonts w:hint="eastAsia" w:ascii="Calibri" w:hAnsi="Calibri"/>
        </w:rPr>
        <w:t>（</w:t>
      </w:r>
      <w:r>
        <w:rPr>
          <w:rFonts w:ascii="Calibri" w:hAnsi="Calibri"/>
        </w:rPr>
        <w:t>6</w:t>
      </w:r>
      <w:r>
        <w:rPr>
          <w:rFonts w:hint="eastAsia" w:ascii="Calibri" w:hAnsi="Calibri"/>
        </w:rPr>
        <w:t>）参与重大设计变更、工期调整等重要影响因素的论证和评估。</w:t>
      </w:r>
    </w:p>
    <w:p w14:paraId="4FE368D8">
      <w:pPr>
        <w:ind w:firstLine="480" w:firstLineChars="200"/>
        <w:rPr>
          <w:rFonts w:ascii="Calibri" w:hAnsi="Calibri"/>
        </w:rPr>
      </w:pPr>
      <w:r>
        <w:rPr>
          <w:rFonts w:hint="eastAsia" w:ascii="Calibri" w:hAnsi="Calibri"/>
        </w:rPr>
        <w:t>（</w:t>
      </w:r>
      <w:r>
        <w:rPr>
          <w:rFonts w:ascii="Calibri" w:hAnsi="Calibri"/>
        </w:rPr>
        <w:t>7</w:t>
      </w:r>
      <w:r>
        <w:rPr>
          <w:rFonts w:hint="eastAsia" w:ascii="Calibri" w:hAnsi="Calibri"/>
        </w:rPr>
        <w:t>）组织承包人员工入厂（场）安全教育、管理人员专项安全培训考核。</w:t>
      </w:r>
    </w:p>
    <w:p w14:paraId="64263AA0">
      <w:pPr>
        <w:ind w:firstLine="448" w:firstLineChars="200"/>
        <w:rPr>
          <w:rFonts w:ascii="Calibri" w:hAnsi="Calibri"/>
          <w:spacing w:val="-8"/>
        </w:rPr>
      </w:pPr>
      <w:r>
        <w:rPr>
          <w:rFonts w:hint="eastAsia" w:ascii="Calibri" w:hAnsi="Calibri"/>
          <w:spacing w:val="-8"/>
        </w:rPr>
        <w:t>（</w:t>
      </w:r>
      <w:r>
        <w:rPr>
          <w:rFonts w:ascii="Calibri" w:hAnsi="Calibri"/>
          <w:spacing w:val="-8"/>
        </w:rPr>
        <w:t>8</w:t>
      </w:r>
      <w:r>
        <w:rPr>
          <w:rFonts w:hint="eastAsia" w:ascii="Calibri" w:hAnsi="Calibri"/>
          <w:spacing w:val="-8"/>
        </w:rPr>
        <w:t>）负责特殊作业许可申请人、签发人、监护人、接收人的资格培训和认定。</w:t>
      </w:r>
    </w:p>
    <w:p w14:paraId="3451B408">
      <w:pPr>
        <w:ind w:firstLine="480" w:firstLineChars="200"/>
        <w:rPr>
          <w:rFonts w:ascii="Calibri" w:hAnsi="Calibri"/>
        </w:rPr>
      </w:pPr>
      <w:r>
        <w:rPr>
          <w:rFonts w:hint="eastAsia" w:ascii="Calibri" w:hAnsi="Calibri"/>
        </w:rPr>
        <w:t>（</w:t>
      </w:r>
      <w:r>
        <w:rPr>
          <w:rFonts w:ascii="Calibri" w:hAnsi="Calibri"/>
        </w:rPr>
        <w:t>9</w:t>
      </w:r>
      <w:r>
        <w:rPr>
          <w:rFonts w:hint="eastAsia" w:ascii="Calibri" w:hAnsi="Calibri"/>
        </w:rPr>
        <w:t>）参加承包人生产安全事故应急预案的评审，指导承包商开展应急演练。</w:t>
      </w:r>
    </w:p>
    <w:p w14:paraId="1CE9357A">
      <w:pPr>
        <w:ind w:firstLine="480" w:firstLineChars="200"/>
        <w:rPr>
          <w:rFonts w:ascii="Calibri" w:hAnsi="Calibri"/>
        </w:rPr>
      </w:pPr>
      <w:r>
        <w:rPr>
          <w:rFonts w:hint="eastAsia" w:ascii="Calibri" w:hAnsi="Calibri"/>
        </w:rPr>
        <w:t>（</w:t>
      </w:r>
      <w:r>
        <w:rPr>
          <w:rFonts w:ascii="Calibri" w:hAnsi="Calibri"/>
        </w:rPr>
        <w:t>10</w:t>
      </w:r>
      <w:r>
        <w:rPr>
          <w:rFonts w:hint="eastAsia" w:ascii="Calibri" w:hAnsi="Calibri"/>
        </w:rPr>
        <w:t>）组织承包人生产安全事故的调查与处理。</w:t>
      </w:r>
    </w:p>
    <w:p w14:paraId="779199BF">
      <w:pPr>
        <w:ind w:firstLine="448" w:firstLineChars="200"/>
        <w:rPr>
          <w:rFonts w:ascii="Calibri" w:hAnsi="Calibri"/>
          <w:spacing w:val="-8"/>
        </w:rPr>
      </w:pPr>
      <w:r>
        <w:rPr>
          <w:rFonts w:hint="eastAsia" w:ascii="Calibri" w:hAnsi="Calibri"/>
          <w:spacing w:val="-8"/>
        </w:rPr>
        <w:t>（</w:t>
      </w:r>
      <w:r>
        <w:rPr>
          <w:rFonts w:ascii="Calibri" w:hAnsi="Calibri"/>
          <w:spacing w:val="-8"/>
        </w:rPr>
        <w:t>11</w:t>
      </w:r>
      <w:r>
        <w:rPr>
          <w:rFonts w:hint="eastAsia" w:ascii="Calibri" w:hAnsi="Calibri"/>
          <w:spacing w:val="-8"/>
        </w:rPr>
        <w:t>）组织安全督查大队，按程序与要求对施工现场开展全方位安全督查工作。</w:t>
      </w:r>
    </w:p>
    <w:p w14:paraId="42FA4293">
      <w:pPr>
        <w:ind w:firstLine="480" w:firstLineChars="200"/>
        <w:rPr>
          <w:rFonts w:ascii="Calibri" w:hAnsi="Calibri"/>
        </w:rPr>
      </w:pPr>
      <w:r>
        <w:rPr>
          <w:rFonts w:hint="eastAsia" w:ascii="Calibri" w:hAnsi="Calibri"/>
        </w:rPr>
        <w:t>（</w:t>
      </w:r>
      <w:r>
        <w:rPr>
          <w:rFonts w:ascii="Calibri" w:hAnsi="Calibri"/>
        </w:rPr>
        <w:t>12</w:t>
      </w:r>
      <w:r>
        <w:rPr>
          <w:rFonts w:hint="eastAsia" w:ascii="Calibri" w:hAnsi="Calibri"/>
        </w:rPr>
        <w:t>）负责对承包人进行安全绩效考核。</w:t>
      </w:r>
    </w:p>
    <w:p w14:paraId="7289AFD8">
      <w:pPr>
        <w:ind w:firstLine="480" w:firstLineChars="200"/>
        <w:rPr>
          <w:rFonts w:ascii="Calibri" w:hAnsi="Calibri"/>
        </w:rPr>
      </w:pPr>
      <w:r>
        <w:rPr>
          <w:rFonts w:ascii="Calibri" w:hAnsi="Calibri"/>
        </w:rPr>
        <w:t>20.7</w:t>
      </w:r>
      <w:r>
        <w:rPr>
          <w:rFonts w:hint="eastAsia" w:ascii="Calibri" w:hAnsi="Calibri"/>
        </w:rPr>
        <w:t>任何单位不得擅自压缩合同约定的工期，如压缩工期，应按重大变更实施管理。因不可抗力或发包人原因影响工期的，应按照合同约定执行。如工期确需调整或优化，发包人应组织专家对安全的影响或带来相关的风险进行论证和评估，制定相应的施工组织措施和安全保障措施，由发包人项目负责人签发后执行。</w:t>
      </w:r>
    </w:p>
    <w:p w14:paraId="6C9B46FE">
      <w:pPr>
        <w:adjustRightInd w:val="0"/>
        <w:snapToGrid w:val="0"/>
        <w:ind w:firstLine="480" w:firstLineChars="200"/>
        <w:rPr>
          <w:rFonts w:ascii="Calibri" w:hAnsi="Calibri"/>
        </w:rPr>
      </w:pPr>
      <w:r>
        <w:rPr>
          <w:rFonts w:ascii="Calibri" w:hAnsi="Calibri"/>
        </w:rPr>
        <w:t>20.8</w:t>
      </w:r>
      <w:r>
        <w:rPr>
          <w:rFonts w:hint="eastAsia" w:ascii="Calibri" w:hAnsi="Calibri"/>
        </w:rPr>
        <w:t>关于分包项目内容与管理的要求。包括但不限于以下内容：</w:t>
      </w:r>
    </w:p>
    <w:p w14:paraId="72A8517A">
      <w:pPr>
        <w:adjustRightInd w:val="0"/>
        <w:snapToGrid w:val="0"/>
        <w:ind w:firstLine="480" w:firstLineChars="200"/>
        <w:rPr>
          <w:rFonts w:ascii="Calibri" w:hAnsi="Calibri"/>
        </w:rPr>
      </w:pPr>
      <w:r>
        <w:rPr>
          <w:rFonts w:hint="eastAsia" w:ascii="Calibri" w:hAnsi="Calibri"/>
        </w:rPr>
        <w:t>（</w:t>
      </w:r>
      <w:r>
        <w:rPr>
          <w:rFonts w:ascii="Calibri" w:hAnsi="Calibri"/>
        </w:rPr>
        <w:t>1</w:t>
      </w:r>
      <w:r>
        <w:rPr>
          <w:rFonts w:hint="eastAsia" w:ascii="Calibri" w:hAnsi="Calibri"/>
        </w:rPr>
        <w:t>）实施分包的工程，安全责任不能分包。总承包人、分包人应按照分包合同中的安全管理要求实施管理，若变更安全管理职责、界面，应重新签订分包合同。</w:t>
      </w:r>
    </w:p>
    <w:p w14:paraId="1E24101A">
      <w:pPr>
        <w:ind w:firstLine="480" w:firstLineChars="200"/>
        <w:rPr>
          <w:rFonts w:ascii="Calibri" w:hAnsi="Calibri"/>
          <w:u w:val="single"/>
        </w:rPr>
      </w:pPr>
      <w:bookmarkStart w:id="889" w:name="_Toc511126614"/>
      <w:bookmarkStart w:id="890" w:name="_Toc511142993"/>
      <w:bookmarkStart w:id="891" w:name="_Toc514167062"/>
      <w:r>
        <w:rPr>
          <w:rFonts w:hint="eastAsia" w:ascii="Calibri" w:hAnsi="Calibri"/>
        </w:rPr>
        <w:t>（</w:t>
      </w:r>
      <w:r>
        <w:rPr>
          <w:rFonts w:ascii="Calibri" w:hAnsi="Calibri"/>
        </w:rPr>
        <w:t>2</w:t>
      </w:r>
      <w:r>
        <w:rPr>
          <w:rFonts w:hint="eastAsia" w:ascii="Calibri" w:hAnsi="Calibri"/>
        </w:rPr>
        <w:t>）分包项目内容：</w:t>
      </w:r>
      <w:r>
        <w:rPr>
          <w:rFonts w:ascii="Calibri" w:hAnsi="Calibri"/>
          <w:u w:val="single"/>
        </w:rPr>
        <w:t xml:space="preserve">  </w:t>
      </w:r>
      <w:r>
        <w:rPr>
          <w:rFonts w:hint="eastAsia" w:ascii="Calibri" w:hAnsi="Calibri"/>
          <w:u w:val="single"/>
        </w:rPr>
        <w:t>（由发包人在采购或合同签订时明确）</w:t>
      </w:r>
      <w:bookmarkEnd w:id="889"/>
      <w:bookmarkEnd w:id="890"/>
      <w:bookmarkEnd w:id="891"/>
    </w:p>
    <w:p w14:paraId="5E659234">
      <w:pPr>
        <w:adjustRightInd w:val="0"/>
        <w:snapToGrid w:val="0"/>
        <w:ind w:firstLine="480" w:firstLineChars="200"/>
        <w:rPr>
          <w:rFonts w:ascii="Calibri" w:hAnsi="Calibri"/>
          <w:u w:val="single"/>
        </w:rPr>
      </w:pPr>
      <w:r>
        <w:rPr>
          <w:rFonts w:hint="eastAsia" w:ascii="Calibri" w:hAnsi="Calibri"/>
        </w:rPr>
        <w:t>（</w:t>
      </w:r>
      <w:r>
        <w:rPr>
          <w:rFonts w:ascii="Calibri" w:hAnsi="Calibri"/>
        </w:rPr>
        <w:t>3</w:t>
      </w:r>
      <w:r>
        <w:rPr>
          <w:rFonts w:hint="eastAsia" w:ascii="Calibri" w:hAnsi="Calibri"/>
        </w:rPr>
        <w:t>）脚手架工程和大型特殊设备吊装工程的管理或分包的方式：</w:t>
      </w:r>
      <w:r>
        <w:rPr>
          <w:rFonts w:hint="eastAsia" w:ascii="Calibri" w:hAnsi="Calibri"/>
          <w:u w:val="single"/>
        </w:rPr>
        <w:t>（由发包人在采购或合同签订时明确）</w:t>
      </w:r>
      <w:r>
        <w:rPr>
          <w:rFonts w:ascii="Calibri" w:hAnsi="Calibri"/>
          <w:u w:val="single"/>
        </w:rPr>
        <w:t xml:space="preserve"> </w:t>
      </w:r>
    </w:p>
    <w:p w14:paraId="616DB581">
      <w:pPr>
        <w:ind w:firstLine="480" w:firstLineChars="200"/>
        <w:rPr>
          <w:rFonts w:ascii="Calibri" w:hAnsi="Calibri"/>
        </w:rPr>
      </w:pPr>
      <w:r>
        <w:rPr>
          <w:rFonts w:hint="eastAsia" w:ascii="Calibri" w:hAnsi="Calibri"/>
        </w:rPr>
        <w:t>（</w:t>
      </w:r>
      <w:r>
        <w:rPr>
          <w:rFonts w:ascii="Calibri" w:hAnsi="Calibri"/>
        </w:rPr>
        <w:t>4</w:t>
      </w:r>
      <w:r>
        <w:rPr>
          <w:rFonts w:hint="eastAsia" w:ascii="Calibri" w:hAnsi="Calibri"/>
        </w:rPr>
        <w:t>）安全防护措施和脚手架计费标准及费用使用审批方式（确保专款专用）：</w:t>
      </w:r>
    </w:p>
    <w:p w14:paraId="3CF460F6">
      <w:pPr>
        <w:ind w:firstLine="480" w:firstLineChars="200"/>
        <w:rPr>
          <w:rFonts w:ascii="Calibri" w:hAnsi="Calibri"/>
        </w:rPr>
      </w:pPr>
      <w:r>
        <w:rPr>
          <w:rFonts w:hint="eastAsia" w:ascii="Calibri" w:hAnsi="Calibri"/>
        </w:rPr>
        <w:t>（</w:t>
      </w:r>
      <w:r>
        <w:rPr>
          <w:rFonts w:ascii="Calibri" w:hAnsi="Calibri"/>
        </w:rPr>
        <w:t>5</w:t>
      </w:r>
      <w:r>
        <w:rPr>
          <w:rFonts w:hint="eastAsia" w:ascii="Calibri" w:hAnsi="Calibri"/>
        </w:rPr>
        <w:t>）施工总承包人</w:t>
      </w:r>
      <w:r>
        <w:rPr>
          <w:rFonts w:ascii="Calibri" w:hAnsi="Calibri"/>
        </w:rPr>
        <w:t>/</w:t>
      </w:r>
      <w:r>
        <w:rPr>
          <w:rFonts w:hint="eastAsia" w:ascii="Calibri" w:hAnsi="Calibri"/>
        </w:rPr>
        <w:t>施工总承包人进行专业分包时，不得扣减脚手架费用和安全防护措施费用；施工总承包人</w:t>
      </w:r>
      <w:r>
        <w:rPr>
          <w:rFonts w:ascii="Calibri" w:hAnsi="Calibri"/>
        </w:rPr>
        <w:t>/</w:t>
      </w:r>
      <w:r>
        <w:rPr>
          <w:rFonts w:hint="eastAsia" w:ascii="Calibri" w:hAnsi="Calibri"/>
        </w:rPr>
        <w:t>施工总承包人对脚手架工程单独分包时，不得以管理费名义扣减任何费用。</w:t>
      </w:r>
    </w:p>
    <w:p w14:paraId="124CB558">
      <w:pPr>
        <w:ind w:firstLine="480" w:firstLineChars="200"/>
        <w:rPr>
          <w:rFonts w:ascii="Calibri" w:hAnsi="Calibri"/>
        </w:rPr>
      </w:pPr>
      <w:r>
        <w:rPr>
          <w:rFonts w:hint="eastAsia" w:ascii="Calibri" w:hAnsi="Calibri"/>
        </w:rPr>
        <w:t>（</w:t>
      </w:r>
      <w:r>
        <w:rPr>
          <w:rFonts w:ascii="Calibri" w:hAnsi="Calibri"/>
        </w:rPr>
        <w:t>6</w:t>
      </w:r>
      <w:r>
        <w:rPr>
          <w:rFonts w:hint="eastAsia" w:ascii="Calibri" w:hAnsi="Calibri"/>
        </w:rPr>
        <w:t>）劳务分包</w:t>
      </w:r>
    </w:p>
    <w:p w14:paraId="2E0602D1">
      <w:pPr>
        <w:ind w:firstLine="480" w:firstLineChars="200"/>
        <w:rPr>
          <w:rFonts w:ascii="Calibri" w:hAnsi="Calibri"/>
        </w:rPr>
      </w:pPr>
      <w:r>
        <w:rPr>
          <w:rFonts w:ascii="Calibri" w:hAnsi="Calibri"/>
        </w:rPr>
        <w:t>1</w:t>
      </w:r>
      <w:r>
        <w:rPr>
          <w:rFonts w:hint="eastAsia" w:ascii="Calibri" w:hAnsi="Calibri"/>
        </w:rPr>
        <w:t>）不得以劳务分包的名义进行专业分包。</w:t>
      </w:r>
    </w:p>
    <w:p w14:paraId="701A34A6">
      <w:pPr>
        <w:ind w:firstLine="480" w:firstLineChars="200"/>
        <w:rPr>
          <w:rFonts w:ascii="Calibri" w:hAnsi="Calibri"/>
        </w:rPr>
      </w:pPr>
      <w:r>
        <w:rPr>
          <w:rFonts w:ascii="Calibri" w:hAnsi="Calibri"/>
        </w:rPr>
        <w:t>2</w:t>
      </w:r>
      <w:r>
        <w:rPr>
          <w:rFonts w:hint="eastAsia" w:ascii="Calibri" w:hAnsi="Calibri"/>
        </w:rPr>
        <w:t>）进行劳务分包时，施工现场管理机构应由劳务分包的发包单位组建，技术文件由发包单位负责编制，安全劳动保护用品等均应由发包单位负责提供。</w:t>
      </w:r>
    </w:p>
    <w:p w14:paraId="210CC930">
      <w:pPr>
        <w:ind w:firstLine="480" w:firstLineChars="200"/>
        <w:rPr>
          <w:rFonts w:ascii="Calibri" w:hAnsi="Calibri"/>
        </w:rPr>
      </w:pPr>
      <w:r>
        <w:rPr>
          <w:rFonts w:ascii="Calibri" w:hAnsi="Calibri"/>
        </w:rPr>
        <w:t>3</w:t>
      </w:r>
      <w:r>
        <w:rPr>
          <w:rFonts w:hint="eastAsia" w:ascii="Calibri" w:hAnsi="Calibri"/>
        </w:rPr>
        <w:t>）劳务人员应有相应的资质，业务技能与从事的施工项目相适应。</w:t>
      </w:r>
    </w:p>
    <w:p w14:paraId="051CF76E">
      <w:pPr>
        <w:ind w:firstLine="480" w:firstLineChars="200"/>
        <w:rPr>
          <w:rFonts w:ascii="Calibri" w:hAnsi="Calibri"/>
        </w:rPr>
      </w:pPr>
      <w:r>
        <w:rPr>
          <w:rFonts w:ascii="Calibri" w:hAnsi="Calibri"/>
        </w:rPr>
        <w:t>4</w:t>
      </w:r>
      <w:r>
        <w:rPr>
          <w:rFonts w:hint="eastAsia" w:ascii="Calibri" w:hAnsi="Calibri"/>
        </w:rPr>
        <w:t>）劳务分包项目中的关键工种应杜绝临时零星用工。</w:t>
      </w:r>
    </w:p>
    <w:p w14:paraId="186A8B24">
      <w:pPr>
        <w:ind w:firstLine="480" w:firstLineChars="200"/>
        <w:rPr>
          <w:rFonts w:ascii="Calibri" w:hAnsi="Calibri"/>
        </w:rPr>
      </w:pPr>
      <w:r>
        <w:rPr>
          <w:rFonts w:ascii="Calibri" w:hAnsi="Calibri"/>
        </w:rPr>
        <w:t>5</w:t>
      </w:r>
      <w:r>
        <w:rPr>
          <w:rFonts w:hint="eastAsia" w:ascii="Calibri" w:hAnsi="Calibri"/>
        </w:rPr>
        <w:t>）承包人应对劳务人员中的特种作业人员、特种设备作业人员工程需要的其他人员进行业务技能的培训、考评，完善班组建设，并报送发包人备查。</w:t>
      </w:r>
    </w:p>
    <w:p w14:paraId="4DEE1CB2">
      <w:pPr>
        <w:ind w:firstLine="480" w:firstLineChars="200"/>
        <w:rPr>
          <w:rFonts w:ascii="Calibri" w:hAnsi="Calibri"/>
        </w:rPr>
      </w:pPr>
      <w:r>
        <w:rPr>
          <w:rFonts w:ascii="Calibri" w:hAnsi="Calibri"/>
        </w:rPr>
        <w:t>6</w:t>
      </w:r>
      <w:r>
        <w:rPr>
          <w:rFonts w:hint="eastAsia" w:ascii="Calibri" w:hAnsi="Calibri"/>
        </w:rPr>
        <w:t>）分包单位应对劳务人员的身份证复印件、特种作业操作证、特种设备作业人员证或上岗证复印件进行建档保存，并报送发包人备查。</w:t>
      </w:r>
    </w:p>
    <w:p w14:paraId="47AB4A3C">
      <w:pPr>
        <w:ind w:firstLine="480" w:firstLineChars="200"/>
        <w:rPr>
          <w:rFonts w:ascii="Calibri" w:hAnsi="Calibri"/>
        </w:rPr>
      </w:pPr>
      <w:r>
        <w:rPr>
          <w:rFonts w:hint="eastAsia" w:ascii="Calibri" w:hAnsi="Calibri"/>
        </w:rPr>
        <w:t>（</w:t>
      </w:r>
      <w:r>
        <w:rPr>
          <w:rFonts w:ascii="Calibri" w:hAnsi="Calibri"/>
        </w:rPr>
        <w:t>7</w:t>
      </w:r>
      <w:r>
        <w:rPr>
          <w:rFonts w:hint="eastAsia" w:ascii="Calibri" w:hAnsi="Calibri"/>
        </w:rPr>
        <w:t>）其他：</w:t>
      </w:r>
    </w:p>
    <w:p w14:paraId="69DA5294">
      <w:pPr>
        <w:ind w:firstLine="480" w:firstLineChars="200"/>
        <w:rPr>
          <w:rFonts w:ascii="Calibri" w:hAnsi="Calibri"/>
        </w:rPr>
      </w:pPr>
      <w:r>
        <w:rPr>
          <w:rFonts w:ascii="Calibri" w:hAnsi="Calibri"/>
        </w:rPr>
        <w:t>20.9</w:t>
      </w:r>
      <w:r>
        <w:rPr>
          <w:rFonts w:hint="eastAsia" w:ascii="Calibri" w:hAnsi="Calibri"/>
        </w:rPr>
        <w:t>开工前安全管理、现场施工安全管理、特殊作业安全监督管理、检查与监督考核等内容见本合同附件</w:t>
      </w:r>
      <w:r>
        <w:rPr>
          <w:rFonts w:hint="eastAsia" w:ascii="Calibri" w:hAnsi="Calibri"/>
          <w:highlight w:val="none"/>
        </w:rPr>
        <w:t>“《承包商安全监督管理要求》”。</w:t>
      </w:r>
    </w:p>
    <w:p w14:paraId="3D5BE902">
      <w:pPr>
        <w:ind w:firstLine="480" w:firstLineChars="200"/>
        <w:rPr>
          <w:rFonts w:ascii="Calibri" w:hAnsi="Calibri"/>
        </w:rPr>
      </w:pPr>
      <w:r>
        <w:rPr>
          <w:rFonts w:ascii="Calibri" w:hAnsi="Calibri"/>
        </w:rPr>
        <w:t xml:space="preserve">20.10 </w:t>
      </w:r>
      <w:r>
        <w:rPr>
          <w:rFonts w:hint="eastAsia" w:ascii="Calibri" w:hAnsi="Calibri"/>
        </w:rPr>
        <w:t>有关调整承包份额的补充规定：</w:t>
      </w:r>
      <w:r>
        <w:rPr>
          <w:rFonts w:hint="eastAsia" w:ascii="Calibri" w:hAnsi="Calibri"/>
          <w:u w:val="single"/>
        </w:rPr>
        <w:t>无</w:t>
      </w:r>
      <w:r>
        <w:rPr>
          <w:rFonts w:hint="eastAsia" w:ascii="Calibri" w:hAnsi="Calibri"/>
        </w:rPr>
        <w:t>。</w:t>
      </w:r>
    </w:p>
    <w:p w14:paraId="0B111102">
      <w:pPr>
        <w:ind w:firstLine="480" w:firstLineChars="200"/>
        <w:rPr>
          <w:rFonts w:ascii="Calibri" w:hAnsi="Calibri"/>
        </w:rPr>
      </w:pPr>
      <w:r>
        <w:rPr>
          <w:rFonts w:ascii="Calibri" w:hAnsi="Calibri"/>
        </w:rPr>
        <w:t>20.11</w:t>
      </w:r>
      <w:r>
        <w:rPr>
          <w:rFonts w:hint="eastAsia"/>
        </w:rPr>
        <w:t>按月、足额支付农民工工资。承包人需严格执行附件：《建设工程农民工工资支付保证书》的保证承诺条款，及时支付农民工工资。承包人需确保不发生因拖欠农民工工资而发生闹访、闹事等舆情事件。</w:t>
      </w:r>
      <w:r>
        <w:br w:type="textWrapping"/>
      </w:r>
      <w:r>
        <w:rPr>
          <w:rFonts w:hint="eastAsia"/>
        </w:rPr>
        <w:t xml:space="preserve">    承包人承诺在本框架协议中标后</w:t>
      </w:r>
      <w:r>
        <w:t>30</w:t>
      </w:r>
      <w:r>
        <w:rPr>
          <w:rFonts w:hint="eastAsia"/>
        </w:rPr>
        <w:t>日内，按照《工程建设领域农民工工资专用账户管理暂行办法》（人社部发〔</w:t>
      </w:r>
      <w:r>
        <w:t>2021</w:t>
      </w:r>
      <w:r>
        <w:rPr>
          <w:rFonts w:hint="eastAsia"/>
        </w:rPr>
        <w:t>〕</w:t>
      </w:r>
      <w:r>
        <w:t>53</w:t>
      </w:r>
      <w:r>
        <w:rPr>
          <w:rFonts w:hint="eastAsia"/>
        </w:rPr>
        <w:t>号）的通知要求，开设工程建设领域农民工工资专用账户。</w:t>
      </w:r>
    </w:p>
    <w:p w14:paraId="72877B7D">
      <w:pPr>
        <w:ind w:firstLine="480" w:firstLineChars="200"/>
        <w:rPr>
          <w:rFonts w:ascii="Calibri" w:hAnsi="Calibri"/>
        </w:rPr>
      </w:pPr>
      <w:r>
        <w:rPr>
          <w:rFonts w:ascii="Calibri" w:hAnsi="Calibri"/>
        </w:rPr>
        <w:t xml:space="preserve">20.12 </w:t>
      </w:r>
      <w:r>
        <w:rPr>
          <w:rFonts w:hint="eastAsia" w:ascii="Calibri" w:hAnsi="Calibri"/>
        </w:rPr>
        <w:t>其他</w:t>
      </w:r>
    </w:p>
    <w:p w14:paraId="07E65201">
      <w:pPr>
        <w:ind w:firstLine="480" w:firstLineChars="200"/>
        <w:rPr>
          <w:rFonts w:ascii="仿宋_GB2312" w:hAnsi="Calibri" w:eastAsia="仿宋_GB2312" w:cs="宋体"/>
          <w:sz w:val="32"/>
          <w:szCs w:val="32"/>
        </w:rPr>
      </w:pPr>
      <w:r>
        <w:rPr>
          <w:rFonts w:hint="eastAsia"/>
        </w:rPr>
        <w:t>每次付款，乙方需在十五个工作日内向甲方提供符合国家规定的增值税发票，配合甲方支付，乙方未提供增值税发票或者提供的增值税发票不符合要求，甲方有权延期支付甲方应付款项，且无需承担逾期付款的违约责任。</w:t>
      </w:r>
      <w:r>
        <w:rPr>
          <w:rFonts w:hint="eastAsia" w:ascii="仿宋_GB2312" w:hAnsi="Calibri" w:eastAsia="仿宋_GB2312" w:cs="宋体"/>
          <w:sz w:val="32"/>
          <w:szCs w:val="32"/>
        </w:rPr>
        <w:t xml:space="preserve"> </w:t>
      </w:r>
    </w:p>
    <w:p w14:paraId="55164CCF">
      <w:pPr>
        <w:pStyle w:val="6"/>
      </w:pPr>
    </w:p>
    <w:p w14:paraId="66B66FFC">
      <w:pPr>
        <w:jc w:val="left"/>
        <w:rPr>
          <w:rFonts w:ascii="Arial" w:hAnsi="Arial"/>
          <w:b/>
          <w:bCs/>
          <w:kern w:val="0"/>
          <w:sz w:val="44"/>
          <w:szCs w:val="44"/>
        </w:rPr>
      </w:pPr>
      <w:bookmarkStart w:id="892" w:name="_Toc6241394"/>
      <w:bookmarkStart w:id="893" w:name="_Toc526793409"/>
      <w:bookmarkStart w:id="894" w:name="_Toc31146"/>
      <w:r>
        <w:rPr>
          <w:rFonts w:ascii="Arial" w:hAnsi="Arial"/>
          <w:b/>
          <w:bCs/>
          <w:kern w:val="0"/>
          <w:sz w:val="44"/>
          <w:szCs w:val="44"/>
        </w:rPr>
        <w:br w:type="page"/>
      </w:r>
    </w:p>
    <w:p w14:paraId="583A7096">
      <w:pPr>
        <w:spacing w:after="360" w:afterLines="150"/>
        <w:jc w:val="center"/>
        <w:outlineLvl w:val="1"/>
        <w:rPr>
          <w:rFonts w:ascii="Arial" w:hAnsi="Arial"/>
          <w:b/>
          <w:bCs/>
          <w:kern w:val="0"/>
          <w:sz w:val="44"/>
          <w:szCs w:val="44"/>
        </w:rPr>
      </w:pPr>
      <w:r>
        <w:rPr>
          <w:rFonts w:hint="eastAsia" w:ascii="Arial" w:hAnsi="Arial"/>
          <w:b/>
          <w:bCs/>
          <w:kern w:val="0"/>
          <w:sz w:val="44"/>
          <w:szCs w:val="44"/>
        </w:rPr>
        <w:t>第四部分</w:t>
      </w:r>
      <w:r>
        <w:rPr>
          <w:rFonts w:ascii="Arial" w:hAnsi="Arial"/>
          <w:b/>
          <w:bCs/>
          <w:kern w:val="0"/>
          <w:sz w:val="44"/>
          <w:szCs w:val="44"/>
        </w:rPr>
        <w:t xml:space="preserve"> </w:t>
      </w:r>
      <w:r>
        <w:rPr>
          <w:rFonts w:hint="eastAsia" w:ascii="Arial" w:hAnsi="Arial"/>
          <w:b/>
          <w:bCs/>
          <w:kern w:val="0"/>
          <w:sz w:val="44"/>
          <w:szCs w:val="44"/>
        </w:rPr>
        <w:t>合同附件</w:t>
      </w:r>
      <w:bookmarkEnd w:id="886"/>
      <w:bookmarkEnd w:id="887"/>
      <w:bookmarkEnd w:id="888"/>
      <w:bookmarkEnd w:id="892"/>
      <w:bookmarkEnd w:id="893"/>
      <w:bookmarkEnd w:id="894"/>
    </w:p>
    <w:p w14:paraId="2C7C1082">
      <w:pPr>
        <w:snapToGrid w:val="0"/>
        <w:ind w:firstLine="480" w:firstLineChars="200"/>
        <w:rPr>
          <w:rFonts w:ascii="宋体" w:hAnsi="宋体" w:cs="Arial"/>
        </w:rPr>
      </w:pPr>
      <w:r>
        <w:rPr>
          <w:rFonts w:hint="eastAsia" w:ascii="宋体" w:hAnsi="宋体" w:cs="Arial"/>
        </w:rPr>
        <w:t>以下合同附件是本合同的组成部分：</w:t>
      </w:r>
    </w:p>
    <w:p w14:paraId="1BD52260">
      <w:pPr>
        <w:snapToGrid w:val="0"/>
        <w:ind w:firstLine="480" w:firstLineChars="200"/>
        <w:rPr>
          <w:rFonts w:ascii="宋体" w:hAnsi="宋体" w:cs="Arial"/>
        </w:rPr>
      </w:pPr>
      <w:r>
        <w:rPr>
          <w:rFonts w:hint="eastAsia" w:ascii="宋体" w:hAnsi="宋体" w:cs="Arial"/>
        </w:rPr>
        <w:t>附件</w:t>
      </w:r>
      <w:r>
        <w:rPr>
          <w:rFonts w:ascii="宋体" w:hAnsi="宋体" w:cs="Arial"/>
        </w:rPr>
        <w:t>1：报价说明</w:t>
      </w:r>
    </w:p>
    <w:p w14:paraId="79A2B101">
      <w:pPr>
        <w:snapToGrid w:val="0"/>
        <w:ind w:firstLine="480" w:firstLineChars="200"/>
        <w:rPr>
          <w:rFonts w:ascii="宋体" w:hAnsi="宋体" w:cs="Arial"/>
        </w:rPr>
      </w:pPr>
      <w:r>
        <w:rPr>
          <w:rFonts w:hint="eastAsia" w:ascii="宋体" w:hAnsi="宋体" w:cs="Arial"/>
        </w:rPr>
        <w:t>附件</w:t>
      </w:r>
      <w:r>
        <w:rPr>
          <w:rFonts w:ascii="宋体" w:hAnsi="宋体" w:cs="Arial"/>
        </w:rPr>
        <w:t>2：监理工作内容</w:t>
      </w:r>
    </w:p>
    <w:p w14:paraId="5FBAD995">
      <w:pPr>
        <w:snapToGrid w:val="0"/>
        <w:ind w:firstLine="480" w:firstLineChars="200"/>
        <w:rPr>
          <w:rFonts w:ascii="宋体" w:hAnsi="宋体" w:cs="Arial"/>
        </w:rPr>
      </w:pPr>
      <w:r>
        <w:rPr>
          <w:rFonts w:hint="eastAsia" w:ascii="宋体" w:hAnsi="宋体" w:cs="Arial"/>
        </w:rPr>
        <w:t>附件</w:t>
      </w:r>
      <w:r>
        <w:rPr>
          <w:rFonts w:ascii="宋体" w:hAnsi="宋体" w:cs="Arial"/>
        </w:rPr>
        <w:t>3：项目经理部人员配置表</w:t>
      </w:r>
    </w:p>
    <w:p w14:paraId="53BE2C69">
      <w:pPr>
        <w:snapToGrid w:val="0"/>
        <w:ind w:firstLine="480" w:firstLineChars="200"/>
        <w:rPr>
          <w:rFonts w:ascii="宋体" w:hAnsi="宋体" w:cs="Arial"/>
        </w:rPr>
      </w:pPr>
      <w:r>
        <w:rPr>
          <w:rFonts w:hint="eastAsia" w:ascii="宋体" w:hAnsi="宋体" w:cs="Arial"/>
        </w:rPr>
        <w:t>附件</w:t>
      </w:r>
      <w:r>
        <w:rPr>
          <w:rFonts w:ascii="宋体" w:hAnsi="宋体" w:cs="Arial"/>
        </w:rPr>
        <w:t>4：发包人提供的材料和设备一览表</w:t>
      </w:r>
    </w:p>
    <w:p w14:paraId="1530C535">
      <w:pPr>
        <w:snapToGrid w:val="0"/>
        <w:ind w:firstLine="480" w:firstLineChars="200"/>
        <w:rPr>
          <w:rFonts w:ascii="宋体" w:hAnsi="宋体" w:cs="Arial"/>
        </w:rPr>
      </w:pPr>
      <w:r>
        <w:rPr>
          <w:rFonts w:hint="eastAsia" w:ascii="宋体" w:hAnsi="宋体" w:cs="Arial"/>
        </w:rPr>
        <w:t>附件</w:t>
      </w:r>
      <w:r>
        <w:rPr>
          <w:rFonts w:ascii="宋体" w:hAnsi="宋体" w:cs="Arial"/>
        </w:rPr>
        <w:t>5：承包人提供的材料和设备一览表</w:t>
      </w:r>
    </w:p>
    <w:p w14:paraId="202A5A13">
      <w:pPr>
        <w:snapToGrid w:val="0"/>
        <w:ind w:firstLine="480" w:firstLineChars="200"/>
        <w:rPr>
          <w:rFonts w:ascii="宋体" w:hAnsi="宋体" w:cs="Arial"/>
        </w:rPr>
      </w:pPr>
      <w:r>
        <w:rPr>
          <w:rFonts w:hint="eastAsia" w:ascii="宋体" w:hAnsi="宋体" w:cs="Arial"/>
        </w:rPr>
        <w:t>附件</w:t>
      </w:r>
      <w:r>
        <w:rPr>
          <w:rFonts w:ascii="宋体" w:hAnsi="宋体" w:cs="Arial"/>
        </w:rPr>
        <w:t>6：工程质量保修书</w:t>
      </w:r>
    </w:p>
    <w:p w14:paraId="1D119C83">
      <w:pPr>
        <w:snapToGrid w:val="0"/>
        <w:ind w:firstLine="480" w:firstLineChars="200"/>
        <w:rPr>
          <w:rFonts w:ascii="宋体" w:hAnsi="宋体" w:cs="Arial"/>
        </w:rPr>
      </w:pPr>
      <w:r>
        <w:rPr>
          <w:rFonts w:hint="eastAsia" w:ascii="宋体" w:hAnsi="宋体" w:cs="Arial"/>
        </w:rPr>
        <w:t>附件</w:t>
      </w:r>
      <w:r>
        <w:rPr>
          <w:rFonts w:ascii="宋体" w:hAnsi="宋体" w:cs="Arial"/>
        </w:rPr>
        <w:t>7：廉洁从业责任书</w:t>
      </w:r>
    </w:p>
    <w:p w14:paraId="7328D140">
      <w:pPr>
        <w:snapToGrid w:val="0"/>
        <w:ind w:firstLine="480" w:firstLineChars="200"/>
        <w:rPr>
          <w:rFonts w:ascii="宋体" w:hAnsi="宋体" w:cs="Arial"/>
        </w:rPr>
      </w:pPr>
      <w:r>
        <w:rPr>
          <w:rFonts w:hint="eastAsia" w:ascii="宋体" w:hAnsi="宋体" w:cs="Arial"/>
        </w:rPr>
        <w:t>附件</w:t>
      </w:r>
      <w:r>
        <w:rPr>
          <w:rFonts w:ascii="宋体" w:hAnsi="宋体" w:cs="Arial"/>
        </w:rPr>
        <w:t>8：保密协议</w:t>
      </w:r>
    </w:p>
    <w:p w14:paraId="1EF963E8">
      <w:pPr>
        <w:snapToGrid w:val="0"/>
        <w:ind w:firstLine="480" w:firstLineChars="200"/>
        <w:rPr>
          <w:rFonts w:ascii="宋体" w:hAnsi="宋体" w:cs="Arial"/>
        </w:rPr>
      </w:pPr>
      <w:r>
        <w:rPr>
          <w:rFonts w:hint="eastAsia" w:ascii="宋体" w:hAnsi="宋体" w:cs="Arial"/>
        </w:rPr>
        <w:t>附件</w:t>
      </w:r>
      <w:r>
        <w:rPr>
          <w:rFonts w:ascii="宋体" w:hAnsi="宋体" w:cs="Arial"/>
        </w:rPr>
        <w:t>9：HSE管理协议</w:t>
      </w:r>
    </w:p>
    <w:p w14:paraId="316F2078">
      <w:pPr>
        <w:snapToGrid w:val="0"/>
        <w:ind w:firstLine="480" w:firstLineChars="200"/>
        <w:rPr>
          <w:rFonts w:ascii="宋体" w:hAnsi="宋体" w:cs="Arial"/>
        </w:rPr>
      </w:pPr>
      <w:r>
        <w:rPr>
          <w:rFonts w:hint="eastAsia" w:ascii="宋体" w:hAnsi="宋体" w:cs="Arial"/>
        </w:rPr>
        <w:t>附件</w:t>
      </w:r>
      <w:r>
        <w:rPr>
          <w:rFonts w:ascii="宋体" w:hAnsi="宋体" w:cs="Arial"/>
        </w:rPr>
        <w:t>10：履约保函</w:t>
      </w:r>
    </w:p>
    <w:p w14:paraId="585D722E">
      <w:pPr>
        <w:snapToGrid w:val="0"/>
        <w:ind w:firstLine="480" w:firstLineChars="200"/>
        <w:rPr>
          <w:rFonts w:ascii="宋体" w:hAnsi="宋体" w:cs="Arial"/>
        </w:rPr>
      </w:pPr>
      <w:r>
        <w:rPr>
          <w:rFonts w:hint="eastAsia" w:ascii="宋体" w:hAnsi="宋体" w:cs="Arial"/>
        </w:rPr>
        <w:t>附件</w:t>
      </w:r>
      <w:r>
        <w:rPr>
          <w:rFonts w:ascii="宋体" w:hAnsi="宋体" w:cs="Arial"/>
        </w:rPr>
        <w:t>11-1：承包人法定代表人身份证明书</w:t>
      </w:r>
    </w:p>
    <w:p w14:paraId="16886049">
      <w:pPr>
        <w:snapToGrid w:val="0"/>
        <w:ind w:firstLine="480" w:firstLineChars="200"/>
        <w:rPr>
          <w:rFonts w:ascii="宋体" w:hAnsi="宋体" w:cs="Arial"/>
        </w:rPr>
      </w:pPr>
      <w:r>
        <w:rPr>
          <w:rFonts w:hint="eastAsia" w:ascii="宋体" w:hAnsi="宋体" w:cs="Arial"/>
        </w:rPr>
        <w:t>附件</w:t>
      </w:r>
      <w:r>
        <w:rPr>
          <w:rFonts w:ascii="宋体" w:hAnsi="宋体" w:cs="Arial"/>
        </w:rPr>
        <w:t>11-2：承包人法定代表人授权委托书</w:t>
      </w:r>
    </w:p>
    <w:p w14:paraId="5DC5E50E">
      <w:pPr>
        <w:ind w:firstLine="480" w:firstLineChars="200"/>
        <w:jc w:val="left"/>
        <w:rPr>
          <w:rFonts w:ascii="宋体" w:hAnsi="宋体" w:cs="Arial"/>
        </w:rPr>
      </w:pPr>
      <w:r>
        <w:rPr>
          <w:rFonts w:hint="eastAsia" w:ascii="Calibri" w:hAnsi="Calibri"/>
          <w:szCs w:val="22"/>
        </w:rPr>
        <w:t>附件</w:t>
      </w:r>
      <w:r>
        <w:rPr>
          <w:rFonts w:ascii="宋体" w:hAnsi="宋体"/>
        </w:rPr>
        <w:t>12</w:t>
      </w:r>
      <w:r>
        <w:rPr>
          <w:rFonts w:hint="eastAsia" w:ascii="Calibri" w:hAnsi="Calibri"/>
          <w:szCs w:val="22"/>
        </w:rPr>
        <w:t>：</w:t>
      </w:r>
      <w:r>
        <w:rPr>
          <w:rFonts w:hint="eastAsia" w:ascii="宋体" w:hAnsi="宋体" w:cs="Arial"/>
        </w:rPr>
        <w:t>《承包商安全监督管理要求》</w:t>
      </w:r>
    </w:p>
    <w:p w14:paraId="702ABCDC">
      <w:pPr>
        <w:snapToGrid w:val="0"/>
        <w:ind w:firstLine="480"/>
        <w:rPr>
          <w:rFonts w:ascii="宋体" w:hAnsi="宋体" w:cs="Arial"/>
        </w:rPr>
      </w:pPr>
      <w:r>
        <w:rPr>
          <w:rFonts w:hint="eastAsia" w:ascii="宋体" w:hAnsi="宋体" w:cs="Arial"/>
        </w:rPr>
        <w:t>附件13</w:t>
      </w:r>
      <w:r>
        <w:rPr>
          <w:rFonts w:ascii="宋体" w:hAnsi="宋体" w:cs="Arial"/>
        </w:rPr>
        <w:t>：</w:t>
      </w:r>
      <w:r>
        <w:rPr>
          <w:rFonts w:hint="eastAsia" w:ascii="宋体" w:hAnsi="宋体" w:cs="Arial"/>
        </w:rPr>
        <w:t>不进行保理业务承诺函</w:t>
      </w:r>
    </w:p>
    <w:p w14:paraId="5A2D794C">
      <w:pPr>
        <w:snapToGrid w:val="0"/>
        <w:ind w:firstLine="480"/>
        <w:rPr>
          <w:rFonts w:ascii="宋体" w:hAnsi="宋体" w:cs="Arial"/>
        </w:rPr>
      </w:pPr>
      <w:r>
        <w:rPr>
          <w:rFonts w:hint="eastAsia" w:ascii="宋体" w:hAnsi="宋体" w:cs="Arial"/>
        </w:rPr>
        <w:t>附件14：安全施工承诺函</w:t>
      </w:r>
    </w:p>
    <w:p w14:paraId="0B77B1E2">
      <w:pPr>
        <w:outlineLvl w:val="1"/>
        <w:rPr>
          <w:rFonts w:ascii="宋体" w:hAnsi="宋体" w:cs="Arial"/>
          <w:bCs/>
          <w:kern w:val="0"/>
          <w:szCs w:val="32"/>
        </w:rPr>
      </w:pPr>
      <w:r>
        <w:rPr>
          <w:rFonts w:ascii="宋体" w:hAnsi="宋体"/>
          <w:b/>
          <w:bCs/>
          <w:kern w:val="0"/>
          <w:szCs w:val="32"/>
        </w:rPr>
        <w:br w:type="page"/>
      </w:r>
      <w:bookmarkStart w:id="895" w:name="_Toc9144"/>
      <w:bookmarkStart w:id="896" w:name="_Toc439160056"/>
      <w:bookmarkStart w:id="897" w:name="_Toc410986397"/>
      <w:r>
        <w:rPr>
          <w:rFonts w:hint="eastAsia" w:ascii="宋体" w:hAnsi="宋体" w:cs="Arial"/>
          <w:bCs/>
          <w:kern w:val="0"/>
          <w:szCs w:val="32"/>
        </w:rPr>
        <w:t>附件</w:t>
      </w:r>
      <w:r>
        <w:rPr>
          <w:rFonts w:ascii="宋体" w:hAnsi="宋体" w:cs="Arial"/>
          <w:bCs/>
          <w:kern w:val="0"/>
          <w:szCs w:val="32"/>
        </w:rPr>
        <w:t>1：报价说明</w:t>
      </w:r>
      <w:bookmarkEnd w:id="895"/>
    </w:p>
    <w:bookmarkEnd w:id="896"/>
    <w:bookmarkEnd w:id="897"/>
    <w:p w14:paraId="1EC1359B">
      <w:pPr>
        <w:outlineLvl w:val="1"/>
        <w:rPr>
          <w:rFonts w:ascii="宋体" w:hAnsi="宋体" w:cs="Arial"/>
          <w:bCs/>
          <w:kern w:val="0"/>
          <w:szCs w:val="32"/>
        </w:rPr>
      </w:pPr>
      <w:bookmarkStart w:id="898" w:name="_Toc410986398"/>
      <w:bookmarkStart w:id="899" w:name="_Toc439160057"/>
    </w:p>
    <w:p w14:paraId="08F8BDD1">
      <w:pPr>
        <w:outlineLvl w:val="1"/>
        <w:rPr>
          <w:rFonts w:ascii="宋体" w:hAnsi="宋体" w:cs="Arial"/>
          <w:bCs/>
          <w:kern w:val="0"/>
          <w:szCs w:val="32"/>
        </w:rPr>
      </w:pPr>
    </w:p>
    <w:p w14:paraId="6746AD4F">
      <w:pPr>
        <w:outlineLvl w:val="1"/>
        <w:rPr>
          <w:rFonts w:ascii="宋体" w:hAnsi="宋体" w:cs="Arial"/>
          <w:bCs/>
          <w:kern w:val="0"/>
          <w:szCs w:val="32"/>
        </w:rPr>
      </w:pPr>
      <w:bookmarkStart w:id="900" w:name="_Toc21520"/>
      <w:r>
        <w:rPr>
          <w:rFonts w:hint="eastAsia" w:ascii="宋体" w:hAnsi="宋体" w:cs="Arial"/>
          <w:bCs/>
          <w:kern w:val="0"/>
          <w:szCs w:val="32"/>
        </w:rPr>
        <w:t>附件</w:t>
      </w:r>
      <w:r>
        <w:rPr>
          <w:rFonts w:ascii="宋体" w:hAnsi="宋体" w:cs="Arial"/>
          <w:bCs/>
          <w:kern w:val="0"/>
          <w:szCs w:val="32"/>
        </w:rPr>
        <w:t>2：</w:t>
      </w:r>
      <w:bookmarkEnd w:id="898"/>
      <w:r>
        <w:rPr>
          <w:rFonts w:hint="eastAsia" w:ascii="宋体" w:hAnsi="宋体" w:cs="Arial"/>
          <w:bCs/>
          <w:kern w:val="0"/>
          <w:szCs w:val="32"/>
        </w:rPr>
        <w:t>监理工作内容</w:t>
      </w:r>
      <w:bookmarkEnd w:id="899"/>
      <w:bookmarkEnd w:id="900"/>
    </w:p>
    <w:p w14:paraId="0F0D28FD">
      <w:pPr>
        <w:snapToGrid w:val="0"/>
        <w:jc w:val="center"/>
        <w:rPr>
          <w:b/>
          <w:sz w:val="30"/>
          <w:szCs w:val="30"/>
        </w:rPr>
      </w:pPr>
      <w:r>
        <w:rPr>
          <w:rFonts w:hint="eastAsia"/>
          <w:b/>
          <w:sz w:val="30"/>
          <w:szCs w:val="30"/>
        </w:rPr>
        <w:t>监理工作内容</w:t>
      </w:r>
    </w:p>
    <w:p w14:paraId="1336D85E">
      <w:pPr>
        <w:snapToGrid w:val="0"/>
        <w:spacing w:after="120" w:afterLines="50"/>
        <w:jc w:val="center"/>
        <w:rPr>
          <w:rFonts w:ascii="宋体" w:hAnsi="宋体"/>
        </w:rPr>
      </w:pPr>
      <w:r>
        <w:rPr>
          <w:rFonts w:hint="eastAsia" w:ascii="宋体" w:hAnsi="宋体"/>
        </w:rPr>
        <w:t>（供参考，以工程监理合同约定的监理工作内容为准）</w:t>
      </w:r>
    </w:p>
    <w:p w14:paraId="5B5FD7D9">
      <w:pPr>
        <w:snapToGrid w:val="0"/>
        <w:ind w:firstLine="480" w:firstLineChars="200"/>
        <w:rPr>
          <w:rFonts w:ascii="宋体" w:hAnsi="宋体"/>
        </w:rPr>
      </w:pPr>
      <w:r>
        <w:rPr>
          <w:rFonts w:hint="eastAsia" w:ascii="宋体" w:hAnsi="宋体"/>
        </w:rPr>
        <w:t>一、收到工程设计文件后编制监理规划，并在第一次工地会议</w:t>
      </w:r>
      <w:r>
        <w:rPr>
          <w:rFonts w:ascii="宋体" w:hAnsi="宋体"/>
        </w:rPr>
        <w:t>7天前报委托人。根据有关规定和监理工作需要，编制监理实施细则；</w:t>
      </w:r>
    </w:p>
    <w:p w14:paraId="3A356C9B">
      <w:pPr>
        <w:snapToGrid w:val="0"/>
        <w:ind w:firstLine="480" w:firstLineChars="200"/>
        <w:rPr>
          <w:rFonts w:ascii="宋体" w:hAnsi="宋体"/>
        </w:rPr>
      </w:pPr>
      <w:r>
        <w:rPr>
          <w:rFonts w:hint="eastAsia" w:ascii="宋体" w:hAnsi="宋体"/>
        </w:rPr>
        <w:t>二、熟悉工程设计文件，并参加由委托人主持的图纸会审和设计交底会议；</w:t>
      </w:r>
    </w:p>
    <w:p w14:paraId="37EDDF34">
      <w:pPr>
        <w:snapToGrid w:val="0"/>
        <w:ind w:firstLine="480" w:firstLineChars="200"/>
        <w:rPr>
          <w:rFonts w:ascii="宋体" w:hAnsi="宋体"/>
        </w:rPr>
      </w:pPr>
      <w:r>
        <w:rPr>
          <w:rFonts w:hint="eastAsia" w:ascii="宋体" w:hAnsi="宋体"/>
        </w:rPr>
        <w:t>三、参加由委托人主持的第一次工地会议；主持监理例会并根据工程需要主持或参加专题会议；</w:t>
      </w:r>
    </w:p>
    <w:p w14:paraId="493D7D96">
      <w:pPr>
        <w:snapToGrid w:val="0"/>
        <w:ind w:firstLine="480" w:firstLineChars="200"/>
        <w:rPr>
          <w:rFonts w:ascii="宋体" w:hAnsi="宋体"/>
        </w:rPr>
      </w:pPr>
      <w:r>
        <w:rPr>
          <w:rFonts w:hint="eastAsia" w:ascii="宋体" w:hAnsi="宋体"/>
        </w:rPr>
        <w:t>四、审查施工承包人提交的施工组织设计，重点审查其中的质量安全技术措施、专项施工方案与工程建设强制性标准的符合性；</w:t>
      </w:r>
    </w:p>
    <w:p w14:paraId="0B588030">
      <w:pPr>
        <w:snapToGrid w:val="0"/>
        <w:ind w:firstLine="480" w:firstLineChars="200"/>
        <w:rPr>
          <w:rFonts w:ascii="宋体" w:hAnsi="宋体"/>
        </w:rPr>
      </w:pPr>
      <w:r>
        <w:rPr>
          <w:rFonts w:hint="eastAsia" w:ascii="宋体" w:hAnsi="宋体"/>
        </w:rPr>
        <w:t>五、检查施工承包人工程质量、安全生产管理制度及组织机构和人员资格；</w:t>
      </w:r>
      <w:r>
        <w:rPr>
          <w:rFonts w:ascii="宋体" w:hAnsi="宋体"/>
        </w:rPr>
        <w:t xml:space="preserve"> </w:t>
      </w:r>
    </w:p>
    <w:p w14:paraId="7CECE9AB">
      <w:pPr>
        <w:snapToGrid w:val="0"/>
        <w:ind w:firstLine="480" w:firstLineChars="200"/>
        <w:rPr>
          <w:rFonts w:ascii="宋体" w:hAnsi="宋体"/>
        </w:rPr>
      </w:pPr>
      <w:r>
        <w:rPr>
          <w:rFonts w:hint="eastAsia" w:ascii="宋体" w:hAnsi="宋体"/>
        </w:rPr>
        <w:t>六、检查施工承包人专职安全生产管理人员的配备情况；</w:t>
      </w:r>
    </w:p>
    <w:p w14:paraId="7C1F7B88">
      <w:pPr>
        <w:snapToGrid w:val="0"/>
        <w:ind w:firstLine="480" w:firstLineChars="200"/>
        <w:rPr>
          <w:rFonts w:ascii="宋体" w:hAnsi="宋体"/>
        </w:rPr>
      </w:pPr>
      <w:r>
        <w:rPr>
          <w:rFonts w:hint="eastAsia" w:ascii="宋体" w:hAnsi="宋体"/>
        </w:rPr>
        <w:t>七、审查施工承包人提交的施工进度计划，核查承包人对施工进度计划的调整；</w:t>
      </w:r>
    </w:p>
    <w:p w14:paraId="2C2950FF">
      <w:pPr>
        <w:snapToGrid w:val="0"/>
        <w:ind w:firstLine="480" w:firstLineChars="200"/>
        <w:rPr>
          <w:rFonts w:ascii="宋体" w:hAnsi="宋体"/>
        </w:rPr>
      </w:pPr>
      <w:r>
        <w:rPr>
          <w:rFonts w:hint="eastAsia" w:ascii="宋体" w:hAnsi="宋体"/>
        </w:rPr>
        <w:t>八、检查施工承包人的试验室；</w:t>
      </w:r>
    </w:p>
    <w:p w14:paraId="02FCE4A9">
      <w:pPr>
        <w:snapToGrid w:val="0"/>
        <w:ind w:firstLine="480" w:firstLineChars="200"/>
        <w:rPr>
          <w:rFonts w:ascii="宋体" w:hAnsi="宋体"/>
        </w:rPr>
      </w:pPr>
      <w:r>
        <w:rPr>
          <w:rFonts w:hint="eastAsia" w:ascii="宋体" w:hAnsi="宋体"/>
        </w:rPr>
        <w:t>九、审核施工分包人资质条件；</w:t>
      </w:r>
    </w:p>
    <w:p w14:paraId="7C1F02A0">
      <w:pPr>
        <w:snapToGrid w:val="0"/>
        <w:ind w:firstLine="480" w:firstLineChars="200"/>
        <w:rPr>
          <w:rFonts w:ascii="宋体" w:hAnsi="宋体"/>
        </w:rPr>
      </w:pPr>
      <w:r>
        <w:rPr>
          <w:rFonts w:hint="eastAsia" w:ascii="宋体" w:hAnsi="宋体"/>
        </w:rPr>
        <w:t>十、查验施工承包人的施工测量放线成果；</w:t>
      </w:r>
    </w:p>
    <w:p w14:paraId="280BF5C3">
      <w:pPr>
        <w:snapToGrid w:val="0"/>
        <w:ind w:firstLine="480" w:firstLineChars="200"/>
        <w:rPr>
          <w:rFonts w:ascii="宋体" w:hAnsi="宋体"/>
        </w:rPr>
      </w:pPr>
      <w:r>
        <w:rPr>
          <w:rFonts w:hint="eastAsia" w:ascii="宋体" w:hAnsi="宋体"/>
        </w:rPr>
        <w:t>十一、审查工程开工条件，对条件具备的签发开工令；</w:t>
      </w:r>
    </w:p>
    <w:p w14:paraId="1835F3A8">
      <w:pPr>
        <w:snapToGrid w:val="0"/>
        <w:ind w:firstLine="480" w:firstLineChars="200"/>
        <w:rPr>
          <w:rFonts w:ascii="宋体" w:hAnsi="宋体"/>
        </w:rPr>
      </w:pPr>
      <w:r>
        <w:rPr>
          <w:rFonts w:hint="eastAsia" w:ascii="宋体" w:hAnsi="宋体"/>
        </w:rPr>
        <w:t>十二、审查施工承包人报送的工程材料、构配件、设备质量证明文件的有效性和符合性，并按规定对用于工程的材料采取平行检验或见证取样方式进行抽检；</w:t>
      </w:r>
    </w:p>
    <w:p w14:paraId="79FA0BA1">
      <w:pPr>
        <w:snapToGrid w:val="0"/>
        <w:ind w:firstLine="480" w:firstLineChars="200"/>
        <w:rPr>
          <w:rFonts w:ascii="宋体" w:hAnsi="宋体"/>
        </w:rPr>
      </w:pPr>
      <w:r>
        <w:rPr>
          <w:rFonts w:hint="eastAsia" w:ascii="宋体" w:hAnsi="宋体"/>
        </w:rPr>
        <w:t>十三、审核施工承包人提交的工程款支付申请，签发或出具工程款支付证书，并报委托人审核、批准；</w:t>
      </w:r>
    </w:p>
    <w:p w14:paraId="7452993C">
      <w:pPr>
        <w:snapToGrid w:val="0"/>
        <w:ind w:firstLine="480" w:firstLineChars="200"/>
        <w:rPr>
          <w:rFonts w:ascii="宋体" w:hAnsi="宋体"/>
        </w:rPr>
      </w:pPr>
      <w:r>
        <w:rPr>
          <w:rFonts w:hint="eastAsia" w:ascii="宋体" w:hAnsi="宋体"/>
        </w:rPr>
        <w:t>十四、在巡视、旁站和检验过程中，发现工程质量、施工安全存在事故隐患的，要求施工承包人整改并报委托人；</w:t>
      </w:r>
    </w:p>
    <w:p w14:paraId="28161C4D">
      <w:pPr>
        <w:snapToGrid w:val="0"/>
        <w:ind w:firstLine="480" w:firstLineChars="200"/>
        <w:rPr>
          <w:rFonts w:ascii="宋体" w:hAnsi="宋体"/>
        </w:rPr>
      </w:pPr>
      <w:r>
        <w:rPr>
          <w:rFonts w:hint="eastAsia" w:ascii="宋体" w:hAnsi="宋体"/>
        </w:rPr>
        <w:t>十五、经委托人同意，签发工程暂停令和复工令；</w:t>
      </w:r>
    </w:p>
    <w:p w14:paraId="5EE98134">
      <w:pPr>
        <w:snapToGrid w:val="0"/>
        <w:ind w:firstLine="480" w:firstLineChars="200"/>
        <w:rPr>
          <w:rFonts w:ascii="宋体" w:hAnsi="宋体"/>
        </w:rPr>
      </w:pPr>
      <w:r>
        <w:rPr>
          <w:rFonts w:hint="eastAsia" w:ascii="宋体" w:hAnsi="宋体"/>
        </w:rPr>
        <w:t>十六、审查施工承包人提交的采用新材料、新工艺、新技术、新设备的论证材料及相关验收标准；</w:t>
      </w:r>
    </w:p>
    <w:p w14:paraId="1C0E6ADA">
      <w:pPr>
        <w:snapToGrid w:val="0"/>
        <w:ind w:firstLine="480" w:firstLineChars="200"/>
        <w:rPr>
          <w:rFonts w:ascii="宋体" w:hAnsi="宋体"/>
        </w:rPr>
      </w:pPr>
      <w:r>
        <w:rPr>
          <w:rFonts w:hint="eastAsia" w:ascii="宋体" w:hAnsi="宋体"/>
        </w:rPr>
        <w:t>十七、验收隐蔽工程、分部分项工程；</w:t>
      </w:r>
    </w:p>
    <w:p w14:paraId="26323E4F">
      <w:pPr>
        <w:snapToGrid w:val="0"/>
        <w:ind w:firstLine="480" w:firstLineChars="200"/>
        <w:rPr>
          <w:rFonts w:ascii="宋体" w:hAnsi="宋体"/>
        </w:rPr>
      </w:pPr>
      <w:r>
        <w:rPr>
          <w:rFonts w:hint="eastAsia" w:ascii="宋体" w:hAnsi="宋体"/>
        </w:rPr>
        <w:t>十八、审查施工承包人提交的工程变更申请，协调处理施工进度调整、费用索赔、合同争议等事项；</w:t>
      </w:r>
    </w:p>
    <w:p w14:paraId="1F5AE818">
      <w:pPr>
        <w:snapToGrid w:val="0"/>
        <w:ind w:firstLine="480" w:firstLineChars="200"/>
        <w:rPr>
          <w:rFonts w:ascii="宋体" w:hAnsi="宋体"/>
        </w:rPr>
      </w:pPr>
      <w:r>
        <w:rPr>
          <w:rFonts w:hint="eastAsia" w:ascii="宋体" w:hAnsi="宋体"/>
        </w:rPr>
        <w:t>十九、审查施工承包人提交的交工验收申请，编写工程质量评估报告；</w:t>
      </w:r>
    </w:p>
    <w:p w14:paraId="37F95CFF">
      <w:pPr>
        <w:snapToGrid w:val="0"/>
        <w:ind w:firstLine="480" w:firstLineChars="200"/>
        <w:rPr>
          <w:rFonts w:ascii="宋体" w:hAnsi="宋体"/>
        </w:rPr>
      </w:pPr>
      <w:r>
        <w:rPr>
          <w:rFonts w:hint="eastAsia" w:ascii="宋体" w:hAnsi="宋体"/>
        </w:rPr>
        <w:t>二十、参加工程交工验收，签署竣工验收意见；</w:t>
      </w:r>
    </w:p>
    <w:p w14:paraId="2D369996">
      <w:pPr>
        <w:snapToGrid w:val="0"/>
        <w:ind w:firstLine="480" w:firstLineChars="200"/>
        <w:rPr>
          <w:rFonts w:ascii="宋体" w:hAnsi="宋体"/>
        </w:rPr>
      </w:pPr>
      <w:r>
        <w:rPr>
          <w:rFonts w:hint="eastAsia" w:ascii="宋体" w:hAnsi="宋体"/>
        </w:rPr>
        <w:t>二十一、检查、监督施工承包人及时、准确、完整地收集和整理工程资料；</w:t>
      </w:r>
    </w:p>
    <w:p w14:paraId="4A423816">
      <w:pPr>
        <w:snapToGrid w:val="0"/>
        <w:ind w:firstLine="480" w:firstLineChars="200"/>
        <w:rPr>
          <w:rFonts w:ascii="宋体" w:hAnsi="宋体"/>
        </w:rPr>
      </w:pPr>
      <w:r>
        <w:rPr>
          <w:rFonts w:hint="eastAsia" w:ascii="宋体" w:hAnsi="宋体"/>
        </w:rPr>
        <w:t>二十二、审查施工承包人提交的工程结算申请并报委托人；</w:t>
      </w:r>
    </w:p>
    <w:p w14:paraId="538527EB">
      <w:pPr>
        <w:snapToGrid w:val="0"/>
        <w:ind w:firstLine="480" w:firstLineChars="200"/>
        <w:rPr>
          <w:rFonts w:ascii="宋体" w:hAnsi="宋体"/>
        </w:rPr>
      </w:pPr>
      <w:r>
        <w:rPr>
          <w:rFonts w:hint="eastAsia" w:ascii="宋体" w:hAnsi="宋体"/>
        </w:rPr>
        <w:t>二十三、编制、整理工程监理归档文件并报委托人；</w:t>
      </w:r>
    </w:p>
    <w:p w14:paraId="2C2D88EE">
      <w:pPr>
        <w:snapToGrid w:val="0"/>
        <w:ind w:firstLine="480" w:firstLineChars="200"/>
        <w:rPr>
          <w:rFonts w:ascii="宋体" w:hAnsi="宋体" w:cs="Arial"/>
        </w:rPr>
      </w:pPr>
      <w:r>
        <w:rPr>
          <w:rFonts w:hint="eastAsia" w:ascii="宋体" w:hAnsi="宋体"/>
        </w:rPr>
        <w:t>二十四、其他工作内容：</w:t>
      </w:r>
    </w:p>
    <w:p w14:paraId="7947A013">
      <w:pPr>
        <w:ind w:firstLine="480" w:firstLineChars="200"/>
        <w:rPr>
          <w:rFonts w:ascii="Calibri" w:hAnsi="Calibri"/>
          <w:szCs w:val="22"/>
        </w:rPr>
      </w:pPr>
      <w:r>
        <w:rPr>
          <w:rFonts w:ascii="Calibri" w:hAnsi="Calibri"/>
          <w:szCs w:val="22"/>
        </w:rPr>
        <w:t>1.</w:t>
      </w:r>
      <w:r>
        <w:rPr>
          <w:rFonts w:hint="eastAsia" w:ascii="Calibri" w:hAnsi="Calibri"/>
          <w:szCs w:val="22"/>
        </w:rPr>
        <w:t>负责对所承担工程监理工作进行全过程的安全监督，履行监理职责。</w:t>
      </w:r>
    </w:p>
    <w:p w14:paraId="6D97DDF4">
      <w:pPr>
        <w:ind w:firstLine="480" w:firstLineChars="200"/>
        <w:rPr>
          <w:rFonts w:ascii="Calibri" w:hAnsi="Calibri"/>
          <w:szCs w:val="22"/>
        </w:rPr>
      </w:pPr>
      <w:r>
        <w:rPr>
          <w:rFonts w:ascii="Calibri" w:hAnsi="Calibri"/>
          <w:szCs w:val="22"/>
        </w:rPr>
        <w:t>2.</w:t>
      </w:r>
      <w:r>
        <w:rPr>
          <w:rFonts w:hint="eastAsia" w:ascii="Calibri" w:hAnsi="Calibri"/>
          <w:szCs w:val="22"/>
        </w:rPr>
        <w:t>根据建设项目规模、施工阶段及安全管理风险度</w:t>
      </w:r>
      <w:r>
        <w:rPr>
          <w:rFonts w:ascii="Calibri" w:hAnsi="Calibri"/>
          <w:szCs w:val="22"/>
        </w:rPr>
        <w:t>,</w:t>
      </w:r>
      <w:r>
        <w:rPr>
          <w:rFonts w:hint="eastAsia" w:ascii="Calibri" w:hAnsi="Calibri"/>
          <w:szCs w:val="22"/>
        </w:rPr>
        <w:t>配备总监理工程师、总监理工程师安全代表，按比例配足资质、专业背景、管理经验符合要求的专业监理工程师，将安全管理责任落实到人。</w:t>
      </w:r>
    </w:p>
    <w:p w14:paraId="6660E32E">
      <w:pPr>
        <w:ind w:firstLine="480" w:firstLineChars="200"/>
        <w:rPr>
          <w:rFonts w:ascii="Calibri" w:hAnsi="Calibri"/>
          <w:szCs w:val="22"/>
        </w:rPr>
      </w:pPr>
      <w:r>
        <w:rPr>
          <w:rFonts w:ascii="Calibri" w:hAnsi="Calibri"/>
          <w:szCs w:val="22"/>
        </w:rPr>
        <w:t>3</w:t>
      </w:r>
      <w:r>
        <w:rPr>
          <w:rFonts w:hint="eastAsia" w:ascii="Calibri" w:hAnsi="Calibri"/>
          <w:szCs w:val="22"/>
        </w:rPr>
        <w:t>负责编制安全监理计划，明确安全监理的范围、内容、方法和措施等内容，并报委托人批准。</w:t>
      </w:r>
    </w:p>
    <w:p w14:paraId="163E7E38">
      <w:pPr>
        <w:ind w:firstLine="480" w:firstLineChars="200"/>
        <w:rPr>
          <w:rFonts w:ascii="Calibri" w:hAnsi="Calibri"/>
          <w:szCs w:val="22"/>
        </w:rPr>
      </w:pPr>
      <w:r>
        <w:rPr>
          <w:rFonts w:ascii="Calibri" w:hAnsi="Calibri"/>
          <w:szCs w:val="22"/>
        </w:rPr>
        <w:t>4.</w:t>
      </w:r>
      <w:r>
        <w:rPr>
          <w:rFonts w:hint="eastAsia" w:ascii="Calibri" w:hAnsi="Calibri"/>
          <w:szCs w:val="22"/>
        </w:rPr>
        <w:t>组织安全技术措施、专项施工方案的审查，进行重大危险源和环境因素分析，编制项目安全旁站计划并实施。</w:t>
      </w:r>
    </w:p>
    <w:p w14:paraId="6A2602B2">
      <w:pPr>
        <w:ind w:firstLine="480" w:firstLineChars="200"/>
        <w:rPr>
          <w:rFonts w:ascii="Calibri" w:hAnsi="Calibri"/>
          <w:szCs w:val="22"/>
        </w:rPr>
      </w:pPr>
      <w:r>
        <w:rPr>
          <w:rFonts w:ascii="Calibri" w:hAnsi="Calibri"/>
          <w:szCs w:val="22"/>
        </w:rPr>
        <w:t>5.</w:t>
      </w:r>
      <w:r>
        <w:rPr>
          <w:rFonts w:hint="eastAsia" w:ascii="Calibri" w:hAnsi="Calibri"/>
          <w:szCs w:val="22"/>
        </w:rPr>
        <w:t>负责对承包人进场机具设备进行检查、验收。</w:t>
      </w:r>
    </w:p>
    <w:p w14:paraId="1ADA9BD0">
      <w:pPr>
        <w:ind w:firstLine="480" w:firstLineChars="200"/>
        <w:rPr>
          <w:rFonts w:ascii="Calibri" w:hAnsi="Calibri"/>
          <w:szCs w:val="22"/>
        </w:rPr>
      </w:pPr>
      <w:r>
        <w:rPr>
          <w:rFonts w:ascii="Calibri" w:hAnsi="Calibri"/>
          <w:szCs w:val="22"/>
        </w:rPr>
        <w:t>6.</w:t>
      </w:r>
      <w:r>
        <w:rPr>
          <w:rFonts w:hint="eastAsia" w:ascii="Calibri" w:hAnsi="Calibri"/>
          <w:szCs w:val="22"/>
        </w:rPr>
        <w:t>监督检查施工过程中各项安全技术措施、安全管理措施的落实。未实施工程监理的项目，其职责由委托人履行。</w:t>
      </w:r>
    </w:p>
    <w:p w14:paraId="1EDB674C">
      <w:pPr>
        <w:ind w:firstLine="480" w:firstLineChars="200"/>
        <w:rPr>
          <w:rFonts w:ascii="Calibri" w:hAnsi="Calibri"/>
          <w:szCs w:val="22"/>
        </w:rPr>
      </w:pPr>
      <w:r>
        <w:rPr>
          <w:rFonts w:ascii="Calibri" w:hAnsi="Calibri"/>
          <w:szCs w:val="22"/>
        </w:rPr>
        <w:t>7.</w:t>
      </w:r>
      <w:r>
        <w:rPr>
          <w:rFonts w:hint="eastAsia" w:ascii="Calibri" w:hAnsi="Calibri"/>
          <w:szCs w:val="22"/>
        </w:rPr>
        <w:t>负责对参加工程项目的所有承包人人员，在当地公安系统进行身份信息采集、比对，防止非法人员进入现场。</w:t>
      </w:r>
    </w:p>
    <w:p w14:paraId="0E660DFD">
      <w:pPr>
        <w:ind w:firstLine="480" w:firstLineChars="200"/>
        <w:rPr>
          <w:rFonts w:ascii="Calibri" w:hAnsi="Calibri"/>
          <w:szCs w:val="22"/>
        </w:rPr>
      </w:pPr>
      <w:r>
        <w:rPr>
          <w:rFonts w:ascii="Calibri" w:hAnsi="Calibri"/>
          <w:szCs w:val="22"/>
        </w:rPr>
        <w:t>8.</w:t>
      </w:r>
      <w:r>
        <w:rPr>
          <w:rFonts w:hint="eastAsia" w:ascii="Calibri" w:hAnsi="Calibri"/>
          <w:szCs w:val="22"/>
        </w:rPr>
        <w:t>负责对参加工程项目需进入现场的承包人所有人员进行（职业）健康体检合格证明，无从事作业所涉及的工作禁忌症，现场施工人员的年龄不应超过法定退休年龄，从事高空作业及特种作业的人员年龄不宜超过</w:t>
      </w:r>
      <w:r>
        <w:rPr>
          <w:rFonts w:ascii="Calibri" w:hAnsi="Calibri"/>
          <w:szCs w:val="22"/>
        </w:rPr>
        <w:t>50</w:t>
      </w:r>
      <w:r>
        <w:rPr>
          <w:rFonts w:hint="eastAsia" w:ascii="Calibri" w:hAnsi="Calibri"/>
          <w:szCs w:val="22"/>
        </w:rPr>
        <w:t>周岁，女性不宜超过</w:t>
      </w:r>
      <w:r>
        <w:rPr>
          <w:rFonts w:ascii="Calibri" w:hAnsi="Calibri"/>
          <w:szCs w:val="22"/>
        </w:rPr>
        <w:t>45</w:t>
      </w:r>
      <w:r>
        <w:rPr>
          <w:rFonts w:hint="eastAsia" w:ascii="Calibri" w:hAnsi="Calibri"/>
          <w:szCs w:val="22"/>
        </w:rPr>
        <w:t>周岁等方面的审查。</w:t>
      </w:r>
    </w:p>
    <w:p w14:paraId="4465DB8D">
      <w:pPr>
        <w:ind w:firstLine="480" w:firstLineChars="200"/>
        <w:rPr>
          <w:rFonts w:ascii="Calibri" w:hAnsi="Calibri"/>
          <w:szCs w:val="22"/>
        </w:rPr>
      </w:pPr>
      <w:r>
        <w:rPr>
          <w:rFonts w:ascii="Calibri" w:hAnsi="Calibri"/>
          <w:szCs w:val="22"/>
        </w:rPr>
        <w:t>9.</w:t>
      </w:r>
      <w:r>
        <w:rPr>
          <w:rFonts w:hint="eastAsia" w:ascii="Calibri" w:hAnsi="Calibri"/>
          <w:szCs w:val="22"/>
        </w:rPr>
        <w:t>建立安全检查制度，定期或不定期地对施工现场开展安全检查。</w:t>
      </w:r>
    </w:p>
    <w:p w14:paraId="0DC8AD78">
      <w:pPr>
        <w:ind w:firstLine="480" w:firstLineChars="200"/>
        <w:rPr>
          <w:rFonts w:ascii="Calibri" w:hAnsi="Calibri"/>
          <w:szCs w:val="22"/>
        </w:rPr>
      </w:pPr>
      <w:r>
        <w:rPr>
          <w:rFonts w:ascii="Calibri" w:hAnsi="Calibri"/>
          <w:szCs w:val="22"/>
        </w:rPr>
        <w:t>10.</w:t>
      </w:r>
      <w:r>
        <w:rPr>
          <w:rFonts w:hint="eastAsia" w:ascii="Calibri" w:hAnsi="Calibri"/>
          <w:szCs w:val="22"/>
        </w:rPr>
        <w:t>参与委托人组织的相关工作：</w:t>
      </w:r>
    </w:p>
    <w:p w14:paraId="395141FD">
      <w:pPr>
        <w:ind w:firstLine="480" w:firstLineChars="200"/>
        <w:rPr>
          <w:rFonts w:ascii="Calibri" w:hAnsi="Calibri"/>
          <w:szCs w:val="22"/>
        </w:rPr>
      </w:pPr>
      <w:r>
        <w:rPr>
          <w:rFonts w:hint="eastAsia" w:ascii="Calibri" w:hAnsi="Calibri"/>
          <w:szCs w:val="22"/>
        </w:rPr>
        <w:t>（</w:t>
      </w:r>
      <w:r>
        <w:rPr>
          <w:rFonts w:ascii="Calibri" w:hAnsi="Calibri"/>
          <w:szCs w:val="22"/>
        </w:rPr>
        <w:t>1</w:t>
      </w:r>
      <w:r>
        <w:rPr>
          <w:rFonts w:hint="eastAsia" w:ascii="Calibri" w:hAnsi="Calibri"/>
          <w:szCs w:val="22"/>
        </w:rPr>
        <w:t>）对作业现场共同进行检查，对安全作业条件已经确认的，办理开工手续。</w:t>
      </w:r>
    </w:p>
    <w:p w14:paraId="56835839">
      <w:pPr>
        <w:ind w:firstLine="480" w:firstLineChars="200"/>
        <w:rPr>
          <w:rFonts w:ascii="Calibri" w:hAnsi="Calibri"/>
          <w:szCs w:val="22"/>
        </w:rPr>
      </w:pPr>
      <w:r>
        <w:rPr>
          <w:rFonts w:hint="eastAsia" w:ascii="Calibri" w:hAnsi="Calibri"/>
          <w:szCs w:val="22"/>
        </w:rPr>
        <w:t>（</w:t>
      </w:r>
      <w:r>
        <w:rPr>
          <w:rFonts w:ascii="Calibri" w:hAnsi="Calibri"/>
          <w:szCs w:val="22"/>
        </w:rPr>
        <w:t>2</w:t>
      </w:r>
      <w:r>
        <w:rPr>
          <w:rFonts w:hint="eastAsia" w:ascii="Calibri" w:hAnsi="Calibri"/>
          <w:szCs w:val="22"/>
        </w:rPr>
        <w:t>）审查承包人施工组织设计中的安全技术措施、危险性较大的分部分项工程中的专项施工方案（包括安装、拆卸施工起重机械及脚手架等设施）。</w:t>
      </w:r>
    </w:p>
    <w:p w14:paraId="365A4FB9">
      <w:pPr>
        <w:ind w:firstLine="480" w:firstLineChars="200"/>
        <w:rPr>
          <w:rFonts w:ascii="Calibri" w:hAnsi="Calibri"/>
          <w:szCs w:val="22"/>
        </w:rPr>
      </w:pPr>
      <w:r>
        <w:rPr>
          <w:rFonts w:hint="eastAsia" w:ascii="Calibri" w:hAnsi="Calibri"/>
          <w:szCs w:val="22"/>
        </w:rPr>
        <w:t>（</w:t>
      </w:r>
      <w:r>
        <w:rPr>
          <w:rFonts w:ascii="Calibri" w:hAnsi="Calibri"/>
          <w:szCs w:val="22"/>
        </w:rPr>
        <w:t>3</w:t>
      </w:r>
      <w:r>
        <w:rPr>
          <w:rFonts w:hint="eastAsia" w:ascii="Calibri" w:hAnsi="Calibri"/>
          <w:szCs w:val="22"/>
        </w:rPr>
        <w:t>）对重大设计变更、工期调整等重要影响因素进行论证和评估。</w:t>
      </w:r>
    </w:p>
    <w:p w14:paraId="5473BC1B">
      <w:pPr>
        <w:ind w:firstLine="480" w:firstLineChars="200"/>
        <w:rPr>
          <w:rFonts w:ascii="Calibri" w:hAnsi="Calibri"/>
          <w:szCs w:val="22"/>
        </w:rPr>
      </w:pPr>
      <w:r>
        <w:rPr>
          <w:rFonts w:hint="eastAsia" w:ascii="Calibri" w:hAnsi="Calibri"/>
          <w:szCs w:val="22"/>
        </w:rPr>
        <w:t>（</w:t>
      </w:r>
      <w:r>
        <w:rPr>
          <w:rFonts w:ascii="Calibri" w:hAnsi="Calibri"/>
          <w:szCs w:val="22"/>
        </w:rPr>
        <w:t>4</w:t>
      </w:r>
      <w:r>
        <w:rPr>
          <w:rFonts w:hint="eastAsia" w:ascii="Calibri" w:hAnsi="Calibri"/>
          <w:szCs w:val="22"/>
        </w:rPr>
        <w:t>）对承包人特种作业人员和特种设备作业人员、工程需要的其他人员的业务技能进行现场考评。</w:t>
      </w:r>
    </w:p>
    <w:p w14:paraId="30213303">
      <w:pPr>
        <w:ind w:firstLine="480" w:firstLineChars="200"/>
        <w:rPr>
          <w:rFonts w:ascii="Calibri" w:hAnsi="Calibri"/>
          <w:szCs w:val="22"/>
        </w:rPr>
      </w:pPr>
      <w:r>
        <w:rPr>
          <w:rFonts w:hint="eastAsia" w:ascii="Calibri" w:hAnsi="Calibri"/>
          <w:szCs w:val="22"/>
        </w:rPr>
        <w:t>（</w:t>
      </w:r>
      <w:r>
        <w:rPr>
          <w:rFonts w:ascii="Calibri" w:hAnsi="Calibri"/>
          <w:szCs w:val="22"/>
        </w:rPr>
        <w:t>5</w:t>
      </w:r>
      <w:r>
        <w:rPr>
          <w:rFonts w:hint="eastAsia" w:ascii="Calibri" w:hAnsi="Calibri"/>
          <w:szCs w:val="22"/>
        </w:rPr>
        <w:t>）参加联合安全检查。</w:t>
      </w:r>
    </w:p>
    <w:p w14:paraId="2176FC40">
      <w:pPr>
        <w:ind w:firstLine="480" w:firstLineChars="200"/>
        <w:rPr>
          <w:rFonts w:ascii="Calibri" w:hAnsi="Calibri"/>
          <w:szCs w:val="22"/>
          <w:highlight w:val="none"/>
        </w:rPr>
      </w:pPr>
      <w:r>
        <w:rPr>
          <w:rFonts w:ascii="Calibri" w:hAnsi="Calibri"/>
          <w:szCs w:val="22"/>
          <w:highlight w:val="none"/>
        </w:rPr>
        <w:t>11.</w:t>
      </w:r>
      <w:r>
        <w:rPr>
          <w:rFonts w:hint="eastAsia" w:ascii="Calibri" w:hAnsi="Calibri"/>
          <w:szCs w:val="22"/>
          <w:highlight w:val="none"/>
        </w:rPr>
        <w:t>监理人的其他工作见第四部分“合同附件”“《承包商安全监督管理要求》的规定。</w:t>
      </w:r>
    </w:p>
    <w:p w14:paraId="60E3DE32">
      <w:pPr>
        <w:snapToGrid w:val="0"/>
        <w:rPr>
          <w:rFonts w:ascii="宋体" w:hAnsi="宋体" w:cs="Arial"/>
        </w:rPr>
        <w:sectPr>
          <w:headerReference r:id="rId12" w:type="first"/>
          <w:headerReference r:id="rId10" w:type="default"/>
          <w:footerReference r:id="rId13" w:type="default"/>
          <w:headerReference r:id="rId11" w:type="even"/>
          <w:pgSz w:w="11906" w:h="16838"/>
          <w:pgMar w:top="1134" w:right="1418" w:bottom="1134" w:left="1418" w:header="851" w:footer="992" w:gutter="0"/>
          <w:cols w:space="720" w:num="1"/>
        </w:sectPr>
      </w:pPr>
    </w:p>
    <w:p w14:paraId="077E7B63">
      <w:pPr>
        <w:outlineLvl w:val="1"/>
        <w:rPr>
          <w:rFonts w:ascii="宋体" w:hAnsi="宋体" w:cs="Arial"/>
          <w:b/>
          <w:bCs/>
          <w:kern w:val="0"/>
          <w:szCs w:val="32"/>
        </w:rPr>
      </w:pPr>
      <w:bookmarkStart w:id="901" w:name="_Toc6253"/>
      <w:r>
        <w:rPr>
          <w:rFonts w:hint="eastAsia" w:ascii="宋体" w:hAnsi="宋体" w:cs="Arial"/>
          <w:b/>
          <w:bCs/>
          <w:kern w:val="0"/>
          <w:szCs w:val="32"/>
        </w:rPr>
        <w:t>附件</w:t>
      </w:r>
      <w:r>
        <w:rPr>
          <w:rFonts w:ascii="宋体" w:hAnsi="宋体" w:cs="Arial"/>
          <w:b/>
          <w:bCs/>
          <w:kern w:val="0"/>
          <w:szCs w:val="32"/>
        </w:rPr>
        <w:t>3：项目经理部人员配置表</w:t>
      </w:r>
      <w:bookmarkEnd w:id="901"/>
    </w:p>
    <w:p w14:paraId="673F241E">
      <w:pPr>
        <w:snapToGrid w:val="0"/>
        <w:spacing w:after="120" w:afterLines="50"/>
        <w:jc w:val="center"/>
        <w:rPr>
          <w:b/>
          <w:sz w:val="30"/>
          <w:szCs w:val="30"/>
        </w:rPr>
      </w:pPr>
      <w:r>
        <w:rPr>
          <w:rFonts w:hint="eastAsia"/>
          <w:b/>
          <w:sz w:val="30"/>
          <w:szCs w:val="30"/>
        </w:rPr>
        <w:t>项目经理部人员配置表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51"/>
        <w:gridCol w:w="717"/>
        <w:gridCol w:w="425"/>
        <w:gridCol w:w="709"/>
        <w:gridCol w:w="1621"/>
        <w:gridCol w:w="1051"/>
        <w:gridCol w:w="1297"/>
        <w:gridCol w:w="913"/>
      </w:tblGrid>
      <w:tr w14:paraId="2E74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632" w:type="dxa"/>
            <w:vAlign w:val="center"/>
          </w:tcPr>
          <w:p w14:paraId="40DA4264">
            <w:pPr>
              <w:snapToGrid w:val="0"/>
              <w:rPr>
                <w:rFonts w:ascii="宋体" w:hAnsi="宋体" w:cs="Arial"/>
              </w:rPr>
            </w:pPr>
            <w:r>
              <w:rPr>
                <w:rFonts w:hint="eastAsia" w:ascii="宋体" w:hAnsi="宋体" w:cs="Arial"/>
              </w:rPr>
              <w:t>序号</w:t>
            </w:r>
          </w:p>
        </w:tc>
        <w:tc>
          <w:tcPr>
            <w:tcW w:w="1551" w:type="dxa"/>
            <w:vAlign w:val="center"/>
          </w:tcPr>
          <w:p w14:paraId="0E90A4CE">
            <w:pPr>
              <w:snapToGrid w:val="0"/>
              <w:rPr>
                <w:rFonts w:ascii="宋体" w:hAnsi="宋体" w:cs="Arial"/>
              </w:rPr>
            </w:pPr>
            <w:r>
              <w:rPr>
                <w:rFonts w:hint="eastAsia" w:ascii="宋体" w:hAnsi="宋体" w:cs="Arial"/>
              </w:rPr>
              <w:t>本项目职务</w:t>
            </w:r>
          </w:p>
        </w:tc>
        <w:tc>
          <w:tcPr>
            <w:tcW w:w="717" w:type="dxa"/>
            <w:vAlign w:val="center"/>
          </w:tcPr>
          <w:p w14:paraId="128473AF">
            <w:pPr>
              <w:snapToGrid w:val="0"/>
              <w:rPr>
                <w:rFonts w:ascii="宋体" w:hAnsi="宋体" w:cs="Arial"/>
              </w:rPr>
            </w:pPr>
            <w:r>
              <w:rPr>
                <w:rFonts w:hint="eastAsia" w:ascii="宋体" w:hAnsi="宋体" w:cs="Arial"/>
              </w:rPr>
              <w:t>姓名</w:t>
            </w:r>
          </w:p>
        </w:tc>
        <w:tc>
          <w:tcPr>
            <w:tcW w:w="425" w:type="dxa"/>
            <w:vAlign w:val="center"/>
          </w:tcPr>
          <w:p w14:paraId="196C18CF">
            <w:pPr>
              <w:snapToGrid w:val="0"/>
              <w:rPr>
                <w:rFonts w:ascii="宋体" w:hAnsi="宋体" w:cs="Arial"/>
              </w:rPr>
            </w:pPr>
            <w:r>
              <w:rPr>
                <w:rFonts w:hint="eastAsia" w:ascii="宋体" w:hAnsi="宋体" w:cs="Arial"/>
              </w:rPr>
              <w:t>性别</w:t>
            </w:r>
          </w:p>
        </w:tc>
        <w:tc>
          <w:tcPr>
            <w:tcW w:w="709" w:type="dxa"/>
            <w:vAlign w:val="center"/>
          </w:tcPr>
          <w:p w14:paraId="00D3F6EC">
            <w:pPr>
              <w:snapToGrid w:val="0"/>
              <w:rPr>
                <w:rFonts w:ascii="宋体" w:hAnsi="宋体" w:cs="Arial"/>
              </w:rPr>
            </w:pPr>
            <w:r>
              <w:rPr>
                <w:rFonts w:hint="eastAsia" w:ascii="宋体" w:hAnsi="宋体" w:cs="Arial"/>
              </w:rPr>
              <w:t>年龄</w:t>
            </w:r>
          </w:p>
        </w:tc>
        <w:tc>
          <w:tcPr>
            <w:tcW w:w="1621" w:type="dxa"/>
            <w:vAlign w:val="center"/>
          </w:tcPr>
          <w:p w14:paraId="3688D875">
            <w:pPr>
              <w:snapToGrid w:val="0"/>
              <w:rPr>
                <w:rFonts w:ascii="宋体" w:hAnsi="宋体" w:cs="Arial"/>
              </w:rPr>
            </w:pPr>
            <w:r>
              <w:rPr>
                <w:rFonts w:hint="eastAsia" w:ascii="宋体" w:hAnsi="宋体" w:cs="Arial"/>
              </w:rPr>
              <w:t>国家注册执业证书名称及编号</w:t>
            </w:r>
          </w:p>
        </w:tc>
        <w:tc>
          <w:tcPr>
            <w:tcW w:w="1051" w:type="dxa"/>
            <w:vAlign w:val="center"/>
          </w:tcPr>
          <w:p w14:paraId="618AE9FA">
            <w:pPr>
              <w:snapToGrid w:val="0"/>
              <w:rPr>
                <w:rFonts w:ascii="宋体" w:hAnsi="宋体" w:cs="Arial"/>
              </w:rPr>
            </w:pPr>
            <w:r>
              <w:rPr>
                <w:rFonts w:hint="eastAsia" w:ascii="宋体" w:hAnsi="宋体" w:cs="Arial"/>
              </w:rPr>
              <w:t>职称证书名称及编号</w:t>
            </w:r>
          </w:p>
        </w:tc>
        <w:tc>
          <w:tcPr>
            <w:tcW w:w="1297" w:type="dxa"/>
            <w:vAlign w:val="center"/>
          </w:tcPr>
          <w:p w14:paraId="75A43C02">
            <w:pPr>
              <w:snapToGrid w:val="0"/>
              <w:rPr>
                <w:rFonts w:ascii="宋体" w:hAnsi="宋体" w:cs="Arial"/>
              </w:rPr>
            </w:pPr>
            <w:r>
              <w:rPr>
                <w:rFonts w:hint="eastAsia" w:ascii="宋体" w:hAnsi="宋体" w:cs="Arial"/>
              </w:rPr>
              <w:t>其他证书名称及编号</w:t>
            </w:r>
          </w:p>
        </w:tc>
        <w:tc>
          <w:tcPr>
            <w:tcW w:w="913" w:type="dxa"/>
            <w:vAlign w:val="center"/>
          </w:tcPr>
          <w:p w14:paraId="785F44D6">
            <w:pPr>
              <w:snapToGrid w:val="0"/>
              <w:rPr>
                <w:rFonts w:ascii="宋体" w:hAnsi="宋体" w:cs="Arial"/>
              </w:rPr>
            </w:pPr>
            <w:r>
              <w:rPr>
                <w:rFonts w:hint="eastAsia" w:ascii="宋体" w:hAnsi="宋体" w:cs="Arial"/>
              </w:rPr>
              <w:t>备注</w:t>
            </w:r>
          </w:p>
        </w:tc>
      </w:tr>
      <w:tr w14:paraId="5867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43E0C8A4">
            <w:pPr>
              <w:snapToGrid w:val="0"/>
              <w:rPr>
                <w:rFonts w:ascii="宋体" w:hAnsi="宋体" w:cs="Arial"/>
              </w:rPr>
            </w:pPr>
            <w:r>
              <w:rPr>
                <w:rFonts w:hint="eastAsia" w:ascii="宋体" w:hAnsi="宋体" w:cs="Arial"/>
              </w:rPr>
              <w:t>1</w:t>
            </w:r>
          </w:p>
        </w:tc>
        <w:tc>
          <w:tcPr>
            <w:tcW w:w="1551" w:type="dxa"/>
            <w:vAlign w:val="center"/>
          </w:tcPr>
          <w:p w14:paraId="32DA2C83">
            <w:pPr>
              <w:snapToGrid w:val="0"/>
              <w:rPr>
                <w:rFonts w:ascii="宋体" w:hAnsi="宋体" w:cs="Arial"/>
              </w:rPr>
            </w:pPr>
            <w:r>
              <w:rPr>
                <w:rFonts w:hint="eastAsia" w:ascii="宋体" w:hAnsi="宋体" w:cs="Arial"/>
              </w:rPr>
              <w:t>项目经理</w:t>
            </w:r>
          </w:p>
        </w:tc>
        <w:tc>
          <w:tcPr>
            <w:tcW w:w="717" w:type="dxa"/>
            <w:vAlign w:val="center"/>
          </w:tcPr>
          <w:p w14:paraId="195D4302">
            <w:pPr>
              <w:snapToGrid w:val="0"/>
              <w:rPr>
                <w:rFonts w:ascii="宋体" w:hAnsi="宋体" w:cs="Arial"/>
              </w:rPr>
            </w:pPr>
          </w:p>
        </w:tc>
        <w:tc>
          <w:tcPr>
            <w:tcW w:w="425" w:type="dxa"/>
            <w:vAlign w:val="center"/>
          </w:tcPr>
          <w:p w14:paraId="7218C2B6">
            <w:pPr>
              <w:snapToGrid w:val="0"/>
              <w:rPr>
                <w:rFonts w:ascii="宋体" w:hAnsi="宋体" w:cs="Arial"/>
              </w:rPr>
            </w:pPr>
          </w:p>
        </w:tc>
        <w:tc>
          <w:tcPr>
            <w:tcW w:w="709" w:type="dxa"/>
            <w:vAlign w:val="center"/>
          </w:tcPr>
          <w:p w14:paraId="5E288EB8">
            <w:pPr>
              <w:snapToGrid w:val="0"/>
              <w:rPr>
                <w:rFonts w:ascii="宋体" w:hAnsi="宋体" w:cs="Arial"/>
              </w:rPr>
            </w:pPr>
          </w:p>
        </w:tc>
        <w:tc>
          <w:tcPr>
            <w:tcW w:w="1621" w:type="dxa"/>
            <w:vAlign w:val="center"/>
          </w:tcPr>
          <w:p w14:paraId="795FE76D">
            <w:pPr>
              <w:snapToGrid w:val="0"/>
              <w:rPr>
                <w:rFonts w:ascii="宋体" w:hAnsi="宋体" w:cs="Arial"/>
              </w:rPr>
            </w:pPr>
          </w:p>
        </w:tc>
        <w:tc>
          <w:tcPr>
            <w:tcW w:w="1051" w:type="dxa"/>
            <w:vAlign w:val="center"/>
          </w:tcPr>
          <w:p w14:paraId="68E4B1A4">
            <w:pPr>
              <w:snapToGrid w:val="0"/>
              <w:rPr>
                <w:rFonts w:ascii="宋体" w:hAnsi="宋体" w:cs="Arial"/>
              </w:rPr>
            </w:pPr>
          </w:p>
        </w:tc>
        <w:tc>
          <w:tcPr>
            <w:tcW w:w="1297" w:type="dxa"/>
            <w:vAlign w:val="center"/>
          </w:tcPr>
          <w:p w14:paraId="7EC4326E">
            <w:pPr>
              <w:snapToGrid w:val="0"/>
              <w:rPr>
                <w:rFonts w:ascii="宋体" w:hAnsi="宋体" w:cs="Arial"/>
              </w:rPr>
            </w:pPr>
          </w:p>
        </w:tc>
        <w:tc>
          <w:tcPr>
            <w:tcW w:w="913" w:type="dxa"/>
            <w:vAlign w:val="center"/>
          </w:tcPr>
          <w:p w14:paraId="0EFA8760">
            <w:pPr>
              <w:snapToGrid w:val="0"/>
              <w:rPr>
                <w:rFonts w:ascii="宋体" w:hAnsi="宋体" w:cs="Arial"/>
              </w:rPr>
            </w:pPr>
            <w:r>
              <w:rPr>
                <w:rFonts w:ascii="宋体" w:hAnsi="宋体" w:cs="Arial"/>
              </w:rPr>
              <w:t>/</w:t>
            </w:r>
          </w:p>
        </w:tc>
      </w:tr>
      <w:tr w14:paraId="4F3F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4B768514">
            <w:pPr>
              <w:snapToGrid w:val="0"/>
              <w:rPr>
                <w:rFonts w:ascii="宋体" w:hAnsi="宋体" w:cs="Arial"/>
              </w:rPr>
            </w:pPr>
            <w:r>
              <w:rPr>
                <w:rFonts w:hint="eastAsia" w:ascii="宋体" w:hAnsi="宋体" w:cs="Arial"/>
              </w:rPr>
              <w:t>2</w:t>
            </w:r>
          </w:p>
        </w:tc>
        <w:tc>
          <w:tcPr>
            <w:tcW w:w="1551" w:type="dxa"/>
            <w:vAlign w:val="center"/>
          </w:tcPr>
          <w:p w14:paraId="1DF92A96">
            <w:pPr>
              <w:snapToGrid w:val="0"/>
              <w:rPr>
                <w:rFonts w:ascii="宋体" w:hAnsi="宋体" w:cs="Arial"/>
              </w:rPr>
            </w:pPr>
            <w:r>
              <w:rPr>
                <w:rFonts w:hint="eastAsia" w:ascii="宋体" w:hAnsi="宋体" w:cs="Arial"/>
              </w:rPr>
              <w:t>安全负责人</w:t>
            </w:r>
          </w:p>
        </w:tc>
        <w:tc>
          <w:tcPr>
            <w:tcW w:w="717" w:type="dxa"/>
            <w:vAlign w:val="center"/>
          </w:tcPr>
          <w:p w14:paraId="1752F43A">
            <w:pPr>
              <w:snapToGrid w:val="0"/>
              <w:rPr>
                <w:rFonts w:ascii="宋体" w:hAnsi="宋体" w:cs="Arial"/>
              </w:rPr>
            </w:pPr>
          </w:p>
        </w:tc>
        <w:tc>
          <w:tcPr>
            <w:tcW w:w="425" w:type="dxa"/>
            <w:vAlign w:val="center"/>
          </w:tcPr>
          <w:p w14:paraId="69313CD0">
            <w:pPr>
              <w:snapToGrid w:val="0"/>
              <w:rPr>
                <w:rFonts w:ascii="宋体" w:hAnsi="宋体" w:cs="Arial"/>
              </w:rPr>
            </w:pPr>
          </w:p>
        </w:tc>
        <w:tc>
          <w:tcPr>
            <w:tcW w:w="709" w:type="dxa"/>
            <w:vAlign w:val="center"/>
          </w:tcPr>
          <w:p w14:paraId="082F2E5A">
            <w:pPr>
              <w:snapToGrid w:val="0"/>
              <w:rPr>
                <w:rFonts w:ascii="宋体" w:hAnsi="宋体" w:cs="Arial"/>
              </w:rPr>
            </w:pPr>
          </w:p>
        </w:tc>
        <w:tc>
          <w:tcPr>
            <w:tcW w:w="1621" w:type="dxa"/>
            <w:vAlign w:val="center"/>
          </w:tcPr>
          <w:p w14:paraId="5AE5733F">
            <w:pPr>
              <w:snapToGrid w:val="0"/>
              <w:rPr>
                <w:rFonts w:ascii="宋体" w:hAnsi="宋体" w:cs="Arial"/>
              </w:rPr>
            </w:pPr>
          </w:p>
        </w:tc>
        <w:tc>
          <w:tcPr>
            <w:tcW w:w="1051" w:type="dxa"/>
            <w:vAlign w:val="center"/>
          </w:tcPr>
          <w:p w14:paraId="0CD45A14">
            <w:pPr>
              <w:snapToGrid w:val="0"/>
              <w:rPr>
                <w:rFonts w:ascii="宋体" w:hAnsi="宋体" w:cs="Arial"/>
              </w:rPr>
            </w:pPr>
          </w:p>
        </w:tc>
        <w:tc>
          <w:tcPr>
            <w:tcW w:w="1297" w:type="dxa"/>
            <w:vAlign w:val="center"/>
          </w:tcPr>
          <w:p w14:paraId="76EC66C6">
            <w:pPr>
              <w:snapToGrid w:val="0"/>
              <w:rPr>
                <w:rFonts w:ascii="宋体" w:hAnsi="宋体" w:cs="Arial"/>
              </w:rPr>
            </w:pPr>
          </w:p>
        </w:tc>
        <w:tc>
          <w:tcPr>
            <w:tcW w:w="913" w:type="dxa"/>
            <w:vAlign w:val="center"/>
          </w:tcPr>
          <w:p w14:paraId="74D26AA4">
            <w:pPr>
              <w:snapToGrid w:val="0"/>
              <w:rPr>
                <w:rFonts w:ascii="宋体" w:hAnsi="宋体" w:cs="Arial"/>
              </w:rPr>
            </w:pPr>
          </w:p>
        </w:tc>
      </w:tr>
      <w:tr w14:paraId="7985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4BF1E1E9">
            <w:pPr>
              <w:snapToGrid w:val="0"/>
              <w:rPr>
                <w:rFonts w:ascii="宋体" w:hAnsi="宋体" w:cs="Arial"/>
              </w:rPr>
            </w:pPr>
            <w:r>
              <w:rPr>
                <w:rFonts w:hint="eastAsia" w:ascii="宋体" w:hAnsi="宋体" w:cs="Arial"/>
              </w:rPr>
              <w:t>3</w:t>
            </w:r>
          </w:p>
        </w:tc>
        <w:tc>
          <w:tcPr>
            <w:tcW w:w="1551" w:type="dxa"/>
            <w:vAlign w:val="center"/>
          </w:tcPr>
          <w:p w14:paraId="758D435F">
            <w:pPr>
              <w:snapToGrid w:val="0"/>
              <w:rPr>
                <w:rFonts w:ascii="宋体" w:hAnsi="宋体" w:cs="Arial"/>
              </w:rPr>
            </w:pPr>
            <w:r>
              <w:rPr>
                <w:rFonts w:hint="eastAsia" w:ascii="宋体" w:hAnsi="宋体" w:cs="Arial"/>
              </w:rPr>
              <w:t>技术负责人</w:t>
            </w:r>
          </w:p>
        </w:tc>
        <w:tc>
          <w:tcPr>
            <w:tcW w:w="717" w:type="dxa"/>
            <w:vAlign w:val="center"/>
          </w:tcPr>
          <w:p w14:paraId="3FF37120">
            <w:pPr>
              <w:snapToGrid w:val="0"/>
              <w:rPr>
                <w:rFonts w:ascii="宋体" w:hAnsi="宋体" w:cs="Arial"/>
              </w:rPr>
            </w:pPr>
          </w:p>
        </w:tc>
        <w:tc>
          <w:tcPr>
            <w:tcW w:w="425" w:type="dxa"/>
            <w:vAlign w:val="center"/>
          </w:tcPr>
          <w:p w14:paraId="5B525C67">
            <w:pPr>
              <w:snapToGrid w:val="0"/>
              <w:rPr>
                <w:rFonts w:ascii="宋体" w:hAnsi="宋体" w:cs="Arial"/>
              </w:rPr>
            </w:pPr>
          </w:p>
        </w:tc>
        <w:tc>
          <w:tcPr>
            <w:tcW w:w="709" w:type="dxa"/>
            <w:vAlign w:val="center"/>
          </w:tcPr>
          <w:p w14:paraId="2769FFD9">
            <w:pPr>
              <w:snapToGrid w:val="0"/>
              <w:rPr>
                <w:rFonts w:ascii="宋体" w:hAnsi="宋体" w:cs="Arial"/>
              </w:rPr>
            </w:pPr>
          </w:p>
        </w:tc>
        <w:tc>
          <w:tcPr>
            <w:tcW w:w="1621" w:type="dxa"/>
            <w:vAlign w:val="center"/>
          </w:tcPr>
          <w:p w14:paraId="22098BE9">
            <w:pPr>
              <w:snapToGrid w:val="0"/>
              <w:rPr>
                <w:rFonts w:ascii="宋体" w:hAnsi="宋体" w:cs="Arial"/>
              </w:rPr>
            </w:pPr>
          </w:p>
        </w:tc>
        <w:tc>
          <w:tcPr>
            <w:tcW w:w="1051" w:type="dxa"/>
            <w:vAlign w:val="center"/>
          </w:tcPr>
          <w:p w14:paraId="50431874">
            <w:pPr>
              <w:snapToGrid w:val="0"/>
              <w:rPr>
                <w:rFonts w:ascii="宋体" w:hAnsi="宋体" w:cs="Arial"/>
              </w:rPr>
            </w:pPr>
          </w:p>
        </w:tc>
        <w:tc>
          <w:tcPr>
            <w:tcW w:w="1297" w:type="dxa"/>
            <w:vAlign w:val="center"/>
          </w:tcPr>
          <w:p w14:paraId="2DD10F44">
            <w:pPr>
              <w:snapToGrid w:val="0"/>
              <w:rPr>
                <w:rFonts w:ascii="宋体" w:hAnsi="宋体" w:cs="Arial"/>
              </w:rPr>
            </w:pPr>
          </w:p>
        </w:tc>
        <w:tc>
          <w:tcPr>
            <w:tcW w:w="913" w:type="dxa"/>
            <w:vAlign w:val="center"/>
          </w:tcPr>
          <w:p w14:paraId="44A43C42">
            <w:pPr>
              <w:snapToGrid w:val="0"/>
              <w:rPr>
                <w:rFonts w:ascii="宋体" w:hAnsi="宋体" w:cs="Arial"/>
              </w:rPr>
            </w:pPr>
          </w:p>
        </w:tc>
      </w:tr>
      <w:tr w14:paraId="272A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59F43145">
            <w:pPr>
              <w:snapToGrid w:val="0"/>
              <w:rPr>
                <w:rFonts w:ascii="宋体" w:hAnsi="宋体" w:cs="Arial"/>
              </w:rPr>
            </w:pPr>
            <w:r>
              <w:rPr>
                <w:rFonts w:hint="eastAsia" w:ascii="宋体" w:hAnsi="宋体" w:cs="Arial"/>
              </w:rPr>
              <w:t>4</w:t>
            </w:r>
          </w:p>
        </w:tc>
        <w:tc>
          <w:tcPr>
            <w:tcW w:w="1551" w:type="dxa"/>
            <w:vAlign w:val="center"/>
          </w:tcPr>
          <w:p w14:paraId="1242A2EE">
            <w:pPr>
              <w:snapToGrid w:val="0"/>
              <w:rPr>
                <w:rFonts w:ascii="宋体" w:hAnsi="宋体" w:cs="Arial"/>
              </w:rPr>
            </w:pPr>
            <w:r>
              <w:rPr>
                <w:rFonts w:hint="eastAsia" w:ascii="宋体" w:hAnsi="宋体" w:cs="Arial"/>
              </w:rPr>
              <w:t>质量负责人</w:t>
            </w:r>
          </w:p>
        </w:tc>
        <w:tc>
          <w:tcPr>
            <w:tcW w:w="717" w:type="dxa"/>
            <w:vAlign w:val="center"/>
          </w:tcPr>
          <w:p w14:paraId="43E3E028">
            <w:pPr>
              <w:snapToGrid w:val="0"/>
              <w:rPr>
                <w:rFonts w:ascii="宋体" w:hAnsi="宋体" w:cs="Arial"/>
              </w:rPr>
            </w:pPr>
          </w:p>
        </w:tc>
        <w:tc>
          <w:tcPr>
            <w:tcW w:w="425" w:type="dxa"/>
            <w:vAlign w:val="center"/>
          </w:tcPr>
          <w:p w14:paraId="7FFAB5C4">
            <w:pPr>
              <w:snapToGrid w:val="0"/>
              <w:rPr>
                <w:rFonts w:ascii="宋体" w:hAnsi="宋体" w:cs="Arial"/>
              </w:rPr>
            </w:pPr>
          </w:p>
        </w:tc>
        <w:tc>
          <w:tcPr>
            <w:tcW w:w="709" w:type="dxa"/>
            <w:vAlign w:val="center"/>
          </w:tcPr>
          <w:p w14:paraId="40211A99">
            <w:pPr>
              <w:snapToGrid w:val="0"/>
              <w:rPr>
                <w:rFonts w:ascii="宋体" w:hAnsi="宋体" w:cs="Arial"/>
              </w:rPr>
            </w:pPr>
          </w:p>
        </w:tc>
        <w:tc>
          <w:tcPr>
            <w:tcW w:w="1621" w:type="dxa"/>
            <w:vAlign w:val="center"/>
          </w:tcPr>
          <w:p w14:paraId="59C18254">
            <w:pPr>
              <w:snapToGrid w:val="0"/>
              <w:rPr>
                <w:rFonts w:ascii="宋体" w:hAnsi="宋体" w:cs="Arial"/>
              </w:rPr>
            </w:pPr>
          </w:p>
        </w:tc>
        <w:tc>
          <w:tcPr>
            <w:tcW w:w="1051" w:type="dxa"/>
            <w:vAlign w:val="center"/>
          </w:tcPr>
          <w:p w14:paraId="79DC7D41">
            <w:pPr>
              <w:snapToGrid w:val="0"/>
              <w:rPr>
                <w:rFonts w:ascii="宋体" w:hAnsi="宋体" w:cs="Arial"/>
              </w:rPr>
            </w:pPr>
          </w:p>
        </w:tc>
        <w:tc>
          <w:tcPr>
            <w:tcW w:w="1297" w:type="dxa"/>
            <w:vAlign w:val="center"/>
          </w:tcPr>
          <w:p w14:paraId="4393E7FB">
            <w:pPr>
              <w:snapToGrid w:val="0"/>
              <w:rPr>
                <w:rFonts w:ascii="宋体" w:hAnsi="宋体" w:cs="Arial"/>
              </w:rPr>
            </w:pPr>
          </w:p>
        </w:tc>
        <w:tc>
          <w:tcPr>
            <w:tcW w:w="913" w:type="dxa"/>
            <w:vAlign w:val="center"/>
          </w:tcPr>
          <w:p w14:paraId="4C97F853">
            <w:pPr>
              <w:snapToGrid w:val="0"/>
              <w:rPr>
                <w:rFonts w:ascii="宋体" w:hAnsi="宋体" w:cs="Arial"/>
              </w:rPr>
            </w:pPr>
          </w:p>
        </w:tc>
      </w:tr>
      <w:tr w14:paraId="71E5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1BECF617">
            <w:pPr>
              <w:snapToGrid w:val="0"/>
              <w:rPr>
                <w:rFonts w:ascii="宋体" w:hAnsi="宋体" w:cs="Arial"/>
              </w:rPr>
            </w:pPr>
          </w:p>
        </w:tc>
        <w:tc>
          <w:tcPr>
            <w:tcW w:w="1551" w:type="dxa"/>
            <w:vAlign w:val="center"/>
          </w:tcPr>
          <w:p w14:paraId="0CE88865">
            <w:pPr>
              <w:snapToGrid w:val="0"/>
              <w:rPr>
                <w:rFonts w:ascii="宋体" w:hAnsi="宋体" w:cs="Arial"/>
              </w:rPr>
            </w:pPr>
            <w:r>
              <w:rPr>
                <w:rFonts w:ascii="宋体" w:hAnsi="宋体" w:cs="Arial"/>
              </w:rPr>
              <w:t>……</w:t>
            </w:r>
          </w:p>
        </w:tc>
        <w:tc>
          <w:tcPr>
            <w:tcW w:w="717" w:type="dxa"/>
            <w:vAlign w:val="center"/>
          </w:tcPr>
          <w:p w14:paraId="1D657232">
            <w:pPr>
              <w:snapToGrid w:val="0"/>
              <w:rPr>
                <w:rFonts w:ascii="宋体" w:hAnsi="宋体" w:cs="Arial"/>
              </w:rPr>
            </w:pPr>
          </w:p>
        </w:tc>
        <w:tc>
          <w:tcPr>
            <w:tcW w:w="425" w:type="dxa"/>
            <w:vAlign w:val="center"/>
          </w:tcPr>
          <w:p w14:paraId="7842DFC9">
            <w:pPr>
              <w:snapToGrid w:val="0"/>
              <w:rPr>
                <w:rFonts w:ascii="宋体" w:hAnsi="宋体" w:cs="Arial"/>
              </w:rPr>
            </w:pPr>
          </w:p>
        </w:tc>
        <w:tc>
          <w:tcPr>
            <w:tcW w:w="709" w:type="dxa"/>
            <w:vAlign w:val="center"/>
          </w:tcPr>
          <w:p w14:paraId="52B7C380">
            <w:pPr>
              <w:snapToGrid w:val="0"/>
              <w:rPr>
                <w:rFonts w:ascii="宋体" w:hAnsi="宋体" w:cs="Arial"/>
              </w:rPr>
            </w:pPr>
          </w:p>
        </w:tc>
        <w:tc>
          <w:tcPr>
            <w:tcW w:w="1621" w:type="dxa"/>
            <w:vAlign w:val="center"/>
          </w:tcPr>
          <w:p w14:paraId="6CD37FF8">
            <w:pPr>
              <w:snapToGrid w:val="0"/>
              <w:rPr>
                <w:rFonts w:ascii="宋体" w:hAnsi="宋体" w:cs="Arial"/>
              </w:rPr>
            </w:pPr>
          </w:p>
        </w:tc>
        <w:tc>
          <w:tcPr>
            <w:tcW w:w="1051" w:type="dxa"/>
            <w:vAlign w:val="center"/>
          </w:tcPr>
          <w:p w14:paraId="6E054BF0">
            <w:pPr>
              <w:snapToGrid w:val="0"/>
              <w:rPr>
                <w:rFonts w:ascii="宋体" w:hAnsi="宋体" w:cs="Arial"/>
              </w:rPr>
            </w:pPr>
          </w:p>
        </w:tc>
        <w:tc>
          <w:tcPr>
            <w:tcW w:w="1297" w:type="dxa"/>
            <w:vAlign w:val="center"/>
          </w:tcPr>
          <w:p w14:paraId="774F8EF4">
            <w:pPr>
              <w:snapToGrid w:val="0"/>
              <w:rPr>
                <w:rFonts w:ascii="宋体" w:hAnsi="宋体" w:cs="Arial"/>
              </w:rPr>
            </w:pPr>
          </w:p>
        </w:tc>
        <w:tc>
          <w:tcPr>
            <w:tcW w:w="913" w:type="dxa"/>
            <w:vAlign w:val="center"/>
          </w:tcPr>
          <w:p w14:paraId="62651253">
            <w:pPr>
              <w:snapToGrid w:val="0"/>
              <w:rPr>
                <w:rFonts w:ascii="宋体" w:hAnsi="宋体" w:cs="Arial"/>
              </w:rPr>
            </w:pPr>
          </w:p>
        </w:tc>
      </w:tr>
      <w:tr w14:paraId="2DA4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41595D8E">
            <w:pPr>
              <w:snapToGrid w:val="0"/>
              <w:rPr>
                <w:rFonts w:ascii="宋体" w:hAnsi="宋体" w:cs="Arial"/>
              </w:rPr>
            </w:pPr>
          </w:p>
        </w:tc>
        <w:tc>
          <w:tcPr>
            <w:tcW w:w="1551" w:type="dxa"/>
            <w:vAlign w:val="center"/>
          </w:tcPr>
          <w:p w14:paraId="6BD2E675">
            <w:pPr>
              <w:snapToGrid w:val="0"/>
              <w:rPr>
                <w:rFonts w:ascii="宋体" w:hAnsi="宋体" w:cs="Arial"/>
              </w:rPr>
            </w:pPr>
          </w:p>
        </w:tc>
        <w:tc>
          <w:tcPr>
            <w:tcW w:w="717" w:type="dxa"/>
            <w:vAlign w:val="center"/>
          </w:tcPr>
          <w:p w14:paraId="210415BA">
            <w:pPr>
              <w:snapToGrid w:val="0"/>
              <w:rPr>
                <w:rFonts w:ascii="宋体" w:hAnsi="宋体" w:cs="Arial"/>
              </w:rPr>
            </w:pPr>
          </w:p>
        </w:tc>
        <w:tc>
          <w:tcPr>
            <w:tcW w:w="425" w:type="dxa"/>
            <w:vAlign w:val="center"/>
          </w:tcPr>
          <w:p w14:paraId="44A61099">
            <w:pPr>
              <w:snapToGrid w:val="0"/>
              <w:rPr>
                <w:rFonts w:ascii="宋体" w:hAnsi="宋体" w:cs="Arial"/>
              </w:rPr>
            </w:pPr>
          </w:p>
        </w:tc>
        <w:tc>
          <w:tcPr>
            <w:tcW w:w="709" w:type="dxa"/>
            <w:vAlign w:val="center"/>
          </w:tcPr>
          <w:p w14:paraId="20C6C621">
            <w:pPr>
              <w:snapToGrid w:val="0"/>
              <w:rPr>
                <w:rFonts w:ascii="宋体" w:hAnsi="宋体" w:cs="Arial"/>
              </w:rPr>
            </w:pPr>
          </w:p>
        </w:tc>
        <w:tc>
          <w:tcPr>
            <w:tcW w:w="1621" w:type="dxa"/>
            <w:vAlign w:val="center"/>
          </w:tcPr>
          <w:p w14:paraId="54F8FBD5">
            <w:pPr>
              <w:snapToGrid w:val="0"/>
              <w:rPr>
                <w:rFonts w:ascii="宋体" w:hAnsi="宋体" w:cs="Arial"/>
              </w:rPr>
            </w:pPr>
          </w:p>
        </w:tc>
        <w:tc>
          <w:tcPr>
            <w:tcW w:w="1051" w:type="dxa"/>
            <w:vAlign w:val="center"/>
          </w:tcPr>
          <w:p w14:paraId="58549BA9">
            <w:pPr>
              <w:snapToGrid w:val="0"/>
              <w:rPr>
                <w:rFonts w:ascii="宋体" w:hAnsi="宋体" w:cs="Arial"/>
              </w:rPr>
            </w:pPr>
          </w:p>
        </w:tc>
        <w:tc>
          <w:tcPr>
            <w:tcW w:w="1297" w:type="dxa"/>
            <w:vAlign w:val="center"/>
          </w:tcPr>
          <w:p w14:paraId="08E73F0A">
            <w:pPr>
              <w:snapToGrid w:val="0"/>
              <w:rPr>
                <w:rFonts w:ascii="宋体" w:hAnsi="宋体" w:cs="Arial"/>
              </w:rPr>
            </w:pPr>
          </w:p>
        </w:tc>
        <w:tc>
          <w:tcPr>
            <w:tcW w:w="913" w:type="dxa"/>
            <w:vAlign w:val="center"/>
          </w:tcPr>
          <w:p w14:paraId="37856D32">
            <w:pPr>
              <w:snapToGrid w:val="0"/>
              <w:rPr>
                <w:rFonts w:ascii="宋体" w:hAnsi="宋体" w:cs="Arial"/>
              </w:rPr>
            </w:pPr>
          </w:p>
        </w:tc>
      </w:tr>
      <w:tr w14:paraId="42D2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724B83E6">
            <w:pPr>
              <w:snapToGrid w:val="0"/>
              <w:rPr>
                <w:rFonts w:ascii="宋体" w:hAnsi="宋体" w:cs="Arial"/>
              </w:rPr>
            </w:pPr>
          </w:p>
        </w:tc>
        <w:tc>
          <w:tcPr>
            <w:tcW w:w="1551" w:type="dxa"/>
            <w:vAlign w:val="center"/>
          </w:tcPr>
          <w:p w14:paraId="093321AD">
            <w:pPr>
              <w:snapToGrid w:val="0"/>
              <w:rPr>
                <w:rFonts w:ascii="宋体" w:hAnsi="宋体" w:cs="Arial"/>
              </w:rPr>
            </w:pPr>
          </w:p>
        </w:tc>
        <w:tc>
          <w:tcPr>
            <w:tcW w:w="717" w:type="dxa"/>
            <w:vAlign w:val="center"/>
          </w:tcPr>
          <w:p w14:paraId="58AF893A">
            <w:pPr>
              <w:snapToGrid w:val="0"/>
              <w:rPr>
                <w:rFonts w:ascii="宋体" w:hAnsi="宋体" w:cs="Arial"/>
              </w:rPr>
            </w:pPr>
          </w:p>
        </w:tc>
        <w:tc>
          <w:tcPr>
            <w:tcW w:w="425" w:type="dxa"/>
            <w:vAlign w:val="center"/>
          </w:tcPr>
          <w:p w14:paraId="7A393D46">
            <w:pPr>
              <w:snapToGrid w:val="0"/>
              <w:rPr>
                <w:rFonts w:ascii="宋体" w:hAnsi="宋体" w:cs="Arial"/>
              </w:rPr>
            </w:pPr>
          </w:p>
        </w:tc>
        <w:tc>
          <w:tcPr>
            <w:tcW w:w="709" w:type="dxa"/>
            <w:vAlign w:val="center"/>
          </w:tcPr>
          <w:p w14:paraId="367A85A9">
            <w:pPr>
              <w:snapToGrid w:val="0"/>
              <w:rPr>
                <w:rFonts w:ascii="宋体" w:hAnsi="宋体" w:cs="Arial"/>
              </w:rPr>
            </w:pPr>
          </w:p>
        </w:tc>
        <w:tc>
          <w:tcPr>
            <w:tcW w:w="1621" w:type="dxa"/>
            <w:vAlign w:val="center"/>
          </w:tcPr>
          <w:p w14:paraId="4B5D9827">
            <w:pPr>
              <w:snapToGrid w:val="0"/>
              <w:rPr>
                <w:rFonts w:ascii="宋体" w:hAnsi="宋体" w:cs="Arial"/>
              </w:rPr>
            </w:pPr>
          </w:p>
        </w:tc>
        <w:tc>
          <w:tcPr>
            <w:tcW w:w="1051" w:type="dxa"/>
            <w:vAlign w:val="center"/>
          </w:tcPr>
          <w:p w14:paraId="56D9DC30">
            <w:pPr>
              <w:snapToGrid w:val="0"/>
              <w:rPr>
                <w:rFonts w:ascii="宋体" w:hAnsi="宋体" w:cs="Arial"/>
              </w:rPr>
            </w:pPr>
          </w:p>
        </w:tc>
        <w:tc>
          <w:tcPr>
            <w:tcW w:w="1297" w:type="dxa"/>
            <w:vAlign w:val="center"/>
          </w:tcPr>
          <w:p w14:paraId="048E148B">
            <w:pPr>
              <w:snapToGrid w:val="0"/>
              <w:rPr>
                <w:rFonts w:ascii="宋体" w:hAnsi="宋体" w:cs="Arial"/>
              </w:rPr>
            </w:pPr>
          </w:p>
        </w:tc>
        <w:tc>
          <w:tcPr>
            <w:tcW w:w="913" w:type="dxa"/>
            <w:vAlign w:val="center"/>
          </w:tcPr>
          <w:p w14:paraId="79FE6B80">
            <w:pPr>
              <w:snapToGrid w:val="0"/>
              <w:rPr>
                <w:rFonts w:ascii="宋体" w:hAnsi="宋体" w:cs="Arial"/>
              </w:rPr>
            </w:pPr>
          </w:p>
        </w:tc>
      </w:tr>
      <w:tr w14:paraId="569D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19D51ED2">
            <w:pPr>
              <w:snapToGrid w:val="0"/>
              <w:rPr>
                <w:rFonts w:ascii="宋体" w:hAnsi="宋体" w:cs="Arial"/>
              </w:rPr>
            </w:pPr>
          </w:p>
        </w:tc>
        <w:tc>
          <w:tcPr>
            <w:tcW w:w="1551" w:type="dxa"/>
            <w:vAlign w:val="center"/>
          </w:tcPr>
          <w:p w14:paraId="49F4ECBB">
            <w:pPr>
              <w:snapToGrid w:val="0"/>
              <w:rPr>
                <w:rFonts w:ascii="宋体" w:hAnsi="宋体" w:cs="Arial"/>
              </w:rPr>
            </w:pPr>
          </w:p>
        </w:tc>
        <w:tc>
          <w:tcPr>
            <w:tcW w:w="717" w:type="dxa"/>
            <w:vAlign w:val="center"/>
          </w:tcPr>
          <w:p w14:paraId="6B2B9C89">
            <w:pPr>
              <w:snapToGrid w:val="0"/>
              <w:rPr>
                <w:rFonts w:ascii="宋体" w:hAnsi="宋体" w:cs="Arial"/>
              </w:rPr>
            </w:pPr>
          </w:p>
        </w:tc>
        <w:tc>
          <w:tcPr>
            <w:tcW w:w="425" w:type="dxa"/>
            <w:vAlign w:val="center"/>
          </w:tcPr>
          <w:p w14:paraId="4798F444">
            <w:pPr>
              <w:snapToGrid w:val="0"/>
              <w:rPr>
                <w:rFonts w:ascii="宋体" w:hAnsi="宋体" w:cs="Arial"/>
              </w:rPr>
            </w:pPr>
          </w:p>
        </w:tc>
        <w:tc>
          <w:tcPr>
            <w:tcW w:w="709" w:type="dxa"/>
            <w:vAlign w:val="center"/>
          </w:tcPr>
          <w:p w14:paraId="50F706F4">
            <w:pPr>
              <w:snapToGrid w:val="0"/>
              <w:rPr>
                <w:rFonts w:ascii="宋体" w:hAnsi="宋体" w:cs="Arial"/>
              </w:rPr>
            </w:pPr>
          </w:p>
        </w:tc>
        <w:tc>
          <w:tcPr>
            <w:tcW w:w="1621" w:type="dxa"/>
            <w:vAlign w:val="center"/>
          </w:tcPr>
          <w:p w14:paraId="637E521B">
            <w:pPr>
              <w:snapToGrid w:val="0"/>
              <w:rPr>
                <w:rFonts w:ascii="宋体" w:hAnsi="宋体" w:cs="Arial"/>
              </w:rPr>
            </w:pPr>
          </w:p>
        </w:tc>
        <w:tc>
          <w:tcPr>
            <w:tcW w:w="1051" w:type="dxa"/>
            <w:vAlign w:val="center"/>
          </w:tcPr>
          <w:p w14:paraId="307D5999">
            <w:pPr>
              <w:snapToGrid w:val="0"/>
              <w:rPr>
                <w:rFonts w:ascii="宋体" w:hAnsi="宋体" w:cs="Arial"/>
              </w:rPr>
            </w:pPr>
          </w:p>
        </w:tc>
        <w:tc>
          <w:tcPr>
            <w:tcW w:w="1297" w:type="dxa"/>
            <w:vAlign w:val="center"/>
          </w:tcPr>
          <w:p w14:paraId="2D7D8E43">
            <w:pPr>
              <w:snapToGrid w:val="0"/>
              <w:rPr>
                <w:rFonts w:ascii="宋体" w:hAnsi="宋体" w:cs="Arial"/>
              </w:rPr>
            </w:pPr>
          </w:p>
        </w:tc>
        <w:tc>
          <w:tcPr>
            <w:tcW w:w="913" w:type="dxa"/>
            <w:vAlign w:val="center"/>
          </w:tcPr>
          <w:p w14:paraId="18153DF0">
            <w:pPr>
              <w:snapToGrid w:val="0"/>
              <w:rPr>
                <w:rFonts w:ascii="宋体" w:hAnsi="宋体" w:cs="Arial"/>
              </w:rPr>
            </w:pPr>
          </w:p>
        </w:tc>
      </w:tr>
      <w:tr w14:paraId="4484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2A7E02B7">
            <w:pPr>
              <w:snapToGrid w:val="0"/>
              <w:rPr>
                <w:rFonts w:ascii="宋体" w:hAnsi="宋体" w:cs="Arial"/>
              </w:rPr>
            </w:pPr>
          </w:p>
        </w:tc>
        <w:tc>
          <w:tcPr>
            <w:tcW w:w="1551" w:type="dxa"/>
            <w:vAlign w:val="center"/>
          </w:tcPr>
          <w:p w14:paraId="67CF0767">
            <w:pPr>
              <w:snapToGrid w:val="0"/>
              <w:rPr>
                <w:rFonts w:ascii="宋体" w:hAnsi="宋体" w:cs="Arial"/>
              </w:rPr>
            </w:pPr>
          </w:p>
        </w:tc>
        <w:tc>
          <w:tcPr>
            <w:tcW w:w="717" w:type="dxa"/>
            <w:vAlign w:val="center"/>
          </w:tcPr>
          <w:p w14:paraId="0FA94440">
            <w:pPr>
              <w:snapToGrid w:val="0"/>
              <w:rPr>
                <w:rFonts w:ascii="宋体" w:hAnsi="宋体" w:cs="Arial"/>
              </w:rPr>
            </w:pPr>
          </w:p>
        </w:tc>
        <w:tc>
          <w:tcPr>
            <w:tcW w:w="425" w:type="dxa"/>
            <w:vAlign w:val="center"/>
          </w:tcPr>
          <w:p w14:paraId="190957EE">
            <w:pPr>
              <w:snapToGrid w:val="0"/>
              <w:rPr>
                <w:rFonts w:ascii="宋体" w:hAnsi="宋体" w:cs="Arial"/>
              </w:rPr>
            </w:pPr>
          </w:p>
        </w:tc>
        <w:tc>
          <w:tcPr>
            <w:tcW w:w="709" w:type="dxa"/>
            <w:vAlign w:val="center"/>
          </w:tcPr>
          <w:p w14:paraId="791C4CF6">
            <w:pPr>
              <w:snapToGrid w:val="0"/>
              <w:rPr>
                <w:rFonts w:ascii="宋体" w:hAnsi="宋体" w:cs="Arial"/>
              </w:rPr>
            </w:pPr>
          </w:p>
        </w:tc>
        <w:tc>
          <w:tcPr>
            <w:tcW w:w="1621" w:type="dxa"/>
            <w:vAlign w:val="center"/>
          </w:tcPr>
          <w:p w14:paraId="4F84FFB0">
            <w:pPr>
              <w:snapToGrid w:val="0"/>
              <w:rPr>
                <w:rFonts w:ascii="宋体" w:hAnsi="宋体" w:cs="Arial"/>
              </w:rPr>
            </w:pPr>
          </w:p>
        </w:tc>
        <w:tc>
          <w:tcPr>
            <w:tcW w:w="1051" w:type="dxa"/>
            <w:vAlign w:val="center"/>
          </w:tcPr>
          <w:p w14:paraId="77CE0BF0">
            <w:pPr>
              <w:snapToGrid w:val="0"/>
              <w:rPr>
                <w:rFonts w:ascii="宋体" w:hAnsi="宋体" w:cs="Arial"/>
              </w:rPr>
            </w:pPr>
          </w:p>
        </w:tc>
        <w:tc>
          <w:tcPr>
            <w:tcW w:w="1297" w:type="dxa"/>
            <w:vAlign w:val="center"/>
          </w:tcPr>
          <w:p w14:paraId="7AF72693">
            <w:pPr>
              <w:snapToGrid w:val="0"/>
              <w:rPr>
                <w:rFonts w:ascii="宋体" w:hAnsi="宋体" w:cs="Arial"/>
              </w:rPr>
            </w:pPr>
          </w:p>
        </w:tc>
        <w:tc>
          <w:tcPr>
            <w:tcW w:w="913" w:type="dxa"/>
            <w:vAlign w:val="center"/>
          </w:tcPr>
          <w:p w14:paraId="1EFF47E3">
            <w:pPr>
              <w:snapToGrid w:val="0"/>
              <w:rPr>
                <w:rFonts w:ascii="宋体" w:hAnsi="宋体" w:cs="Arial"/>
              </w:rPr>
            </w:pPr>
          </w:p>
        </w:tc>
      </w:tr>
      <w:tr w14:paraId="6C4F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0D90B1D0">
            <w:pPr>
              <w:snapToGrid w:val="0"/>
              <w:rPr>
                <w:rFonts w:ascii="宋体" w:hAnsi="宋体" w:cs="Arial"/>
              </w:rPr>
            </w:pPr>
          </w:p>
        </w:tc>
        <w:tc>
          <w:tcPr>
            <w:tcW w:w="1551" w:type="dxa"/>
            <w:vAlign w:val="center"/>
          </w:tcPr>
          <w:p w14:paraId="2354ADD9">
            <w:pPr>
              <w:snapToGrid w:val="0"/>
              <w:rPr>
                <w:rFonts w:ascii="宋体" w:hAnsi="宋体" w:cs="Arial"/>
              </w:rPr>
            </w:pPr>
          </w:p>
        </w:tc>
        <w:tc>
          <w:tcPr>
            <w:tcW w:w="717" w:type="dxa"/>
            <w:vAlign w:val="center"/>
          </w:tcPr>
          <w:p w14:paraId="3EA4B49E">
            <w:pPr>
              <w:snapToGrid w:val="0"/>
              <w:rPr>
                <w:rFonts w:ascii="宋体" w:hAnsi="宋体" w:cs="Arial"/>
              </w:rPr>
            </w:pPr>
          </w:p>
        </w:tc>
        <w:tc>
          <w:tcPr>
            <w:tcW w:w="425" w:type="dxa"/>
            <w:vAlign w:val="center"/>
          </w:tcPr>
          <w:p w14:paraId="4810EA70">
            <w:pPr>
              <w:snapToGrid w:val="0"/>
              <w:rPr>
                <w:rFonts w:ascii="宋体" w:hAnsi="宋体" w:cs="Arial"/>
              </w:rPr>
            </w:pPr>
          </w:p>
        </w:tc>
        <w:tc>
          <w:tcPr>
            <w:tcW w:w="709" w:type="dxa"/>
            <w:vAlign w:val="center"/>
          </w:tcPr>
          <w:p w14:paraId="0D21F9BA">
            <w:pPr>
              <w:snapToGrid w:val="0"/>
              <w:rPr>
                <w:rFonts w:ascii="宋体" w:hAnsi="宋体" w:cs="Arial"/>
              </w:rPr>
            </w:pPr>
          </w:p>
        </w:tc>
        <w:tc>
          <w:tcPr>
            <w:tcW w:w="1621" w:type="dxa"/>
            <w:vAlign w:val="center"/>
          </w:tcPr>
          <w:p w14:paraId="1A0DC394">
            <w:pPr>
              <w:snapToGrid w:val="0"/>
              <w:rPr>
                <w:rFonts w:ascii="宋体" w:hAnsi="宋体" w:cs="Arial"/>
              </w:rPr>
            </w:pPr>
          </w:p>
        </w:tc>
        <w:tc>
          <w:tcPr>
            <w:tcW w:w="1051" w:type="dxa"/>
            <w:vAlign w:val="center"/>
          </w:tcPr>
          <w:p w14:paraId="1334D7FD">
            <w:pPr>
              <w:snapToGrid w:val="0"/>
              <w:rPr>
                <w:rFonts w:ascii="宋体" w:hAnsi="宋体" w:cs="Arial"/>
              </w:rPr>
            </w:pPr>
          </w:p>
        </w:tc>
        <w:tc>
          <w:tcPr>
            <w:tcW w:w="1297" w:type="dxa"/>
            <w:vAlign w:val="center"/>
          </w:tcPr>
          <w:p w14:paraId="2CCC374B">
            <w:pPr>
              <w:snapToGrid w:val="0"/>
              <w:rPr>
                <w:rFonts w:ascii="宋体" w:hAnsi="宋体" w:cs="Arial"/>
              </w:rPr>
            </w:pPr>
          </w:p>
        </w:tc>
        <w:tc>
          <w:tcPr>
            <w:tcW w:w="913" w:type="dxa"/>
            <w:vAlign w:val="center"/>
          </w:tcPr>
          <w:p w14:paraId="7969D75A">
            <w:pPr>
              <w:snapToGrid w:val="0"/>
              <w:rPr>
                <w:rFonts w:ascii="宋体" w:hAnsi="宋体" w:cs="Arial"/>
              </w:rPr>
            </w:pPr>
          </w:p>
        </w:tc>
      </w:tr>
      <w:tr w14:paraId="5FBD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0F6083ED">
            <w:pPr>
              <w:snapToGrid w:val="0"/>
              <w:rPr>
                <w:rFonts w:ascii="宋体" w:hAnsi="宋体" w:cs="Arial"/>
              </w:rPr>
            </w:pPr>
          </w:p>
        </w:tc>
        <w:tc>
          <w:tcPr>
            <w:tcW w:w="1551" w:type="dxa"/>
            <w:vAlign w:val="center"/>
          </w:tcPr>
          <w:p w14:paraId="07066B7D">
            <w:pPr>
              <w:snapToGrid w:val="0"/>
              <w:rPr>
                <w:rFonts w:ascii="宋体" w:hAnsi="宋体" w:cs="Arial"/>
              </w:rPr>
            </w:pPr>
          </w:p>
        </w:tc>
        <w:tc>
          <w:tcPr>
            <w:tcW w:w="717" w:type="dxa"/>
            <w:vAlign w:val="center"/>
          </w:tcPr>
          <w:p w14:paraId="51CA131E">
            <w:pPr>
              <w:snapToGrid w:val="0"/>
              <w:rPr>
                <w:rFonts w:ascii="宋体" w:hAnsi="宋体" w:cs="Arial"/>
              </w:rPr>
            </w:pPr>
          </w:p>
        </w:tc>
        <w:tc>
          <w:tcPr>
            <w:tcW w:w="425" w:type="dxa"/>
            <w:vAlign w:val="center"/>
          </w:tcPr>
          <w:p w14:paraId="4D022750">
            <w:pPr>
              <w:snapToGrid w:val="0"/>
              <w:rPr>
                <w:rFonts w:ascii="宋体" w:hAnsi="宋体" w:cs="Arial"/>
              </w:rPr>
            </w:pPr>
          </w:p>
        </w:tc>
        <w:tc>
          <w:tcPr>
            <w:tcW w:w="709" w:type="dxa"/>
            <w:vAlign w:val="center"/>
          </w:tcPr>
          <w:p w14:paraId="6D8FF685">
            <w:pPr>
              <w:snapToGrid w:val="0"/>
              <w:rPr>
                <w:rFonts w:ascii="宋体" w:hAnsi="宋体" w:cs="Arial"/>
              </w:rPr>
            </w:pPr>
          </w:p>
        </w:tc>
        <w:tc>
          <w:tcPr>
            <w:tcW w:w="1621" w:type="dxa"/>
            <w:vAlign w:val="center"/>
          </w:tcPr>
          <w:p w14:paraId="3749D66B">
            <w:pPr>
              <w:snapToGrid w:val="0"/>
              <w:rPr>
                <w:rFonts w:ascii="宋体" w:hAnsi="宋体" w:cs="Arial"/>
              </w:rPr>
            </w:pPr>
          </w:p>
        </w:tc>
        <w:tc>
          <w:tcPr>
            <w:tcW w:w="1051" w:type="dxa"/>
            <w:vAlign w:val="center"/>
          </w:tcPr>
          <w:p w14:paraId="0075CC68">
            <w:pPr>
              <w:snapToGrid w:val="0"/>
              <w:rPr>
                <w:rFonts w:ascii="宋体" w:hAnsi="宋体" w:cs="Arial"/>
              </w:rPr>
            </w:pPr>
          </w:p>
        </w:tc>
        <w:tc>
          <w:tcPr>
            <w:tcW w:w="1297" w:type="dxa"/>
            <w:vAlign w:val="center"/>
          </w:tcPr>
          <w:p w14:paraId="0FB7A2C3">
            <w:pPr>
              <w:snapToGrid w:val="0"/>
              <w:rPr>
                <w:rFonts w:ascii="宋体" w:hAnsi="宋体" w:cs="Arial"/>
              </w:rPr>
            </w:pPr>
          </w:p>
        </w:tc>
        <w:tc>
          <w:tcPr>
            <w:tcW w:w="913" w:type="dxa"/>
            <w:vAlign w:val="center"/>
          </w:tcPr>
          <w:p w14:paraId="0E4CDC23">
            <w:pPr>
              <w:snapToGrid w:val="0"/>
              <w:rPr>
                <w:rFonts w:ascii="宋体" w:hAnsi="宋体" w:cs="Arial"/>
              </w:rPr>
            </w:pPr>
          </w:p>
        </w:tc>
      </w:tr>
      <w:tr w14:paraId="413A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6B47FBA3">
            <w:pPr>
              <w:snapToGrid w:val="0"/>
              <w:rPr>
                <w:rFonts w:ascii="宋体" w:hAnsi="宋体" w:cs="Arial"/>
              </w:rPr>
            </w:pPr>
          </w:p>
        </w:tc>
        <w:tc>
          <w:tcPr>
            <w:tcW w:w="1551" w:type="dxa"/>
            <w:vAlign w:val="center"/>
          </w:tcPr>
          <w:p w14:paraId="1257C246">
            <w:pPr>
              <w:snapToGrid w:val="0"/>
              <w:rPr>
                <w:rFonts w:ascii="宋体" w:hAnsi="宋体" w:cs="Arial"/>
              </w:rPr>
            </w:pPr>
          </w:p>
        </w:tc>
        <w:tc>
          <w:tcPr>
            <w:tcW w:w="717" w:type="dxa"/>
            <w:vAlign w:val="center"/>
          </w:tcPr>
          <w:p w14:paraId="48135137">
            <w:pPr>
              <w:snapToGrid w:val="0"/>
              <w:rPr>
                <w:rFonts w:ascii="宋体" w:hAnsi="宋体" w:cs="Arial"/>
              </w:rPr>
            </w:pPr>
          </w:p>
        </w:tc>
        <w:tc>
          <w:tcPr>
            <w:tcW w:w="425" w:type="dxa"/>
            <w:vAlign w:val="center"/>
          </w:tcPr>
          <w:p w14:paraId="60D89B62">
            <w:pPr>
              <w:snapToGrid w:val="0"/>
              <w:rPr>
                <w:rFonts w:ascii="宋体" w:hAnsi="宋体" w:cs="Arial"/>
              </w:rPr>
            </w:pPr>
          </w:p>
        </w:tc>
        <w:tc>
          <w:tcPr>
            <w:tcW w:w="709" w:type="dxa"/>
            <w:vAlign w:val="center"/>
          </w:tcPr>
          <w:p w14:paraId="1C56EF97">
            <w:pPr>
              <w:snapToGrid w:val="0"/>
              <w:rPr>
                <w:rFonts w:ascii="宋体" w:hAnsi="宋体" w:cs="Arial"/>
              </w:rPr>
            </w:pPr>
          </w:p>
        </w:tc>
        <w:tc>
          <w:tcPr>
            <w:tcW w:w="1621" w:type="dxa"/>
            <w:vAlign w:val="center"/>
          </w:tcPr>
          <w:p w14:paraId="580FCD4E">
            <w:pPr>
              <w:snapToGrid w:val="0"/>
              <w:rPr>
                <w:rFonts w:ascii="宋体" w:hAnsi="宋体" w:cs="Arial"/>
              </w:rPr>
            </w:pPr>
          </w:p>
        </w:tc>
        <w:tc>
          <w:tcPr>
            <w:tcW w:w="1051" w:type="dxa"/>
            <w:vAlign w:val="center"/>
          </w:tcPr>
          <w:p w14:paraId="5BDAC7DA">
            <w:pPr>
              <w:snapToGrid w:val="0"/>
              <w:rPr>
                <w:rFonts w:ascii="宋体" w:hAnsi="宋体" w:cs="Arial"/>
              </w:rPr>
            </w:pPr>
          </w:p>
        </w:tc>
        <w:tc>
          <w:tcPr>
            <w:tcW w:w="1297" w:type="dxa"/>
            <w:vAlign w:val="center"/>
          </w:tcPr>
          <w:p w14:paraId="591F13A6">
            <w:pPr>
              <w:snapToGrid w:val="0"/>
              <w:rPr>
                <w:rFonts w:ascii="宋体" w:hAnsi="宋体" w:cs="Arial"/>
              </w:rPr>
            </w:pPr>
          </w:p>
        </w:tc>
        <w:tc>
          <w:tcPr>
            <w:tcW w:w="913" w:type="dxa"/>
            <w:vAlign w:val="center"/>
          </w:tcPr>
          <w:p w14:paraId="2F194E9C">
            <w:pPr>
              <w:snapToGrid w:val="0"/>
              <w:rPr>
                <w:rFonts w:ascii="宋体" w:hAnsi="宋体" w:cs="Arial"/>
              </w:rPr>
            </w:pPr>
          </w:p>
        </w:tc>
      </w:tr>
      <w:tr w14:paraId="68B7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6EA3AD8E">
            <w:pPr>
              <w:snapToGrid w:val="0"/>
              <w:rPr>
                <w:rFonts w:ascii="宋体" w:hAnsi="宋体" w:cs="Arial"/>
              </w:rPr>
            </w:pPr>
          </w:p>
        </w:tc>
        <w:tc>
          <w:tcPr>
            <w:tcW w:w="1551" w:type="dxa"/>
            <w:vAlign w:val="center"/>
          </w:tcPr>
          <w:p w14:paraId="1F6306FE">
            <w:pPr>
              <w:snapToGrid w:val="0"/>
              <w:rPr>
                <w:rFonts w:ascii="宋体" w:hAnsi="宋体" w:cs="Arial"/>
              </w:rPr>
            </w:pPr>
          </w:p>
        </w:tc>
        <w:tc>
          <w:tcPr>
            <w:tcW w:w="717" w:type="dxa"/>
            <w:vAlign w:val="center"/>
          </w:tcPr>
          <w:p w14:paraId="61DEE6EE">
            <w:pPr>
              <w:snapToGrid w:val="0"/>
              <w:rPr>
                <w:rFonts w:ascii="宋体" w:hAnsi="宋体" w:cs="Arial"/>
              </w:rPr>
            </w:pPr>
          </w:p>
        </w:tc>
        <w:tc>
          <w:tcPr>
            <w:tcW w:w="425" w:type="dxa"/>
            <w:vAlign w:val="center"/>
          </w:tcPr>
          <w:p w14:paraId="09213537">
            <w:pPr>
              <w:snapToGrid w:val="0"/>
              <w:rPr>
                <w:rFonts w:ascii="宋体" w:hAnsi="宋体" w:cs="Arial"/>
              </w:rPr>
            </w:pPr>
          </w:p>
        </w:tc>
        <w:tc>
          <w:tcPr>
            <w:tcW w:w="709" w:type="dxa"/>
            <w:vAlign w:val="center"/>
          </w:tcPr>
          <w:p w14:paraId="1640CF12">
            <w:pPr>
              <w:snapToGrid w:val="0"/>
              <w:rPr>
                <w:rFonts w:ascii="宋体" w:hAnsi="宋体" w:cs="Arial"/>
              </w:rPr>
            </w:pPr>
          </w:p>
        </w:tc>
        <w:tc>
          <w:tcPr>
            <w:tcW w:w="1621" w:type="dxa"/>
            <w:vAlign w:val="center"/>
          </w:tcPr>
          <w:p w14:paraId="3240A227">
            <w:pPr>
              <w:snapToGrid w:val="0"/>
              <w:rPr>
                <w:rFonts w:ascii="宋体" w:hAnsi="宋体" w:cs="Arial"/>
              </w:rPr>
            </w:pPr>
          </w:p>
        </w:tc>
        <w:tc>
          <w:tcPr>
            <w:tcW w:w="1051" w:type="dxa"/>
            <w:vAlign w:val="center"/>
          </w:tcPr>
          <w:p w14:paraId="13AF0CB7">
            <w:pPr>
              <w:snapToGrid w:val="0"/>
              <w:rPr>
                <w:rFonts w:ascii="宋体" w:hAnsi="宋体" w:cs="Arial"/>
              </w:rPr>
            </w:pPr>
          </w:p>
        </w:tc>
        <w:tc>
          <w:tcPr>
            <w:tcW w:w="1297" w:type="dxa"/>
            <w:vAlign w:val="center"/>
          </w:tcPr>
          <w:p w14:paraId="0A08F906">
            <w:pPr>
              <w:snapToGrid w:val="0"/>
              <w:rPr>
                <w:rFonts w:ascii="宋体" w:hAnsi="宋体" w:cs="Arial"/>
              </w:rPr>
            </w:pPr>
          </w:p>
        </w:tc>
        <w:tc>
          <w:tcPr>
            <w:tcW w:w="913" w:type="dxa"/>
            <w:vAlign w:val="center"/>
          </w:tcPr>
          <w:p w14:paraId="090A85A8">
            <w:pPr>
              <w:snapToGrid w:val="0"/>
              <w:rPr>
                <w:rFonts w:ascii="宋体" w:hAnsi="宋体" w:cs="Arial"/>
              </w:rPr>
            </w:pPr>
          </w:p>
        </w:tc>
      </w:tr>
      <w:tr w14:paraId="314C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1A4C9E11">
            <w:pPr>
              <w:snapToGrid w:val="0"/>
              <w:rPr>
                <w:rFonts w:ascii="宋体" w:hAnsi="宋体" w:cs="Arial"/>
              </w:rPr>
            </w:pPr>
          </w:p>
        </w:tc>
        <w:tc>
          <w:tcPr>
            <w:tcW w:w="1551" w:type="dxa"/>
            <w:vAlign w:val="center"/>
          </w:tcPr>
          <w:p w14:paraId="2E8BDAE4">
            <w:pPr>
              <w:snapToGrid w:val="0"/>
              <w:rPr>
                <w:rFonts w:ascii="宋体" w:hAnsi="宋体" w:cs="Arial"/>
              </w:rPr>
            </w:pPr>
          </w:p>
        </w:tc>
        <w:tc>
          <w:tcPr>
            <w:tcW w:w="717" w:type="dxa"/>
            <w:vAlign w:val="center"/>
          </w:tcPr>
          <w:p w14:paraId="566C0363">
            <w:pPr>
              <w:snapToGrid w:val="0"/>
              <w:rPr>
                <w:rFonts w:ascii="宋体" w:hAnsi="宋体" w:cs="Arial"/>
              </w:rPr>
            </w:pPr>
          </w:p>
        </w:tc>
        <w:tc>
          <w:tcPr>
            <w:tcW w:w="425" w:type="dxa"/>
            <w:vAlign w:val="center"/>
          </w:tcPr>
          <w:p w14:paraId="22314409">
            <w:pPr>
              <w:snapToGrid w:val="0"/>
              <w:rPr>
                <w:rFonts w:ascii="宋体" w:hAnsi="宋体" w:cs="Arial"/>
              </w:rPr>
            </w:pPr>
          </w:p>
        </w:tc>
        <w:tc>
          <w:tcPr>
            <w:tcW w:w="709" w:type="dxa"/>
            <w:vAlign w:val="center"/>
          </w:tcPr>
          <w:p w14:paraId="71889569">
            <w:pPr>
              <w:snapToGrid w:val="0"/>
              <w:rPr>
                <w:rFonts w:ascii="宋体" w:hAnsi="宋体" w:cs="Arial"/>
              </w:rPr>
            </w:pPr>
          </w:p>
        </w:tc>
        <w:tc>
          <w:tcPr>
            <w:tcW w:w="1621" w:type="dxa"/>
            <w:vAlign w:val="center"/>
          </w:tcPr>
          <w:p w14:paraId="3C319E1D">
            <w:pPr>
              <w:snapToGrid w:val="0"/>
              <w:rPr>
                <w:rFonts w:ascii="宋体" w:hAnsi="宋体" w:cs="Arial"/>
              </w:rPr>
            </w:pPr>
          </w:p>
        </w:tc>
        <w:tc>
          <w:tcPr>
            <w:tcW w:w="1051" w:type="dxa"/>
            <w:vAlign w:val="center"/>
          </w:tcPr>
          <w:p w14:paraId="5B15ADCB">
            <w:pPr>
              <w:snapToGrid w:val="0"/>
              <w:rPr>
                <w:rFonts w:ascii="宋体" w:hAnsi="宋体" w:cs="Arial"/>
              </w:rPr>
            </w:pPr>
          </w:p>
        </w:tc>
        <w:tc>
          <w:tcPr>
            <w:tcW w:w="1297" w:type="dxa"/>
            <w:vAlign w:val="center"/>
          </w:tcPr>
          <w:p w14:paraId="4A5A6523">
            <w:pPr>
              <w:snapToGrid w:val="0"/>
              <w:rPr>
                <w:rFonts w:ascii="宋体" w:hAnsi="宋体" w:cs="Arial"/>
              </w:rPr>
            </w:pPr>
          </w:p>
        </w:tc>
        <w:tc>
          <w:tcPr>
            <w:tcW w:w="913" w:type="dxa"/>
            <w:vAlign w:val="center"/>
          </w:tcPr>
          <w:p w14:paraId="246794FF">
            <w:pPr>
              <w:snapToGrid w:val="0"/>
              <w:rPr>
                <w:rFonts w:ascii="宋体" w:hAnsi="宋体" w:cs="Arial"/>
              </w:rPr>
            </w:pPr>
          </w:p>
        </w:tc>
      </w:tr>
      <w:tr w14:paraId="0D69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16AAF187">
            <w:pPr>
              <w:snapToGrid w:val="0"/>
              <w:rPr>
                <w:rFonts w:ascii="宋体" w:hAnsi="宋体" w:cs="Arial"/>
              </w:rPr>
            </w:pPr>
          </w:p>
        </w:tc>
        <w:tc>
          <w:tcPr>
            <w:tcW w:w="1551" w:type="dxa"/>
            <w:vAlign w:val="center"/>
          </w:tcPr>
          <w:p w14:paraId="62338EC4">
            <w:pPr>
              <w:snapToGrid w:val="0"/>
              <w:rPr>
                <w:rFonts w:ascii="宋体" w:hAnsi="宋体" w:cs="Arial"/>
              </w:rPr>
            </w:pPr>
          </w:p>
        </w:tc>
        <w:tc>
          <w:tcPr>
            <w:tcW w:w="717" w:type="dxa"/>
            <w:vAlign w:val="center"/>
          </w:tcPr>
          <w:p w14:paraId="1CCF7A8D">
            <w:pPr>
              <w:snapToGrid w:val="0"/>
              <w:rPr>
                <w:rFonts w:ascii="宋体" w:hAnsi="宋体" w:cs="Arial"/>
              </w:rPr>
            </w:pPr>
          </w:p>
        </w:tc>
        <w:tc>
          <w:tcPr>
            <w:tcW w:w="425" w:type="dxa"/>
            <w:vAlign w:val="center"/>
          </w:tcPr>
          <w:p w14:paraId="56541BD0">
            <w:pPr>
              <w:snapToGrid w:val="0"/>
              <w:rPr>
                <w:rFonts w:ascii="宋体" w:hAnsi="宋体" w:cs="Arial"/>
              </w:rPr>
            </w:pPr>
          </w:p>
        </w:tc>
        <w:tc>
          <w:tcPr>
            <w:tcW w:w="709" w:type="dxa"/>
            <w:vAlign w:val="center"/>
          </w:tcPr>
          <w:p w14:paraId="3163E700">
            <w:pPr>
              <w:snapToGrid w:val="0"/>
              <w:rPr>
                <w:rFonts w:ascii="宋体" w:hAnsi="宋体" w:cs="Arial"/>
              </w:rPr>
            </w:pPr>
          </w:p>
        </w:tc>
        <w:tc>
          <w:tcPr>
            <w:tcW w:w="1621" w:type="dxa"/>
            <w:vAlign w:val="center"/>
          </w:tcPr>
          <w:p w14:paraId="33F6AA83">
            <w:pPr>
              <w:snapToGrid w:val="0"/>
              <w:rPr>
                <w:rFonts w:ascii="宋体" w:hAnsi="宋体" w:cs="Arial"/>
              </w:rPr>
            </w:pPr>
          </w:p>
        </w:tc>
        <w:tc>
          <w:tcPr>
            <w:tcW w:w="1051" w:type="dxa"/>
            <w:vAlign w:val="center"/>
          </w:tcPr>
          <w:p w14:paraId="409DAA27">
            <w:pPr>
              <w:snapToGrid w:val="0"/>
              <w:rPr>
                <w:rFonts w:ascii="宋体" w:hAnsi="宋体" w:cs="Arial"/>
              </w:rPr>
            </w:pPr>
          </w:p>
        </w:tc>
        <w:tc>
          <w:tcPr>
            <w:tcW w:w="1297" w:type="dxa"/>
            <w:vAlign w:val="center"/>
          </w:tcPr>
          <w:p w14:paraId="205887B0">
            <w:pPr>
              <w:snapToGrid w:val="0"/>
              <w:rPr>
                <w:rFonts w:ascii="宋体" w:hAnsi="宋体" w:cs="Arial"/>
              </w:rPr>
            </w:pPr>
          </w:p>
        </w:tc>
        <w:tc>
          <w:tcPr>
            <w:tcW w:w="913" w:type="dxa"/>
            <w:vAlign w:val="center"/>
          </w:tcPr>
          <w:p w14:paraId="14365A34">
            <w:pPr>
              <w:snapToGrid w:val="0"/>
              <w:rPr>
                <w:rFonts w:ascii="宋体" w:hAnsi="宋体" w:cs="Arial"/>
              </w:rPr>
            </w:pPr>
          </w:p>
        </w:tc>
      </w:tr>
      <w:tr w14:paraId="0E76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579AF36A">
            <w:pPr>
              <w:snapToGrid w:val="0"/>
              <w:rPr>
                <w:rFonts w:ascii="宋体" w:hAnsi="宋体" w:cs="Arial"/>
              </w:rPr>
            </w:pPr>
          </w:p>
        </w:tc>
        <w:tc>
          <w:tcPr>
            <w:tcW w:w="1551" w:type="dxa"/>
            <w:vAlign w:val="center"/>
          </w:tcPr>
          <w:p w14:paraId="42927AB3">
            <w:pPr>
              <w:snapToGrid w:val="0"/>
              <w:rPr>
                <w:rFonts w:ascii="宋体" w:hAnsi="宋体" w:cs="Arial"/>
              </w:rPr>
            </w:pPr>
          </w:p>
        </w:tc>
        <w:tc>
          <w:tcPr>
            <w:tcW w:w="717" w:type="dxa"/>
            <w:vAlign w:val="center"/>
          </w:tcPr>
          <w:p w14:paraId="18A9A19D">
            <w:pPr>
              <w:snapToGrid w:val="0"/>
              <w:rPr>
                <w:rFonts w:ascii="宋体" w:hAnsi="宋体" w:cs="Arial"/>
              </w:rPr>
            </w:pPr>
          </w:p>
        </w:tc>
        <w:tc>
          <w:tcPr>
            <w:tcW w:w="425" w:type="dxa"/>
            <w:vAlign w:val="center"/>
          </w:tcPr>
          <w:p w14:paraId="149C07D8">
            <w:pPr>
              <w:snapToGrid w:val="0"/>
              <w:rPr>
                <w:rFonts w:ascii="宋体" w:hAnsi="宋体" w:cs="Arial"/>
              </w:rPr>
            </w:pPr>
          </w:p>
        </w:tc>
        <w:tc>
          <w:tcPr>
            <w:tcW w:w="709" w:type="dxa"/>
            <w:vAlign w:val="center"/>
          </w:tcPr>
          <w:p w14:paraId="79EB0617">
            <w:pPr>
              <w:snapToGrid w:val="0"/>
              <w:rPr>
                <w:rFonts w:ascii="宋体" w:hAnsi="宋体" w:cs="Arial"/>
              </w:rPr>
            </w:pPr>
          </w:p>
        </w:tc>
        <w:tc>
          <w:tcPr>
            <w:tcW w:w="1621" w:type="dxa"/>
            <w:vAlign w:val="center"/>
          </w:tcPr>
          <w:p w14:paraId="19483B29">
            <w:pPr>
              <w:snapToGrid w:val="0"/>
              <w:rPr>
                <w:rFonts w:ascii="宋体" w:hAnsi="宋体" w:cs="Arial"/>
              </w:rPr>
            </w:pPr>
          </w:p>
        </w:tc>
        <w:tc>
          <w:tcPr>
            <w:tcW w:w="1051" w:type="dxa"/>
            <w:vAlign w:val="center"/>
          </w:tcPr>
          <w:p w14:paraId="04558CDD">
            <w:pPr>
              <w:snapToGrid w:val="0"/>
              <w:rPr>
                <w:rFonts w:ascii="宋体" w:hAnsi="宋体" w:cs="Arial"/>
              </w:rPr>
            </w:pPr>
          </w:p>
        </w:tc>
        <w:tc>
          <w:tcPr>
            <w:tcW w:w="1297" w:type="dxa"/>
            <w:vAlign w:val="center"/>
          </w:tcPr>
          <w:p w14:paraId="29E2B2E6">
            <w:pPr>
              <w:snapToGrid w:val="0"/>
              <w:rPr>
                <w:rFonts w:ascii="宋体" w:hAnsi="宋体" w:cs="Arial"/>
              </w:rPr>
            </w:pPr>
          </w:p>
        </w:tc>
        <w:tc>
          <w:tcPr>
            <w:tcW w:w="913" w:type="dxa"/>
            <w:vAlign w:val="center"/>
          </w:tcPr>
          <w:p w14:paraId="2D305CC0">
            <w:pPr>
              <w:snapToGrid w:val="0"/>
              <w:rPr>
                <w:rFonts w:ascii="宋体" w:hAnsi="宋体" w:cs="Arial"/>
              </w:rPr>
            </w:pPr>
          </w:p>
        </w:tc>
      </w:tr>
      <w:tr w14:paraId="4FE3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047D65ED">
            <w:pPr>
              <w:snapToGrid w:val="0"/>
              <w:rPr>
                <w:rFonts w:ascii="宋体" w:hAnsi="宋体" w:cs="Arial"/>
              </w:rPr>
            </w:pPr>
          </w:p>
        </w:tc>
        <w:tc>
          <w:tcPr>
            <w:tcW w:w="1551" w:type="dxa"/>
            <w:vAlign w:val="center"/>
          </w:tcPr>
          <w:p w14:paraId="75BF9A99">
            <w:pPr>
              <w:snapToGrid w:val="0"/>
              <w:rPr>
                <w:rFonts w:ascii="宋体" w:hAnsi="宋体" w:cs="Arial"/>
              </w:rPr>
            </w:pPr>
          </w:p>
        </w:tc>
        <w:tc>
          <w:tcPr>
            <w:tcW w:w="717" w:type="dxa"/>
            <w:vAlign w:val="center"/>
          </w:tcPr>
          <w:p w14:paraId="7D2278F9">
            <w:pPr>
              <w:snapToGrid w:val="0"/>
              <w:rPr>
                <w:rFonts w:ascii="宋体" w:hAnsi="宋体" w:cs="Arial"/>
              </w:rPr>
            </w:pPr>
          </w:p>
        </w:tc>
        <w:tc>
          <w:tcPr>
            <w:tcW w:w="425" w:type="dxa"/>
            <w:vAlign w:val="center"/>
          </w:tcPr>
          <w:p w14:paraId="2F238386">
            <w:pPr>
              <w:snapToGrid w:val="0"/>
              <w:rPr>
                <w:rFonts w:ascii="宋体" w:hAnsi="宋体" w:cs="Arial"/>
              </w:rPr>
            </w:pPr>
          </w:p>
        </w:tc>
        <w:tc>
          <w:tcPr>
            <w:tcW w:w="709" w:type="dxa"/>
            <w:vAlign w:val="center"/>
          </w:tcPr>
          <w:p w14:paraId="027179CF">
            <w:pPr>
              <w:snapToGrid w:val="0"/>
              <w:rPr>
                <w:rFonts w:ascii="宋体" w:hAnsi="宋体" w:cs="Arial"/>
              </w:rPr>
            </w:pPr>
          </w:p>
        </w:tc>
        <w:tc>
          <w:tcPr>
            <w:tcW w:w="1621" w:type="dxa"/>
            <w:vAlign w:val="center"/>
          </w:tcPr>
          <w:p w14:paraId="6C76A9BE">
            <w:pPr>
              <w:snapToGrid w:val="0"/>
              <w:rPr>
                <w:rFonts w:ascii="宋体" w:hAnsi="宋体" w:cs="Arial"/>
              </w:rPr>
            </w:pPr>
          </w:p>
        </w:tc>
        <w:tc>
          <w:tcPr>
            <w:tcW w:w="1051" w:type="dxa"/>
            <w:vAlign w:val="center"/>
          </w:tcPr>
          <w:p w14:paraId="6DF38846">
            <w:pPr>
              <w:snapToGrid w:val="0"/>
              <w:rPr>
                <w:rFonts w:ascii="宋体" w:hAnsi="宋体" w:cs="Arial"/>
              </w:rPr>
            </w:pPr>
          </w:p>
        </w:tc>
        <w:tc>
          <w:tcPr>
            <w:tcW w:w="1297" w:type="dxa"/>
            <w:vAlign w:val="center"/>
          </w:tcPr>
          <w:p w14:paraId="26CC2F21">
            <w:pPr>
              <w:snapToGrid w:val="0"/>
              <w:rPr>
                <w:rFonts w:ascii="宋体" w:hAnsi="宋体" w:cs="Arial"/>
              </w:rPr>
            </w:pPr>
          </w:p>
        </w:tc>
        <w:tc>
          <w:tcPr>
            <w:tcW w:w="913" w:type="dxa"/>
            <w:vAlign w:val="center"/>
          </w:tcPr>
          <w:p w14:paraId="55BB79D3">
            <w:pPr>
              <w:snapToGrid w:val="0"/>
              <w:rPr>
                <w:rFonts w:ascii="宋体" w:hAnsi="宋体" w:cs="Arial"/>
              </w:rPr>
            </w:pPr>
          </w:p>
        </w:tc>
      </w:tr>
      <w:tr w14:paraId="7F60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167A513F">
            <w:pPr>
              <w:snapToGrid w:val="0"/>
              <w:rPr>
                <w:rFonts w:ascii="宋体" w:hAnsi="宋体" w:cs="Arial"/>
              </w:rPr>
            </w:pPr>
          </w:p>
        </w:tc>
        <w:tc>
          <w:tcPr>
            <w:tcW w:w="1551" w:type="dxa"/>
            <w:vAlign w:val="center"/>
          </w:tcPr>
          <w:p w14:paraId="666E627A">
            <w:pPr>
              <w:snapToGrid w:val="0"/>
              <w:rPr>
                <w:rFonts w:ascii="宋体" w:hAnsi="宋体" w:cs="Arial"/>
              </w:rPr>
            </w:pPr>
          </w:p>
        </w:tc>
        <w:tc>
          <w:tcPr>
            <w:tcW w:w="717" w:type="dxa"/>
            <w:vAlign w:val="center"/>
          </w:tcPr>
          <w:p w14:paraId="047261D9">
            <w:pPr>
              <w:snapToGrid w:val="0"/>
              <w:rPr>
                <w:rFonts w:ascii="宋体" w:hAnsi="宋体" w:cs="Arial"/>
              </w:rPr>
            </w:pPr>
          </w:p>
        </w:tc>
        <w:tc>
          <w:tcPr>
            <w:tcW w:w="425" w:type="dxa"/>
            <w:vAlign w:val="center"/>
          </w:tcPr>
          <w:p w14:paraId="0EECDCEE">
            <w:pPr>
              <w:snapToGrid w:val="0"/>
              <w:rPr>
                <w:rFonts w:ascii="宋体" w:hAnsi="宋体" w:cs="Arial"/>
              </w:rPr>
            </w:pPr>
          </w:p>
        </w:tc>
        <w:tc>
          <w:tcPr>
            <w:tcW w:w="709" w:type="dxa"/>
            <w:vAlign w:val="center"/>
          </w:tcPr>
          <w:p w14:paraId="0A84BAB1">
            <w:pPr>
              <w:snapToGrid w:val="0"/>
              <w:rPr>
                <w:rFonts w:ascii="宋体" w:hAnsi="宋体" w:cs="Arial"/>
              </w:rPr>
            </w:pPr>
          </w:p>
        </w:tc>
        <w:tc>
          <w:tcPr>
            <w:tcW w:w="1621" w:type="dxa"/>
            <w:vAlign w:val="center"/>
          </w:tcPr>
          <w:p w14:paraId="7B09A1C4">
            <w:pPr>
              <w:snapToGrid w:val="0"/>
              <w:rPr>
                <w:rFonts w:ascii="宋体" w:hAnsi="宋体" w:cs="Arial"/>
              </w:rPr>
            </w:pPr>
          </w:p>
        </w:tc>
        <w:tc>
          <w:tcPr>
            <w:tcW w:w="1051" w:type="dxa"/>
            <w:vAlign w:val="center"/>
          </w:tcPr>
          <w:p w14:paraId="5DD4C88E">
            <w:pPr>
              <w:snapToGrid w:val="0"/>
              <w:rPr>
                <w:rFonts w:ascii="宋体" w:hAnsi="宋体" w:cs="Arial"/>
              </w:rPr>
            </w:pPr>
          </w:p>
        </w:tc>
        <w:tc>
          <w:tcPr>
            <w:tcW w:w="1297" w:type="dxa"/>
            <w:vAlign w:val="center"/>
          </w:tcPr>
          <w:p w14:paraId="0076EB19">
            <w:pPr>
              <w:snapToGrid w:val="0"/>
              <w:rPr>
                <w:rFonts w:ascii="宋体" w:hAnsi="宋体" w:cs="Arial"/>
              </w:rPr>
            </w:pPr>
          </w:p>
        </w:tc>
        <w:tc>
          <w:tcPr>
            <w:tcW w:w="913" w:type="dxa"/>
            <w:vAlign w:val="center"/>
          </w:tcPr>
          <w:p w14:paraId="2E1AF6D8">
            <w:pPr>
              <w:snapToGrid w:val="0"/>
              <w:rPr>
                <w:rFonts w:ascii="宋体" w:hAnsi="宋体" w:cs="Arial"/>
              </w:rPr>
            </w:pPr>
          </w:p>
        </w:tc>
      </w:tr>
      <w:tr w14:paraId="4449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5A89AA0A">
            <w:pPr>
              <w:snapToGrid w:val="0"/>
              <w:rPr>
                <w:rFonts w:ascii="宋体" w:hAnsi="宋体" w:cs="Arial"/>
              </w:rPr>
            </w:pPr>
          </w:p>
        </w:tc>
        <w:tc>
          <w:tcPr>
            <w:tcW w:w="1551" w:type="dxa"/>
            <w:vAlign w:val="center"/>
          </w:tcPr>
          <w:p w14:paraId="284D7C93">
            <w:pPr>
              <w:snapToGrid w:val="0"/>
              <w:rPr>
                <w:rFonts w:ascii="宋体" w:hAnsi="宋体" w:cs="Arial"/>
              </w:rPr>
            </w:pPr>
          </w:p>
        </w:tc>
        <w:tc>
          <w:tcPr>
            <w:tcW w:w="717" w:type="dxa"/>
            <w:vAlign w:val="center"/>
          </w:tcPr>
          <w:p w14:paraId="70D5A3DE">
            <w:pPr>
              <w:snapToGrid w:val="0"/>
              <w:rPr>
                <w:rFonts w:ascii="宋体" w:hAnsi="宋体" w:cs="Arial"/>
              </w:rPr>
            </w:pPr>
          </w:p>
        </w:tc>
        <w:tc>
          <w:tcPr>
            <w:tcW w:w="425" w:type="dxa"/>
            <w:vAlign w:val="center"/>
          </w:tcPr>
          <w:p w14:paraId="09953445">
            <w:pPr>
              <w:snapToGrid w:val="0"/>
              <w:rPr>
                <w:rFonts w:ascii="宋体" w:hAnsi="宋体" w:cs="Arial"/>
              </w:rPr>
            </w:pPr>
          </w:p>
        </w:tc>
        <w:tc>
          <w:tcPr>
            <w:tcW w:w="709" w:type="dxa"/>
            <w:vAlign w:val="center"/>
          </w:tcPr>
          <w:p w14:paraId="6C7AC252">
            <w:pPr>
              <w:snapToGrid w:val="0"/>
              <w:rPr>
                <w:rFonts w:ascii="宋体" w:hAnsi="宋体" w:cs="Arial"/>
              </w:rPr>
            </w:pPr>
          </w:p>
        </w:tc>
        <w:tc>
          <w:tcPr>
            <w:tcW w:w="1621" w:type="dxa"/>
            <w:vAlign w:val="center"/>
          </w:tcPr>
          <w:p w14:paraId="3452471D">
            <w:pPr>
              <w:snapToGrid w:val="0"/>
              <w:rPr>
                <w:rFonts w:ascii="宋体" w:hAnsi="宋体" w:cs="Arial"/>
              </w:rPr>
            </w:pPr>
          </w:p>
        </w:tc>
        <w:tc>
          <w:tcPr>
            <w:tcW w:w="1051" w:type="dxa"/>
            <w:vAlign w:val="center"/>
          </w:tcPr>
          <w:p w14:paraId="790922A6">
            <w:pPr>
              <w:snapToGrid w:val="0"/>
              <w:rPr>
                <w:rFonts w:ascii="宋体" w:hAnsi="宋体" w:cs="Arial"/>
              </w:rPr>
            </w:pPr>
          </w:p>
        </w:tc>
        <w:tc>
          <w:tcPr>
            <w:tcW w:w="1297" w:type="dxa"/>
            <w:vAlign w:val="center"/>
          </w:tcPr>
          <w:p w14:paraId="42DDAED7">
            <w:pPr>
              <w:snapToGrid w:val="0"/>
              <w:rPr>
                <w:rFonts w:ascii="宋体" w:hAnsi="宋体" w:cs="Arial"/>
              </w:rPr>
            </w:pPr>
          </w:p>
        </w:tc>
        <w:tc>
          <w:tcPr>
            <w:tcW w:w="913" w:type="dxa"/>
            <w:vAlign w:val="center"/>
          </w:tcPr>
          <w:p w14:paraId="2A2B0C97">
            <w:pPr>
              <w:snapToGrid w:val="0"/>
              <w:rPr>
                <w:rFonts w:ascii="宋体" w:hAnsi="宋体" w:cs="Arial"/>
              </w:rPr>
            </w:pPr>
          </w:p>
        </w:tc>
      </w:tr>
      <w:tr w14:paraId="370D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39EFD03F">
            <w:pPr>
              <w:snapToGrid w:val="0"/>
              <w:rPr>
                <w:rFonts w:ascii="宋体" w:hAnsi="宋体" w:cs="Arial"/>
              </w:rPr>
            </w:pPr>
          </w:p>
        </w:tc>
        <w:tc>
          <w:tcPr>
            <w:tcW w:w="1551" w:type="dxa"/>
            <w:vAlign w:val="center"/>
          </w:tcPr>
          <w:p w14:paraId="50DB0894">
            <w:pPr>
              <w:snapToGrid w:val="0"/>
              <w:rPr>
                <w:rFonts w:ascii="宋体" w:hAnsi="宋体" w:cs="Arial"/>
              </w:rPr>
            </w:pPr>
          </w:p>
        </w:tc>
        <w:tc>
          <w:tcPr>
            <w:tcW w:w="717" w:type="dxa"/>
            <w:vAlign w:val="center"/>
          </w:tcPr>
          <w:p w14:paraId="363A26DA">
            <w:pPr>
              <w:snapToGrid w:val="0"/>
              <w:rPr>
                <w:rFonts w:ascii="宋体" w:hAnsi="宋体" w:cs="Arial"/>
              </w:rPr>
            </w:pPr>
          </w:p>
        </w:tc>
        <w:tc>
          <w:tcPr>
            <w:tcW w:w="425" w:type="dxa"/>
            <w:vAlign w:val="center"/>
          </w:tcPr>
          <w:p w14:paraId="41FCF72C">
            <w:pPr>
              <w:snapToGrid w:val="0"/>
              <w:rPr>
                <w:rFonts w:ascii="宋体" w:hAnsi="宋体" w:cs="Arial"/>
              </w:rPr>
            </w:pPr>
          </w:p>
        </w:tc>
        <w:tc>
          <w:tcPr>
            <w:tcW w:w="709" w:type="dxa"/>
            <w:vAlign w:val="center"/>
          </w:tcPr>
          <w:p w14:paraId="513AC18A">
            <w:pPr>
              <w:snapToGrid w:val="0"/>
              <w:rPr>
                <w:rFonts w:ascii="宋体" w:hAnsi="宋体" w:cs="Arial"/>
              </w:rPr>
            </w:pPr>
          </w:p>
        </w:tc>
        <w:tc>
          <w:tcPr>
            <w:tcW w:w="1621" w:type="dxa"/>
            <w:vAlign w:val="center"/>
          </w:tcPr>
          <w:p w14:paraId="1F38EF70">
            <w:pPr>
              <w:snapToGrid w:val="0"/>
              <w:rPr>
                <w:rFonts w:ascii="宋体" w:hAnsi="宋体" w:cs="Arial"/>
              </w:rPr>
            </w:pPr>
          </w:p>
        </w:tc>
        <w:tc>
          <w:tcPr>
            <w:tcW w:w="1051" w:type="dxa"/>
            <w:vAlign w:val="center"/>
          </w:tcPr>
          <w:p w14:paraId="69F6B71C">
            <w:pPr>
              <w:snapToGrid w:val="0"/>
              <w:rPr>
                <w:rFonts w:ascii="宋体" w:hAnsi="宋体" w:cs="Arial"/>
              </w:rPr>
            </w:pPr>
          </w:p>
        </w:tc>
        <w:tc>
          <w:tcPr>
            <w:tcW w:w="1297" w:type="dxa"/>
            <w:vAlign w:val="center"/>
          </w:tcPr>
          <w:p w14:paraId="1C3146A9">
            <w:pPr>
              <w:snapToGrid w:val="0"/>
              <w:rPr>
                <w:rFonts w:ascii="宋体" w:hAnsi="宋体" w:cs="Arial"/>
              </w:rPr>
            </w:pPr>
          </w:p>
        </w:tc>
        <w:tc>
          <w:tcPr>
            <w:tcW w:w="913" w:type="dxa"/>
            <w:vAlign w:val="center"/>
          </w:tcPr>
          <w:p w14:paraId="61EA895C">
            <w:pPr>
              <w:snapToGrid w:val="0"/>
              <w:rPr>
                <w:rFonts w:ascii="宋体" w:hAnsi="宋体" w:cs="Arial"/>
              </w:rPr>
            </w:pPr>
          </w:p>
        </w:tc>
      </w:tr>
      <w:tr w14:paraId="5F0B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2" w:type="dxa"/>
            <w:vAlign w:val="center"/>
          </w:tcPr>
          <w:p w14:paraId="36F1F62A">
            <w:pPr>
              <w:snapToGrid w:val="0"/>
              <w:rPr>
                <w:rFonts w:ascii="宋体" w:hAnsi="宋体" w:cs="Arial"/>
              </w:rPr>
            </w:pPr>
          </w:p>
        </w:tc>
        <w:tc>
          <w:tcPr>
            <w:tcW w:w="1551" w:type="dxa"/>
            <w:vAlign w:val="center"/>
          </w:tcPr>
          <w:p w14:paraId="7B1CAEE3">
            <w:pPr>
              <w:snapToGrid w:val="0"/>
              <w:rPr>
                <w:rFonts w:ascii="宋体" w:hAnsi="宋体" w:cs="Arial"/>
              </w:rPr>
            </w:pPr>
          </w:p>
        </w:tc>
        <w:tc>
          <w:tcPr>
            <w:tcW w:w="717" w:type="dxa"/>
            <w:vAlign w:val="center"/>
          </w:tcPr>
          <w:p w14:paraId="2AB3500A">
            <w:pPr>
              <w:snapToGrid w:val="0"/>
              <w:rPr>
                <w:rFonts w:ascii="宋体" w:hAnsi="宋体" w:cs="Arial"/>
              </w:rPr>
            </w:pPr>
          </w:p>
        </w:tc>
        <w:tc>
          <w:tcPr>
            <w:tcW w:w="425" w:type="dxa"/>
            <w:vAlign w:val="center"/>
          </w:tcPr>
          <w:p w14:paraId="7F1368B1">
            <w:pPr>
              <w:snapToGrid w:val="0"/>
              <w:rPr>
                <w:rFonts w:ascii="宋体" w:hAnsi="宋体" w:cs="Arial"/>
              </w:rPr>
            </w:pPr>
          </w:p>
        </w:tc>
        <w:tc>
          <w:tcPr>
            <w:tcW w:w="709" w:type="dxa"/>
            <w:vAlign w:val="center"/>
          </w:tcPr>
          <w:p w14:paraId="108F8626">
            <w:pPr>
              <w:snapToGrid w:val="0"/>
              <w:rPr>
                <w:rFonts w:ascii="宋体" w:hAnsi="宋体" w:cs="Arial"/>
              </w:rPr>
            </w:pPr>
          </w:p>
        </w:tc>
        <w:tc>
          <w:tcPr>
            <w:tcW w:w="1621" w:type="dxa"/>
            <w:vAlign w:val="center"/>
          </w:tcPr>
          <w:p w14:paraId="79269A67">
            <w:pPr>
              <w:snapToGrid w:val="0"/>
              <w:rPr>
                <w:rFonts w:ascii="宋体" w:hAnsi="宋体" w:cs="Arial"/>
              </w:rPr>
            </w:pPr>
          </w:p>
        </w:tc>
        <w:tc>
          <w:tcPr>
            <w:tcW w:w="1051" w:type="dxa"/>
            <w:vAlign w:val="center"/>
          </w:tcPr>
          <w:p w14:paraId="67334252">
            <w:pPr>
              <w:snapToGrid w:val="0"/>
              <w:rPr>
                <w:rFonts w:ascii="宋体" w:hAnsi="宋体" w:cs="Arial"/>
              </w:rPr>
            </w:pPr>
          </w:p>
        </w:tc>
        <w:tc>
          <w:tcPr>
            <w:tcW w:w="1297" w:type="dxa"/>
            <w:vAlign w:val="center"/>
          </w:tcPr>
          <w:p w14:paraId="04E7B817">
            <w:pPr>
              <w:snapToGrid w:val="0"/>
              <w:rPr>
                <w:rFonts w:ascii="宋体" w:hAnsi="宋体" w:cs="Arial"/>
              </w:rPr>
            </w:pPr>
          </w:p>
        </w:tc>
        <w:tc>
          <w:tcPr>
            <w:tcW w:w="913" w:type="dxa"/>
            <w:vAlign w:val="center"/>
          </w:tcPr>
          <w:p w14:paraId="528A3469">
            <w:pPr>
              <w:snapToGrid w:val="0"/>
              <w:rPr>
                <w:rFonts w:ascii="宋体" w:hAnsi="宋体" w:cs="Arial"/>
              </w:rPr>
            </w:pPr>
          </w:p>
        </w:tc>
      </w:tr>
    </w:tbl>
    <w:p w14:paraId="0BF5FA85">
      <w:pPr>
        <w:snapToGrid w:val="0"/>
        <w:rPr>
          <w:rFonts w:ascii="宋体" w:hAnsi="宋体" w:cs="Arial"/>
        </w:rPr>
      </w:pPr>
    </w:p>
    <w:p w14:paraId="49A758A5">
      <w:pPr>
        <w:snapToGrid w:val="0"/>
        <w:rPr>
          <w:rFonts w:ascii="宋体" w:hAnsi="宋体" w:cs="Arial"/>
        </w:rPr>
      </w:pPr>
    </w:p>
    <w:p w14:paraId="55259D34">
      <w:pPr>
        <w:snapToGrid w:val="0"/>
        <w:rPr>
          <w:rFonts w:ascii="宋体" w:hAnsi="宋体" w:cs="Arial"/>
        </w:rPr>
      </w:pPr>
    </w:p>
    <w:p w14:paraId="7D179A5C">
      <w:pPr>
        <w:spacing w:after="240" w:afterLines="100"/>
        <w:outlineLvl w:val="1"/>
        <w:rPr>
          <w:rFonts w:ascii="宋体" w:hAnsi="宋体" w:cs="Arial"/>
          <w:b/>
          <w:bCs/>
          <w:kern w:val="0"/>
          <w:szCs w:val="32"/>
        </w:rPr>
      </w:pPr>
      <w:bookmarkStart w:id="902" w:name="_Toc410986399"/>
      <w:bookmarkStart w:id="903" w:name="_Toc6241395"/>
      <w:bookmarkStart w:id="904" w:name="_Toc489084346"/>
      <w:bookmarkStart w:id="905" w:name="_Toc26709"/>
      <w:bookmarkStart w:id="906" w:name="_Toc439160201"/>
      <w:bookmarkStart w:id="907" w:name="_Toc526793410"/>
      <w:bookmarkStart w:id="908" w:name="_Toc439160060"/>
      <w:bookmarkStart w:id="909" w:name="_Toc433293270"/>
      <w:r>
        <w:rPr>
          <w:rFonts w:hint="eastAsia" w:ascii="宋体" w:hAnsi="宋体" w:cs="Arial"/>
          <w:bCs/>
          <w:kern w:val="0"/>
          <w:szCs w:val="32"/>
        </w:rPr>
        <w:t>附件</w:t>
      </w:r>
      <w:r>
        <w:rPr>
          <w:rFonts w:ascii="宋体" w:hAnsi="宋体" w:cs="Arial"/>
          <w:bCs/>
          <w:kern w:val="0"/>
          <w:szCs w:val="32"/>
        </w:rPr>
        <w:t>4：</w:t>
      </w:r>
      <w:bookmarkEnd w:id="902"/>
      <w:r>
        <w:rPr>
          <w:rFonts w:hint="eastAsia" w:ascii="宋体" w:hAnsi="宋体" w:cs="Arial"/>
          <w:bCs/>
          <w:kern w:val="0"/>
          <w:szCs w:val="32"/>
        </w:rPr>
        <w:t>发包人提供的材料和设备一览表</w:t>
      </w:r>
      <w:bookmarkEnd w:id="903"/>
      <w:bookmarkEnd w:id="904"/>
      <w:bookmarkEnd w:id="905"/>
      <w:bookmarkEnd w:id="906"/>
      <w:bookmarkEnd w:id="907"/>
    </w:p>
    <w:p w14:paraId="73A20D1C">
      <w:pPr>
        <w:snapToGrid w:val="0"/>
        <w:spacing w:after="120" w:afterLines="50"/>
        <w:ind w:left="41" w:leftChars="17"/>
        <w:jc w:val="center"/>
        <w:rPr>
          <w:rFonts w:ascii="宋体" w:hAnsi="宋体" w:cs="Arial"/>
          <w:b/>
          <w:sz w:val="30"/>
          <w:szCs w:val="30"/>
        </w:rPr>
      </w:pPr>
      <w:r>
        <w:rPr>
          <w:rFonts w:hint="eastAsia" w:ascii="宋体" w:hAnsi="宋体" w:cs="Arial"/>
          <w:b/>
          <w:sz w:val="30"/>
          <w:szCs w:val="30"/>
        </w:rPr>
        <w:t>发包人提供的材料和设备一览表</w:t>
      </w:r>
    </w:p>
    <w:tbl>
      <w:tblPr>
        <w:tblStyle w:val="6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5"/>
        <w:gridCol w:w="2165"/>
        <w:gridCol w:w="991"/>
        <w:gridCol w:w="567"/>
        <w:gridCol w:w="566"/>
        <w:gridCol w:w="458"/>
        <w:gridCol w:w="1054"/>
        <w:gridCol w:w="1182"/>
        <w:gridCol w:w="927"/>
        <w:gridCol w:w="1052"/>
      </w:tblGrid>
      <w:tr w14:paraId="76C6D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95" w:type="dxa"/>
            <w:vAlign w:val="center"/>
          </w:tcPr>
          <w:p w14:paraId="78658EFF">
            <w:pPr>
              <w:snapToGrid w:val="0"/>
              <w:ind w:left="41" w:leftChars="17"/>
              <w:jc w:val="center"/>
              <w:rPr>
                <w:rFonts w:ascii="宋体" w:hAnsi="宋体"/>
              </w:rPr>
            </w:pPr>
            <w:r>
              <w:rPr>
                <w:rFonts w:hint="eastAsia" w:ascii="宋体" w:hAnsi="宋体"/>
              </w:rPr>
              <w:t>序号</w:t>
            </w:r>
          </w:p>
        </w:tc>
        <w:tc>
          <w:tcPr>
            <w:tcW w:w="2165" w:type="dxa"/>
            <w:vAlign w:val="center"/>
          </w:tcPr>
          <w:p w14:paraId="1FD490D9">
            <w:pPr>
              <w:snapToGrid w:val="0"/>
              <w:ind w:left="41" w:leftChars="17"/>
              <w:jc w:val="center"/>
              <w:rPr>
                <w:rFonts w:ascii="宋体" w:hAnsi="宋体"/>
              </w:rPr>
            </w:pPr>
            <w:r>
              <w:rPr>
                <w:rFonts w:hint="eastAsia" w:ascii="宋体" w:hAnsi="宋体"/>
              </w:rPr>
              <w:t>材料设备</w:t>
            </w:r>
          </w:p>
          <w:p w14:paraId="133DCF26">
            <w:pPr>
              <w:snapToGrid w:val="0"/>
              <w:ind w:left="41" w:leftChars="17"/>
              <w:jc w:val="center"/>
              <w:rPr>
                <w:rFonts w:ascii="宋体" w:hAnsi="宋体"/>
              </w:rPr>
            </w:pPr>
            <w:r>
              <w:rPr>
                <w:rFonts w:hint="eastAsia" w:ascii="宋体" w:hAnsi="宋体"/>
              </w:rPr>
              <w:t>名</w:t>
            </w:r>
            <w:r>
              <w:rPr>
                <w:rFonts w:ascii="宋体" w:hAnsi="宋体"/>
              </w:rPr>
              <w:t xml:space="preserve">   </w:t>
            </w:r>
            <w:r>
              <w:rPr>
                <w:rFonts w:hint="eastAsia" w:ascii="宋体" w:hAnsi="宋体"/>
              </w:rPr>
              <w:t>称</w:t>
            </w:r>
          </w:p>
        </w:tc>
        <w:tc>
          <w:tcPr>
            <w:tcW w:w="991" w:type="dxa"/>
            <w:vAlign w:val="center"/>
          </w:tcPr>
          <w:p w14:paraId="37F47BDF">
            <w:pPr>
              <w:snapToGrid w:val="0"/>
              <w:ind w:left="41" w:leftChars="17"/>
              <w:jc w:val="center"/>
              <w:rPr>
                <w:rFonts w:ascii="宋体" w:hAnsi="宋体"/>
              </w:rPr>
            </w:pPr>
            <w:r>
              <w:rPr>
                <w:rFonts w:hint="eastAsia" w:ascii="宋体" w:hAnsi="宋体"/>
              </w:rPr>
              <w:t>规格</w:t>
            </w:r>
          </w:p>
          <w:p w14:paraId="6CFE829E">
            <w:pPr>
              <w:snapToGrid w:val="0"/>
              <w:ind w:left="41" w:leftChars="17"/>
              <w:jc w:val="center"/>
              <w:rPr>
                <w:rFonts w:ascii="宋体" w:hAnsi="宋体"/>
              </w:rPr>
            </w:pPr>
            <w:r>
              <w:rPr>
                <w:rFonts w:hint="eastAsia" w:ascii="宋体" w:hAnsi="宋体"/>
              </w:rPr>
              <w:t>型号</w:t>
            </w:r>
          </w:p>
        </w:tc>
        <w:tc>
          <w:tcPr>
            <w:tcW w:w="567" w:type="dxa"/>
            <w:vAlign w:val="center"/>
          </w:tcPr>
          <w:p w14:paraId="599FEB28">
            <w:pPr>
              <w:snapToGrid w:val="0"/>
              <w:ind w:left="41" w:leftChars="17"/>
              <w:jc w:val="center"/>
              <w:rPr>
                <w:rFonts w:ascii="宋体" w:hAnsi="宋体"/>
              </w:rPr>
            </w:pPr>
            <w:r>
              <w:rPr>
                <w:rFonts w:hint="eastAsia" w:ascii="宋体" w:hAnsi="宋体"/>
              </w:rPr>
              <w:t>单</w:t>
            </w:r>
          </w:p>
          <w:p w14:paraId="0E1AA7EE">
            <w:pPr>
              <w:snapToGrid w:val="0"/>
              <w:ind w:left="41" w:leftChars="17"/>
              <w:jc w:val="center"/>
              <w:rPr>
                <w:rFonts w:ascii="宋体" w:hAnsi="宋体"/>
              </w:rPr>
            </w:pPr>
            <w:r>
              <w:rPr>
                <w:rFonts w:hint="eastAsia" w:ascii="宋体" w:hAnsi="宋体"/>
              </w:rPr>
              <w:t>位</w:t>
            </w:r>
          </w:p>
        </w:tc>
        <w:tc>
          <w:tcPr>
            <w:tcW w:w="566" w:type="dxa"/>
            <w:vAlign w:val="center"/>
          </w:tcPr>
          <w:p w14:paraId="1A386C66">
            <w:pPr>
              <w:snapToGrid w:val="0"/>
              <w:ind w:left="41" w:leftChars="17"/>
              <w:jc w:val="center"/>
              <w:rPr>
                <w:rFonts w:ascii="宋体" w:hAnsi="宋体"/>
              </w:rPr>
            </w:pPr>
            <w:r>
              <w:rPr>
                <w:rFonts w:hint="eastAsia" w:ascii="宋体" w:hAnsi="宋体"/>
              </w:rPr>
              <w:t>数</w:t>
            </w:r>
          </w:p>
          <w:p w14:paraId="22555D53">
            <w:pPr>
              <w:snapToGrid w:val="0"/>
              <w:ind w:left="41" w:leftChars="17"/>
              <w:jc w:val="center"/>
              <w:rPr>
                <w:rFonts w:ascii="宋体" w:hAnsi="宋体"/>
              </w:rPr>
            </w:pPr>
            <w:r>
              <w:rPr>
                <w:rFonts w:hint="eastAsia" w:ascii="宋体" w:hAnsi="宋体"/>
              </w:rPr>
              <w:t>量</w:t>
            </w:r>
          </w:p>
        </w:tc>
        <w:tc>
          <w:tcPr>
            <w:tcW w:w="458" w:type="dxa"/>
            <w:vAlign w:val="center"/>
          </w:tcPr>
          <w:p w14:paraId="7D8F9601">
            <w:pPr>
              <w:snapToGrid w:val="0"/>
              <w:ind w:left="41" w:leftChars="17"/>
              <w:jc w:val="center"/>
              <w:rPr>
                <w:rFonts w:ascii="宋体" w:hAnsi="宋体"/>
              </w:rPr>
            </w:pPr>
            <w:r>
              <w:rPr>
                <w:rFonts w:hint="eastAsia" w:ascii="宋体" w:hAnsi="宋体"/>
              </w:rPr>
              <w:t>单</w:t>
            </w:r>
          </w:p>
          <w:p w14:paraId="11C0E4EC">
            <w:pPr>
              <w:snapToGrid w:val="0"/>
              <w:ind w:left="41" w:leftChars="17"/>
              <w:jc w:val="center"/>
              <w:rPr>
                <w:rFonts w:ascii="宋体" w:hAnsi="宋体"/>
              </w:rPr>
            </w:pPr>
            <w:r>
              <w:rPr>
                <w:rFonts w:hint="eastAsia" w:ascii="宋体" w:hAnsi="宋体"/>
              </w:rPr>
              <w:t>价</w:t>
            </w:r>
          </w:p>
        </w:tc>
        <w:tc>
          <w:tcPr>
            <w:tcW w:w="1054" w:type="dxa"/>
            <w:vAlign w:val="center"/>
          </w:tcPr>
          <w:p w14:paraId="06D26927">
            <w:pPr>
              <w:snapToGrid w:val="0"/>
              <w:ind w:left="41" w:leftChars="17"/>
              <w:jc w:val="center"/>
              <w:rPr>
                <w:rFonts w:ascii="宋体" w:hAnsi="宋体"/>
              </w:rPr>
            </w:pPr>
            <w:r>
              <w:rPr>
                <w:rFonts w:hint="eastAsia" w:ascii="宋体" w:hAnsi="宋体"/>
              </w:rPr>
              <w:t>品牌</w:t>
            </w:r>
          </w:p>
        </w:tc>
        <w:tc>
          <w:tcPr>
            <w:tcW w:w="1182" w:type="dxa"/>
            <w:vAlign w:val="center"/>
          </w:tcPr>
          <w:p w14:paraId="19A6951A">
            <w:pPr>
              <w:snapToGrid w:val="0"/>
              <w:ind w:left="41" w:leftChars="17"/>
              <w:jc w:val="center"/>
              <w:rPr>
                <w:rFonts w:ascii="宋体" w:hAnsi="宋体"/>
              </w:rPr>
            </w:pPr>
            <w:r>
              <w:rPr>
                <w:rFonts w:hint="eastAsia" w:ascii="宋体" w:hAnsi="宋体"/>
              </w:rPr>
              <w:t>生产厂家</w:t>
            </w:r>
          </w:p>
        </w:tc>
        <w:tc>
          <w:tcPr>
            <w:tcW w:w="927" w:type="dxa"/>
            <w:vAlign w:val="center"/>
          </w:tcPr>
          <w:p w14:paraId="0173BDB9">
            <w:pPr>
              <w:snapToGrid w:val="0"/>
              <w:ind w:left="41" w:leftChars="17"/>
              <w:jc w:val="center"/>
              <w:rPr>
                <w:rFonts w:ascii="宋体" w:hAnsi="宋体"/>
              </w:rPr>
            </w:pPr>
            <w:r>
              <w:rPr>
                <w:rFonts w:hint="eastAsia" w:ascii="宋体" w:hAnsi="宋体"/>
              </w:rPr>
              <w:t>供货</w:t>
            </w:r>
          </w:p>
          <w:p w14:paraId="436CD782">
            <w:pPr>
              <w:snapToGrid w:val="0"/>
              <w:ind w:left="41" w:leftChars="17"/>
              <w:jc w:val="center"/>
              <w:rPr>
                <w:rFonts w:ascii="宋体" w:hAnsi="宋体"/>
              </w:rPr>
            </w:pPr>
            <w:r>
              <w:rPr>
                <w:rFonts w:hint="eastAsia" w:ascii="宋体" w:hAnsi="宋体"/>
              </w:rPr>
              <w:t>交货</w:t>
            </w:r>
          </w:p>
          <w:p w14:paraId="60EE15B2">
            <w:pPr>
              <w:snapToGrid w:val="0"/>
              <w:ind w:left="41" w:leftChars="17"/>
              <w:jc w:val="center"/>
              <w:rPr>
                <w:rFonts w:ascii="宋体" w:hAnsi="宋体"/>
              </w:rPr>
            </w:pPr>
            <w:r>
              <w:rPr>
                <w:rFonts w:hint="eastAsia" w:ascii="宋体" w:hAnsi="宋体"/>
              </w:rPr>
              <w:t>时间</w:t>
            </w:r>
          </w:p>
        </w:tc>
        <w:tc>
          <w:tcPr>
            <w:tcW w:w="1052" w:type="dxa"/>
            <w:vAlign w:val="center"/>
          </w:tcPr>
          <w:p w14:paraId="3340CF69">
            <w:pPr>
              <w:snapToGrid w:val="0"/>
              <w:ind w:left="41" w:leftChars="17"/>
              <w:jc w:val="center"/>
              <w:rPr>
                <w:rFonts w:ascii="宋体" w:hAnsi="宋体"/>
              </w:rPr>
            </w:pPr>
            <w:r>
              <w:rPr>
                <w:rFonts w:hint="eastAsia" w:ascii="宋体" w:hAnsi="宋体"/>
              </w:rPr>
              <w:t>备注</w:t>
            </w:r>
          </w:p>
        </w:tc>
      </w:tr>
      <w:tr w14:paraId="65A317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B7ED734">
            <w:pPr>
              <w:keepNext/>
              <w:keepLines/>
              <w:snapToGrid w:val="0"/>
              <w:spacing w:before="340" w:after="330"/>
              <w:ind w:left="41" w:leftChars="17"/>
              <w:jc w:val="center"/>
              <w:outlineLvl w:val="0"/>
              <w:rPr>
                <w:rFonts w:ascii="宋体" w:hAnsi="宋体"/>
                <w:szCs w:val="21"/>
              </w:rPr>
            </w:pPr>
          </w:p>
        </w:tc>
        <w:tc>
          <w:tcPr>
            <w:tcW w:w="2165" w:type="dxa"/>
          </w:tcPr>
          <w:p w14:paraId="2B979A96">
            <w:pPr>
              <w:snapToGrid w:val="0"/>
              <w:ind w:left="41" w:leftChars="17"/>
              <w:rPr>
                <w:rFonts w:ascii="宋体" w:hAnsi="宋体"/>
              </w:rPr>
            </w:pPr>
            <w:r>
              <w:rPr>
                <w:rFonts w:hint="eastAsia" w:ascii="宋体" w:hAnsi="宋体"/>
              </w:rPr>
              <w:t>无</w:t>
            </w:r>
          </w:p>
        </w:tc>
        <w:tc>
          <w:tcPr>
            <w:tcW w:w="991" w:type="dxa"/>
          </w:tcPr>
          <w:p w14:paraId="6D30FBD5">
            <w:pPr>
              <w:keepNext/>
              <w:keepLines/>
              <w:snapToGrid w:val="0"/>
              <w:spacing w:before="240" w:after="240"/>
              <w:ind w:left="41" w:leftChars="17"/>
              <w:outlineLvl w:val="2"/>
              <w:rPr>
                <w:rFonts w:ascii="宋体" w:hAnsi="宋体"/>
              </w:rPr>
            </w:pPr>
          </w:p>
        </w:tc>
        <w:tc>
          <w:tcPr>
            <w:tcW w:w="567" w:type="dxa"/>
          </w:tcPr>
          <w:p w14:paraId="2EAEDA28">
            <w:pPr>
              <w:keepNext/>
              <w:keepLines/>
              <w:snapToGrid w:val="0"/>
              <w:spacing w:before="240" w:after="240"/>
              <w:ind w:left="41" w:leftChars="17"/>
              <w:outlineLvl w:val="2"/>
              <w:rPr>
                <w:rFonts w:ascii="宋体" w:hAnsi="宋体"/>
              </w:rPr>
            </w:pPr>
          </w:p>
        </w:tc>
        <w:tc>
          <w:tcPr>
            <w:tcW w:w="566" w:type="dxa"/>
          </w:tcPr>
          <w:p w14:paraId="45A9F277">
            <w:pPr>
              <w:keepNext/>
              <w:keepLines/>
              <w:snapToGrid w:val="0"/>
              <w:spacing w:before="240" w:after="240"/>
              <w:ind w:left="41" w:leftChars="17"/>
              <w:outlineLvl w:val="2"/>
              <w:rPr>
                <w:rFonts w:ascii="宋体" w:hAnsi="宋体"/>
              </w:rPr>
            </w:pPr>
          </w:p>
        </w:tc>
        <w:tc>
          <w:tcPr>
            <w:tcW w:w="458" w:type="dxa"/>
          </w:tcPr>
          <w:p w14:paraId="05BE77C2">
            <w:pPr>
              <w:keepNext/>
              <w:keepLines/>
              <w:snapToGrid w:val="0"/>
              <w:spacing w:before="240" w:after="240"/>
              <w:ind w:left="41" w:leftChars="17"/>
              <w:outlineLvl w:val="2"/>
              <w:rPr>
                <w:rFonts w:ascii="宋体" w:hAnsi="宋体"/>
              </w:rPr>
            </w:pPr>
          </w:p>
        </w:tc>
        <w:tc>
          <w:tcPr>
            <w:tcW w:w="1054" w:type="dxa"/>
          </w:tcPr>
          <w:p w14:paraId="30F0CF29">
            <w:pPr>
              <w:keepNext/>
              <w:keepLines/>
              <w:snapToGrid w:val="0"/>
              <w:spacing w:before="240" w:after="240"/>
              <w:ind w:left="41" w:leftChars="17"/>
              <w:outlineLvl w:val="2"/>
              <w:rPr>
                <w:rFonts w:ascii="宋体" w:hAnsi="宋体"/>
              </w:rPr>
            </w:pPr>
          </w:p>
        </w:tc>
        <w:tc>
          <w:tcPr>
            <w:tcW w:w="1182" w:type="dxa"/>
          </w:tcPr>
          <w:p w14:paraId="518919BB">
            <w:pPr>
              <w:keepNext/>
              <w:keepLines/>
              <w:snapToGrid w:val="0"/>
              <w:spacing w:before="240" w:after="240"/>
              <w:ind w:left="41" w:leftChars="17"/>
              <w:outlineLvl w:val="2"/>
              <w:rPr>
                <w:rFonts w:ascii="宋体" w:hAnsi="宋体"/>
              </w:rPr>
            </w:pPr>
          </w:p>
        </w:tc>
        <w:tc>
          <w:tcPr>
            <w:tcW w:w="927" w:type="dxa"/>
          </w:tcPr>
          <w:p w14:paraId="73DD04C7">
            <w:pPr>
              <w:keepNext/>
              <w:keepLines/>
              <w:snapToGrid w:val="0"/>
              <w:spacing w:before="240" w:after="240"/>
              <w:ind w:left="41" w:leftChars="17"/>
              <w:outlineLvl w:val="2"/>
              <w:rPr>
                <w:rFonts w:ascii="宋体" w:hAnsi="宋体"/>
              </w:rPr>
            </w:pPr>
          </w:p>
        </w:tc>
        <w:tc>
          <w:tcPr>
            <w:tcW w:w="1052" w:type="dxa"/>
          </w:tcPr>
          <w:p w14:paraId="3C17B69D">
            <w:pPr>
              <w:keepNext/>
              <w:keepLines/>
              <w:snapToGrid w:val="0"/>
              <w:spacing w:before="240" w:after="240"/>
              <w:ind w:left="41" w:leftChars="17"/>
              <w:outlineLvl w:val="2"/>
              <w:rPr>
                <w:rFonts w:ascii="宋体" w:hAnsi="宋体"/>
              </w:rPr>
            </w:pPr>
          </w:p>
        </w:tc>
      </w:tr>
      <w:tr w14:paraId="13216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1CB0E66">
            <w:pPr>
              <w:keepNext/>
              <w:keepLines/>
              <w:snapToGrid w:val="0"/>
              <w:spacing w:before="240" w:after="240"/>
              <w:ind w:left="41" w:leftChars="17"/>
              <w:outlineLvl w:val="2"/>
              <w:rPr>
                <w:rFonts w:ascii="宋体" w:hAnsi="宋体"/>
              </w:rPr>
            </w:pPr>
          </w:p>
        </w:tc>
        <w:tc>
          <w:tcPr>
            <w:tcW w:w="2165" w:type="dxa"/>
          </w:tcPr>
          <w:p w14:paraId="3AEF10E7">
            <w:pPr>
              <w:keepNext/>
              <w:keepLines/>
              <w:snapToGrid w:val="0"/>
              <w:spacing w:before="240" w:after="240"/>
              <w:ind w:left="41" w:leftChars="17"/>
              <w:outlineLvl w:val="2"/>
              <w:rPr>
                <w:rFonts w:ascii="宋体" w:hAnsi="宋体"/>
              </w:rPr>
            </w:pPr>
          </w:p>
        </w:tc>
        <w:tc>
          <w:tcPr>
            <w:tcW w:w="991" w:type="dxa"/>
          </w:tcPr>
          <w:p w14:paraId="08EF4757">
            <w:pPr>
              <w:keepNext/>
              <w:keepLines/>
              <w:snapToGrid w:val="0"/>
              <w:spacing w:before="240" w:after="240"/>
              <w:ind w:left="41" w:leftChars="17"/>
              <w:outlineLvl w:val="2"/>
              <w:rPr>
                <w:rFonts w:ascii="宋体" w:hAnsi="宋体"/>
              </w:rPr>
            </w:pPr>
          </w:p>
        </w:tc>
        <w:tc>
          <w:tcPr>
            <w:tcW w:w="567" w:type="dxa"/>
          </w:tcPr>
          <w:p w14:paraId="1052377A">
            <w:pPr>
              <w:keepNext/>
              <w:keepLines/>
              <w:snapToGrid w:val="0"/>
              <w:spacing w:before="240" w:after="240"/>
              <w:ind w:left="41" w:leftChars="17"/>
              <w:outlineLvl w:val="2"/>
              <w:rPr>
                <w:rFonts w:ascii="宋体" w:hAnsi="宋体"/>
              </w:rPr>
            </w:pPr>
          </w:p>
        </w:tc>
        <w:tc>
          <w:tcPr>
            <w:tcW w:w="566" w:type="dxa"/>
          </w:tcPr>
          <w:p w14:paraId="5E3DDFD6">
            <w:pPr>
              <w:keepNext/>
              <w:keepLines/>
              <w:snapToGrid w:val="0"/>
              <w:spacing w:before="240" w:after="240"/>
              <w:ind w:left="41" w:leftChars="17"/>
              <w:outlineLvl w:val="2"/>
              <w:rPr>
                <w:rFonts w:ascii="宋体" w:hAnsi="宋体"/>
              </w:rPr>
            </w:pPr>
          </w:p>
        </w:tc>
        <w:tc>
          <w:tcPr>
            <w:tcW w:w="458" w:type="dxa"/>
          </w:tcPr>
          <w:p w14:paraId="54ABEFA0">
            <w:pPr>
              <w:keepNext/>
              <w:keepLines/>
              <w:snapToGrid w:val="0"/>
              <w:spacing w:before="240" w:after="240"/>
              <w:ind w:left="41" w:leftChars="17"/>
              <w:outlineLvl w:val="2"/>
              <w:rPr>
                <w:rFonts w:ascii="宋体" w:hAnsi="宋体"/>
              </w:rPr>
            </w:pPr>
          </w:p>
        </w:tc>
        <w:tc>
          <w:tcPr>
            <w:tcW w:w="1054" w:type="dxa"/>
          </w:tcPr>
          <w:p w14:paraId="0A6B7617">
            <w:pPr>
              <w:keepNext/>
              <w:keepLines/>
              <w:snapToGrid w:val="0"/>
              <w:spacing w:before="240" w:after="240"/>
              <w:ind w:left="41" w:leftChars="17"/>
              <w:outlineLvl w:val="2"/>
              <w:rPr>
                <w:rFonts w:ascii="宋体" w:hAnsi="宋体"/>
              </w:rPr>
            </w:pPr>
          </w:p>
        </w:tc>
        <w:tc>
          <w:tcPr>
            <w:tcW w:w="1182" w:type="dxa"/>
          </w:tcPr>
          <w:p w14:paraId="7DE02D84">
            <w:pPr>
              <w:keepNext/>
              <w:keepLines/>
              <w:snapToGrid w:val="0"/>
              <w:spacing w:before="240" w:after="240"/>
              <w:ind w:left="41" w:leftChars="17"/>
              <w:outlineLvl w:val="2"/>
              <w:rPr>
                <w:rFonts w:ascii="宋体" w:hAnsi="宋体"/>
              </w:rPr>
            </w:pPr>
          </w:p>
        </w:tc>
        <w:tc>
          <w:tcPr>
            <w:tcW w:w="927" w:type="dxa"/>
          </w:tcPr>
          <w:p w14:paraId="044313C7">
            <w:pPr>
              <w:keepNext/>
              <w:keepLines/>
              <w:snapToGrid w:val="0"/>
              <w:spacing w:before="240" w:after="240"/>
              <w:ind w:left="41" w:leftChars="17"/>
              <w:outlineLvl w:val="2"/>
              <w:rPr>
                <w:rFonts w:ascii="宋体" w:hAnsi="宋体"/>
              </w:rPr>
            </w:pPr>
          </w:p>
        </w:tc>
        <w:tc>
          <w:tcPr>
            <w:tcW w:w="1052" w:type="dxa"/>
          </w:tcPr>
          <w:p w14:paraId="32E405FC">
            <w:pPr>
              <w:keepNext/>
              <w:keepLines/>
              <w:snapToGrid w:val="0"/>
              <w:spacing w:before="240" w:after="240"/>
              <w:ind w:left="41" w:leftChars="17"/>
              <w:outlineLvl w:val="2"/>
              <w:rPr>
                <w:rFonts w:ascii="宋体" w:hAnsi="宋体"/>
              </w:rPr>
            </w:pPr>
          </w:p>
        </w:tc>
      </w:tr>
      <w:tr w14:paraId="3DD0C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3DF16BD">
            <w:pPr>
              <w:keepNext/>
              <w:keepLines/>
              <w:snapToGrid w:val="0"/>
              <w:spacing w:before="240" w:after="240"/>
              <w:ind w:left="41" w:leftChars="17"/>
              <w:outlineLvl w:val="2"/>
              <w:rPr>
                <w:rFonts w:ascii="宋体" w:hAnsi="宋体"/>
              </w:rPr>
            </w:pPr>
          </w:p>
        </w:tc>
        <w:tc>
          <w:tcPr>
            <w:tcW w:w="2165" w:type="dxa"/>
          </w:tcPr>
          <w:p w14:paraId="14724806">
            <w:pPr>
              <w:keepNext/>
              <w:keepLines/>
              <w:snapToGrid w:val="0"/>
              <w:spacing w:before="240" w:after="240"/>
              <w:ind w:left="41" w:leftChars="17"/>
              <w:outlineLvl w:val="2"/>
              <w:rPr>
                <w:rFonts w:ascii="宋体" w:hAnsi="宋体"/>
              </w:rPr>
            </w:pPr>
          </w:p>
        </w:tc>
        <w:tc>
          <w:tcPr>
            <w:tcW w:w="991" w:type="dxa"/>
          </w:tcPr>
          <w:p w14:paraId="21E25EB0">
            <w:pPr>
              <w:keepNext/>
              <w:keepLines/>
              <w:snapToGrid w:val="0"/>
              <w:spacing w:before="240" w:after="240"/>
              <w:ind w:left="41" w:leftChars="17"/>
              <w:outlineLvl w:val="2"/>
              <w:rPr>
                <w:rFonts w:ascii="宋体" w:hAnsi="宋体"/>
              </w:rPr>
            </w:pPr>
          </w:p>
        </w:tc>
        <w:tc>
          <w:tcPr>
            <w:tcW w:w="567" w:type="dxa"/>
          </w:tcPr>
          <w:p w14:paraId="3DD4329C">
            <w:pPr>
              <w:keepNext/>
              <w:keepLines/>
              <w:snapToGrid w:val="0"/>
              <w:spacing w:before="240" w:after="240"/>
              <w:ind w:left="41" w:leftChars="17"/>
              <w:outlineLvl w:val="2"/>
              <w:rPr>
                <w:rFonts w:ascii="宋体" w:hAnsi="宋体"/>
              </w:rPr>
            </w:pPr>
          </w:p>
        </w:tc>
        <w:tc>
          <w:tcPr>
            <w:tcW w:w="566" w:type="dxa"/>
          </w:tcPr>
          <w:p w14:paraId="7A90809F">
            <w:pPr>
              <w:keepNext/>
              <w:keepLines/>
              <w:snapToGrid w:val="0"/>
              <w:spacing w:before="240" w:after="240"/>
              <w:ind w:left="41" w:leftChars="17"/>
              <w:outlineLvl w:val="2"/>
              <w:rPr>
                <w:rFonts w:ascii="宋体" w:hAnsi="宋体"/>
              </w:rPr>
            </w:pPr>
          </w:p>
        </w:tc>
        <w:tc>
          <w:tcPr>
            <w:tcW w:w="458" w:type="dxa"/>
          </w:tcPr>
          <w:p w14:paraId="4FCFEB8F">
            <w:pPr>
              <w:keepNext/>
              <w:keepLines/>
              <w:snapToGrid w:val="0"/>
              <w:spacing w:before="240" w:after="240"/>
              <w:ind w:left="41" w:leftChars="17"/>
              <w:outlineLvl w:val="2"/>
              <w:rPr>
                <w:rFonts w:ascii="宋体" w:hAnsi="宋体"/>
              </w:rPr>
            </w:pPr>
          </w:p>
        </w:tc>
        <w:tc>
          <w:tcPr>
            <w:tcW w:w="1054" w:type="dxa"/>
          </w:tcPr>
          <w:p w14:paraId="70076FAB">
            <w:pPr>
              <w:keepNext/>
              <w:keepLines/>
              <w:snapToGrid w:val="0"/>
              <w:spacing w:before="240" w:after="240"/>
              <w:ind w:left="41" w:leftChars="17"/>
              <w:outlineLvl w:val="2"/>
              <w:rPr>
                <w:rFonts w:ascii="宋体" w:hAnsi="宋体"/>
              </w:rPr>
            </w:pPr>
          </w:p>
        </w:tc>
        <w:tc>
          <w:tcPr>
            <w:tcW w:w="1182" w:type="dxa"/>
          </w:tcPr>
          <w:p w14:paraId="2ABC3F0E">
            <w:pPr>
              <w:keepNext/>
              <w:keepLines/>
              <w:snapToGrid w:val="0"/>
              <w:spacing w:before="240" w:after="240"/>
              <w:ind w:left="41" w:leftChars="17"/>
              <w:outlineLvl w:val="2"/>
              <w:rPr>
                <w:rFonts w:ascii="宋体" w:hAnsi="宋体"/>
              </w:rPr>
            </w:pPr>
          </w:p>
        </w:tc>
        <w:tc>
          <w:tcPr>
            <w:tcW w:w="927" w:type="dxa"/>
          </w:tcPr>
          <w:p w14:paraId="18436DA4">
            <w:pPr>
              <w:keepNext/>
              <w:keepLines/>
              <w:snapToGrid w:val="0"/>
              <w:spacing w:before="240" w:after="240"/>
              <w:ind w:left="41" w:leftChars="17"/>
              <w:outlineLvl w:val="2"/>
              <w:rPr>
                <w:rFonts w:ascii="宋体" w:hAnsi="宋体"/>
              </w:rPr>
            </w:pPr>
          </w:p>
        </w:tc>
        <w:tc>
          <w:tcPr>
            <w:tcW w:w="1052" w:type="dxa"/>
          </w:tcPr>
          <w:p w14:paraId="7C552103">
            <w:pPr>
              <w:keepNext/>
              <w:keepLines/>
              <w:snapToGrid w:val="0"/>
              <w:spacing w:before="240" w:after="240"/>
              <w:ind w:left="41" w:leftChars="17"/>
              <w:outlineLvl w:val="2"/>
              <w:rPr>
                <w:rFonts w:ascii="宋体" w:hAnsi="宋体"/>
              </w:rPr>
            </w:pPr>
          </w:p>
        </w:tc>
      </w:tr>
      <w:tr w14:paraId="32A2C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292F0963">
            <w:pPr>
              <w:keepNext/>
              <w:keepLines/>
              <w:snapToGrid w:val="0"/>
              <w:spacing w:before="240" w:after="240"/>
              <w:ind w:left="41" w:leftChars="17"/>
              <w:outlineLvl w:val="2"/>
              <w:rPr>
                <w:rFonts w:ascii="宋体" w:hAnsi="宋体"/>
              </w:rPr>
            </w:pPr>
          </w:p>
        </w:tc>
        <w:tc>
          <w:tcPr>
            <w:tcW w:w="2165" w:type="dxa"/>
          </w:tcPr>
          <w:p w14:paraId="5D9A3EF2">
            <w:pPr>
              <w:keepNext/>
              <w:keepLines/>
              <w:snapToGrid w:val="0"/>
              <w:spacing w:before="240" w:after="240"/>
              <w:ind w:left="41" w:leftChars="17"/>
              <w:outlineLvl w:val="2"/>
              <w:rPr>
                <w:rFonts w:ascii="宋体" w:hAnsi="宋体"/>
              </w:rPr>
            </w:pPr>
          </w:p>
        </w:tc>
        <w:tc>
          <w:tcPr>
            <w:tcW w:w="991" w:type="dxa"/>
          </w:tcPr>
          <w:p w14:paraId="742516BC">
            <w:pPr>
              <w:keepNext/>
              <w:keepLines/>
              <w:snapToGrid w:val="0"/>
              <w:spacing w:before="240" w:after="240"/>
              <w:ind w:left="41" w:leftChars="17"/>
              <w:outlineLvl w:val="2"/>
              <w:rPr>
                <w:rFonts w:ascii="宋体" w:hAnsi="宋体"/>
              </w:rPr>
            </w:pPr>
          </w:p>
        </w:tc>
        <w:tc>
          <w:tcPr>
            <w:tcW w:w="567" w:type="dxa"/>
          </w:tcPr>
          <w:p w14:paraId="47002DA6">
            <w:pPr>
              <w:keepNext/>
              <w:keepLines/>
              <w:snapToGrid w:val="0"/>
              <w:spacing w:before="240" w:after="240"/>
              <w:ind w:left="41" w:leftChars="17"/>
              <w:outlineLvl w:val="2"/>
              <w:rPr>
                <w:rFonts w:ascii="宋体" w:hAnsi="宋体"/>
              </w:rPr>
            </w:pPr>
          </w:p>
        </w:tc>
        <w:tc>
          <w:tcPr>
            <w:tcW w:w="566" w:type="dxa"/>
          </w:tcPr>
          <w:p w14:paraId="246F5ADE">
            <w:pPr>
              <w:keepNext/>
              <w:keepLines/>
              <w:snapToGrid w:val="0"/>
              <w:spacing w:before="240" w:after="240"/>
              <w:ind w:left="41" w:leftChars="17"/>
              <w:outlineLvl w:val="2"/>
              <w:rPr>
                <w:rFonts w:ascii="宋体" w:hAnsi="宋体"/>
              </w:rPr>
            </w:pPr>
          </w:p>
        </w:tc>
        <w:tc>
          <w:tcPr>
            <w:tcW w:w="458" w:type="dxa"/>
          </w:tcPr>
          <w:p w14:paraId="5D0CB670">
            <w:pPr>
              <w:keepNext/>
              <w:keepLines/>
              <w:snapToGrid w:val="0"/>
              <w:spacing w:before="240" w:after="240"/>
              <w:ind w:left="41" w:leftChars="17"/>
              <w:outlineLvl w:val="2"/>
              <w:rPr>
                <w:rFonts w:ascii="宋体" w:hAnsi="宋体"/>
              </w:rPr>
            </w:pPr>
          </w:p>
        </w:tc>
        <w:tc>
          <w:tcPr>
            <w:tcW w:w="1054" w:type="dxa"/>
          </w:tcPr>
          <w:p w14:paraId="5816C0E9">
            <w:pPr>
              <w:keepNext/>
              <w:keepLines/>
              <w:snapToGrid w:val="0"/>
              <w:spacing w:before="240" w:after="240"/>
              <w:ind w:left="41" w:leftChars="17"/>
              <w:outlineLvl w:val="2"/>
              <w:rPr>
                <w:rFonts w:ascii="宋体" w:hAnsi="宋体"/>
              </w:rPr>
            </w:pPr>
          </w:p>
        </w:tc>
        <w:tc>
          <w:tcPr>
            <w:tcW w:w="1182" w:type="dxa"/>
          </w:tcPr>
          <w:p w14:paraId="083A5FCA">
            <w:pPr>
              <w:keepNext/>
              <w:keepLines/>
              <w:snapToGrid w:val="0"/>
              <w:spacing w:before="240" w:after="240"/>
              <w:ind w:left="41" w:leftChars="17"/>
              <w:outlineLvl w:val="2"/>
              <w:rPr>
                <w:rFonts w:ascii="宋体" w:hAnsi="宋体"/>
              </w:rPr>
            </w:pPr>
          </w:p>
        </w:tc>
        <w:tc>
          <w:tcPr>
            <w:tcW w:w="927" w:type="dxa"/>
          </w:tcPr>
          <w:p w14:paraId="3A890801">
            <w:pPr>
              <w:keepNext/>
              <w:keepLines/>
              <w:snapToGrid w:val="0"/>
              <w:spacing w:before="240" w:after="240"/>
              <w:ind w:left="41" w:leftChars="17"/>
              <w:outlineLvl w:val="2"/>
              <w:rPr>
                <w:rFonts w:ascii="宋体" w:hAnsi="宋体"/>
              </w:rPr>
            </w:pPr>
          </w:p>
        </w:tc>
        <w:tc>
          <w:tcPr>
            <w:tcW w:w="1052" w:type="dxa"/>
          </w:tcPr>
          <w:p w14:paraId="52DE99D6">
            <w:pPr>
              <w:keepNext/>
              <w:keepLines/>
              <w:snapToGrid w:val="0"/>
              <w:spacing w:before="240" w:after="240"/>
              <w:ind w:left="41" w:leftChars="17"/>
              <w:outlineLvl w:val="2"/>
              <w:rPr>
                <w:rFonts w:ascii="宋体" w:hAnsi="宋体"/>
              </w:rPr>
            </w:pPr>
          </w:p>
        </w:tc>
      </w:tr>
      <w:tr w14:paraId="12AA9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A846A8E">
            <w:pPr>
              <w:keepNext/>
              <w:keepLines/>
              <w:snapToGrid w:val="0"/>
              <w:spacing w:before="240" w:after="240"/>
              <w:ind w:left="41" w:leftChars="17"/>
              <w:outlineLvl w:val="2"/>
              <w:rPr>
                <w:rFonts w:ascii="宋体" w:hAnsi="宋体"/>
              </w:rPr>
            </w:pPr>
          </w:p>
        </w:tc>
        <w:tc>
          <w:tcPr>
            <w:tcW w:w="2165" w:type="dxa"/>
          </w:tcPr>
          <w:p w14:paraId="28D9D5B5">
            <w:pPr>
              <w:keepNext/>
              <w:keepLines/>
              <w:snapToGrid w:val="0"/>
              <w:spacing w:before="240" w:after="240"/>
              <w:ind w:left="41" w:leftChars="17"/>
              <w:outlineLvl w:val="2"/>
              <w:rPr>
                <w:rFonts w:ascii="宋体" w:hAnsi="宋体"/>
              </w:rPr>
            </w:pPr>
          </w:p>
        </w:tc>
        <w:tc>
          <w:tcPr>
            <w:tcW w:w="991" w:type="dxa"/>
          </w:tcPr>
          <w:p w14:paraId="1A29F31C">
            <w:pPr>
              <w:keepNext/>
              <w:keepLines/>
              <w:snapToGrid w:val="0"/>
              <w:spacing w:before="240" w:after="240"/>
              <w:ind w:left="41" w:leftChars="17"/>
              <w:outlineLvl w:val="2"/>
              <w:rPr>
                <w:rFonts w:ascii="宋体" w:hAnsi="宋体"/>
              </w:rPr>
            </w:pPr>
          </w:p>
        </w:tc>
        <w:tc>
          <w:tcPr>
            <w:tcW w:w="567" w:type="dxa"/>
          </w:tcPr>
          <w:p w14:paraId="794E7CFC">
            <w:pPr>
              <w:keepNext/>
              <w:keepLines/>
              <w:snapToGrid w:val="0"/>
              <w:spacing w:before="240" w:after="240"/>
              <w:ind w:left="41" w:leftChars="17"/>
              <w:outlineLvl w:val="2"/>
              <w:rPr>
                <w:rFonts w:ascii="宋体" w:hAnsi="宋体"/>
              </w:rPr>
            </w:pPr>
          </w:p>
        </w:tc>
        <w:tc>
          <w:tcPr>
            <w:tcW w:w="566" w:type="dxa"/>
          </w:tcPr>
          <w:p w14:paraId="407F961B">
            <w:pPr>
              <w:keepNext/>
              <w:keepLines/>
              <w:snapToGrid w:val="0"/>
              <w:spacing w:before="240" w:after="240"/>
              <w:ind w:left="41" w:leftChars="17"/>
              <w:outlineLvl w:val="2"/>
              <w:rPr>
                <w:rFonts w:ascii="宋体" w:hAnsi="宋体"/>
              </w:rPr>
            </w:pPr>
          </w:p>
        </w:tc>
        <w:tc>
          <w:tcPr>
            <w:tcW w:w="458" w:type="dxa"/>
          </w:tcPr>
          <w:p w14:paraId="3F607109">
            <w:pPr>
              <w:keepNext/>
              <w:keepLines/>
              <w:snapToGrid w:val="0"/>
              <w:spacing w:before="240" w:after="240"/>
              <w:ind w:left="41" w:leftChars="17"/>
              <w:outlineLvl w:val="2"/>
              <w:rPr>
                <w:rFonts w:ascii="宋体" w:hAnsi="宋体"/>
              </w:rPr>
            </w:pPr>
          </w:p>
        </w:tc>
        <w:tc>
          <w:tcPr>
            <w:tcW w:w="1054" w:type="dxa"/>
          </w:tcPr>
          <w:p w14:paraId="04404285">
            <w:pPr>
              <w:keepNext/>
              <w:keepLines/>
              <w:snapToGrid w:val="0"/>
              <w:spacing w:before="240" w:after="240"/>
              <w:ind w:left="41" w:leftChars="17"/>
              <w:outlineLvl w:val="2"/>
              <w:rPr>
                <w:rFonts w:ascii="宋体" w:hAnsi="宋体"/>
              </w:rPr>
            </w:pPr>
          </w:p>
        </w:tc>
        <w:tc>
          <w:tcPr>
            <w:tcW w:w="1182" w:type="dxa"/>
          </w:tcPr>
          <w:p w14:paraId="6D05DA5D">
            <w:pPr>
              <w:keepNext/>
              <w:keepLines/>
              <w:snapToGrid w:val="0"/>
              <w:spacing w:before="240" w:after="240"/>
              <w:ind w:left="41" w:leftChars="17"/>
              <w:outlineLvl w:val="2"/>
              <w:rPr>
                <w:rFonts w:ascii="宋体" w:hAnsi="宋体"/>
              </w:rPr>
            </w:pPr>
          </w:p>
        </w:tc>
        <w:tc>
          <w:tcPr>
            <w:tcW w:w="927" w:type="dxa"/>
          </w:tcPr>
          <w:p w14:paraId="18D6EBD7">
            <w:pPr>
              <w:keepNext/>
              <w:keepLines/>
              <w:snapToGrid w:val="0"/>
              <w:spacing w:before="240" w:after="240"/>
              <w:ind w:left="41" w:leftChars="17"/>
              <w:outlineLvl w:val="2"/>
              <w:rPr>
                <w:rFonts w:ascii="宋体" w:hAnsi="宋体"/>
              </w:rPr>
            </w:pPr>
          </w:p>
        </w:tc>
        <w:tc>
          <w:tcPr>
            <w:tcW w:w="1052" w:type="dxa"/>
          </w:tcPr>
          <w:p w14:paraId="45F1FDD7">
            <w:pPr>
              <w:keepNext/>
              <w:keepLines/>
              <w:snapToGrid w:val="0"/>
              <w:spacing w:before="240" w:after="240"/>
              <w:ind w:left="41" w:leftChars="17"/>
              <w:outlineLvl w:val="2"/>
              <w:rPr>
                <w:rFonts w:ascii="宋体" w:hAnsi="宋体"/>
              </w:rPr>
            </w:pPr>
          </w:p>
        </w:tc>
      </w:tr>
      <w:tr w14:paraId="2ACE2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509B402">
            <w:pPr>
              <w:keepNext/>
              <w:keepLines/>
              <w:snapToGrid w:val="0"/>
              <w:spacing w:before="240" w:after="240"/>
              <w:ind w:left="41" w:leftChars="17"/>
              <w:outlineLvl w:val="2"/>
              <w:rPr>
                <w:rFonts w:ascii="宋体" w:hAnsi="宋体"/>
              </w:rPr>
            </w:pPr>
          </w:p>
        </w:tc>
        <w:tc>
          <w:tcPr>
            <w:tcW w:w="2165" w:type="dxa"/>
          </w:tcPr>
          <w:p w14:paraId="07BF0A6E">
            <w:pPr>
              <w:keepNext/>
              <w:keepLines/>
              <w:snapToGrid w:val="0"/>
              <w:spacing w:before="240" w:after="240"/>
              <w:ind w:left="41" w:leftChars="17"/>
              <w:outlineLvl w:val="2"/>
              <w:rPr>
                <w:rFonts w:ascii="宋体" w:hAnsi="宋体"/>
              </w:rPr>
            </w:pPr>
          </w:p>
        </w:tc>
        <w:tc>
          <w:tcPr>
            <w:tcW w:w="991" w:type="dxa"/>
          </w:tcPr>
          <w:p w14:paraId="16F2E77C">
            <w:pPr>
              <w:keepNext/>
              <w:keepLines/>
              <w:snapToGrid w:val="0"/>
              <w:spacing w:before="240" w:after="240"/>
              <w:ind w:left="41" w:leftChars="17"/>
              <w:outlineLvl w:val="2"/>
              <w:rPr>
                <w:rFonts w:ascii="宋体" w:hAnsi="宋体"/>
              </w:rPr>
            </w:pPr>
          </w:p>
        </w:tc>
        <w:tc>
          <w:tcPr>
            <w:tcW w:w="567" w:type="dxa"/>
          </w:tcPr>
          <w:p w14:paraId="1C4A0AEE">
            <w:pPr>
              <w:keepNext/>
              <w:keepLines/>
              <w:snapToGrid w:val="0"/>
              <w:spacing w:before="240" w:after="240"/>
              <w:ind w:left="41" w:leftChars="17"/>
              <w:outlineLvl w:val="2"/>
              <w:rPr>
                <w:rFonts w:ascii="宋体" w:hAnsi="宋体"/>
              </w:rPr>
            </w:pPr>
          </w:p>
        </w:tc>
        <w:tc>
          <w:tcPr>
            <w:tcW w:w="566" w:type="dxa"/>
          </w:tcPr>
          <w:p w14:paraId="7095BA78">
            <w:pPr>
              <w:keepNext/>
              <w:keepLines/>
              <w:snapToGrid w:val="0"/>
              <w:spacing w:before="240" w:after="240"/>
              <w:ind w:left="41" w:leftChars="17"/>
              <w:outlineLvl w:val="2"/>
              <w:rPr>
                <w:rFonts w:ascii="宋体" w:hAnsi="宋体"/>
              </w:rPr>
            </w:pPr>
          </w:p>
        </w:tc>
        <w:tc>
          <w:tcPr>
            <w:tcW w:w="458" w:type="dxa"/>
          </w:tcPr>
          <w:p w14:paraId="514D518B">
            <w:pPr>
              <w:keepNext/>
              <w:keepLines/>
              <w:snapToGrid w:val="0"/>
              <w:spacing w:before="240" w:after="240"/>
              <w:ind w:left="41" w:leftChars="17"/>
              <w:outlineLvl w:val="2"/>
              <w:rPr>
                <w:rFonts w:ascii="宋体" w:hAnsi="宋体"/>
              </w:rPr>
            </w:pPr>
          </w:p>
        </w:tc>
        <w:tc>
          <w:tcPr>
            <w:tcW w:w="1054" w:type="dxa"/>
          </w:tcPr>
          <w:p w14:paraId="4E29D85A">
            <w:pPr>
              <w:keepNext/>
              <w:keepLines/>
              <w:snapToGrid w:val="0"/>
              <w:spacing w:before="240" w:after="240"/>
              <w:ind w:left="41" w:leftChars="17"/>
              <w:outlineLvl w:val="2"/>
              <w:rPr>
                <w:rFonts w:ascii="宋体" w:hAnsi="宋体"/>
              </w:rPr>
            </w:pPr>
          </w:p>
        </w:tc>
        <w:tc>
          <w:tcPr>
            <w:tcW w:w="1182" w:type="dxa"/>
          </w:tcPr>
          <w:p w14:paraId="3ACBC4D6">
            <w:pPr>
              <w:keepNext/>
              <w:keepLines/>
              <w:snapToGrid w:val="0"/>
              <w:spacing w:before="240" w:after="240"/>
              <w:ind w:left="41" w:leftChars="17"/>
              <w:outlineLvl w:val="2"/>
              <w:rPr>
                <w:rFonts w:ascii="宋体" w:hAnsi="宋体"/>
              </w:rPr>
            </w:pPr>
          </w:p>
        </w:tc>
        <w:tc>
          <w:tcPr>
            <w:tcW w:w="927" w:type="dxa"/>
          </w:tcPr>
          <w:p w14:paraId="06716B6F">
            <w:pPr>
              <w:keepNext/>
              <w:keepLines/>
              <w:snapToGrid w:val="0"/>
              <w:spacing w:before="240" w:after="240"/>
              <w:ind w:left="41" w:leftChars="17"/>
              <w:outlineLvl w:val="2"/>
              <w:rPr>
                <w:rFonts w:ascii="宋体" w:hAnsi="宋体"/>
              </w:rPr>
            </w:pPr>
          </w:p>
        </w:tc>
        <w:tc>
          <w:tcPr>
            <w:tcW w:w="1052" w:type="dxa"/>
          </w:tcPr>
          <w:p w14:paraId="47B23012">
            <w:pPr>
              <w:keepNext/>
              <w:keepLines/>
              <w:snapToGrid w:val="0"/>
              <w:spacing w:before="240" w:after="240"/>
              <w:ind w:left="41" w:leftChars="17"/>
              <w:outlineLvl w:val="2"/>
              <w:rPr>
                <w:rFonts w:ascii="宋体" w:hAnsi="宋体"/>
              </w:rPr>
            </w:pPr>
          </w:p>
        </w:tc>
      </w:tr>
      <w:tr w14:paraId="4E384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64A165AF">
            <w:pPr>
              <w:keepNext/>
              <w:keepLines/>
              <w:snapToGrid w:val="0"/>
              <w:spacing w:before="240" w:after="240"/>
              <w:ind w:left="41" w:leftChars="17"/>
              <w:outlineLvl w:val="2"/>
              <w:rPr>
                <w:rFonts w:ascii="宋体" w:hAnsi="宋体"/>
              </w:rPr>
            </w:pPr>
          </w:p>
        </w:tc>
        <w:tc>
          <w:tcPr>
            <w:tcW w:w="2165" w:type="dxa"/>
          </w:tcPr>
          <w:p w14:paraId="4CDABA10">
            <w:pPr>
              <w:keepNext/>
              <w:keepLines/>
              <w:snapToGrid w:val="0"/>
              <w:spacing w:before="240" w:after="240"/>
              <w:ind w:left="41" w:leftChars="17"/>
              <w:outlineLvl w:val="2"/>
              <w:rPr>
                <w:rFonts w:ascii="宋体" w:hAnsi="宋体"/>
              </w:rPr>
            </w:pPr>
          </w:p>
        </w:tc>
        <w:tc>
          <w:tcPr>
            <w:tcW w:w="991" w:type="dxa"/>
          </w:tcPr>
          <w:p w14:paraId="7CFB6131">
            <w:pPr>
              <w:keepNext/>
              <w:keepLines/>
              <w:snapToGrid w:val="0"/>
              <w:spacing w:before="240" w:after="240"/>
              <w:ind w:left="41" w:leftChars="17"/>
              <w:outlineLvl w:val="2"/>
              <w:rPr>
                <w:rFonts w:ascii="宋体" w:hAnsi="宋体"/>
              </w:rPr>
            </w:pPr>
          </w:p>
        </w:tc>
        <w:tc>
          <w:tcPr>
            <w:tcW w:w="567" w:type="dxa"/>
          </w:tcPr>
          <w:p w14:paraId="47E92FD0">
            <w:pPr>
              <w:keepNext/>
              <w:keepLines/>
              <w:snapToGrid w:val="0"/>
              <w:spacing w:before="240" w:after="240"/>
              <w:ind w:left="41" w:leftChars="17"/>
              <w:outlineLvl w:val="2"/>
              <w:rPr>
                <w:rFonts w:ascii="宋体" w:hAnsi="宋体"/>
              </w:rPr>
            </w:pPr>
          </w:p>
        </w:tc>
        <w:tc>
          <w:tcPr>
            <w:tcW w:w="566" w:type="dxa"/>
          </w:tcPr>
          <w:p w14:paraId="4DD5C08C">
            <w:pPr>
              <w:keepNext/>
              <w:keepLines/>
              <w:snapToGrid w:val="0"/>
              <w:spacing w:before="240" w:after="240"/>
              <w:ind w:left="41" w:leftChars="17"/>
              <w:outlineLvl w:val="2"/>
              <w:rPr>
                <w:rFonts w:ascii="宋体" w:hAnsi="宋体"/>
              </w:rPr>
            </w:pPr>
          </w:p>
        </w:tc>
        <w:tc>
          <w:tcPr>
            <w:tcW w:w="458" w:type="dxa"/>
          </w:tcPr>
          <w:p w14:paraId="13D6B4AF">
            <w:pPr>
              <w:keepNext/>
              <w:keepLines/>
              <w:snapToGrid w:val="0"/>
              <w:spacing w:before="240" w:after="240"/>
              <w:ind w:left="41" w:leftChars="17"/>
              <w:outlineLvl w:val="2"/>
              <w:rPr>
                <w:rFonts w:ascii="宋体" w:hAnsi="宋体"/>
              </w:rPr>
            </w:pPr>
          </w:p>
        </w:tc>
        <w:tc>
          <w:tcPr>
            <w:tcW w:w="1054" w:type="dxa"/>
          </w:tcPr>
          <w:p w14:paraId="17792D8D">
            <w:pPr>
              <w:keepNext/>
              <w:keepLines/>
              <w:snapToGrid w:val="0"/>
              <w:spacing w:before="240" w:after="240"/>
              <w:ind w:left="41" w:leftChars="17"/>
              <w:outlineLvl w:val="2"/>
              <w:rPr>
                <w:rFonts w:ascii="宋体" w:hAnsi="宋体"/>
              </w:rPr>
            </w:pPr>
          </w:p>
        </w:tc>
        <w:tc>
          <w:tcPr>
            <w:tcW w:w="1182" w:type="dxa"/>
          </w:tcPr>
          <w:p w14:paraId="38E9BA0B">
            <w:pPr>
              <w:keepNext/>
              <w:keepLines/>
              <w:snapToGrid w:val="0"/>
              <w:spacing w:before="240" w:after="240"/>
              <w:ind w:left="41" w:leftChars="17"/>
              <w:outlineLvl w:val="2"/>
              <w:rPr>
                <w:rFonts w:ascii="宋体" w:hAnsi="宋体"/>
              </w:rPr>
            </w:pPr>
          </w:p>
        </w:tc>
        <w:tc>
          <w:tcPr>
            <w:tcW w:w="927" w:type="dxa"/>
          </w:tcPr>
          <w:p w14:paraId="42259F69">
            <w:pPr>
              <w:keepNext/>
              <w:keepLines/>
              <w:snapToGrid w:val="0"/>
              <w:spacing w:before="240" w:after="240"/>
              <w:ind w:left="41" w:leftChars="17"/>
              <w:outlineLvl w:val="2"/>
              <w:rPr>
                <w:rFonts w:ascii="宋体" w:hAnsi="宋体"/>
              </w:rPr>
            </w:pPr>
          </w:p>
        </w:tc>
        <w:tc>
          <w:tcPr>
            <w:tcW w:w="1052" w:type="dxa"/>
          </w:tcPr>
          <w:p w14:paraId="5E927537">
            <w:pPr>
              <w:keepNext/>
              <w:keepLines/>
              <w:snapToGrid w:val="0"/>
              <w:spacing w:before="240" w:after="240"/>
              <w:ind w:left="41" w:leftChars="17"/>
              <w:outlineLvl w:val="2"/>
              <w:rPr>
                <w:rFonts w:ascii="宋体" w:hAnsi="宋体"/>
              </w:rPr>
            </w:pPr>
          </w:p>
        </w:tc>
      </w:tr>
      <w:tr w14:paraId="359A9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7DEBE1A">
            <w:pPr>
              <w:keepNext/>
              <w:keepLines/>
              <w:snapToGrid w:val="0"/>
              <w:spacing w:before="240" w:after="240"/>
              <w:ind w:left="41" w:leftChars="17"/>
              <w:outlineLvl w:val="2"/>
              <w:rPr>
                <w:rFonts w:ascii="宋体" w:hAnsi="宋体"/>
              </w:rPr>
            </w:pPr>
          </w:p>
        </w:tc>
        <w:tc>
          <w:tcPr>
            <w:tcW w:w="2165" w:type="dxa"/>
          </w:tcPr>
          <w:p w14:paraId="27391D11">
            <w:pPr>
              <w:keepNext/>
              <w:keepLines/>
              <w:snapToGrid w:val="0"/>
              <w:spacing w:before="240" w:after="240"/>
              <w:ind w:left="41" w:leftChars="17"/>
              <w:outlineLvl w:val="2"/>
              <w:rPr>
                <w:rFonts w:ascii="宋体" w:hAnsi="宋体"/>
              </w:rPr>
            </w:pPr>
          </w:p>
        </w:tc>
        <w:tc>
          <w:tcPr>
            <w:tcW w:w="991" w:type="dxa"/>
          </w:tcPr>
          <w:p w14:paraId="5D02C054">
            <w:pPr>
              <w:keepNext/>
              <w:keepLines/>
              <w:snapToGrid w:val="0"/>
              <w:spacing w:before="240" w:after="240"/>
              <w:ind w:left="41" w:leftChars="17"/>
              <w:outlineLvl w:val="2"/>
              <w:rPr>
                <w:rFonts w:ascii="宋体" w:hAnsi="宋体"/>
              </w:rPr>
            </w:pPr>
          </w:p>
        </w:tc>
        <w:tc>
          <w:tcPr>
            <w:tcW w:w="567" w:type="dxa"/>
          </w:tcPr>
          <w:p w14:paraId="636FF1FA">
            <w:pPr>
              <w:keepNext/>
              <w:keepLines/>
              <w:snapToGrid w:val="0"/>
              <w:spacing w:before="240" w:after="240"/>
              <w:ind w:left="41" w:leftChars="17"/>
              <w:outlineLvl w:val="2"/>
              <w:rPr>
                <w:rFonts w:ascii="宋体" w:hAnsi="宋体"/>
              </w:rPr>
            </w:pPr>
          </w:p>
        </w:tc>
        <w:tc>
          <w:tcPr>
            <w:tcW w:w="566" w:type="dxa"/>
          </w:tcPr>
          <w:p w14:paraId="07D64122">
            <w:pPr>
              <w:keepNext/>
              <w:keepLines/>
              <w:snapToGrid w:val="0"/>
              <w:spacing w:before="240" w:after="240"/>
              <w:ind w:left="41" w:leftChars="17"/>
              <w:outlineLvl w:val="2"/>
              <w:rPr>
                <w:rFonts w:ascii="宋体" w:hAnsi="宋体"/>
              </w:rPr>
            </w:pPr>
          </w:p>
        </w:tc>
        <w:tc>
          <w:tcPr>
            <w:tcW w:w="458" w:type="dxa"/>
          </w:tcPr>
          <w:p w14:paraId="134FC19B">
            <w:pPr>
              <w:keepNext/>
              <w:keepLines/>
              <w:snapToGrid w:val="0"/>
              <w:spacing w:before="240" w:after="240"/>
              <w:ind w:left="41" w:leftChars="17"/>
              <w:outlineLvl w:val="2"/>
              <w:rPr>
                <w:rFonts w:ascii="宋体" w:hAnsi="宋体"/>
              </w:rPr>
            </w:pPr>
          </w:p>
        </w:tc>
        <w:tc>
          <w:tcPr>
            <w:tcW w:w="1054" w:type="dxa"/>
          </w:tcPr>
          <w:p w14:paraId="0CD646F2">
            <w:pPr>
              <w:keepNext/>
              <w:keepLines/>
              <w:snapToGrid w:val="0"/>
              <w:spacing w:before="240" w:after="240"/>
              <w:ind w:left="41" w:leftChars="17"/>
              <w:outlineLvl w:val="2"/>
              <w:rPr>
                <w:rFonts w:ascii="宋体" w:hAnsi="宋体"/>
              </w:rPr>
            </w:pPr>
          </w:p>
        </w:tc>
        <w:tc>
          <w:tcPr>
            <w:tcW w:w="1182" w:type="dxa"/>
          </w:tcPr>
          <w:p w14:paraId="540DC37A">
            <w:pPr>
              <w:keepNext/>
              <w:keepLines/>
              <w:snapToGrid w:val="0"/>
              <w:spacing w:before="240" w:after="240"/>
              <w:ind w:left="41" w:leftChars="17"/>
              <w:outlineLvl w:val="2"/>
              <w:rPr>
                <w:rFonts w:ascii="宋体" w:hAnsi="宋体"/>
              </w:rPr>
            </w:pPr>
          </w:p>
        </w:tc>
        <w:tc>
          <w:tcPr>
            <w:tcW w:w="927" w:type="dxa"/>
          </w:tcPr>
          <w:p w14:paraId="7BB52341">
            <w:pPr>
              <w:keepNext/>
              <w:keepLines/>
              <w:snapToGrid w:val="0"/>
              <w:spacing w:before="240" w:after="240"/>
              <w:ind w:left="41" w:leftChars="17"/>
              <w:outlineLvl w:val="2"/>
              <w:rPr>
                <w:rFonts w:ascii="宋体" w:hAnsi="宋体"/>
              </w:rPr>
            </w:pPr>
          </w:p>
        </w:tc>
        <w:tc>
          <w:tcPr>
            <w:tcW w:w="1052" w:type="dxa"/>
          </w:tcPr>
          <w:p w14:paraId="4B6A80EE">
            <w:pPr>
              <w:keepNext/>
              <w:keepLines/>
              <w:snapToGrid w:val="0"/>
              <w:spacing w:before="240" w:after="240"/>
              <w:ind w:left="41" w:leftChars="17"/>
              <w:outlineLvl w:val="2"/>
              <w:rPr>
                <w:rFonts w:ascii="宋体" w:hAnsi="宋体"/>
              </w:rPr>
            </w:pPr>
          </w:p>
        </w:tc>
      </w:tr>
      <w:tr w14:paraId="3E4B4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40BA7AB">
            <w:pPr>
              <w:keepNext/>
              <w:keepLines/>
              <w:snapToGrid w:val="0"/>
              <w:spacing w:before="240" w:after="240"/>
              <w:ind w:left="41" w:leftChars="17"/>
              <w:outlineLvl w:val="2"/>
              <w:rPr>
                <w:rFonts w:ascii="宋体" w:hAnsi="宋体"/>
              </w:rPr>
            </w:pPr>
          </w:p>
        </w:tc>
        <w:tc>
          <w:tcPr>
            <w:tcW w:w="2165" w:type="dxa"/>
          </w:tcPr>
          <w:p w14:paraId="64FD9744">
            <w:pPr>
              <w:keepNext/>
              <w:keepLines/>
              <w:snapToGrid w:val="0"/>
              <w:spacing w:before="240" w:after="240"/>
              <w:ind w:left="41" w:leftChars="17"/>
              <w:outlineLvl w:val="2"/>
              <w:rPr>
                <w:rFonts w:ascii="宋体" w:hAnsi="宋体"/>
              </w:rPr>
            </w:pPr>
          </w:p>
        </w:tc>
        <w:tc>
          <w:tcPr>
            <w:tcW w:w="991" w:type="dxa"/>
          </w:tcPr>
          <w:p w14:paraId="1CE76C02">
            <w:pPr>
              <w:keepNext/>
              <w:keepLines/>
              <w:snapToGrid w:val="0"/>
              <w:spacing w:before="240" w:after="240"/>
              <w:ind w:left="41" w:leftChars="17"/>
              <w:outlineLvl w:val="2"/>
              <w:rPr>
                <w:rFonts w:ascii="宋体" w:hAnsi="宋体"/>
              </w:rPr>
            </w:pPr>
          </w:p>
        </w:tc>
        <w:tc>
          <w:tcPr>
            <w:tcW w:w="567" w:type="dxa"/>
          </w:tcPr>
          <w:p w14:paraId="6A8DB08F">
            <w:pPr>
              <w:keepNext/>
              <w:keepLines/>
              <w:snapToGrid w:val="0"/>
              <w:spacing w:before="240" w:after="240"/>
              <w:ind w:left="41" w:leftChars="17"/>
              <w:outlineLvl w:val="2"/>
              <w:rPr>
                <w:rFonts w:ascii="宋体" w:hAnsi="宋体"/>
              </w:rPr>
            </w:pPr>
          </w:p>
        </w:tc>
        <w:tc>
          <w:tcPr>
            <w:tcW w:w="566" w:type="dxa"/>
          </w:tcPr>
          <w:p w14:paraId="23654904">
            <w:pPr>
              <w:keepNext/>
              <w:keepLines/>
              <w:snapToGrid w:val="0"/>
              <w:spacing w:before="240" w:after="240"/>
              <w:ind w:left="41" w:leftChars="17"/>
              <w:outlineLvl w:val="2"/>
              <w:rPr>
                <w:rFonts w:ascii="宋体" w:hAnsi="宋体"/>
              </w:rPr>
            </w:pPr>
          </w:p>
        </w:tc>
        <w:tc>
          <w:tcPr>
            <w:tcW w:w="458" w:type="dxa"/>
          </w:tcPr>
          <w:p w14:paraId="595C4D64">
            <w:pPr>
              <w:keepNext/>
              <w:keepLines/>
              <w:snapToGrid w:val="0"/>
              <w:spacing w:before="240" w:after="240"/>
              <w:ind w:left="41" w:leftChars="17"/>
              <w:outlineLvl w:val="2"/>
              <w:rPr>
                <w:rFonts w:ascii="宋体" w:hAnsi="宋体"/>
              </w:rPr>
            </w:pPr>
          </w:p>
        </w:tc>
        <w:tc>
          <w:tcPr>
            <w:tcW w:w="1054" w:type="dxa"/>
          </w:tcPr>
          <w:p w14:paraId="5C517DA8">
            <w:pPr>
              <w:keepNext/>
              <w:keepLines/>
              <w:snapToGrid w:val="0"/>
              <w:spacing w:before="240" w:after="240"/>
              <w:ind w:left="41" w:leftChars="17"/>
              <w:outlineLvl w:val="2"/>
              <w:rPr>
                <w:rFonts w:ascii="宋体" w:hAnsi="宋体"/>
              </w:rPr>
            </w:pPr>
          </w:p>
        </w:tc>
        <w:tc>
          <w:tcPr>
            <w:tcW w:w="1182" w:type="dxa"/>
          </w:tcPr>
          <w:p w14:paraId="7D3A222A">
            <w:pPr>
              <w:keepNext/>
              <w:keepLines/>
              <w:snapToGrid w:val="0"/>
              <w:spacing w:before="240" w:after="240"/>
              <w:ind w:left="41" w:leftChars="17"/>
              <w:outlineLvl w:val="2"/>
              <w:rPr>
                <w:rFonts w:ascii="宋体" w:hAnsi="宋体"/>
              </w:rPr>
            </w:pPr>
          </w:p>
        </w:tc>
        <w:tc>
          <w:tcPr>
            <w:tcW w:w="927" w:type="dxa"/>
          </w:tcPr>
          <w:p w14:paraId="4C33C006">
            <w:pPr>
              <w:keepNext/>
              <w:keepLines/>
              <w:snapToGrid w:val="0"/>
              <w:spacing w:before="240" w:after="240"/>
              <w:ind w:left="41" w:leftChars="17"/>
              <w:outlineLvl w:val="2"/>
              <w:rPr>
                <w:rFonts w:ascii="宋体" w:hAnsi="宋体"/>
              </w:rPr>
            </w:pPr>
          </w:p>
        </w:tc>
        <w:tc>
          <w:tcPr>
            <w:tcW w:w="1052" w:type="dxa"/>
          </w:tcPr>
          <w:p w14:paraId="6017E089">
            <w:pPr>
              <w:keepNext/>
              <w:keepLines/>
              <w:snapToGrid w:val="0"/>
              <w:spacing w:before="240" w:after="240"/>
              <w:ind w:left="41" w:leftChars="17"/>
              <w:outlineLvl w:val="2"/>
              <w:rPr>
                <w:rFonts w:ascii="宋体" w:hAnsi="宋体"/>
              </w:rPr>
            </w:pPr>
          </w:p>
        </w:tc>
      </w:tr>
      <w:tr w14:paraId="20E66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17B8F55D">
            <w:pPr>
              <w:keepNext/>
              <w:keepLines/>
              <w:snapToGrid w:val="0"/>
              <w:spacing w:before="240" w:after="240"/>
              <w:ind w:left="41" w:leftChars="17"/>
              <w:outlineLvl w:val="2"/>
              <w:rPr>
                <w:rFonts w:ascii="宋体" w:hAnsi="宋体"/>
              </w:rPr>
            </w:pPr>
          </w:p>
        </w:tc>
        <w:tc>
          <w:tcPr>
            <w:tcW w:w="2165" w:type="dxa"/>
          </w:tcPr>
          <w:p w14:paraId="659C8D1D">
            <w:pPr>
              <w:keepNext/>
              <w:keepLines/>
              <w:snapToGrid w:val="0"/>
              <w:spacing w:before="240" w:after="240"/>
              <w:ind w:left="41" w:leftChars="17"/>
              <w:outlineLvl w:val="2"/>
              <w:rPr>
                <w:rFonts w:ascii="宋体" w:hAnsi="宋体"/>
              </w:rPr>
            </w:pPr>
          </w:p>
        </w:tc>
        <w:tc>
          <w:tcPr>
            <w:tcW w:w="991" w:type="dxa"/>
          </w:tcPr>
          <w:p w14:paraId="4CF79804">
            <w:pPr>
              <w:keepNext/>
              <w:keepLines/>
              <w:snapToGrid w:val="0"/>
              <w:spacing w:before="240" w:after="240"/>
              <w:ind w:left="41" w:leftChars="17"/>
              <w:outlineLvl w:val="2"/>
              <w:rPr>
                <w:rFonts w:ascii="宋体" w:hAnsi="宋体"/>
              </w:rPr>
            </w:pPr>
          </w:p>
        </w:tc>
        <w:tc>
          <w:tcPr>
            <w:tcW w:w="567" w:type="dxa"/>
          </w:tcPr>
          <w:p w14:paraId="7B34C9A7">
            <w:pPr>
              <w:keepNext/>
              <w:keepLines/>
              <w:snapToGrid w:val="0"/>
              <w:spacing w:before="240" w:after="240"/>
              <w:ind w:left="41" w:leftChars="17"/>
              <w:outlineLvl w:val="2"/>
              <w:rPr>
                <w:rFonts w:ascii="宋体" w:hAnsi="宋体"/>
              </w:rPr>
            </w:pPr>
          </w:p>
        </w:tc>
        <w:tc>
          <w:tcPr>
            <w:tcW w:w="566" w:type="dxa"/>
          </w:tcPr>
          <w:p w14:paraId="6C6FCA9B">
            <w:pPr>
              <w:keepNext/>
              <w:keepLines/>
              <w:snapToGrid w:val="0"/>
              <w:spacing w:before="240" w:after="240"/>
              <w:ind w:left="41" w:leftChars="17"/>
              <w:outlineLvl w:val="2"/>
              <w:rPr>
                <w:rFonts w:ascii="宋体" w:hAnsi="宋体"/>
              </w:rPr>
            </w:pPr>
          </w:p>
        </w:tc>
        <w:tc>
          <w:tcPr>
            <w:tcW w:w="458" w:type="dxa"/>
          </w:tcPr>
          <w:p w14:paraId="1C726D3D">
            <w:pPr>
              <w:keepNext/>
              <w:keepLines/>
              <w:snapToGrid w:val="0"/>
              <w:spacing w:before="240" w:after="240"/>
              <w:ind w:left="41" w:leftChars="17"/>
              <w:outlineLvl w:val="2"/>
              <w:rPr>
                <w:rFonts w:ascii="宋体" w:hAnsi="宋体"/>
              </w:rPr>
            </w:pPr>
          </w:p>
        </w:tc>
        <w:tc>
          <w:tcPr>
            <w:tcW w:w="1054" w:type="dxa"/>
          </w:tcPr>
          <w:p w14:paraId="08FB285F">
            <w:pPr>
              <w:keepNext/>
              <w:keepLines/>
              <w:snapToGrid w:val="0"/>
              <w:spacing w:before="240" w:after="240"/>
              <w:ind w:left="41" w:leftChars="17"/>
              <w:outlineLvl w:val="2"/>
              <w:rPr>
                <w:rFonts w:ascii="宋体" w:hAnsi="宋体"/>
              </w:rPr>
            </w:pPr>
          </w:p>
        </w:tc>
        <w:tc>
          <w:tcPr>
            <w:tcW w:w="1182" w:type="dxa"/>
          </w:tcPr>
          <w:p w14:paraId="578B8349">
            <w:pPr>
              <w:keepNext/>
              <w:keepLines/>
              <w:snapToGrid w:val="0"/>
              <w:spacing w:before="240" w:after="240"/>
              <w:ind w:left="41" w:leftChars="17"/>
              <w:outlineLvl w:val="2"/>
              <w:rPr>
                <w:rFonts w:ascii="宋体" w:hAnsi="宋体"/>
              </w:rPr>
            </w:pPr>
          </w:p>
        </w:tc>
        <w:tc>
          <w:tcPr>
            <w:tcW w:w="927" w:type="dxa"/>
          </w:tcPr>
          <w:p w14:paraId="6856E31C">
            <w:pPr>
              <w:keepNext/>
              <w:keepLines/>
              <w:snapToGrid w:val="0"/>
              <w:spacing w:before="240" w:after="240"/>
              <w:ind w:left="41" w:leftChars="17"/>
              <w:outlineLvl w:val="2"/>
              <w:rPr>
                <w:rFonts w:ascii="宋体" w:hAnsi="宋体"/>
              </w:rPr>
            </w:pPr>
          </w:p>
        </w:tc>
        <w:tc>
          <w:tcPr>
            <w:tcW w:w="1052" w:type="dxa"/>
          </w:tcPr>
          <w:p w14:paraId="2CDE4CBF">
            <w:pPr>
              <w:keepNext/>
              <w:keepLines/>
              <w:snapToGrid w:val="0"/>
              <w:spacing w:before="240" w:after="240"/>
              <w:ind w:left="41" w:leftChars="17"/>
              <w:outlineLvl w:val="2"/>
              <w:rPr>
                <w:rFonts w:ascii="宋体" w:hAnsi="宋体"/>
              </w:rPr>
            </w:pPr>
          </w:p>
        </w:tc>
      </w:tr>
      <w:tr w14:paraId="536DF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AF66DC6">
            <w:pPr>
              <w:keepNext/>
              <w:keepLines/>
              <w:snapToGrid w:val="0"/>
              <w:spacing w:before="240" w:after="240"/>
              <w:ind w:left="41" w:leftChars="17"/>
              <w:outlineLvl w:val="2"/>
              <w:rPr>
                <w:rFonts w:ascii="宋体" w:hAnsi="宋体"/>
              </w:rPr>
            </w:pPr>
          </w:p>
        </w:tc>
        <w:tc>
          <w:tcPr>
            <w:tcW w:w="2165" w:type="dxa"/>
          </w:tcPr>
          <w:p w14:paraId="4A8C6634">
            <w:pPr>
              <w:keepNext/>
              <w:keepLines/>
              <w:snapToGrid w:val="0"/>
              <w:spacing w:before="240" w:after="240"/>
              <w:ind w:left="41" w:leftChars="17"/>
              <w:outlineLvl w:val="2"/>
              <w:rPr>
                <w:rFonts w:ascii="宋体" w:hAnsi="宋体"/>
              </w:rPr>
            </w:pPr>
          </w:p>
        </w:tc>
        <w:tc>
          <w:tcPr>
            <w:tcW w:w="991" w:type="dxa"/>
          </w:tcPr>
          <w:p w14:paraId="60680475">
            <w:pPr>
              <w:keepNext/>
              <w:keepLines/>
              <w:snapToGrid w:val="0"/>
              <w:spacing w:before="240" w:after="240"/>
              <w:ind w:left="41" w:leftChars="17"/>
              <w:outlineLvl w:val="2"/>
              <w:rPr>
                <w:rFonts w:ascii="宋体" w:hAnsi="宋体"/>
              </w:rPr>
            </w:pPr>
          </w:p>
        </w:tc>
        <w:tc>
          <w:tcPr>
            <w:tcW w:w="567" w:type="dxa"/>
          </w:tcPr>
          <w:p w14:paraId="542D7C6E">
            <w:pPr>
              <w:keepNext/>
              <w:keepLines/>
              <w:snapToGrid w:val="0"/>
              <w:spacing w:before="240" w:after="240"/>
              <w:ind w:left="41" w:leftChars="17"/>
              <w:outlineLvl w:val="2"/>
              <w:rPr>
                <w:rFonts w:ascii="宋体" w:hAnsi="宋体"/>
              </w:rPr>
            </w:pPr>
          </w:p>
        </w:tc>
        <w:tc>
          <w:tcPr>
            <w:tcW w:w="566" w:type="dxa"/>
          </w:tcPr>
          <w:p w14:paraId="3573D64D">
            <w:pPr>
              <w:keepNext/>
              <w:keepLines/>
              <w:snapToGrid w:val="0"/>
              <w:spacing w:before="240" w:after="240"/>
              <w:ind w:left="41" w:leftChars="17"/>
              <w:outlineLvl w:val="2"/>
              <w:rPr>
                <w:rFonts w:ascii="宋体" w:hAnsi="宋体"/>
              </w:rPr>
            </w:pPr>
          </w:p>
        </w:tc>
        <w:tc>
          <w:tcPr>
            <w:tcW w:w="458" w:type="dxa"/>
          </w:tcPr>
          <w:p w14:paraId="4BF0F8F3">
            <w:pPr>
              <w:keepNext/>
              <w:keepLines/>
              <w:snapToGrid w:val="0"/>
              <w:spacing w:before="240" w:after="240"/>
              <w:ind w:left="41" w:leftChars="17"/>
              <w:outlineLvl w:val="2"/>
              <w:rPr>
                <w:rFonts w:ascii="宋体" w:hAnsi="宋体"/>
              </w:rPr>
            </w:pPr>
          </w:p>
        </w:tc>
        <w:tc>
          <w:tcPr>
            <w:tcW w:w="1054" w:type="dxa"/>
          </w:tcPr>
          <w:p w14:paraId="234A1C96">
            <w:pPr>
              <w:keepNext/>
              <w:keepLines/>
              <w:snapToGrid w:val="0"/>
              <w:spacing w:before="240" w:after="240"/>
              <w:ind w:left="41" w:leftChars="17"/>
              <w:outlineLvl w:val="2"/>
              <w:rPr>
                <w:rFonts w:ascii="宋体" w:hAnsi="宋体"/>
              </w:rPr>
            </w:pPr>
          </w:p>
        </w:tc>
        <w:tc>
          <w:tcPr>
            <w:tcW w:w="1182" w:type="dxa"/>
          </w:tcPr>
          <w:p w14:paraId="5EB2EB17">
            <w:pPr>
              <w:keepNext/>
              <w:keepLines/>
              <w:snapToGrid w:val="0"/>
              <w:spacing w:before="240" w:after="240"/>
              <w:ind w:left="41" w:leftChars="17"/>
              <w:outlineLvl w:val="2"/>
              <w:rPr>
                <w:rFonts w:ascii="宋体" w:hAnsi="宋体"/>
              </w:rPr>
            </w:pPr>
          </w:p>
        </w:tc>
        <w:tc>
          <w:tcPr>
            <w:tcW w:w="927" w:type="dxa"/>
          </w:tcPr>
          <w:p w14:paraId="508644FF">
            <w:pPr>
              <w:keepNext/>
              <w:keepLines/>
              <w:snapToGrid w:val="0"/>
              <w:spacing w:before="240" w:after="240"/>
              <w:ind w:left="41" w:leftChars="17"/>
              <w:outlineLvl w:val="2"/>
              <w:rPr>
                <w:rFonts w:ascii="宋体" w:hAnsi="宋体"/>
              </w:rPr>
            </w:pPr>
          </w:p>
        </w:tc>
        <w:tc>
          <w:tcPr>
            <w:tcW w:w="1052" w:type="dxa"/>
          </w:tcPr>
          <w:p w14:paraId="230BCDD7">
            <w:pPr>
              <w:keepNext/>
              <w:keepLines/>
              <w:snapToGrid w:val="0"/>
              <w:spacing w:before="240" w:after="240"/>
              <w:ind w:left="41" w:leftChars="17"/>
              <w:outlineLvl w:val="2"/>
              <w:rPr>
                <w:rFonts w:ascii="宋体" w:hAnsi="宋体"/>
              </w:rPr>
            </w:pPr>
          </w:p>
        </w:tc>
      </w:tr>
      <w:tr w14:paraId="06051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589C940">
            <w:pPr>
              <w:keepNext/>
              <w:keepLines/>
              <w:snapToGrid w:val="0"/>
              <w:spacing w:before="240" w:after="240"/>
              <w:ind w:left="41" w:leftChars="17"/>
              <w:outlineLvl w:val="2"/>
              <w:rPr>
                <w:rFonts w:ascii="宋体" w:hAnsi="宋体"/>
              </w:rPr>
            </w:pPr>
          </w:p>
        </w:tc>
        <w:tc>
          <w:tcPr>
            <w:tcW w:w="2165" w:type="dxa"/>
          </w:tcPr>
          <w:p w14:paraId="0D779CB2">
            <w:pPr>
              <w:keepNext/>
              <w:keepLines/>
              <w:snapToGrid w:val="0"/>
              <w:spacing w:before="240" w:after="240"/>
              <w:ind w:left="41" w:leftChars="17"/>
              <w:outlineLvl w:val="2"/>
              <w:rPr>
                <w:rFonts w:ascii="宋体" w:hAnsi="宋体"/>
              </w:rPr>
            </w:pPr>
          </w:p>
        </w:tc>
        <w:tc>
          <w:tcPr>
            <w:tcW w:w="991" w:type="dxa"/>
          </w:tcPr>
          <w:p w14:paraId="79141198">
            <w:pPr>
              <w:keepNext/>
              <w:keepLines/>
              <w:snapToGrid w:val="0"/>
              <w:spacing w:before="240" w:after="240"/>
              <w:ind w:left="41" w:leftChars="17"/>
              <w:outlineLvl w:val="2"/>
              <w:rPr>
                <w:rFonts w:ascii="宋体" w:hAnsi="宋体"/>
              </w:rPr>
            </w:pPr>
          </w:p>
        </w:tc>
        <w:tc>
          <w:tcPr>
            <w:tcW w:w="567" w:type="dxa"/>
          </w:tcPr>
          <w:p w14:paraId="5AFDC256">
            <w:pPr>
              <w:keepNext/>
              <w:keepLines/>
              <w:snapToGrid w:val="0"/>
              <w:spacing w:before="240" w:after="240"/>
              <w:ind w:left="41" w:leftChars="17"/>
              <w:outlineLvl w:val="2"/>
              <w:rPr>
                <w:rFonts w:ascii="宋体" w:hAnsi="宋体"/>
              </w:rPr>
            </w:pPr>
          </w:p>
        </w:tc>
        <w:tc>
          <w:tcPr>
            <w:tcW w:w="566" w:type="dxa"/>
          </w:tcPr>
          <w:p w14:paraId="121D5446">
            <w:pPr>
              <w:keepNext/>
              <w:keepLines/>
              <w:snapToGrid w:val="0"/>
              <w:spacing w:before="240" w:after="240"/>
              <w:ind w:left="41" w:leftChars="17"/>
              <w:outlineLvl w:val="2"/>
              <w:rPr>
                <w:rFonts w:ascii="宋体" w:hAnsi="宋体"/>
              </w:rPr>
            </w:pPr>
          </w:p>
        </w:tc>
        <w:tc>
          <w:tcPr>
            <w:tcW w:w="458" w:type="dxa"/>
          </w:tcPr>
          <w:p w14:paraId="0964F2F9">
            <w:pPr>
              <w:keepNext/>
              <w:keepLines/>
              <w:snapToGrid w:val="0"/>
              <w:spacing w:before="240" w:after="240"/>
              <w:ind w:left="41" w:leftChars="17"/>
              <w:outlineLvl w:val="2"/>
              <w:rPr>
                <w:rFonts w:ascii="宋体" w:hAnsi="宋体"/>
              </w:rPr>
            </w:pPr>
          </w:p>
        </w:tc>
        <w:tc>
          <w:tcPr>
            <w:tcW w:w="1054" w:type="dxa"/>
          </w:tcPr>
          <w:p w14:paraId="26EA4864">
            <w:pPr>
              <w:keepNext/>
              <w:keepLines/>
              <w:snapToGrid w:val="0"/>
              <w:spacing w:before="240" w:after="240"/>
              <w:ind w:left="41" w:leftChars="17"/>
              <w:outlineLvl w:val="2"/>
              <w:rPr>
                <w:rFonts w:ascii="宋体" w:hAnsi="宋体"/>
              </w:rPr>
            </w:pPr>
          </w:p>
        </w:tc>
        <w:tc>
          <w:tcPr>
            <w:tcW w:w="1182" w:type="dxa"/>
          </w:tcPr>
          <w:p w14:paraId="71EE666C">
            <w:pPr>
              <w:keepNext/>
              <w:keepLines/>
              <w:snapToGrid w:val="0"/>
              <w:spacing w:before="240" w:after="240"/>
              <w:ind w:left="41" w:leftChars="17"/>
              <w:outlineLvl w:val="2"/>
              <w:rPr>
                <w:rFonts w:ascii="宋体" w:hAnsi="宋体"/>
              </w:rPr>
            </w:pPr>
          </w:p>
        </w:tc>
        <w:tc>
          <w:tcPr>
            <w:tcW w:w="927" w:type="dxa"/>
          </w:tcPr>
          <w:p w14:paraId="07F45C69">
            <w:pPr>
              <w:keepNext/>
              <w:keepLines/>
              <w:snapToGrid w:val="0"/>
              <w:spacing w:before="240" w:after="240"/>
              <w:ind w:left="41" w:leftChars="17"/>
              <w:outlineLvl w:val="2"/>
              <w:rPr>
                <w:rFonts w:ascii="宋体" w:hAnsi="宋体"/>
              </w:rPr>
            </w:pPr>
          </w:p>
        </w:tc>
        <w:tc>
          <w:tcPr>
            <w:tcW w:w="1052" w:type="dxa"/>
          </w:tcPr>
          <w:p w14:paraId="7250915C">
            <w:pPr>
              <w:keepNext/>
              <w:keepLines/>
              <w:snapToGrid w:val="0"/>
              <w:spacing w:before="240" w:after="240"/>
              <w:ind w:left="41" w:leftChars="17"/>
              <w:outlineLvl w:val="2"/>
              <w:rPr>
                <w:rFonts w:ascii="宋体" w:hAnsi="宋体"/>
              </w:rPr>
            </w:pPr>
          </w:p>
        </w:tc>
      </w:tr>
      <w:tr w14:paraId="0F70D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4B37E37">
            <w:pPr>
              <w:keepNext/>
              <w:keepLines/>
              <w:snapToGrid w:val="0"/>
              <w:spacing w:before="240" w:after="240"/>
              <w:ind w:left="41" w:leftChars="17"/>
              <w:outlineLvl w:val="2"/>
              <w:rPr>
                <w:rFonts w:ascii="宋体" w:hAnsi="宋体"/>
              </w:rPr>
            </w:pPr>
          </w:p>
        </w:tc>
        <w:tc>
          <w:tcPr>
            <w:tcW w:w="2165" w:type="dxa"/>
          </w:tcPr>
          <w:p w14:paraId="7FA1B3BC">
            <w:pPr>
              <w:keepNext/>
              <w:keepLines/>
              <w:snapToGrid w:val="0"/>
              <w:spacing w:before="240" w:after="240"/>
              <w:ind w:left="41" w:leftChars="17"/>
              <w:outlineLvl w:val="2"/>
              <w:rPr>
                <w:rFonts w:ascii="宋体" w:hAnsi="宋体"/>
              </w:rPr>
            </w:pPr>
          </w:p>
        </w:tc>
        <w:tc>
          <w:tcPr>
            <w:tcW w:w="991" w:type="dxa"/>
          </w:tcPr>
          <w:p w14:paraId="7D072C82">
            <w:pPr>
              <w:keepNext/>
              <w:keepLines/>
              <w:snapToGrid w:val="0"/>
              <w:spacing w:before="240" w:after="240"/>
              <w:ind w:left="41" w:leftChars="17"/>
              <w:outlineLvl w:val="2"/>
              <w:rPr>
                <w:rFonts w:ascii="宋体" w:hAnsi="宋体"/>
              </w:rPr>
            </w:pPr>
          </w:p>
        </w:tc>
        <w:tc>
          <w:tcPr>
            <w:tcW w:w="567" w:type="dxa"/>
          </w:tcPr>
          <w:p w14:paraId="20F29055">
            <w:pPr>
              <w:keepNext/>
              <w:keepLines/>
              <w:snapToGrid w:val="0"/>
              <w:spacing w:before="240" w:after="240"/>
              <w:ind w:left="41" w:leftChars="17"/>
              <w:outlineLvl w:val="2"/>
              <w:rPr>
                <w:rFonts w:ascii="宋体" w:hAnsi="宋体"/>
              </w:rPr>
            </w:pPr>
          </w:p>
        </w:tc>
        <w:tc>
          <w:tcPr>
            <w:tcW w:w="566" w:type="dxa"/>
          </w:tcPr>
          <w:p w14:paraId="3D470595">
            <w:pPr>
              <w:keepNext/>
              <w:keepLines/>
              <w:snapToGrid w:val="0"/>
              <w:spacing w:before="240" w:after="240"/>
              <w:ind w:left="41" w:leftChars="17"/>
              <w:outlineLvl w:val="2"/>
              <w:rPr>
                <w:rFonts w:ascii="宋体" w:hAnsi="宋体"/>
              </w:rPr>
            </w:pPr>
          </w:p>
        </w:tc>
        <w:tc>
          <w:tcPr>
            <w:tcW w:w="458" w:type="dxa"/>
          </w:tcPr>
          <w:p w14:paraId="4C477603">
            <w:pPr>
              <w:keepNext/>
              <w:keepLines/>
              <w:snapToGrid w:val="0"/>
              <w:spacing w:before="240" w:after="240"/>
              <w:ind w:left="41" w:leftChars="17"/>
              <w:outlineLvl w:val="2"/>
              <w:rPr>
                <w:rFonts w:ascii="宋体" w:hAnsi="宋体"/>
              </w:rPr>
            </w:pPr>
          </w:p>
        </w:tc>
        <w:tc>
          <w:tcPr>
            <w:tcW w:w="1054" w:type="dxa"/>
          </w:tcPr>
          <w:p w14:paraId="498E0BB8">
            <w:pPr>
              <w:keepNext/>
              <w:keepLines/>
              <w:snapToGrid w:val="0"/>
              <w:spacing w:before="240" w:after="240"/>
              <w:ind w:left="41" w:leftChars="17"/>
              <w:outlineLvl w:val="2"/>
              <w:rPr>
                <w:rFonts w:ascii="宋体" w:hAnsi="宋体"/>
              </w:rPr>
            </w:pPr>
          </w:p>
        </w:tc>
        <w:tc>
          <w:tcPr>
            <w:tcW w:w="1182" w:type="dxa"/>
          </w:tcPr>
          <w:p w14:paraId="19758B63">
            <w:pPr>
              <w:keepNext/>
              <w:keepLines/>
              <w:snapToGrid w:val="0"/>
              <w:spacing w:before="240" w:after="240"/>
              <w:ind w:left="41" w:leftChars="17"/>
              <w:outlineLvl w:val="2"/>
              <w:rPr>
                <w:rFonts w:ascii="宋体" w:hAnsi="宋体"/>
              </w:rPr>
            </w:pPr>
          </w:p>
        </w:tc>
        <w:tc>
          <w:tcPr>
            <w:tcW w:w="927" w:type="dxa"/>
          </w:tcPr>
          <w:p w14:paraId="59ACA343">
            <w:pPr>
              <w:keepNext/>
              <w:keepLines/>
              <w:snapToGrid w:val="0"/>
              <w:spacing w:before="240" w:after="240"/>
              <w:ind w:left="41" w:leftChars="17"/>
              <w:outlineLvl w:val="2"/>
              <w:rPr>
                <w:rFonts w:ascii="宋体" w:hAnsi="宋体"/>
              </w:rPr>
            </w:pPr>
          </w:p>
        </w:tc>
        <w:tc>
          <w:tcPr>
            <w:tcW w:w="1052" w:type="dxa"/>
          </w:tcPr>
          <w:p w14:paraId="65DBD722">
            <w:pPr>
              <w:keepNext/>
              <w:keepLines/>
              <w:snapToGrid w:val="0"/>
              <w:spacing w:before="240" w:after="240"/>
              <w:ind w:left="41" w:leftChars="17"/>
              <w:outlineLvl w:val="2"/>
              <w:rPr>
                <w:rFonts w:ascii="宋体" w:hAnsi="宋体"/>
              </w:rPr>
            </w:pPr>
          </w:p>
        </w:tc>
      </w:tr>
      <w:tr w14:paraId="50B2E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8E389BD">
            <w:pPr>
              <w:keepNext/>
              <w:keepLines/>
              <w:snapToGrid w:val="0"/>
              <w:spacing w:before="240" w:after="240"/>
              <w:ind w:left="41" w:leftChars="17"/>
              <w:outlineLvl w:val="2"/>
              <w:rPr>
                <w:rFonts w:ascii="宋体" w:hAnsi="宋体"/>
              </w:rPr>
            </w:pPr>
          </w:p>
        </w:tc>
        <w:tc>
          <w:tcPr>
            <w:tcW w:w="2165" w:type="dxa"/>
          </w:tcPr>
          <w:p w14:paraId="08628AF8">
            <w:pPr>
              <w:keepNext/>
              <w:keepLines/>
              <w:snapToGrid w:val="0"/>
              <w:spacing w:before="240" w:after="240"/>
              <w:ind w:left="41" w:leftChars="17"/>
              <w:outlineLvl w:val="2"/>
              <w:rPr>
                <w:rFonts w:ascii="宋体" w:hAnsi="宋体"/>
              </w:rPr>
            </w:pPr>
          </w:p>
        </w:tc>
        <w:tc>
          <w:tcPr>
            <w:tcW w:w="991" w:type="dxa"/>
          </w:tcPr>
          <w:p w14:paraId="2A6FE359">
            <w:pPr>
              <w:keepNext/>
              <w:keepLines/>
              <w:snapToGrid w:val="0"/>
              <w:spacing w:before="240" w:after="240"/>
              <w:ind w:left="41" w:leftChars="17"/>
              <w:outlineLvl w:val="2"/>
              <w:rPr>
                <w:rFonts w:ascii="宋体" w:hAnsi="宋体"/>
              </w:rPr>
            </w:pPr>
          </w:p>
        </w:tc>
        <w:tc>
          <w:tcPr>
            <w:tcW w:w="567" w:type="dxa"/>
          </w:tcPr>
          <w:p w14:paraId="477A1AEC">
            <w:pPr>
              <w:keepNext/>
              <w:keepLines/>
              <w:snapToGrid w:val="0"/>
              <w:spacing w:before="240" w:after="240"/>
              <w:ind w:left="41" w:leftChars="17"/>
              <w:outlineLvl w:val="2"/>
              <w:rPr>
                <w:rFonts w:ascii="宋体" w:hAnsi="宋体"/>
              </w:rPr>
            </w:pPr>
          </w:p>
        </w:tc>
        <w:tc>
          <w:tcPr>
            <w:tcW w:w="566" w:type="dxa"/>
          </w:tcPr>
          <w:p w14:paraId="04C0D1CD">
            <w:pPr>
              <w:keepNext/>
              <w:keepLines/>
              <w:snapToGrid w:val="0"/>
              <w:spacing w:before="240" w:after="240"/>
              <w:ind w:left="41" w:leftChars="17"/>
              <w:outlineLvl w:val="2"/>
              <w:rPr>
                <w:rFonts w:ascii="宋体" w:hAnsi="宋体"/>
              </w:rPr>
            </w:pPr>
          </w:p>
        </w:tc>
        <w:tc>
          <w:tcPr>
            <w:tcW w:w="458" w:type="dxa"/>
          </w:tcPr>
          <w:p w14:paraId="2BC51BDC">
            <w:pPr>
              <w:keepNext/>
              <w:keepLines/>
              <w:snapToGrid w:val="0"/>
              <w:spacing w:before="240" w:after="240"/>
              <w:ind w:left="41" w:leftChars="17"/>
              <w:outlineLvl w:val="2"/>
              <w:rPr>
                <w:rFonts w:ascii="宋体" w:hAnsi="宋体"/>
              </w:rPr>
            </w:pPr>
          </w:p>
        </w:tc>
        <w:tc>
          <w:tcPr>
            <w:tcW w:w="1054" w:type="dxa"/>
          </w:tcPr>
          <w:p w14:paraId="7D402FED">
            <w:pPr>
              <w:keepNext/>
              <w:keepLines/>
              <w:snapToGrid w:val="0"/>
              <w:spacing w:before="240" w:after="240"/>
              <w:ind w:left="41" w:leftChars="17"/>
              <w:outlineLvl w:val="2"/>
              <w:rPr>
                <w:rFonts w:ascii="宋体" w:hAnsi="宋体"/>
              </w:rPr>
            </w:pPr>
          </w:p>
        </w:tc>
        <w:tc>
          <w:tcPr>
            <w:tcW w:w="1182" w:type="dxa"/>
          </w:tcPr>
          <w:p w14:paraId="2F5C5F6A">
            <w:pPr>
              <w:keepNext/>
              <w:keepLines/>
              <w:snapToGrid w:val="0"/>
              <w:spacing w:before="240" w:after="240"/>
              <w:ind w:left="41" w:leftChars="17"/>
              <w:outlineLvl w:val="2"/>
              <w:rPr>
                <w:rFonts w:ascii="宋体" w:hAnsi="宋体"/>
              </w:rPr>
            </w:pPr>
          </w:p>
        </w:tc>
        <w:tc>
          <w:tcPr>
            <w:tcW w:w="927" w:type="dxa"/>
          </w:tcPr>
          <w:p w14:paraId="0C2864E7">
            <w:pPr>
              <w:keepNext/>
              <w:keepLines/>
              <w:snapToGrid w:val="0"/>
              <w:spacing w:before="240" w:after="240"/>
              <w:ind w:left="41" w:leftChars="17"/>
              <w:outlineLvl w:val="2"/>
              <w:rPr>
                <w:rFonts w:ascii="宋体" w:hAnsi="宋体"/>
              </w:rPr>
            </w:pPr>
          </w:p>
        </w:tc>
        <w:tc>
          <w:tcPr>
            <w:tcW w:w="1052" w:type="dxa"/>
          </w:tcPr>
          <w:p w14:paraId="38F1669C">
            <w:pPr>
              <w:keepNext/>
              <w:keepLines/>
              <w:snapToGrid w:val="0"/>
              <w:spacing w:before="240" w:after="240"/>
              <w:ind w:left="41" w:leftChars="17"/>
              <w:outlineLvl w:val="2"/>
              <w:rPr>
                <w:rFonts w:ascii="宋体" w:hAnsi="宋体"/>
              </w:rPr>
            </w:pPr>
          </w:p>
        </w:tc>
      </w:tr>
      <w:tr w14:paraId="717CA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CA2B324">
            <w:pPr>
              <w:keepNext/>
              <w:keepLines/>
              <w:snapToGrid w:val="0"/>
              <w:spacing w:before="240" w:after="240"/>
              <w:ind w:left="41" w:leftChars="17"/>
              <w:outlineLvl w:val="2"/>
              <w:rPr>
                <w:rFonts w:ascii="宋体" w:hAnsi="宋体"/>
              </w:rPr>
            </w:pPr>
          </w:p>
        </w:tc>
        <w:tc>
          <w:tcPr>
            <w:tcW w:w="2165" w:type="dxa"/>
          </w:tcPr>
          <w:p w14:paraId="7DBB56DC">
            <w:pPr>
              <w:keepNext/>
              <w:keepLines/>
              <w:snapToGrid w:val="0"/>
              <w:spacing w:before="240" w:after="240"/>
              <w:ind w:left="41" w:leftChars="17"/>
              <w:outlineLvl w:val="2"/>
              <w:rPr>
                <w:rFonts w:ascii="宋体" w:hAnsi="宋体"/>
              </w:rPr>
            </w:pPr>
          </w:p>
        </w:tc>
        <w:tc>
          <w:tcPr>
            <w:tcW w:w="991" w:type="dxa"/>
          </w:tcPr>
          <w:p w14:paraId="4644AA0F">
            <w:pPr>
              <w:keepNext/>
              <w:keepLines/>
              <w:snapToGrid w:val="0"/>
              <w:spacing w:before="240" w:after="240"/>
              <w:ind w:left="41" w:leftChars="17"/>
              <w:outlineLvl w:val="2"/>
              <w:rPr>
                <w:rFonts w:ascii="宋体" w:hAnsi="宋体"/>
              </w:rPr>
            </w:pPr>
          </w:p>
        </w:tc>
        <w:tc>
          <w:tcPr>
            <w:tcW w:w="567" w:type="dxa"/>
          </w:tcPr>
          <w:p w14:paraId="552418F5">
            <w:pPr>
              <w:keepNext/>
              <w:keepLines/>
              <w:snapToGrid w:val="0"/>
              <w:spacing w:before="240" w:after="240"/>
              <w:ind w:left="41" w:leftChars="17"/>
              <w:outlineLvl w:val="2"/>
              <w:rPr>
                <w:rFonts w:ascii="宋体" w:hAnsi="宋体"/>
              </w:rPr>
            </w:pPr>
          </w:p>
        </w:tc>
        <w:tc>
          <w:tcPr>
            <w:tcW w:w="566" w:type="dxa"/>
          </w:tcPr>
          <w:p w14:paraId="3BF15F49">
            <w:pPr>
              <w:keepNext/>
              <w:keepLines/>
              <w:snapToGrid w:val="0"/>
              <w:spacing w:before="240" w:after="240"/>
              <w:ind w:left="41" w:leftChars="17"/>
              <w:outlineLvl w:val="2"/>
              <w:rPr>
                <w:rFonts w:ascii="宋体" w:hAnsi="宋体"/>
              </w:rPr>
            </w:pPr>
          </w:p>
        </w:tc>
        <w:tc>
          <w:tcPr>
            <w:tcW w:w="458" w:type="dxa"/>
          </w:tcPr>
          <w:p w14:paraId="0C752D1F">
            <w:pPr>
              <w:keepNext/>
              <w:keepLines/>
              <w:snapToGrid w:val="0"/>
              <w:spacing w:before="240" w:after="240"/>
              <w:ind w:left="41" w:leftChars="17"/>
              <w:outlineLvl w:val="2"/>
              <w:rPr>
                <w:rFonts w:ascii="宋体" w:hAnsi="宋体"/>
              </w:rPr>
            </w:pPr>
          </w:p>
        </w:tc>
        <w:tc>
          <w:tcPr>
            <w:tcW w:w="1054" w:type="dxa"/>
          </w:tcPr>
          <w:p w14:paraId="4BCF7D69">
            <w:pPr>
              <w:keepNext/>
              <w:keepLines/>
              <w:snapToGrid w:val="0"/>
              <w:spacing w:before="240" w:after="240"/>
              <w:ind w:left="41" w:leftChars="17"/>
              <w:outlineLvl w:val="2"/>
              <w:rPr>
                <w:rFonts w:ascii="宋体" w:hAnsi="宋体"/>
              </w:rPr>
            </w:pPr>
          </w:p>
        </w:tc>
        <w:tc>
          <w:tcPr>
            <w:tcW w:w="1182" w:type="dxa"/>
          </w:tcPr>
          <w:p w14:paraId="0CE94419">
            <w:pPr>
              <w:keepNext/>
              <w:keepLines/>
              <w:snapToGrid w:val="0"/>
              <w:spacing w:before="240" w:after="240"/>
              <w:ind w:left="41" w:leftChars="17"/>
              <w:outlineLvl w:val="2"/>
              <w:rPr>
                <w:rFonts w:ascii="宋体" w:hAnsi="宋体"/>
              </w:rPr>
            </w:pPr>
          </w:p>
        </w:tc>
        <w:tc>
          <w:tcPr>
            <w:tcW w:w="927" w:type="dxa"/>
          </w:tcPr>
          <w:p w14:paraId="2F9CA2BB">
            <w:pPr>
              <w:keepNext/>
              <w:keepLines/>
              <w:snapToGrid w:val="0"/>
              <w:spacing w:before="240" w:after="240"/>
              <w:ind w:left="41" w:leftChars="17"/>
              <w:outlineLvl w:val="2"/>
              <w:rPr>
                <w:rFonts w:ascii="宋体" w:hAnsi="宋体"/>
              </w:rPr>
            </w:pPr>
          </w:p>
        </w:tc>
        <w:tc>
          <w:tcPr>
            <w:tcW w:w="1052" w:type="dxa"/>
          </w:tcPr>
          <w:p w14:paraId="6877693F">
            <w:pPr>
              <w:keepNext/>
              <w:keepLines/>
              <w:snapToGrid w:val="0"/>
              <w:spacing w:before="240" w:after="240"/>
              <w:ind w:left="41" w:leftChars="17"/>
              <w:outlineLvl w:val="2"/>
              <w:rPr>
                <w:rFonts w:ascii="宋体" w:hAnsi="宋体"/>
              </w:rPr>
            </w:pPr>
          </w:p>
        </w:tc>
      </w:tr>
      <w:tr w14:paraId="48725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142F7D12">
            <w:pPr>
              <w:keepNext/>
              <w:keepLines/>
              <w:snapToGrid w:val="0"/>
              <w:spacing w:before="240" w:after="240"/>
              <w:ind w:left="41" w:leftChars="17"/>
              <w:outlineLvl w:val="2"/>
              <w:rPr>
                <w:rFonts w:ascii="宋体" w:hAnsi="宋体"/>
              </w:rPr>
            </w:pPr>
          </w:p>
        </w:tc>
        <w:tc>
          <w:tcPr>
            <w:tcW w:w="2165" w:type="dxa"/>
          </w:tcPr>
          <w:p w14:paraId="1C82145A">
            <w:pPr>
              <w:keepNext/>
              <w:keepLines/>
              <w:snapToGrid w:val="0"/>
              <w:spacing w:before="240" w:after="240"/>
              <w:ind w:left="41" w:leftChars="17"/>
              <w:outlineLvl w:val="2"/>
              <w:rPr>
                <w:rFonts w:ascii="宋体" w:hAnsi="宋体"/>
              </w:rPr>
            </w:pPr>
          </w:p>
        </w:tc>
        <w:tc>
          <w:tcPr>
            <w:tcW w:w="991" w:type="dxa"/>
          </w:tcPr>
          <w:p w14:paraId="063F400C">
            <w:pPr>
              <w:keepNext/>
              <w:keepLines/>
              <w:snapToGrid w:val="0"/>
              <w:spacing w:before="240" w:after="240"/>
              <w:ind w:left="41" w:leftChars="17"/>
              <w:outlineLvl w:val="2"/>
              <w:rPr>
                <w:rFonts w:ascii="宋体" w:hAnsi="宋体"/>
              </w:rPr>
            </w:pPr>
          </w:p>
        </w:tc>
        <w:tc>
          <w:tcPr>
            <w:tcW w:w="567" w:type="dxa"/>
          </w:tcPr>
          <w:p w14:paraId="48BB8F0B">
            <w:pPr>
              <w:keepNext/>
              <w:keepLines/>
              <w:snapToGrid w:val="0"/>
              <w:spacing w:before="240" w:after="240"/>
              <w:ind w:left="41" w:leftChars="17"/>
              <w:outlineLvl w:val="2"/>
              <w:rPr>
                <w:rFonts w:ascii="宋体" w:hAnsi="宋体"/>
              </w:rPr>
            </w:pPr>
          </w:p>
        </w:tc>
        <w:tc>
          <w:tcPr>
            <w:tcW w:w="566" w:type="dxa"/>
          </w:tcPr>
          <w:p w14:paraId="316F3D5A">
            <w:pPr>
              <w:keepNext/>
              <w:keepLines/>
              <w:snapToGrid w:val="0"/>
              <w:spacing w:before="240" w:after="240"/>
              <w:ind w:left="41" w:leftChars="17"/>
              <w:outlineLvl w:val="2"/>
              <w:rPr>
                <w:rFonts w:ascii="宋体" w:hAnsi="宋体"/>
              </w:rPr>
            </w:pPr>
          </w:p>
        </w:tc>
        <w:tc>
          <w:tcPr>
            <w:tcW w:w="458" w:type="dxa"/>
          </w:tcPr>
          <w:p w14:paraId="04850DF7">
            <w:pPr>
              <w:keepNext/>
              <w:keepLines/>
              <w:snapToGrid w:val="0"/>
              <w:spacing w:before="240" w:after="240"/>
              <w:ind w:left="41" w:leftChars="17"/>
              <w:outlineLvl w:val="2"/>
              <w:rPr>
                <w:rFonts w:ascii="宋体" w:hAnsi="宋体"/>
              </w:rPr>
            </w:pPr>
          </w:p>
        </w:tc>
        <w:tc>
          <w:tcPr>
            <w:tcW w:w="1054" w:type="dxa"/>
          </w:tcPr>
          <w:p w14:paraId="1758BC11">
            <w:pPr>
              <w:keepNext/>
              <w:keepLines/>
              <w:snapToGrid w:val="0"/>
              <w:spacing w:before="240" w:after="240"/>
              <w:ind w:left="41" w:leftChars="17"/>
              <w:outlineLvl w:val="2"/>
              <w:rPr>
                <w:rFonts w:ascii="宋体" w:hAnsi="宋体"/>
              </w:rPr>
            </w:pPr>
          </w:p>
        </w:tc>
        <w:tc>
          <w:tcPr>
            <w:tcW w:w="1182" w:type="dxa"/>
          </w:tcPr>
          <w:p w14:paraId="3B891235">
            <w:pPr>
              <w:keepNext/>
              <w:keepLines/>
              <w:snapToGrid w:val="0"/>
              <w:spacing w:before="240" w:after="240"/>
              <w:ind w:left="41" w:leftChars="17"/>
              <w:outlineLvl w:val="2"/>
              <w:rPr>
                <w:rFonts w:ascii="宋体" w:hAnsi="宋体"/>
              </w:rPr>
            </w:pPr>
          </w:p>
        </w:tc>
        <w:tc>
          <w:tcPr>
            <w:tcW w:w="927" w:type="dxa"/>
          </w:tcPr>
          <w:p w14:paraId="2346F655">
            <w:pPr>
              <w:keepNext/>
              <w:keepLines/>
              <w:snapToGrid w:val="0"/>
              <w:spacing w:before="240" w:after="240"/>
              <w:ind w:left="41" w:leftChars="17"/>
              <w:outlineLvl w:val="2"/>
              <w:rPr>
                <w:rFonts w:ascii="宋体" w:hAnsi="宋体"/>
              </w:rPr>
            </w:pPr>
          </w:p>
        </w:tc>
        <w:tc>
          <w:tcPr>
            <w:tcW w:w="1052" w:type="dxa"/>
          </w:tcPr>
          <w:p w14:paraId="48899DAF">
            <w:pPr>
              <w:keepNext/>
              <w:keepLines/>
              <w:snapToGrid w:val="0"/>
              <w:spacing w:before="240" w:after="240"/>
              <w:ind w:left="41" w:leftChars="17"/>
              <w:outlineLvl w:val="2"/>
              <w:rPr>
                <w:rFonts w:ascii="宋体" w:hAnsi="宋体"/>
              </w:rPr>
            </w:pPr>
          </w:p>
        </w:tc>
      </w:tr>
      <w:tr w14:paraId="4FBAD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3A76F8F">
            <w:pPr>
              <w:keepNext/>
              <w:keepLines/>
              <w:snapToGrid w:val="0"/>
              <w:spacing w:before="240" w:after="240"/>
              <w:ind w:left="41" w:leftChars="17"/>
              <w:outlineLvl w:val="2"/>
              <w:rPr>
                <w:rFonts w:ascii="宋体" w:hAnsi="宋体"/>
              </w:rPr>
            </w:pPr>
          </w:p>
        </w:tc>
        <w:tc>
          <w:tcPr>
            <w:tcW w:w="2165" w:type="dxa"/>
          </w:tcPr>
          <w:p w14:paraId="13A88434">
            <w:pPr>
              <w:keepNext/>
              <w:keepLines/>
              <w:snapToGrid w:val="0"/>
              <w:spacing w:before="240" w:after="240"/>
              <w:ind w:left="41" w:leftChars="17"/>
              <w:outlineLvl w:val="2"/>
              <w:rPr>
                <w:rFonts w:ascii="宋体" w:hAnsi="宋体"/>
              </w:rPr>
            </w:pPr>
          </w:p>
        </w:tc>
        <w:tc>
          <w:tcPr>
            <w:tcW w:w="991" w:type="dxa"/>
          </w:tcPr>
          <w:p w14:paraId="175C1CC4">
            <w:pPr>
              <w:keepNext/>
              <w:keepLines/>
              <w:snapToGrid w:val="0"/>
              <w:spacing w:before="240" w:after="240"/>
              <w:ind w:left="41" w:leftChars="17"/>
              <w:outlineLvl w:val="2"/>
              <w:rPr>
                <w:rFonts w:ascii="宋体" w:hAnsi="宋体"/>
              </w:rPr>
            </w:pPr>
          </w:p>
        </w:tc>
        <w:tc>
          <w:tcPr>
            <w:tcW w:w="567" w:type="dxa"/>
          </w:tcPr>
          <w:p w14:paraId="42121088">
            <w:pPr>
              <w:keepNext/>
              <w:keepLines/>
              <w:snapToGrid w:val="0"/>
              <w:spacing w:before="240" w:after="240"/>
              <w:ind w:left="41" w:leftChars="17"/>
              <w:outlineLvl w:val="2"/>
              <w:rPr>
                <w:rFonts w:ascii="宋体" w:hAnsi="宋体"/>
              </w:rPr>
            </w:pPr>
          </w:p>
        </w:tc>
        <w:tc>
          <w:tcPr>
            <w:tcW w:w="566" w:type="dxa"/>
          </w:tcPr>
          <w:p w14:paraId="7379330C">
            <w:pPr>
              <w:keepNext/>
              <w:keepLines/>
              <w:snapToGrid w:val="0"/>
              <w:spacing w:before="240" w:after="240"/>
              <w:ind w:left="41" w:leftChars="17"/>
              <w:outlineLvl w:val="2"/>
              <w:rPr>
                <w:rFonts w:ascii="宋体" w:hAnsi="宋体"/>
              </w:rPr>
            </w:pPr>
          </w:p>
        </w:tc>
        <w:tc>
          <w:tcPr>
            <w:tcW w:w="458" w:type="dxa"/>
          </w:tcPr>
          <w:p w14:paraId="27E9CF37">
            <w:pPr>
              <w:keepNext/>
              <w:keepLines/>
              <w:snapToGrid w:val="0"/>
              <w:spacing w:before="240" w:after="240"/>
              <w:ind w:left="41" w:leftChars="17"/>
              <w:outlineLvl w:val="2"/>
              <w:rPr>
                <w:rFonts w:ascii="宋体" w:hAnsi="宋体"/>
              </w:rPr>
            </w:pPr>
          </w:p>
        </w:tc>
        <w:tc>
          <w:tcPr>
            <w:tcW w:w="1054" w:type="dxa"/>
          </w:tcPr>
          <w:p w14:paraId="3371B8D7">
            <w:pPr>
              <w:keepNext/>
              <w:keepLines/>
              <w:snapToGrid w:val="0"/>
              <w:spacing w:before="240" w:after="240"/>
              <w:ind w:left="41" w:leftChars="17"/>
              <w:outlineLvl w:val="2"/>
              <w:rPr>
                <w:rFonts w:ascii="宋体" w:hAnsi="宋体"/>
              </w:rPr>
            </w:pPr>
          </w:p>
        </w:tc>
        <w:tc>
          <w:tcPr>
            <w:tcW w:w="1182" w:type="dxa"/>
          </w:tcPr>
          <w:p w14:paraId="3A4985C1">
            <w:pPr>
              <w:keepNext/>
              <w:keepLines/>
              <w:snapToGrid w:val="0"/>
              <w:spacing w:before="240" w:after="240"/>
              <w:ind w:left="41" w:leftChars="17"/>
              <w:outlineLvl w:val="2"/>
              <w:rPr>
                <w:rFonts w:ascii="宋体" w:hAnsi="宋体"/>
              </w:rPr>
            </w:pPr>
          </w:p>
        </w:tc>
        <w:tc>
          <w:tcPr>
            <w:tcW w:w="927" w:type="dxa"/>
          </w:tcPr>
          <w:p w14:paraId="71DA421E">
            <w:pPr>
              <w:keepNext/>
              <w:keepLines/>
              <w:snapToGrid w:val="0"/>
              <w:spacing w:before="240" w:after="240"/>
              <w:ind w:left="41" w:leftChars="17"/>
              <w:outlineLvl w:val="2"/>
              <w:rPr>
                <w:rFonts w:ascii="宋体" w:hAnsi="宋体"/>
              </w:rPr>
            </w:pPr>
          </w:p>
        </w:tc>
        <w:tc>
          <w:tcPr>
            <w:tcW w:w="1052" w:type="dxa"/>
          </w:tcPr>
          <w:p w14:paraId="5D9C9B36">
            <w:pPr>
              <w:keepNext/>
              <w:keepLines/>
              <w:snapToGrid w:val="0"/>
              <w:spacing w:before="240" w:after="240"/>
              <w:ind w:left="41" w:leftChars="17"/>
              <w:outlineLvl w:val="2"/>
              <w:rPr>
                <w:rFonts w:ascii="宋体" w:hAnsi="宋体"/>
              </w:rPr>
            </w:pPr>
          </w:p>
        </w:tc>
      </w:tr>
      <w:tr w14:paraId="06716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06A349F1">
            <w:pPr>
              <w:keepNext/>
              <w:keepLines/>
              <w:snapToGrid w:val="0"/>
              <w:spacing w:before="240" w:after="240"/>
              <w:ind w:left="41" w:leftChars="17"/>
              <w:outlineLvl w:val="2"/>
              <w:rPr>
                <w:rFonts w:ascii="宋体" w:hAnsi="宋体"/>
              </w:rPr>
            </w:pPr>
          </w:p>
        </w:tc>
        <w:tc>
          <w:tcPr>
            <w:tcW w:w="2165" w:type="dxa"/>
          </w:tcPr>
          <w:p w14:paraId="45E36244">
            <w:pPr>
              <w:keepNext/>
              <w:keepLines/>
              <w:snapToGrid w:val="0"/>
              <w:spacing w:before="240" w:after="240"/>
              <w:ind w:left="41" w:leftChars="17"/>
              <w:outlineLvl w:val="2"/>
              <w:rPr>
                <w:rFonts w:ascii="宋体" w:hAnsi="宋体"/>
              </w:rPr>
            </w:pPr>
          </w:p>
        </w:tc>
        <w:tc>
          <w:tcPr>
            <w:tcW w:w="991" w:type="dxa"/>
          </w:tcPr>
          <w:p w14:paraId="7B0A4831">
            <w:pPr>
              <w:keepNext/>
              <w:keepLines/>
              <w:snapToGrid w:val="0"/>
              <w:spacing w:before="240" w:after="240"/>
              <w:ind w:left="41" w:leftChars="17"/>
              <w:outlineLvl w:val="2"/>
              <w:rPr>
                <w:rFonts w:ascii="宋体" w:hAnsi="宋体"/>
              </w:rPr>
            </w:pPr>
          </w:p>
        </w:tc>
        <w:tc>
          <w:tcPr>
            <w:tcW w:w="567" w:type="dxa"/>
          </w:tcPr>
          <w:p w14:paraId="471EC277">
            <w:pPr>
              <w:keepNext/>
              <w:keepLines/>
              <w:snapToGrid w:val="0"/>
              <w:spacing w:before="240" w:after="240"/>
              <w:ind w:left="41" w:leftChars="17"/>
              <w:outlineLvl w:val="2"/>
              <w:rPr>
                <w:rFonts w:ascii="宋体" w:hAnsi="宋体"/>
              </w:rPr>
            </w:pPr>
          </w:p>
        </w:tc>
        <w:tc>
          <w:tcPr>
            <w:tcW w:w="566" w:type="dxa"/>
          </w:tcPr>
          <w:p w14:paraId="48C5CC87">
            <w:pPr>
              <w:keepNext/>
              <w:keepLines/>
              <w:snapToGrid w:val="0"/>
              <w:spacing w:before="240" w:after="240"/>
              <w:ind w:left="41" w:leftChars="17"/>
              <w:outlineLvl w:val="2"/>
              <w:rPr>
                <w:rFonts w:ascii="宋体" w:hAnsi="宋体"/>
              </w:rPr>
            </w:pPr>
          </w:p>
        </w:tc>
        <w:tc>
          <w:tcPr>
            <w:tcW w:w="458" w:type="dxa"/>
          </w:tcPr>
          <w:p w14:paraId="7EB32F9E">
            <w:pPr>
              <w:keepNext/>
              <w:keepLines/>
              <w:snapToGrid w:val="0"/>
              <w:spacing w:before="240" w:after="240"/>
              <w:ind w:left="41" w:leftChars="17"/>
              <w:outlineLvl w:val="2"/>
              <w:rPr>
                <w:rFonts w:ascii="宋体" w:hAnsi="宋体"/>
              </w:rPr>
            </w:pPr>
          </w:p>
        </w:tc>
        <w:tc>
          <w:tcPr>
            <w:tcW w:w="1054" w:type="dxa"/>
          </w:tcPr>
          <w:p w14:paraId="11A22FA4">
            <w:pPr>
              <w:keepNext/>
              <w:keepLines/>
              <w:snapToGrid w:val="0"/>
              <w:spacing w:before="240" w:after="240"/>
              <w:ind w:left="41" w:leftChars="17"/>
              <w:outlineLvl w:val="2"/>
              <w:rPr>
                <w:rFonts w:ascii="宋体" w:hAnsi="宋体"/>
              </w:rPr>
            </w:pPr>
          </w:p>
        </w:tc>
        <w:tc>
          <w:tcPr>
            <w:tcW w:w="1182" w:type="dxa"/>
          </w:tcPr>
          <w:p w14:paraId="76B548AE">
            <w:pPr>
              <w:keepNext/>
              <w:keepLines/>
              <w:snapToGrid w:val="0"/>
              <w:spacing w:before="240" w:after="240"/>
              <w:ind w:left="41" w:leftChars="17"/>
              <w:outlineLvl w:val="2"/>
              <w:rPr>
                <w:rFonts w:ascii="宋体" w:hAnsi="宋体"/>
              </w:rPr>
            </w:pPr>
          </w:p>
        </w:tc>
        <w:tc>
          <w:tcPr>
            <w:tcW w:w="927" w:type="dxa"/>
          </w:tcPr>
          <w:p w14:paraId="132A1FDD">
            <w:pPr>
              <w:keepNext/>
              <w:keepLines/>
              <w:snapToGrid w:val="0"/>
              <w:spacing w:before="240" w:after="240"/>
              <w:ind w:left="41" w:leftChars="17"/>
              <w:outlineLvl w:val="2"/>
              <w:rPr>
                <w:rFonts w:ascii="宋体" w:hAnsi="宋体"/>
              </w:rPr>
            </w:pPr>
          </w:p>
        </w:tc>
        <w:tc>
          <w:tcPr>
            <w:tcW w:w="1052" w:type="dxa"/>
          </w:tcPr>
          <w:p w14:paraId="1BC4004E">
            <w:pPr>
              <w:keepNext/>
              <w:keepLines/>
              <w:snapToGrid w:val="0"/>
              <w:spacing w:before="240" w:after="240"/>
              <w:ind w:left="41" w:leftChars="17"/>
              <w:outlineLvl w:val="2"/>
              <w:rPr>
                <w:rFonts w:ascii="宋体" w:hAnsi="宋体"/>
              </w:rPr>
            </w:pPr>
          </w:p>
        </w:tc>
      </w:tr>
      <w:tr w14:paraId="3B1B3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6114CF34">
            <w:pPr>
              <w:keepNext/>
              <w:keepLines/>
              <w:snapToGrid w:val="0"/>
              <w:spacing w:before="240" w:after="240"/>
              <w:ind w:left="41" w:leftChars="17"/>
              <w:outlineLvl w:val="2"/>
              <w:rPr>
                <w:rFonts w:ascii="宋体" w:hAnsi="宋体"/>
              </w:rPr>
            </w:pPr>
          </w:p>
        </w:tc>
        <w:tc>
          <w:tcPr>
            <w:tcW w:w="2165" w:type="dxa"/>
          </w:tcPr>
          <w:p w14:paraId="0DD33626">
            <w:pPr>
              <w:keepNext/>
              <w:keepLines/>
              <w:snapToGrid w:val="0"/>
              <w:spacing w:before="240" w:after="240"/>
              <w:ind w:left="41" w:leftChars="17"/>
              <w:outlineLvl w:val="2"/>
              <w:rPr>
                <w:rFonts w:ascii="宋体" w:hAnsi="宋体"/>
              </w:rPr>
            </w:pPr>
          </w:p>
        </w:tc>
        <w:tc>
          <w:tcPr>
            <w:tcW w:w="991" w:type="dxa"/>
          </w:tcPr>
          <w:p w14:paraId="4CDD0B7F">
            <w:pPr>
              <w:keepNext/>
              <w:keepLines/>
              <w:snapToGrid w:val="0"/>
              <w:spacing w:before="240" w:after="240"/>
              <w:ind w:left="41" w:leftChars="17"/>
              <w:outlineLvl w:val="2"/>
              <w:rPr>
                <w:rFonts w:ascii="宋体" w:hAnsi="宋体"/>
              </w:rPr>
            </w:pPr>
          </w:p>
        </w:tc>
        <w:tc>
          <w:tcPr>
            <w:tcW w:w="567" w:type="dxa"/>
          </w:tcPr>
          <w:p w14:paraId="59496016">
            <w:pPr>
              <w:keepNext/>
              <w:keepLines/>
              <w:snapToGrid w:val="0"/>
              <w:spacing w:before="240" w:after="240"/>
              <w:ind w:left="41" w:leftChars="17"/>
              <w:outlineLvl w:val="2"/>
              <w:rPr>
                <w:rFonts w:ascii="宋体" w:hAnsi="宋体"/>
              </w:rPr>
            </w:pPr>
          </w:p>
        </w:tc>
        <w:tc>
          <w:tcPr>
            <w:tcW w:w="566" w:type="dxa"/>
          </w:tcPr>
          <w:p w14:paraId="342B18CF">
            <w:pPr>
              <w:keepNext/>
              <w:keepLines/>
              <w:snapToGrid w:val="0"/>
              <w:spacing w:before="240" w:after="240"/>
              <w:ind w:left="41" w:leftChars="17"/>
              <w:outlineLvl w:val="2"/>
              <w:rPr>
                <w:rFonts w:ascii="宋体" w:hAnsi="宋体"/>
              </w:rPr>
            </w:pPr>
          </w:p>
        </w:tc>
        <w:tc>
          <w:tcPr>
            <w:tcW w:w="458" w:type="dxa"/>
          </w:tcPr>
          <w:p w14:paraId="75450747">
            <w:pPr>
              <w:keepNext/>
              <w:keepLines/>
              <w:snapToGrid w:val="0"/>
              <w:spacing w:before="240" w:after="240"/>
              <w:ind w:left="41" w:leftChars="17"/>
              <w:outlineLvl w:val="2"/>
              <w:rPr>
                <w:rFonts w:ascii="宋体" w:hAnsi="宋体"/>
              </w:rPr>
            </w:pPr>
          </w:p>
        </w:tc>
        <w:tc>
          <w:tcPr>
            <w:tcW w:w="1054" w:type="dxa"/>
          </w:tcPr>
          <w:p w14:paraId="0AC1CB6C">
            <w:pPr>
              <w:keepNext/>
              <w:keepLines/>
              <w:snapToGrid w:val="0"/>
              <w:spacing w:before="240" w:after="240"/>
              <w:ind w:left="41" w:leftChars="17"/>
              <w:outlineLvl w:val="2"/>
              <w:rPr>
                <w:rFonts w:ascii="宋体" w:hAnsi="宋体"/>
              </w:rPr>
            </w:pPr>
          </w:p>
        </w:tc>
        <w:tc>
          <w:tcPr>
            <w:tcW w:w="1182" w:type="dxa"/>
          </w:tcPr>
          <w:p w14:paraId="4791D87F">
            <w:pPr>
              <w:keepNext/>
              <w:keepLines/>
              <w:snapToGrid w:val="0"/>
              <w:spacing w:before="240" w:after="240"/>
              <w:ind w:left="41" w:leftChars="17"/>
              <w:outlineLvl w:val="2"/>
              <w:rPr>
                <w:rFonts w:ascii="宋体" w:hAnsi="宋体"/>
              </w:rPr>
            </w:pPr>
          </w:p>
        </w:tc>
        <w:tc>
          <w:tcPr>
            <w:tcW w:w="927" w:type="dxa"/>
          </w:tcPr>
          <w:p w14:paraId="73A27977">
            <w:pPr>
              <w:keepNext/>
              <w:keepLines/>
              <w:snapToGrid w:val="0"/>
              <w:spacing w:before="240" w:after="240"/>
              <w:ind w:left="41" w:leftChars="17"/>
              <w:outlineLvl w:val="2"/>
              <w:rPr>
                <w:rFonts w:ascii="宋体" w:hAnsi="宋体"/>
              </w:rPr>
            </w:pPr>
          </w:p>
        </w:tc>
        <w:tc>
          <w:tcPr>
            <w:tcW w:w="1052" w:type="dxa"/>
          </w:tcPr>
          <w:p w14:paraId="478D624A">
            <w:pPr>
              <w:keepNext/>
              <w:keepLines/>
              <w:snapToGrid w:val="0"/>
              <w:spacing w:before="240" w:after="240"/>
              <w:ind w:left="41" w:leftChars="17"/>
              <w:outlineLvl w:val="2"/>
              <w:rPr>
                <w:rFonts w:ascii="宋体" w:hAnsi="宋体"/>
              </w:rPr>
            </w:pPr>
          </w:p>
        </w:tc>
      </w:tr>
      <w:tr w14:paraId="65EC5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08EDB832">
            <w:pPr>
              <w:keepNext/>
              <w:keepLines/>
              <w:snapToGrid w:val="0"/>
              <w:spacing w:before="240" w:after="240"/>
              <w:ind w:left="41" w:leftChars="17"/>
              <w:outlineLvl w:val="2"/>
              <w:rPr>
                <w:rFonts w:ascii="宋体" w:hAnsi="宋体"/>
              </w:rPr>
            </w:pPr>
          </w:p>
        </w:tc>
        <w:tc>
          <w:tcPr>
            <w:tcW w:w="2165" w:type="dxa"/>
          </w:tcPr>
          <w:p w14:paraId="37ED74B5">
            <w:pPr>
              <w:keepNext/>
              <w:keepLines/>
              <w:snapToGrid w:val="0"/>
              <w:spacing w:before="240" w:after="240"/>
              <w:ind w:left="41" w:leftChars="17"/>
              <w:outlineLvl w:val="2"/>
              <w:rPr>
                <w:rFonts w:ascii="宋体" w:hAnsi="宋体"/>
              </w:rPr>
            </w:pPr>
          </w:p>
        </w:tc>
        <w:tc>
          <w:tcPr>
            <w:tcW w:w="991" w:type="dxa"/>
          </w:tcPr>
          <w:p w14:paraId="7641D9B9">
            <w:pPr>
              <w:keepNext/>
              <w:keepLines/>
              <w:snapToGrid w:val="0"/>
              <w:spacing w:before="240" w:after="240"/>
              <w:ind w:left="41" w:leftChars="17"/>
              <w:outlineLvl w:val="2"/>
              <w:rPr>
                <w:rFonts w:ascii="宋体" w:hAnsi="宋体"/>
              </w:rPr>
            </w:pPr>
          </w:p>
        </w:tc>
        <w:tc>
          <w:tcPr>
            <w:tcW w:w="567" w:type="dxa"/>
          </w:tcPr>
          <w:p w14:paraId="1D8B3140">
            <w:pPr>
              <w:keepNext/>
              <w:keepLines/>
              <w:snapToGrid w:val="0"/>
              <w:spacing w:before="240" w:after="240"/>
              <w:ind w:left="41" w:leftChars="17"/>
              <w:outlineLvl w:val="2"/>
              <w:rPr>
                <w:rFonts w:ascii="宋体" w:hAnsi="宋体"/>
              </w:rPr>
            </w:pPr>
          </w:p>
        </w:tc>
        <w:tc>
          <w:tcPr>
            <w:tcW w:w="566" w:type="dxa"/>
          </w:tcPr>
          <w:p w14:paraId="103BE3A2">
            <w:pPr>
              <w:keepNext/>
              <w:keepLines/>
              <w:snapToGrid w:val="0"/>
              <w:spacing w:before="240" w:after="240"/>
              <w:ind w:left="41" w:leftChars="17"/>
              <w:outlineLvl w:val="2"/>
              <w:rPr>
                <w:rFonts w:ascii="宋体" w:hAnsi="宋体"/>
              </w:rPr>
            </w:pPr>
          </w:p>
        </w:tc>
        <w:tc>
          <w:tcPr>
            <w:tcW w:w="458" w:type="dxa"/>
          </w:tcPr>
          <w:p w14:paraId="33CF958B">
            <w:pPr>
              <w:keepNext/>
              <w:keepLines/>
              <w:snapToGrid w:val="0"/>
              <w:spacing w:before="240" w:after="240"/>
              <w:ind w:left="41" w:leftChars="17"/>
              <w:outlineLvl w:val="2"/>
              <w:rPr>
                <w:rFonts w:ascii="宋体" w:hAnsi="宋体"/>
              </w:rPr>
            </w:pPr>
          </w:p>
        </w:tc>
        <w:tc>
          <w:tcPr>
            <w:tcW w:w="1054" w:type="dxa"/>
          </w:tcPr>
          <w:p w14:paraId="21D751DE">
            <w:pPr>
              <w:keepNext/>
              <w:keepLines/>
              <w:snapToGrid w:val="0"/>
              <w:spacing w:before="240" w:after="240"/>
              <w:ind w:left="41" w:leftChars="17"/>
              <w:outlineLvl w:val="2"/>
              <w:rPr>
                <w:rFonts w:ascii="宋体" w:hAnsi="宋体"/>
              </w:rPr>
            </w:pPr>
          </w:p>
        </w:tc>
        <w:tc>
          <w:tcPr>
            <w:tcW w:w="1182" w:type="dxa"/>
          </w:tcPr>
          <w:p w14:paraId="1C11A91D">
            <w:pPr>
              <w:keepNext/>
              <w:keepLines/>
              <w:snapToGrid w:val="0"/>
              <w:spacing w:before="240" w:after="240"/>
              <w:ind w:left="41" w:leftChars="17"/>
              <w:outlineLvl w:val="2"/>
              <w:rPr>
                <w:rFonts w:ascii="宋体" w:hAnsi="宋体"/>
              </w:rPr>
            </w:pPr>
          </w:p>
        </w:tc>
        <w:tc>
          <w:tcPr>
            <w:tcW w:w="927" w:type="dxa"/>
          </w:tcPr>
          <w:p w14:paraId="32FF46B0">
            <w:pPr>
              <w:keepNext/>
              <w:keepLines/>
              <w:snapToGrid w:val="0"/>
              <w:spacing w:before="240" w:after="240"/>
              <w:ind w:left="41" w:leftChars="17"/>
              <w:outlineLvl w:val="2"/>
              <w:rPr>
                <w:rFonts w:ascii="宋体" w:hAnsi="宋体"/>
              </w:rPr>
            </w:pPr>
          </w:p>
        </w:tc>
        <w:tc>
          <w:tcPr>
            <w:tcW w:w="1052" w:type="dxa"/>
          </w:tcPr>
          <w:p w14:paraId="6263BF53">
            <w:pPr>
              <w:keepNext/>
              <w:keepLines/>
              <w:snapToGrid w:val="0"/>
              <w:spacing w:before="240" w:after="240"/>
              <w:ind w:left="41" w:leftChars="17"/>
              <w:outlineLvl w:val="2"/>
              <w:rPr>
                <w:rFonts w:ascii="宋体" w:hAnsi="宋体"/>
              </w:rPr>
            </w:pPr>
          </w:p>
        </w:tc>
      </w:tr>
      <w:tr w14:paraId="35FA7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0E792E5">
            <w:pPr>
              <w:keepNext/>
              <w:keepLines/>
              <w:snapToGrid w:val="0"/>
              <w:spacing w:before="240" w:after="240"/>
              <w:ind w:left="41" w:leftChars="17"/>
              <w:outlineLvl w:val="2"/>
              <w:rPr>
                <w:rFonts w:ascii="宋体" w:hAnsi="宋体"/>
              </w:rPr>
            </w:pPr>
          </w:p>
        </w:tc>
        <w:tc>
          <w:tcPr>
            <w:tcW w:w="2165" w:type="dxa"/>
          </w:tcPr>
          <w:p w14:paraId="7D812396">
            <w:pPr>
              <w:keepNext/>
              <w:keepLines/>
              <w:snapToGrid w:val="0"/>
              <w:spacing w:before="240" w:after="240"/>
              <w:ind w:left="41" w:leftChars="17"/>
              <w:outlineLvl w:val="2"/>
              <w:rPr>
                <w:rFonts w:ascii="宋体" w:hAnsi="宋体"/>
              </w:rPr>
            </w:pPr>
          </w:p>
        </w:tc>
        <w:tc>
          <w:tcPr>
            <w:tcW w:w="991" w:type="dxa"/>
          </w:tcPr>
          <w:p w14:paraId="6500C155">
            <w:pPr>
              <w:keepNext/>
              <w:keepLines/>
              <w:snapToGrid w:val="0"/>
              <w:spacing w:before="240" w:after="240"/>
              <w:ind w:left="41" w:leftChars="17"/>
              <w:outlineLvl w:val="2"/>
              <w:rPr>
                <w:rFonts w:ascii="宋体" w:hAnsi="宋体"/>
              </w:rPr>
            </w:pPr>
          </w:p>
        </w:tc>
        <w:tc>
          <w:tcPr>
            <w:tcW w:w="567" w:type="dxa"/>
          </w:tcPr>
          <w:p w14:paraId="21752B51">
            <w:pPr>
              <w:keepNext/>
              <w:keepLines/>
              <w:snapToGrid w:val="0"/>
              <w:spacing w:before="240" w:after="240"/>
              <w:ind w:left="41" w:leftChars="17"/>
              <w:outlineLvl w:val="2"/>
              <w:rPr>
                <w:rFonts w:ascii="宋体" w:hAnsi="宋体"/>
              </w:rPr>
            </w:pPr>
          </w:p>
        </w:tc>
        <w:tc>
          <w:tcPr>
            <w:tcW w:w="566" w:type="dxa"/>
          </w:tcPr>
          <w:p w14:paraId="2FE5AF36">
            <w:pPr>
              <w:keepNext/>
              <w:keepLines/>
              <w:snapToGrid w:val="0"/>
              <w:spacing w:before="240" w:after="240"/>
              <w:ind w:left="41" w:leftChars="17"/>
              <w:outlineLvl w:val="2"/>
              <w:rPr>
                <w:rFonts w:ascii="宋体" w:hAnsi="宋体"/>
              </w:rPr>
            </w:pPr>
          </w:p>
        </w:tc>
        <w:tc>
          <w:tcPr>
            <w:tcW w:w="458" w:type="dxa"/>
          </w:tcPr>
          <w:p w14:paraId="7D156A5A">
            <w:pPr>
              <w:keepNext/>
              <w:keepLines/>
              <w:snapToGrid w:val="0"/>
              <w:spacing w:before="240" w:after="240"/>
              <w:ind w:left="41" w:leftChars="17"/>
              <w:outlineLvl w:val="2"/>
              <w:rPr>
                <w:rFonts w:ascii="宋体" w:hAnsi="宋体"/>
              </w:rPr>
            </w:pPr>
          </w:p>
        </w:tc>
        <w:tc>
          <w:tcPr>
            <w:tcW w:w="1054" w:type="dxa"/>
          </w:tcPr>
          <w:p w14:paraId="52C4EE8D">
            <w:pPr>
              <w:keepNext/>
              <w:keepLines/>
              <w:snapToGrid w:val="0"/>
              <w:spacing w:before="240" w:after="240"/>
              <w:ind w:left="41" w:leftChars="17"/>
              <w:outlineLvl w:val="2"/>
              <w:rPr>
                <w:rFonts w:ascii="宋体" w:hAnsi="宋体"/>
              </w:rPr>
            </w:pPr>
          </w:p>
        </w:tc>
        <w:tc>
          <w:tcPr>
            <w:tcW w:w="1182" w:type="dxa"/>
          </w:tcPr>
          <w:p w14:paraId="33DEE7FF">
            <w:pPr>
              <w:keepNext/>
              <w:keepLines/>
              <w:snapToGrid w:val="0"/>
              <w:spacing w:before="240" w:after="240"/>
              <w:ind w:left="41" w:leftChars="17"/>
              <w:outlineLvl w:val="2"/>
              <w:rPr>
                <w:rFonts w:ascii="宋体" w:hAnsi="宋体"/>
              </w:rPr>
            </w:pPr>
          </w:p>
        </w:tc>
        <w:tc>
          <w:tcPr>
            <w:tcW w:w="927" w:type="dxa"/>
          </w:tcPr>
          <w:p w14:paraId="43E7D3AB">
            <w:pPr>
              <w:keepNext/>
              <w:keepLines/>
              <w:snapToGrid w:val="0"/>
              <w:spacing w:before="240" w:after="240"/>
              <w:ind w:left="41" w:leftChars="17"/>
              <w:outlineLvl w:val="2"/>
              <w:rPr>
                <w:rFonts w:ascii="宋体" w:hAnsi="宋体"/>
              </w:rPr>
            </w:pPr>
          </w:p>
        </w:tc>
        <w:tc>
          <w:tcPr>
            <w:tcW w:w="1052" w:type="dxa"/>
          </w:tcPr>
          <w:p w14:paraId="3D065B20">
            <w:pPr>
              <w:keepNext/>
              <w:keepLines/>
              <w:snapToGrid w:val="0"/>
              <w:spacing w:before="240" w:after="240"/>
              <w:ind w:left="41" w:leftChars="17"/>
              <w:outlineLvl w:val="2"/>
              <w:rPr>
                <w:rFonts w:ascii="宋体" w:hAnsi="宋体"/>
              </w:rPr>
            </w:pPr>
          </w:p>
        </w:tc>
      </w:tr>
      <w:tr w14:paraId="171CD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3A7FDF5">
            <w:pPr>
              <w:keepNext/>
              <w:keepLines/>
              <w:snapToGrid w:val="0"/>
              <w:spacing w:before="240" w:after="240"/>
              <w:ind w:left="41" w:leftChars="17"/>
              <w:outlineLvl w:val="2"/>
              <w:rPr>
                <w:rFonts w:ascii="宋体" w:hAnsi="宋体"/>
              </w:rPr>
            </w:pPr>
          </w:p>
        </w:tc>
        <w:tc>
          <w:tcPr>
            <w:tcW w:w="2165" w:type="dxa"/>
          </w:tcPr>
          <w:p w14:paraId="300C4BC4">
            <w:pPr>
              <w:keepNext/>
              <w:keepLines/>
              <w:snapToGrid w:val="0"/>
              <w:spacing w:before="240" w:after="240"/>
              <w:ind w:left="41" w:leftChars="17"/>
              <w:outlineLvl w:val="2"/>
              <w:rPr>
                <w:rFonts w:ascii="宋体" w:hAnsi="宋体"/>
              </w:rPr>
            </w:pPr>
          </w:p>
        </w:tc>
        <w:tc>
          <w:tcPr>
            <w:tcW w:w="991" w:type="dxa"/>
          </w:tcPr>
          <w:p w14:paraId="471E2A93">
            <w:pPr>
              <w:keepNext/>
              <w:keepLines/>
              <w:snapToGrid w:val="0"/>
              <w:spacing w:before="240" w:after="240"/>
              <w:ind w:left="41" w:leftChars="17"/>
              <w:outlineLvl w:val="2"/>
              <w:rPr>
                <w:rFonts w:ascii="宋体" w:hAnsi="宋体"/>
              </w:rPr>
            </w:pPr>
          </w:p>
        </w:tc>
        <w:tc>
          <w:tcPr>
            <w:tcW w:w="567" w:type="dxa"/>
          </w:tcPr>
          <w:p w14:paraId="4E9ED9E7">
            <w:pPr>
              <w:keepNext/>
              <w:keepLines/>
              <w:snapToGrid w:val="0"/>
              <w:spacing w:before="240" w:after="240"/>
              <w:ind w:left="41" w:leftChars="17"/>
              <w:outlineLvl w:val="2"/>
              <w:rPr>
                <w:rFonts w:ascii="宋体" w:hAnsi="宋体"/>
              </w:rPr>
            </w:pPr>
          </w:p>
        </w:tc>
        <w:tc>
          <w:tcPr>
            <w:tcW w:w="566" w:type="dxa"/>
          </w:tcPr>
          <w:p w14:paraId="6457881B">
            <w:pPr>
              <w:keepNext/>
              <w:keepLines/>
              <w:snapToGrid w:val="0"/>
              <w:spacing w:before="240" w:after="240"/>
              <w:ind w:left="41" w:leftChars="17"/>
              <w:outlineLvl w:val="2"/>
              <w:rPr>
                <w:rFonts w:ascii="宋体" w:hAnsi="宋体"/>
              </w:rPr>
            </w:pPr>
          </w:p>
        </w:tc>
        <w:tc>
          <w:tcPr>
            <w:tcW w:w="458" w:type="dxa"/>
          </w:tcPr>
          <w:p w14:paraId="5A95226C">
            <w:pPr>
              <w:keepNext/>
              <w:keepLines/>
              <w:snapToGrid w:val="0"/>
              <w:spacing w:before="240" w:after="240"/>
              <w:ind w:left="41" w:leftChars="17"/>
              <w:outlineLvl w:val="2"/>
              <w:rPr>
                <w:rFonts w:ascii="宋体" w:hAnsi="宋体"/>
              </w:rPr>
            </w:pPr>
          </w:p>
        </w:tc>
        <w:tc>
          <w:tcPr>
            <w:tcW w:w="1054" w:type="dxa"/>
          </w:tcPr>
          <w:p w14:paraId="2BD034E4">
            <w:pPr>
              <w:keepNext/>
              <w:keepLines/>
              <w:snapToGrid w:val="0"/>
              <w:spacing w:before="240" w:after="240"/>
              <w:ind w:left="41" w:leftChars="17"/>
              <w:outlineLvl w:val="2"/>
              <w:rPr>
                <w:rFonts w:ascii="宋体" w:hAnsi="宋体"/>
              </w:rPr>
            </w:pPr>
          </w:p>
        </w:tc>
        <w:tc>
          <w:tcPr>
            <w:tcW w:w="1182" w:type="dxa"/>
          </w:tcPr>
          <w:p w14:paraId="345BBD16">
            <w:pPr>
              <w:keepNext/>
              <w:keepLines/>
              <w:snapToGrid w:val="0"/>
              <w:spacing w:before="240" w:after="240"/>
              <w:ind w:left="41" w:leftChars="17"/>
              <w:outlineLvl w:val="2"/>
              <w:rPr>
                <w:rFonts w:ascii="宋体" w:hAnsi="宋体"/>
              </w:rPr>
            </w:pPr>
          </w:p>
        </w:tc>
        <w:tc>
          <w:tcPr>
            <w:tcW w:w="927" w:type="dxa"/>
          </w:tcPr>
          <w:p w14:paraId="1700926D">
            <w:pPr>
              <w:keepNext/>
              <w:keepLines/>
              <w:snapToGrid w:val="0"/>
              <w:spacing w:before="240" w:after="240"/>
              <w:ind w:left="41" w:leftChars="17"/>
              <w:outlineLvl w:val="2"/>
              <w:rPr>
                <w:rFonts w:ascii="宋体" w:hAnsi="宋体"/>
              </w:rPr>
            </w:pPr>
          </w:p>
        </w:tc>
        <w:tc>
          <w:tcPr>
            <w:tcW w:w="1052" w:type="dxa"/>
          </w:tcPr>
          <w:p w14:paraId="10844E84">
            <w:pPr>
              <w:keepNext/>
              <w:keepLines/>
              <w:snapToGrid w:val="0"/>
              <w:spacing w:before="240" w:after="240"/>
              <w:ind w:left="41" w:leftChars="17"/>
              <w:outlineLvl w:val="2"/>
              <w:rPr>
                <w:rFonts w:ascii="宋体" w:hAnsi="宋体"/>
              </w:rPr>
            </w:pPr>
          </w:p>
        </w:tc>
      </w:tr>
      <w:tr w14:paraId="00F2D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61637DE">
            <w:pPr>
              <w:keepNext/>
              <w:keepLines/>
              <w:snapToGrid w:val="0"/>
              <w:spacing w:before="240" w:after="240"/>
              <w:ind w:left="41" w:leftChars="17"/>
              <w:outlineLvl w:val="2"/>
              <w:rPr>
                <w:rFonts w:ascii="宋体" w:hAnsi="宋体"/>
              </w:rPr>
            </w:pPr>
          </w:p>
        </w:tc>
        <w:tc>
          <w:tcPr>
            <w:tcW w:w="2165" w:type="dxa"/>
          </w:tcPr>
          <w:p w14:paraId="7D086B42">
            <w:pPr>
              <w:keepNext/>
              <w:keepLines/>
              <w:snapToGrid w:val="0"/>
              <w:spacing w:before="240" w:after="240"/>
              <w:ind w:left="41" w:leftChars="17"/>
              <w:outlineLvl w:val="2"/>
              <w:rPr>
                <w:rFonts w:ascii="宋体" w:hAnsi="宋体"/>
              </w:rPr>
            </w:pPr>
          </w:p>
        </w:tc>
        <w:tc>
          <w:tcPr>
            <w:tcW w:w="991" w:type="dxa"/>
          </w:tcPr>
          <w:p w14:paraId="576F5C43">
            <w:pPr>
              <w:keepNext/>
              <w:keepLines/>
              <w:snapToGrid w:val="0"/>
              <w:spacing w:before="240" w:after="240"/>
              <w:ind w:left="41" w:leftChars="17"/>
              <w:outlineLvl w:val="2"/>
              <w:rPr>
                <w:rFonts w:ascii="宋体" w:hAnsi="宋体"/>
              </w:rPr>
            </w:pPr>
          </w:p>
        </w:tc>
        <w:tc>
          <w:tcPr>
            <w:tcW w:w="567" w:type="dxa"/>
          </w:tcPr>
          <w:p w14:paraId="0BCF2497">
            <w:pPr>
              <w:keepNext/>
              <w:keepLines/>
              <w:snapToGrid w:val="0"/>
              <w:spacing w:before="240" w:after="240"/>
              <w:ind w:left="41" w:leftChars="17"/>
              <w:outlineLvl w:val="2"/>
              <w:rPr>
                <w:rFonts w:ascii="宋体" w:hAnsi="宋体"/>
              </w:rPr>
            </w:pPr>
          </w:p>
        </w:tc>
        <w:tc>
          <w:tcPr>
            <w:tcW w:w="566" w:type="dxa"/>
          </w:tcPr>
          <w:p w14:paraId="1CF4FEE0">
            <w:pPr>
              <w:keepNext/>
              <w:keepLines/>
              <w:snapToGrid w:val="0"/>
              <w:spacing w:before="240" w:after="240"/>
              <w:ind w:left="41" w:leftChars="17"/>
              <w:outlineLvl w:val="2"/>
              <w:rPr>
                <w:rFonts w:ascii="宋体" w:hAnsi="宋体"/>
              </w:rPr>
            </w:pPr>
          </w:p>
        </w:tc>
        <w:tc>
          <w:tcPr>
            <w:tcW w:w="458" w:type="dxa"/>
          </w:tcPr>
          <w:p w14:paraId="3889BCB2">
            <w:pPr>
              <w:keepNext/>
              <w:keepLines/>
              <w:snapToGrid w:val="0"/>
              <w:spacing w:before="240" w:after="240"/>
              <w:ind w:left="41" w:leftChars="17"/>
              <w:outlineLvl w:val="2"/>
              <w:rPr>
                <w:rFonts w:ascii="宋体" w:hAnsi="宋体"/>
              </w:rPr>
            </w:pPr>
          </w:p>
        </w:tc>
        <w:tc>
          <w:tcPr>
            <w:tcW w:w="1054" w:type="dxa"/>
          </w:tcPr>
          <w:p w14:paraId="706B0346">
            <w:pPr>
              <w:keepNext/>
              <w:keepLines/>
              <w:snapToGrid w:val="0"/>
              <w:spacing w:before="240" w:after="240"/>
              <w:ind w:left="41" w:leftChars="17"/>
              <w:outlineLvl w:val="2"/>
              <w:rPr>
                <w:rFonts w:ascii="宋体" w:hAnsi="宋体"/>
              </w:rPr>
            </w:pPr>
          </w:p>
        </w:tc>
        <w:tc>
          <w:tcPr>
            <w:tcW w:w="1182" w:type="dxa"/>
          </w:tcPr>
          <w:p w14:paraId="50EC109E">
            <w:pPr>
              <w:keepNext/>
              <w:keepLines/>
              <w:snapToGrid w:val="0"/>
              <w:spacing w:before="240" w:after="240"/>
              <w:ind w:left="41" w:leftChars="17"/>
              <w:outlineLvl w:val="2"/>
              <w:rPr>
                <w:rFonts w:ascii="宋体" w:hAnsi="宋体"/>
              </w:rPr>
            </w:pPr>
          </w:p>
        </w:tc>
        <w:tc>
          <w:tcPr>
            <w:tcW w:w="927" w:type="dxa"/>
          </w:tcPr>
          <w:p w14:paraId="462E2950">
            <w:pPr>
              <w:keepNext/>
              <w:keepLines/>
              <w:snapToGrid w:val="0"/>
              <w:spacing w:before="240" w:after="240"/>
              <w:ind w:left="41" w:leftChars="17"/>
              <w:outlineLvl w:val="2"/>
              <w:rPr>
                <w:rFonts w:ascii="宋体" w:hAnsi="宋体"/>
              </w:rPr>
            </w:pPr>
          </w:p>
        </w:tc>
        <w:tc>
          <w:tcPr>
            <w:tcW w:w="1052" w:type="dxa"/>
          </w:tcPr>
          <w:p w14:paraId="14EDF8AD">
            <w:pPr>
              <w:keepNext/>
              <w:keepLines/>
              <w:snapToGrid w:val="0"/>
              <w:spacing w:before="240" w:after="240"/>
              <w:ind w:left="41" w:leftChars="17"/>
              <w:outlineLvl w:val="2"/>
              <w:rPr>
                <w:rFonts w:ascii="宋体" w:hAnsi="宋体"/>
              </w:rPr>
            </w:pPr>
          </w:p>
        </w:tc>
      </w:tr>
      <w:tr w14:paraId="16AC6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67C83C8">
            <w:pPr>
              <w:keepNext/>
              <w:keepLines/>
              <w:snapToGrid w:val="0"/>
              <w:spacing w:before="240" w:after="240"/>
              <w:ind w:left="41" w:leftChars="17"/>
              <w:outlineLvl w:val="2"/>
              <w:rPr>
                <w:rFonts w:ascii="宋体" w:hAnsi="宋体"/>
              </w:rPr>
            </w:pPr>
          </w:p>
        </w:tc>
        <w:tc>
          <w:tcPr>
            <w:tcW w:w="2165" w:type="dxa"/>
          </w:tcPr>
          <w:p w14:paraId="6EDB0068">
            <w:pPr>
              <w:keepNext/>
              <w:keepLines/>
              <w:snapToGrid w:val="0"/>
              <w:spacing w:before="240" w:after="240"/>
              <w:ind w:left="41" w:leftChars="17"/>
              <w:outlineLvl w:val="2"/>
              <w:rPr>
                <w:rFonts w:ascii="宋体" w:hAnsi="宋体"/>
              </w:rPr>
            </w:pPr>
          </w:p>
        </w:tc>
        <w:tc>
          <w:tcPr>
            <w:tcW w:w="991" w:type="dxa"/>
          </w:tcPr>
          <w:p w14:paraId="32D6FBBA">
            <w:pPr>
              <w:keepNext/>
              <w:keepLines/>
              <w:snapToGrid w:val="0"/>
              <w:spacing w:before="240" w:after="240"/>
              <w:ind w:left="41" w:leftChars="17"/>
              <w:outlineLvl w:val="2"/>
              <w:rPr>
                <w:rFonts w:ascii="宋体" w:hAnsi="宋体"/>
              </w:rPr>
            </w:pPr>
          </w:p>
        </w:tc>
        <w:tc>
          <w:tcPr>
            <w:tcW w:w="567" w:type="dxa"/>
          </w:tcPr>
          <w:p w14:paraId="6DF6CEBE">
            <w:pPr>
              <w:keepNext/>
              <w:keepLines/>
              <w:snapToGrid w:val="0"/>
              <w:spacing w:before="240" w:after="240"/>
              <w:ind w:left="41" w:leftChars="17"/>
              <w:outlineLvl w:val="2"/>
              <w:rPr>
                <w:rFonts w:ascii="宋体" w:hAnsi="宋体"/>
              </w:rPr>
            </w:pPr>
          </w:p>
        </w:tc>
        <w:tc>
          <w:tcPr>
            <w:tcW w:w="566" w:type="dxa"/>
          </w:tcPr>
          <w:p w14:paraId="2D39FF59">
            <w:pPr>
              <w:keepNext/>
              <w:keepLines/>
              <w:snapToGrid w:val="0"/>
              <w:spacing w:before="240" w:after="240"/>
              <w:ind w:left="41" w:leftChars="17"/>
              <w:outlineLvl w:val="2"/>
              <w:rPr>
                <w:rFonts w:ascii="宋体" w:hAnsi="宋体"/>
              </w:rPr>
            </w:pPr>
          </w:p>
        </w:tc>
        <w:tc>
          <w:tcPr>
            <w:tcW w:w="458" w:type="dxa"/>
          </w:tcPr>
          <w:p w14:paraId="1AB33C75">
            <w:pPr>
              <w:keepNext/>
              <w:keepLines/>
              <w:snapToGrid w:val="0"/>
              <w:spacing w:before="240" w:after="240"/>
              <w:ind w:left="41" w:leftChars="17"/>
              <w:outlineLvl w:val="2"/>
              <w:rPr>
                <w:rFonts w:ascii="宋体" w:hAnsi="宋体"/>
              </w:rPr>
            </w:pPr>
          </w:p>
        </w:tc>
        <w:tc>
          <w:tcPr>
            <w:tcW w:w="1054" w:type="dxa"/>
          </w:tcPr>
          <w:p w14:paraId="6ACE76D6">
            <w:pPr>
              <w:keepNext/>
              <w:keepLines/>
              <w:snapToGrid w:val="0"/>
              <w:spacing w:before="240" w:after="240"/>
              <w:ind w:left="41" w:leftChars="17"/>
              <w:outlineLvl w:val="2"/>
              <w:rPr>
                <w:rFonts w:ascii="宋体" w:hAnsi="宋体"/>
              </w:rPr>
            </w:pPr>
          </w:p>
        </w:tc>
        <w:tc>
          <w:tcPr>
            <w:tcW w:w="1182" w:type="dxa"/>
          </w:tcPr>
          <w:p w14:paraId="15341BB5">
            <w:pPr>
              <w:keepNext/>
              <w:keepLines/>
              <w:snapToGrid w:val="0"/>
              <w:spacing w:before="240" w:after="240"/>
              <w:ind w:left="41" w:leftChars="17"/>
              <w:outlineLvl w:val="2"/>
              <w:rPr>
                <w:rFonts w:ascii="宋体" w:hAnsi="宋体"/>
              </w:rPr>
            </w:pPr>
          </w:p>
        </w:tc>
        <w:tc>
          <w:tcPr>
            <w:tcW w:w="927" w:type="dxa"/>
          </w:tcPr>
          <w:p w14:paraId="60C94DF1">
            <w:pPr>
              <w:keepNext/>
              <w:keepLines/>
              <w:snapToGrid w:val="0"/>
              <w:spacing w:before="240" w:after="240"/>
              <w:ind w:left="41" w:leftChars="17"/>
              <w:outlineLvl w:val="2"/>
              <w:rPr>
                <w:rFonts w:ascii="宋体" w:hAnsi="宋体"/>
              </w:rPr>
            </w:pPr>
          </w:p>
        </w:tc>
        <w:tc>
          <w:tcPr>
            <w:tcW w:w="1052" w:type="dxa"/>
          </w:tcPr>
          <w:p w14:paraId="627F1C92">
            <w:pPr>
              <w:keepNext/>
              <w:keepLines/>
              <w:snapToGrid w:val="0"/>
              <w:spacing w:before="240" w:after="240"/>
              <w:ind w:left="41" w:leftChars="17"/>
              <w:outlineLvl w:val="2"/>
              <w:rPr>
                <w:rFonts w:ascii="宋体" w:hAnsi="宋体"/>
              </w:rPr>
            </w:pPr>
          </w:p>
        </w:tc>
      </w:tr>
      <w:tr w14:paraId="06B68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62006BD">
            <w:pPr>
              <w:keepNext/>
              <w:keepLines/>
              <w:snapToGrid w:val="0"/>
              <w:spacing w:before="240" w:after="240"/>
              <w:ind w:left="41" w:leftChars="17"/>
              <w:outlineLvl w:val="2"/>
              <w:rPr>
                <w:rFonts w:ascii="宋体" w:hAnsi="宋体"/>
              </w:rPr>
            </w:pPr>
          </w:p>
        </w:tc>
        <w:tc>
          <w:tcPr>
            <w:tcW w:w="2165" w:type="dxa"/>
          </w:tcPr>
          <w:p w14:paraId="26A8F88E">
            <w:pPr>
              <w:keepNext/>
              <w:keepLines/>
              <w:snapToGrid w:val="0"/>
              <w:spacing w:before="240" w:after="240"/>
              <w:ind w:left="41" w:leftChars="17"/>
              <w:outlineLvl w:val="2"/>
              <w:rPr>
                <w:rFonts w:ascii="宋体" w:hAnsi="宋体"/>
              </w:rPr>
            </w:pPr>
          </w:p>
        </w:tc>
        <w:tc>
          <w:tcPr>
            <w:tcW w:w="991" w:type="dxa"/>
          </w:tcPr>
          <w:p w14:paraId="62D49D31">
            <w:pPr>
              <w:keepNext/>
              <w:keepLines/>
              <w:snapToGrid w:val="0"/>
              <w:spacing w:before="240" w:after="240"/>
              <w:ind w:left="41" w:leftChars="17"/>
              <w:outlineLvl w:val="2"/>
              <w:rPr>
                <w:rFonts w:ascii="宋体" w:hAnsi="宋体"/>
              </w:rPr>
            </w:pPr>
          </w:p>
        </w:tc>
        <w:tc>
          <w:tcPr>
            <w:tcW w:w="567" w:type="dxa"/>
          </w:tcPr>
          <w:p w14:paraId="31352DB6">
            <w:pPr>
              <w:keepNext/>
              <w:keepLines/>
              <w:snapToGrid w:val="0"/>
              <w:spacing w:before="240" w:after="240"/>
              <w:ind w:left="41" w:leftChars="17"/>
              <w:outlineLvl w:val="2"/>
              <w:rPr>
                <w:rFonts w:ascii="宋体" w:hAnsi="宋体"/>
              </w:rPr>
            </w:pPr>
          </w:p>
        </w:tc>
        <w:tc>
          <w:tcPr>
            <w:tcW w:w="566" w:type="dxa"/>
          </w:tcPr>
          <w:p w14:paraId="1E434CA8">
            <w:pPr>
              <w:keepNext/>
              <w:keepLines/>
              <w:snapToGrid w:val="0"/>
              <w:spacing w:before="240" w:after="240"/>
              <w:ind w:left="41" w:leftChars="17"/>
              <w:outlineLvl w:val="2"/>
              <w:rPr>
                <w:rFonts w:ascii="宋体" w:hAnsi="宋体"/>
              </w:rPr>
            </w:pPr>
          </w:p>
        </w:tc>
        <w:tc>
          <w:tcPr>
            <w:tcW w:w="458" w:type="dxa"/>
          </w:tcPr>
          <w:p w14:paraId="403842D9">
            <w:pPr>
              <w:keepNext/>
              <w:keepLines/>
              <w:snapToGrid w:val="0"/>
              <w:spacing w:before="240" w:after="240"/>
              <w:ind w:left="41" w:leftChars="17"/>
              <w:outlineLvl w:val="2"/>
              <w:rPr>
                <w:rFonts w:ascii="宋体" w:hAnsi="宋体"/>
              </w:rPr>
            </w:pPr>
          </w:p>
        </w:tc>
        <w:tc>
          <w:tcPr>
            <w:tcW w:w="1054" w:type="dxa"/>
          </w:tcPr>
          <w:p w14:paraId="16D77269">
            <w:pPr>
              <w:keepNext/>
              <w:keepLines/>
              <w:snapToGrid w:val="0"/>
              <w:spacing w:before="240" w:after="240"/>
              <w:ind w:left="41" w:leftChars="17"/>
              <w:outlineLvl w:val="2"/>
              <w:rPr>
                <w:rFonts w:ascii="宋体" w:hAnsi="宋体"/>
              </w:rPr>
            </w:pPr>
          </w:p>
        </w:tc>
        <w:tc>
          <w:tcPr>
            <w:tcW w:w="1182" w:type="dxa"/>
          </w:tcPr>
          <w:p w14:paraId="2C198BBC">
            <w:pPr>
              <w:keepNext/>
              <w:keepLines/>
              <w:snapToGrid w:val="0"/>
              <w:spacing w:before="240" w:after="240"/>
              <w:ind w:left="41" w:leftChars="17"/>
              <w:outlineLvl w:val="2"/>
              <w:rPr>
                <w:rFonts w:ascii="宋体" w:hAnsi="宋体"/>
              </w:rPr>
            </w:pPr>
          </w:p>
        </w:tc>
        <w:tc>
          <w:tcPr>
            <w:tcW w:w="927" w:type="dxa"/>
          </w:tcPr>
          <w:p w14:paraId="6BAA4DB3">
            <w:pPr>
              <w:keepNext/>
              <w:keepLines/>
              <w:snapToGrid w:val="0"/>
              <w:spacing w:before="240" w:after="240"/>
              <w:ind w:left="41" w:leftChars="17"/>
              <w:outlineLvl w:val="2"/>
              <w:rPr>
                <w:rFonts w:ascii="宋体" w:hAnsi="宋体"/>
              </w:rPr>
            </w:pPr>
          </w:p>
        </w:tc>
        <w:tc>
          <w:tcPr>
            <w:tcW w:w="1052" w:type="dxa"/>
          </w:tcPr>
          <w:p w14:paraId="03F0E239">
            <w:pPr>
              <w:keepNext/>
              <w:keepLines/>
              <w:snapToGrid w:val="0"/>
              <w:spacing w:before="240" w:after="240"/>
              <w:ind w:left="41" w:leftChars="17"/>
              <w:outlineLvl w:val="2"/>
              <w:rPr>
                <w:rFonts w:ascii="宋体" w:hAnsi="宋体"/>
              </w:rPr>
            </w:pPr>
          </w:p>
        </w:tc>
      </w:tr>
      <w:tr w14:paraId="19F78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33719D3">
            <w:pPr>
              <w:keepNext/>
              <w:keepLines/>
              <w:snapToGrid w:val="0"/>
              <w:spacing w:before="240" w:after="240"/>
              <w:ind w:left="41" w:leftChars="17"/>
              <w:outlineLvl w:val="2"/>
              <w:rPr>
                <w:rFonts w:ascii="宋体" w:hAnsi="宋体"/>
              </w:rPr>
            </w:pPr>
          </w:p>
        </w:tc>
        <w:tc>
          <w:tcPr>
            <w:tcW w:w="2165" w:type="dxa"/>
          </w:tcPr>
          <w:p w14:paraId="09563776">
            <w:pPr>
              <w:keepNext/>
              <w:keepLines/>
              <w:snapToGrid w:val="0"/>
              <w:spacing w:before="240" w:after="240"/>
              <w:ind w:left="41" w:leftChars="17"/>
              <w:outlineLvl w:val="2"/>
              <w:rPr>
                <w:rFonts w:ascii="宋体" w:hAnsi="宋体"/>
              </w:rPr>
            </w:pPr>
          </w:p>
        </w:tc>
        <w:tc>
          <w:tcPr>
            <w:tcW w:w="991" w:type="dxa"/>
          </w:tcPr>
          <w:p w14:paraId="2B962CD8">
            <w:pPr>
              <w:keepNext/>
              <w:keepLines/>
              <w:snapToGrid w:val="0"/>
              <w:spacing w:before="240" w:after="240"/>
              <w:ind w:left="41" w:leftChars="17"/>
              <w:outlineLvl w:val="2"/>
              <w:rPr>
                <w:rFonts w:ascii="宋体" w:hAnsi="宋体"/>
              </w:rPr>
            </w:pPr>
          </w:p>
        </w:tc>
        <w:tc>
          <w:tcPr>
            <w:tcW w:w="567" w:type="dxa"/>
          </w:tcPr>
          <w:p w14:paraId="17541CF0">
            <w:pPr>
              <w:keepNext/>
              <w:keepLines/>
              <w:snapToGrid w:val="0"/>
              <w:spacing w:before="240" w:after="240"/>
              <w:ind w:left="41" w:leftChars="17"/>
              <w:outlineLvl w:val="2"/>
              <w:rPr>
                <w:rFonts w:ascii="宋体" w:hAnsi="宋体"/>
              </w:rPr>
            </w:pPr>
          </w:p>
        </w:tc>
        <w:tc>
          <w:tcPr>
            <w:tcW w:w="566" w:type="dxa"/>
          </w:tcPr>
          <w:p w14:paraId="3F9682A7">
            <w:pPr>
              <w:keepNext/>
              <w:keepLines/>
              <w:snapToGrid w:val="0"/>
              <w:spacing w:before="240" w:after="240"/>
              <w:ind w:left="41" w:leftChars="17"/>
              <w:outlineLvl w:val="2"/>
              <w:rPr>
                <w:rFonts w:ascii="宋体" w:hAnsi="宋体"/>
              </w:rPr>
            </w:pPr>
          </w:p>
        </w:tc>
        <w:tc>
          <w:tcPr>
            <w:tcW w:w="458" w:type="dxa"/>
          </w:tcPr>
          <w:p w14:paraId="4532A7B6">
            <w:pPr>
              <w:keepNext/>
              <w:keepLines/>
              <w:snapToGrid w:val="0"/>
              <w:spacing w:before="240" w:after="240"/>
              <w:ind w:left="41" w:leftChars="17"/>
              <w:outlineLvl w:val="2"/>
              <w:rPr>
                <w:rFonts w:ascii="宋体" w:hAnsi="宋体"/>
              </w:rPr>
            </w:pPr>
          </w:p>
        </w:tc>
        <w:tc>
          <w:tcPr>
            <w:tcW w:w="1054" w:type="dxa"/>
          </w:tcPr>
          <w:p w14:paraId="494C9A92">
            <w:pPr>
              <w:keepNext/>
              <w:keepLines/>
              <w:snapToGrid w:val="0"/>
              <w:spacing w:before="240" w:after="240"/>
              <w:ind w:left="41" w:leftChars="17"/>
              <w:outlineLvl w:val="2"/>
              <w:rPr>
                <w:rFonts w:ascii="宋体" w:hAnsi="宋体"/>
              </w:rPr>
            </w:pPr>
          </w:p>
        </w:tc>
        <w:tc>
          <w:tcPr>
            <w:tcW w:w="1182" w:type="dxa"/>
          </w:tcPr>
          <w:p w14:paraId="17B01CD5">
            <w:pPr>
              <w:keepNext/>
              <w:keepLines/>
              <w:snapToGrid w:val="0"/>
              <w:spacing w:before="240" w:after="240"/>
              <w:ind w:left="41" w:leftChars="17"/>
              <w:outlineLvl w:val="2"/>
              <w:rPr>
                <w:rFonts w:ascii="宋体" w:hAnsi="宋体"/>
              </w:rPr>
            </w:pPr>
          </w:p>
        </w:tc>
        <w:tc>
          <w:tcPr>
            <w:tcW w:w="927" w:type="dxa"/>
          </w:tcPr>
          <w:p w14:paraId="2DA60627">
            <w:pPr>
              <w:keepNext/>
              <w:keepLines/>
              <w:snapToGrid w:val="0"/>
              <w:spacing w:before="240" w:after="240"/>
              <w:ind w:left="41" w:leftChars="17"/>
              <w:outlineLvl w:val="2"/>
              <w:rPr>
                <w:rFonts w:ascii="宋体" w:hAnsi="宋体"/>
              </w:rPr>
            </w:pPr>
          </w:p>
        </w:tc>
        <w:tc>
          <w:tcPr>
            <w:tcW w:w="1052" w:type="dxa"/>
          </w:tcPr>
          <w:p w14:paraId="30284D6D">
            <w:pPr>
              <w:keepNext/>
              <w:keepLines/>
              <w:snapToGrid w:val="0"/>
              <w:spacing w:before="240" w:after="240"/>
              <w:ind w:left="41" w:leftChars="17"/>
              <w:outlineLvl w:val="2"/>
              <w:rPr>
                <w:rFonts w:ascii="宋体" w:hAnsi="宋体"/>
              </w:rPr>
            </w:pPr>
          </w:p>
        </w:tc>
      </w:tr>
    </w:tbl>
    <w:p w14:paraId="2C339E80">
      <w:pPr>
        <w:snapToGrid w:val="0"/>
        <w:ind w:left="41" w:leftChars="17"/>
        <w:rPr>
          <w:rFonts w:ascii="宋体" w:hAnsi="宋体" w:cs="Arial"/>
        </w:rPr>
      </w:pPr>
    </w:p>
    <w:p w14:paraId="116D3B21">
      <w:pPr>
        <w:spacing w:after="240" w:afterLines="100"/>
        <w:ind w:left="41" w:leftChars="17"/>
        <w:outlineLvl w:val="1"/>
        <w:rPr>
          <w:rFonts w:ascii="宋体" w:hAnsi="宋体" w:cs="Arial"/>
          <w:b/>
          <w:bCs/>
          <w:kern w:val="0"/>
          <w:szCs w:val="32"/>
        </w:rPr>
      </w:pPr>
      <w:r>
        <w:rPr>
          <w:rFonts w:ascii="宋体" w:hAnsi="宋体" w:cs="Arial"/>
          <w:b/>
          <w:bCs/>
          <w:kern w:val="0"/>
          <w:szCs w:val="32"/>
        </w:rPr>
        <w:br w:type="page"/>
      </w:r>
      <w:bookmarkStart w:id="910" w:name="_Toc410986400"/>
      <w:bookmarkStart w:id="911" w:name="_Toc489084347"/>
      <w:bookmarkStart w:id="912" w:name="_Toc526793411"/>
      <w:bookmarkStart w:id="913" w:name="_Toc6241396"/>
      <w:bookmarkStart w:id="914" w:name="_Toc2575"/>
      <w:bookmarkStart w:id="915" w:name="_Toc439160202"/>
      <w:r>
        <w:rPr>
          <w:rFonts w:hint="eastAsia" w:ascii="宋体" w:hAnsi="宋体" w:cs="Arial"/>
          <w:bCs/>
          <w:kern w:val="0"/>
          <w:szCs w:val="32"/>
        </w:rPr>
        <w:t>附件</w:t>
      </w:r>
      <w:r>
        <w:rPr>
          <w:rFonts w:ascii="宋体" w:hAnsi="宋体" w:cs="Arial"/>
          <w:bCs/>
          <w:kern w:val="0"/>
          <w:szCs w:val="32"/>
        </w:rPr>
        <w:t>5：</w:t>
      </w:r>
      <w:bookmarkEnd w:id="910"/>
      <w:r>
        <w:rPr>
          <w:rFonts w:hint="eastAsia" w:ascii="宋体" w:hAnsi="宋体" w:cs="Arial"/>
          <w:bCs/>
          <w:kern w:val="0"/>
          <w:szCs w:val="32"/>
        </w:rPr>
        <w:t>承包人提供的材料和设备一览表</w:t>
      </w:r>
      <w:bookmarkEnd w:id="911"/>
      <w:bookmarkEnd w:id="912"/>
      <w:bookmarkEnd w:id="913"/>
      <w:bookmarkEnd w:id="914"/>
      <w:bookmarkEnd w:id="915"/>
    </w:p>
    <w:p w14:paraId="54BE6235">
      <w:pPr>
        <w:snapToGrid w:val="0"/>
        <w:spacing w:after="120" w:afterLines="50"/>
        <w:ind w:left="41" w:leftChars="17"/>
        <w:jc w:val="center"/>
        <w:rPr>
          <w:rFonts w:ascii="宋体" w:hAnsi="宋体" w:cs="Arial"/>
          <w:b/>
          <w:sz w:val="30"/>
          <w:szCs w:val="30"/>
        </w:rPr>
      </w:pPr>
      <w:r>
        <w:rPr>
          <w:rFonts w:hint="eastAsia" w:ascii="宋体" w:hAnsi="宋体" w:cs="Arial"/>
          <w:b/>
          <w:sz w:val="30"/>
          <w:szCs w:val="30"/>
        </w:rPr>
        <w:t>承包人提供的材料和设备一览表</w:t>
      </w:r>
    </w:p>
    <w:tbl>
      <w:tblPr>
        <w:tblStyle w:val="6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880"/>
        <w:gridCol w:w="1419"/>
        <w:gridCol w:w="564"/>
        <w:gridCol w:w="426"/>
        <w:gridCol w:w="458"/>
        <w:gridCol w:w="1054"/>
        <w:gridCol w:w="1182"/>
        <w:gridCol w:w="927"/>
        <w:gridCol w:w="1052"/>
      </w:tblGrid>
      <w:tr w14:paraId="2C4DF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495" w:type="dxa"/>
            <w:vAlign w:val="center"/>
          </w:tcPr>
          <w:p w14:paraId="1B64998F">
            <w:pPr>
              <w:snapToGrid w:val="0"/>
              <w:ind w:left="41" w:leftChars="17"/>
              <w:jc w:val="center"/>
              <w:rPr>
                <w:rFonts w:ascii="宋体" w:hAnsi="宋体"/>
              </w:rPr>
            </w:pPr>
            <w:r>
              <w:rPr>
                <w:rFonts w:hint="eastAsia" w:ascii="宋体" w:hAnsi="宋体"/>
              </w:rPr>
              <w:t>序号</w:t>
            </w:r>
          </w:p>
        </w:tc>
        <w:tc>
          <w:tcPr>
            <w:tcW w:w="1880" w:type="dxa"/>
            <w:vAlign w:val="center"/>
          </w:tcPr>
          <w:p w14:paraId="2D01BD2E">
            <w:pPr>
              <w:snapToGrid w:val="0"/>
              <w:ind w:left="41" w:leftChars="17"/>
              <w:jc w:val="center"/>
              <w:rPr>
                <w:rFonts w:ascii="宋体" w:hAnsi="宋体"/>
              </w:rPr>
            </w:pPr>
            <w:r>
              <w:rPr>
                <w:rFonts w:hint="eastAsia" w:ascii="宋体" w:hAnsi="宋体"/>
              </w:rPr>
              <w:t>材料设备</w:t>
            </w:r>
          </w:p>
          <w:p w14:paraId="3A3BB454">
            <w:pPr>
              <w:snapToGrid w:val="0"/>
              <w:ind w:left="41" w:leftChars="17"/>
              <w:jc w:val="center"/>
              <w:rPr>
                <w:rFonts w:ascii="宋体" w:hAnsi="宋体"/>
              </w:rPr>
            </w:pPr>
            <w:r>
              <w:rPr>
                <w:rFonts w:hint="eastAsia" w:ascii="宋体" w:hAnsi="宋体"/>
              </w:rPr>
              <w:t>名</w:t>
            </w:r>
            <w:r>
              <w:rPr>
                <w:rFonts w:ascii="宋体" w:hAnsi="宋体"/>
              </w:rPr>
              <w:t xml:space="preserve">   </w:t>
            </w:r>
            <w:r>
              <w:rPr>
                <w:rFonts w:hint="eastAsia" w:ascii="宋体" w:hAnsi="宋体"/>
              </w:rPr>
              <w:t>称</w:t>
            </w:r>
          </w:p>
        </w:tc>
        <w:tc>
          <w:tcPr>
            <w:tcW w:w="1419" w:type="dxa"/>
            <w:vAlign w:val="center"/>
          </w:tcPr>
          <w:p w14:paraId="2706E709">
            <w:pPr>
              <w:snapToGrid w:val="0"/>
              <w:ind w:left="41" w:leftChars="17"/>
              <w:jc w:val="center"/>
              <w:rPr>
                <w:rFonts w:ascii="宋体" w:hAnsi="宋体"/>
              </w:rPr>
            </w:pPr>
            <w:r>
              <w:rPr>
                <w:rFonts w:hint="eastAsia" w:ascii="宋体" w:hAnsi="宋体"/>
              </w:rPr>
              <w:t>规格</w:t>
            </w:r>
          </w:p>
          <w:p w14:paraId="0B51B3E3">
            <w:pPr>
              <w:snapToGrid w:val="0"/>
              <w:ind w:left="41" w:leftChars="17"/>
              <w:jc w:val="center"/>
              <w:rPr>
                <w:rFonts w:ascii="宋体" w:hAnsi="宋体"/>
              </w:rPr>
            </w:pPr>
            <w:r>
              <w:rPr>
                <w:rFonts w:hint="eastAsia" w:ascii="宋体" w:hAnsi="宋体"/>
              </w:rPr>
              <w:t>型号</w:t>
            </w:r>
          </w:p>
        </w:tc>
        <w:tc>
          <w:tcPr>
            <w:tcW w:w="564" w:type="dxa"/>
            <w:vAlign w:val="center"/>
          </w:tcPr>
          <w:p w14:paraId="76EDC98A">
            <w:pPr>
              <w:snapToGrid w:val="0"/>
              <w:ind w:left="41" w:leftChars="17"/>
              <w:jc w:val="center"/>
              <w:rPr>
                <w:rFonts w:ascii="宋体" w:hAnsi="宋体"/>
              </w:rPr>
            </w:pPr>
            <w:r>
              <w:rPr>
                <w:rFonts w:hint="eastAsia" w:ascii="宋体" w:hAnsi="宋体"/>
              </w:rPr>
              <w:t>单</w:t>
            </w:r>
          </w:p>
          <w:p w14:paraId="57713635">
            <w:pPr>
              <w:snapToGrid w:val="0"/>
              <w:ind w:left="41" w:leftChars="17"/>
              <w:jc w:val="center"/>
              <w:rPr>
                <w:rFonts w:ascii="宋体" w:hAnsi="宋体"/>
              </w:rPr>
            </w:pPr>
            <w:r>
              <w:rPr>
                <w:rFonts w:hint="eastAsia" w:ascii="宋体" w:hAnsi="宋体"/>
              </w:rPr>
              <w:t>位</w:t>
            </w:r>
          </w:p>
        </w:tc>
        <w:tc>
          <w:tcPr>
            <w:tcW w:w="426" w:type="dxa"/>
            <w:vAlign w:val="center"/>
          </w:tcPr>
          <w:p w14:paraId="38974A27">
            <w:pPr>
              <w:snapToGrid w:val="0"/>
              <w:ind w:left="41" w:leftChars="17"/>
              <w:jc w:val="center"/>
              <w:rPr>
                <w:rFonts w:ascii="宋体" w:hAnsi="宋体"/>
              </w:rPr>
            </w:pPr>
            <w:r>
              <w:rPr>
                <w:rFonts w:hint="eastAsia" w:ascii="宋体" w:hAnsi="宋体"/>
              </w:rPr>
              <w:t>数</w:t>
            </w:r>
          </w:p>
          <w:p w14:paraId="0F23A18C">
            <w:pPr>
              <w:snapToGrid w:val="0"/>
              <w:ind w:left="41" w:leftChars="17"/>
              <w:jc w:val="center"/>
              <w:rPr>
                <w:rFonts w:ascii="宋体" w:hAnsi="宋体"/>
              </w:rPr>
            </w:pPr>
            <w:r>
              <w:rPr>
                <w:rFonts w:hint="eastAsia" w:ascii="宋体" w:hAnsi="宋体"/>
              </w:rPr>
              <w:t>量</w:t>
            </w:r>
          </w:p>
        </w:tc>
        <w:tc>
          <w:tcPr>
            <w:tcW w:w="458" w:type="dxa"/>
            <w:vAlign w:val="center"/>
          </w:tcPr>
          <w:p w14:paraId="297EF631">
            <w:pPr>
              <w:snapToGrid w:val="0"/>
              <w:ind w:left="41" w:leftChars="17"/>
              <w:jc w:val="center"/>
              <w:rPr>
                <w:rFonts w:ascii="宋体" w:hAnsi="宋体"/>
              </w:rPr>
            </w:pPr>
            <w:r>
              <w:rPr>
                <w:rFonts w:hint="eastAsia" w:ascii="宋体" w:hAnsi="宋体"/>
              </w:rPr>
              <w:t>单</w:t>
            </w:r>
          </w:p>
          <w:p w14:paraId="001ED19C">
            <w:pPr>
              <w:snapToGrid w:val="0"/>
              <w:ind w:left="41" w:leftChars="17"/>
              <w:jc w:val="center"/>
              <w:rPr>
                <w:rFonts w:ascii="宋体" w:hAnsi="宋体"/>
              </w:rPr>
            </w:pPr>
            <w:r>
              <w:rPr>
                <w:rFonts w:hint="eastAsia" w:ascii="宋体" w:hAnsi="宋体"/>
              </w:rPr>
              <w:t>价</w:t>
            </w:r>
          </w:p>
        </w:tc>
        <w:tc>
          <w:tcPr>
            <w:tcW w:w="1054" w:type="dxa"/>
            <w:vAlign w:val="center"/>
          </w:tcPr>
          <w:p w14:paraId="08D9DE25">
            <w:pPr>
              <w:snapToGrid w:val="0"/>
              <w:ind w:left="41" w:leftChars="17"/>
              <w:jc w:val="center"/>
              <w:rPr>
                <w:rFonts w:ascii="宋体" w:hAnsi="宋体"/>
              </w:rPr>
            </w:pPr>
            <w:r>
              <w:rPr>
                <w:rFonts w:hint="eastAsia" w:ascii="宋体" w:hAnsi="宋体"/>
              </w:rPr>
              <w:t>品牌</w:t>
            </w:r>
          </w:p>
        </w:tc>
        <w:tc>
          <w:tcPr>
            <w:tcW w:w="1182" w:type="dxa"/>
            <w:vAlign w:val="center"/>
          </w:tcPr>
          <w:p w14:paraId="725BC077">
            <w:pPr>
              <w:snapToGrid w:val="0"/>
              <w:ind w:left="41" w:leftChars="17"/>
              <w:jc w:val="center"/>
              <w:rPr>
                <w:rFonts w:ascii="宋体" w:hAnsi="宋体"/>
              </w:rPr>
            </w:pPr>
            <w:r>
              <w:rPr>
                <w:rFonts w:hint="eastAsia" w:ascii="宋体" w:hAnsi="宋体"/>
              </w:rPr>
              <w:t>生产厂家</w:t>
            </w:r>
          </w:p>
        </w:tc>
        <w:tc>
          <w:tcPr>
            <w:tcW w:w="927" w:type="dxa"/>
            <w:vAlign w:val="center"/>
          </w:tcPr>
          <w:p w14:paraId="48EBB51A">
            <w:pPr>
              <w:snapToGrid w:val="0"/>
              <w:ind w:left="41" w:leftChars="17"/>
              <w:jc w:val="center"/>
              <w:rPr>
                <w:rFonts w:ascii="宋体" w:hAnsi="宋体"/>
              </w:rPr>
            </w:pPr>
            <w:r>
              <w:rPr>
                <w:rFonts w:hint="eastAsia" w:ascii="宋体" w:hAnsi="宋体"/>
              </w:rPr>
              <w:t>供货</w:t>
            </w:r>
          </w:p>
          <w:p w14:paraId="513800A3">
            <w:pPr>
              <w:snapToGrid w:val="0"/>
              <w:ind w:left="41" w:leftChars="17"/>
              <w:jc w:val="center"/>
              <w:rPr>
                <w:rFonts w:ascii="宋体" w:hAnsi="宋体"/>
              </w:rPr>
            </w:pPr>
            <w:r>
              <w:rPr>
                <w:rFonts w:hint="eastAsia" w:ascii="宋体" w:hAnsi="宋体"/>
              </w:rPr>
              <w:t>交货</w:t>
            </w:r>
          </w:p>
          <w:p w14:paraId="0B9C2073">
            <w:pPr>
              <w:snapToGrid w:val="0"/>
              <w:ind w:left="41" w:leftChars="17"/>
              <w:jc w:val="center"/>
              <w:rPr>
                <w:rFonts w:ascii="宋体" w:hAnsi="宋体"/>
              </w:rPr>
            </w:pPr>
            <w:r>
              <w:rPr>
                <w:rFonts w:hint="eastAsia" w:ascii="宋体" w:hAnsi="宋体"/>
              </w:rPr>
              <w:t>时间</w:t>
            </w:r>
          </w:p>
        </w:tc>
        <w:tc>
          <w:tcPr>
            <w:tcW w:w="1052" w:type="dxa"/>
            <w:vAlign w:val="center"/>
          </w:tcPr>
          <w:p w14:paraId="35F4538D">
            <w:pPr>
              <w:snapToGrid w:val="0"/>
              <w:ind w:left="41" w:leftChars="17"/>
              <w:jc w:val="center"/>
              <w:rPr>
                <w:rFonts w:ascii="宋体" w:hAnsi="宋体"/>
              </w:rPr>
            </w:pPr>
            <w:r>
              <w:rPr>
                <w:rFonts w:hint="eastAsia" w:ascii="宋体" w:hAnsi="宋体"/>
              </w:rPr>
              <w:t>备注</w:t>
            </w:r>
          </w:p>
        </w:tc>
      </w:tr>
      <w:tr w14:paraId="38181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000477E">
            <w:pPr>
              <w:keepNext/>
              <w:keepLines/>
              <w:snapToGrid w:val="0"/>
              <w:spacing w:before="340" w:after="330" w:line="400" w:lineRule="exact"/>
              <w:ind w:left="41" w:leftChars="17"/>
              <w:outlineLvl w:val="0"/>
              <w:rPr>
                <w:rFonts w:ascii="宋体" w:hAnsi="宋体"/>
                <w:szCs w:val="21"/>
              </w:rPr>
            </w:pPr>
          </w:p>
        </w:tc>
        <w:tc>
          <w:tcPr>
            <w:tcW w:w="1880" w:type="dxa"/>
          </w:tcPr>
          <w:p w14:paraId="7D4E24D4">
            <w:pPr>
              <w:keepNext/>
              <w:keepLines/>
              <w:snapToGrid w:val="0"/>
              <w:spacing w:before="340" w:after="330" w:line="400" w:lineRule="exact"/>
              <w:ind w:left="41" w:leftChars="17"/>
              <w:outlineLvl w:val="0"/>
              <w:rPr>
                <w:rFonts w:ascii="宋体" w:hAnsi="宋体"/>
                <w:szCs w:val="21"/>
              </w:rPr>
            </w:pPr>
          </w:p>
        </w:tc>
        <w:tc>
          <w:tcPr>
            <w:tcW w:w="1419" w:type="dxa"/>
          </w:tcPr>
          <w:p w14:paraId="67D55B0B">
            <w:pPr>
              <w:keepNext/>
              <w:keepLines/>
              <w:snapToGrid w:val="0"/>
              <w:spacing w:before="340" w:after="330" w:line="400" w:lineRule="exact"/>
              <w:ind w:left="41" w:leftChars="17"/>
              <w:outlineLvl w:val="0"/>
              <w:rPr>
                <w:rFonts w:ascii="宋体" w:hAnsi="宋体"/>
                <w:szCs w:val="21"/>
              </w:rPr>
            </w:pPr>
          </w:p>
        </w:tc>
        <w:tc>
          <w:tcPr>
            <w:tcW w:w="564" w:type="dxa"/>
          </w:tcPr>
          <w:p w14:paraId="0EFA5B39">
            <w:pPr>
              <w:keepNext/>
              <w:keepLines/>
              <w:snapToGrid w:val="0"/>
              <w:spacing w:before="340" w:after="330" w:line="400" w:lineRule="exact"/>
              <w:ind w:left="41" w:leftChars="17"/>
              <w:outlineLvl w:val="0"/>
              <w:rPr>
                <w:rFonts w:ascii="宋体" w:hAnsi="宋体"/>
                <w:szCs w:val="21"/>
              </w:rPr>
            </w:pPr>
          </w:p>
        </w:tc>
        <w:tc>
          <w:tcPr>
            <w:tcW w:w="426" w:type="dxa"/>
          </w:tcPr>
          <w:p w14:paraId="6D9E4F18">
            <w:pPr>
              <w:keepNext/>
              <w:keepLines/>
              <w:snapToGrid w:val="0"/>
              <w:spacing w:before="340" w:after="330" w:line="400" w:lineRule="exact"/>
              <w:ind w:left="41" w:leftChars="17"/>
              <w:outlineLvl w:val="0"/>
              <w:rPr>
                <w:rFonts w:ascii="宋体" w:hAnsi="宋体"/>
                <w:szCs w:val="21"/>
              </w:rPr>
            </w:pPr>
          </w:p>
        </w:tc>
        <w:tc>
          <w:tcPr>
            <w:tcW w:w="458" w:type="dxa"/>
          </w:tcPr>
          <w:p w14:paraId="764D689E">
            <w:pPr>
              <w:keepNext/>
              <w:keepLines/>
              <w:snapToGrid w:val="0"/>
              <w:spacing w:before="340" w:after="330" w:line="400" w:lineRule="exact"/>
              <w:ind w:left="41" w:leftChars="17"/>
              <w:outlineLvl w:val="0"/>
              <w:rPr>
                <w:rFonts w:ascii="宋体" w:hAnsi="宋体"/>
                <w:szCs w:val="21"/>
              </w:rPr>
            </w:pPr>
          </w:p>
        </w:tc>
        <w:tc>
          <w:tcPr>
            <w:tcW w:w="1054" w:type="dxa"/>
          </w:tcPr>
          <w:p w14:paraId="26936018">
            <w:pPr>
              <w:keepNext/>
              <w:keepLines/>
              <w:snapToGrid w:val="0"/>
              <w:spacing w:before="340" w:after="330" w:line="400" w:lineRule="exact"/>
              <w:ind w:left="41" w:leftChars="17"/>
              <w:outlineLvl w:val="0"/>
              <w:rPr>
                <w:rFonts w:ascii="宋体" w:hAnsi="宋体"/>
                <w:szCs w:val="21"/>
              </w:rPr>
            </w:pPr>
          </w:p>
        </w:tc>
        <w:tc>
          <w:tcPr>
            <w:tcW w:w="1182" w:type="dxa"/>
          </w:tcPr>
          <w:p w14:paraId="16537372">
            <w:pPr>
              <w:keepNext/>
              <w:keepLines/>
              <w:snapToGrid w:val="0"/>
              <w:spacing w:before="340" w:after="330" w:line="400" w:lineRule="exact"/>
              <w:ind w:left="41" w:leftChars="17"/>
              <w:outlineLvl w:val="0"/>
              <w:rPr>
                <w:rFonts w:ascii="宋体" w:hAnsi="宋体"/>
                <w:szCs w:val="21"/>
              </w:rPr>
            </w:pPr>
          </w:p>
        </w:tc>
        <w:tc>
          <w:tcPr>
            <w:tcW w:w="927" w:type="dxa"/>
          </w:tcPr>
          <w:p w14:paraId="75FAE06D">
            <w:pPr>
              <w:keepNext/>
              <w:keepLines/>
              <w:snapToGrid w:val="0"/>
              <w:spacing w:before="340" w:after="330" w:line="400" w:lineRule="exact"/>
              <w:ind w:left="41" w:leftChars="17"/>
              <w:outlineLvl w:val="0"/>
              <w:rPr>
                <w:rFonts w:ascii="宋体" w:hAnsi="宋体"/>
                <w:szCs w:val="21"/>
              </w:rPr>
            </w:pPr>
          </w:p>
        </w:tc>
        <w:tc>
          <w:tcPr>
            <w:tcW w:w="1052" w:type="dxa"/>
          </w:tcPr>
          <w:p w14:paraId="05F3DD58">
            <w:pPr>
              <w:keepNext/>
              <w:keepLines/>
              <w:snapToGrid w:val="0"/>
              <w:spacing w:before="340" w:after="330" w:line="400" w:lineRule="exact"/>
              <w:ind w:left="41" w:leftChars="17"/>
              <w:outlineLvl w:val="0"/>
              <w:rPr>
                <w:rFonts w:ascii="宋体" w:hAnsi="宋体"/>
                <w:szCs w:val="21"/>
              </w:rPr>
            </w:pPr>
          </w:p>
        </w:tc>
      </w:tr>
      <w:tr w14:paraId="4C308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F32CFD5">
            <w:pPr>
              <w:keepNext/>
              <w:keepLines/>
              <w:snapToGrid w:val="0"/>
              <w:spacing w:before="340" w:after="330" w:line="400" w:lineRule="exact"/>
              <w:ind w:left="41" w:leftChars="17"/>
              <w:outlineLvl w:val="0"/>
              <w:rPr>
                <w:rFonts w:ascii="宋体" w:hAnsi="宋体"/>
                <w:szCs w:val="21"/>
              </w:rPr>
            </w:pPr>
          </w:p>
        </w:tc>
        <w:tc>
          <w:tcPr>
            <w:tcW w:w="1880" w:type="dxa"/>
          </w:tcPr>
          <w:p w14:paraId="342BC022">
            <w:pPr>
              <w:keepNext/>
              <w:keepLines/>
              <w:snapToGrid w:val="0"/>
              <w:spacing w:before="340" w:after="330" w:line="400" w:lineRule="exact"/>
              <w:ind w:left="41" w:leftChars="17"/>
              <w:outlineLvl w:val="0"/>
              <w:rPr>
                <w:rFonts w:ascii="宋体" w:hAnsi="宋体"/>
                <w:szCs w:val="21"/>
              </w:rPr>
            </w:pPr>
          </w:p>
        </w:tc>
        <w:tc>
          <w:tcPr>
            <w:tcW w:w="1419" w:type="dxa"/>
          </w:tcPr>
          <w:p w14:paraId="2762623F">
            <w:pPr>
              <w:keepNext/>
              <w:keepLines/>
              <w:snapToGrid w:val="0"/>
              <w:spacing w:before="340" w:after="330" w:line="400" w:lineRule="exact"/>
              <w:ind w:left="41" w:leftChars="17"/>
              <w:outlineLvl w:val="0"/>
              <w:rPr>
                <w:rFonts w:ascii="宋体" w:hAnsi="宋体"/>
                <w:szCs w:val="21"/>
              </w:rPr>
            </w:pPr>
          </w:p>
        </w:tc>
        <w:tc>
          <w:tcPr>
            <w:tcW w:w="564" w:type="dxa"/>
          </w:tcPr>
          <w:p w14:paraId="472EA688">
            <w:pPr>
              <w:keepNext/>
              <w:keepLines/>
              <w:snapToGrid w:val="0"/>
              <w:spacing w:before="340" w:after="330" w:line="400" w:lineRule="exact"/>
              <w:ind w:left="41" w:leftChars="17"/>
              <w:outlineLvl w:val="0"/>
              <w:rPr>
                <w:rFonts w:ascii="宋体" w:hAnsi="宋体"/>
                <w:szCs w:val="21"/>
              </w:rPr>
            </w:pPr>
          </w:p>
        </w:tc>
        <w:tc>
          <w:tcPr>
            <w:tcW w:w="426" w:type="dxa"/>
          </w:tcPr>
          <w:p w14:paraId="63E09554">
            <w:pPr>
              <w:keepNext/>
              <w:keepLines/>
              <w:snapToGrid w:val="0"/>
              <w:spacing w:before="340" w:after="330" w:line="400" w:lineRule="exact"/>
              <w:ind w:left="41" w:leftChars="17"/>
              <w:outlineLvl w:val="0"/>
              <w:rPr>
                <w:rFonts w:ascii="宋体" w:hAnsi="宋体"/>
                <w:szCs w:val="21"/>
              </w:rPr>
            </w:pPr>
          </w:p>
        </w:tc>
        <w:tc>
          <w:tcPr>
            <w:tcW w:w="458" w:type="dxa"/>
          </w:tcPr>
          <w:p w14:paraId="5C28C1D0">
            <w:pPr>
              <w:keepNext/>
              <w:keepLines/>
              <w:snapToGrid w:val="0"/>
              <w:spacing w:before="340" w:after="330" w:line="400" w:lineRule="exact"/>
              <w:ind w:left="41" w:leftChars="17"/>
              <w:outlineLvl w:val="0"/>
              <w:rPr>
                <w:rFonts w:ascii="宋体" w:hAnsi="宋体"/>
                <w:szCs w:val="21"/>
              </w:rPr>
            </w:pPr>
          </w:p>
        </w:tc>
        <w:tc>
          <w:tcPr>
            <w:tcW w:w="1054" w:type="dxa"/>
          </w:tcPr>
          <w:p w14:paraId="1FE386A3">
            <w:pPr>
              <w:keepNext/>
              <w:keepLines/>
              <w:snapToGrid w:val="0"/>
              <w:spacing w:before="340" w:after="330" w:line="400" w:lineRule="exact"/>
              <w:ind w:left="41" w:leftChars="17"/>
              <w:outlineLvl w:val="0"/>
              <w:rPr>
                <w:rFonts w:ascii="宋体" w:hAnsi="宋体"/>
                <w:szCs w:val="21"/>
              </w:rPr>
            </w:pPr>
          </w:p>
        </w:tc>
        <w:tc>
          <w:tcPr>
            <w:tcW w:w="1182" w:type="dxa"/>
          </w:tcPr>
          <w:p w14:paraId="33C09B2B">
            <w:pPr>
              <w:keepNext/>
              <w:keepLines/>
              <w:snapToGrid w:val="0"/>
              <w:spacing w:before="340" w:after="330" w:line="400" w:lineRule="exact"/>
              <w:ind w:left="41" w:leftChars="17"/>
              <w:outlineLvl w:val="0"/>
              <w:rPr>
                <w:rFonts w:ascii="宋体" w:hAnsi="宋体"/>
                <w:szCs w:val="21"/>
              </w:rPr>
            </w:pPr>
          </w:p>
        </w:tc>
        <w:tc>
          <w:tcPr>
            <w:tcW w:w="927" w:type="dxa"/>
          </w:tcPr>
          <w:p w14:paraId="18804943">
            <w:pPr>
              <w:keepNext/>
              <w:keepLines/>
              <w:snapToGrid w:val="0"/>
              <w:spacing w:before="340" w:after="330" w:line="400" w:lineRule="exact"/>
              <w:ind w:left="41" w:leftChars="17"/>
              <w:outlineLvl w:val="0"/>
              <w:rPr>
                <w:rFonts w:ascii="宋体" w:hAnsi="宋体"/>
                <w:szCs w:val="21"/>
              </w:rPr>
            </w:pPr>
          </w:p>
        </w:tc>
        <w:tc>
          <w:tcPr>
            <w:tcW w:w="1052" w:type="dxa"/>
          </w:tcPr>
          <w:p w14:paraId="16B88FE3">
            <w:pPr>
              <w:keepNext/>
              <w:keepLines/>
              <w:snapToGrid w:val="0"/>
              <w:spacing w:before="340" w:after="330" w:line="400" w:lineRule="exact"/>
              <w:ind w:left="41" w:leftChars="17"/>
              <w:outlineLvl w:val="0"/>
              <w:rPr>
                <w:rFonts w:ascii="宋体" w:hAnsi="宋体"/>
                <w:szCs w:val="21"/>
              </w:rPr>
            </w:pPr>
          </w:p>
        </w:tc>
      </w:tr>
      <w:tr w14:paraId="67042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EC71CEC">
            <w:pPr>
              <w:keepNext/>
              <w:keepLines/>
              <w:snapToGrid w:val="0"/>
              <w:spacing w:before="340" w:after="330" w:line="400" w:lineRule="exact"/>
              <w:ind w:left="41" w:leftChars="17"/>
              <w:outlineLvl w:val="0"/>
              <w:rPr>
                <w:rFonts w:ascii="宋体" w:hAnsi="宋体"/>
                <w:szCs w:val="21"/>
              </w:rPr>
            </w:pPr>
          </w:p>
        </w:tc>
        <w:tc>
          <w:tcPr>
            <w:tcW w:w="1880" w:type="dxa"/>
          </w:tcPr>
          <w:p w14:paraId="7200BD4C">
            <w:pPr>
              <w:keepNext/>
              <w:keepLines/>
              <w:snapToGrid w:val="0"/>
              <w:spacing w:before="340" w:after="330" w:line="400" w:lineRule="exact"/>
              <w:ind w:left="41" w:leftChars="17"/>
              <w:outlineLvl w:val="0"/>
              <w:rPr>
                <w:rFonts w:ascii="宋体" w:hAnsi="宋体"/>
                <w:szCs w:val="21"/>
              </w:rPr>
            </w:pPr>
          </w:p>
        </w:tc>
        <w:tc>
          <w:tcPr>
            <w:tcW w:w="1419" w:type="dxa"/>
          </w:tcPr>
          <w:p w14:paraId="0D15B756">
            <w:pPr>
              <w:keepNext/>
              <w:keepLines/>
              <w:snapToGrid w:val="0"/>
              <w:spacing w:before="340" w:after="330" w:line="400" w:lineRule="exact"/>
              <w:ind w:left="41" w:leftChars="17"/>
              <w:outlineLvl w:val="0"/>
              <w:rPr>
                <w:rFonts w:ascii="宋体" w:hAnsi="宋体"/>
                <w:szCs w:val="21"/>
              </w:rPr>
            </w:pPr>
          </w:p>
        </w:tc>
        <w:tc>
          <w:tcPr>
            <w:tcW w:w="564" w:type="dxa"/>
          </w:tcPr>
          <w:p w14:paraId="39A5486F">
            <w:pPr>
              <w:keepNext/>
              <w:keepLines/>
              <w:snapToGrid w:val="0"/>
              <w:spacing w:before="340" w:after="330" w:line="400" w:lineRule="exact"/>
              <w:ind w:left="41" w:leftChars="17"/>
              <w:outlineLvl w:val="0"/>
              <w:rPr>
                <w:rFonts w:ascii="宋体" w:hAnsi="宋体"/>
                <w:szCs w:val="21"/>
              </w:rPr>
            </w:pPr>
          </w:p>
        </w:tc>
        <w:tc>
          <w:tcPr>
            <w:tcW w:w="426" w:type="dxa"/>
          </w:tcPr>
          <w:p w14:paraId="46ECE46B">
            <w:pPr>
              <w:keepNext/>
              <w:keepLines/>
              <w:snapToGrid w:val="0"/>
              <w:spacing w:before="340" w:after="330" w:line="400" w:lineRule="exact"/>
              <w:ind w:left="41" w:leftChars="17"/>
              <w:outlineLvl w:val="0"/>
              <w:rPr>
                <w:rFonts w:ascii="宋体" w:hAnsi="宋体"/>
                <w:szCs w:val="21"/>
              </w:rPr>
            </w:pPr>
          </w:p>
        </w:tc>
        <w:tc>
          <w:tcPr>
            <w:tcW w:w="458" w:type="dxa"/>
          </w:tcPr>
          <w:p w14:paraId="56082BD2">
            <w:pPr>
              <w:keepNext/>
              <w:keepLines/>
              <w:snapToGrid w:val="0"/>
              <w:spacing w:before="340" w:after="330" w:line="400" w:lineRule="exact"/>
              <w:ind w:left="41" w:leftChars="17"/>
              <w:outlineLvl w:val="0"/>
              <w:rPr>
                <w:rFonts w:ascii="宋体" w:hAnsi="宋体"/>
                <w:szCs w:val="21"/>
              </w:rPr>
            </w:pPr>
          </w:p>
        </w:tc>
        <w:tc>
          <w:tcPr>
            <w:tcW w:w="1054" w:type="dxa"/>
          </w:tcPr>
          <w:p w14:paraId="103F9E29">
            <w:pPr>
              <w:keepNext/>
              <w:keepLines/>
              <w:snapToGrid w:val="0"/>
              <w:spacing w:before="340" w:after="330" w:line="400" w:lineRule="exact"/>
              <w:ind w:left="41" w:leftChars="17"/>
              <w:outlineLvl w:val="0"/>
              <w:rPr>
                <w:rFonts w:ascii="宋体" w:hAnsi="宋体"/>
                <w:szCs w:val="21"/>
              </w:rPr>
            </w:pPr>
          </w:p>
        </w:tc>
        <w:tc>
          <w:tcPr>
            <w:tcW w:w="1182" w:type="dxa"/>
          </w:tcPr>
          <w:p w14:paraId="1DF834EC">
            <w:pPr>
              <w:keepNext/>
              <w:keepLines/>
              <w:snapToGrid w:val="0"/>
              <w:spacing w:before="340" w:after="330" w:line="400" w:lineRule="exact"/>
              <w:ind w:left="41" w:leftChars="17"/>
              <w:outlineLvl w:val="0"/>
              <w:rPr>
                <w:rFonts w:ascii="宋体" w:hAnsi="宋体"/>
                <w:szCs w:val="21"/>
              </w:rPr>
            </w:pPr>
          </w:p>
        </w:tc>
        <w:tc>
          <w:tcPr>
            <w:tcW w:w="927" w:type="dxa"/>
          </w:tcPr>
          <w:p w14:paraId="6D2336EC">
            <w:pPr>
              <w:keepNext/>
              <w:keepLines/>
              <w:snapToGrid w:val="0"/>
              <w:spacing w:before="340" w:after="330" w:line="400" w:lineRule="exact"/>
              <w:ind w:left="41" w:leftChars="17"/>
              <w:outlineLvl w:val="0"/>
              <w:rPr>
                <w:rFonts w:ascii="宋体" w:hAnsi="宋体"/>
                <w:szCs w:val="21"/>
              </w:rPr>
            </w:pPr>
          </w:p>
        </w:tc>
        <w:tc>
          <w:tcPr>
            <w:tcW w:w="1052" w:type="dxa"/>
          </w:tcPr>
          <w:p w14:paraId="5C3C5635">
            <w:pPr>
              <w:keepNext/>
              <w:keepLines/>
              <w:snapToGrid w:val="0"/>
              <w:spacing w:before="340" w:after="330" w:line="400" w:lineRule="exact"/>
              <w:ind w:left="41" w:leftChars="17"/>
              <w:outlineLvl w:val="0"/>
              <w:rPr>
                <w:rFonts w:ascii="宋体" w:hAnsi="宋体"/>
                <w:szCs w:val="21"/>
              </w:rPr>
            </w:pPr>
          </w:p>
        </w:tc>
      </w:tr>
      <w:tr w14:paraId="78EE4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DA67138">
            <w:pPr>
              <w:keepNext/>
              <w:keepLines/>
              <w:snapToGrid w:val="0"/>
              <w:spacing w:before="340" w:after="330" w:line="400" w:lineRule="exact"/>
              <w:ind w:left="41" w:leftChars="17"/>
              <w:outlineLvl w:val="0"/>
              <w:rPr>
                <w:rFonts w:ascii="宋体" w:hAnsi="宋体"/>
                <w:szCs w:val="21"/>
              </w:rPr>
            </w:pPr>
          </w:p>
        </w:tc>
        <w:tc>
          <w:tcPr>
            <w:tcW w:w="1880" w:type="dxa"/>
          </w:tcPr>
          <w:p w14:paraId="1FEF7C8D">
            <w:pPr>
              <w:keepNext/>
              <w:keepLines/>
              <w:snapToGrid w:val="0"/>
              <w:spacing w:before="340" w:after="330" w:line="400" w:lineRule="exact"/>
              <w:ind w:left="41" w:leftChars="17"/>
              <w:outlineLvl w:val="0"/>
              <w:rPr>
                <w:rFonts w:ascii="宋体" w:hAnsi="宋体"/>
                <w:szCs w:val="21"/>
              </w:rPr>
            </w:pPr>
          </w:p>
        </w:tc>
        <w:tc>
          <w:tcPr>
            <w:tcW w:w="1419" w:type="dxa"/>
          </w:tcPr>
          <w:p w14:paraId="1B866185">
            <w:pPr>
              <w:keepNext/>
              <w:keepLines/>
              <w:snapToGrid w:val="0"/>
              <w:spacing w:before="340" w:after="330" w:line="400" w:lineRule="exact"/>
              <w:ind w:left="41" w:leftChars="17"/>
              <w:outlineLvl w:val="0"/>
              <w:rPr>
                <w:rFonts w:ascii="宋体" w:hAnsi="宋体"/>
                <w:szCs w:val="21"/>
              </w:rPr>
            </w:pPr>
          </w:p>
        </w:tc>
        <w:tc>
          <w:tcPr>
            <w:tcW w:w="564" w:type="dxa"/>
          </w:tcPr>
          <w:p w14:paraId="683759C7">
            <w:pPr>
              <w:keepNext/>
              <w:keepLines/>
              <w:snapToGrid w:val="0"/>
              <w:spacing w:before="340" w:after="330" w:line="400" w:lineRule="exact"/>
              <w:ind w:left="41" w:leftChars="17"/>
              <w:outlineLvl w:val="0"/>
              <w:rPr>
                <w:rFonts w:ascii="宋体" w:hAnsi="宋体"/>
                <w:szCs w:val="21"/>
              </w:rPr>
            </w:pPr>
          </w:p>
        </w:tc>
        <w:tc>
          <w:tcPr>
            <w:tcW w:w="426" w:type="dxa"/>
          </w:tcPr>
          <w:p w14:paraId="0E04BDDA">
            <w:pPr>
              <w:keepNext/>
              <w:keepLines/>
              <w:snapToGrid w:val="0"/>
              <w:spacing w:before="340" w:after="330" w:line="400" w:lineRule="exact"/>
              <w:ind w:left="41" w:leftChars="17"/>
              <w:outlineLvl w:val="0"/>
              <w:rPr>
                <w:rFonts w:ascii="宋体" w:hAnsi="宋体"/>
                <w:szCs w:val="21"/>
              </w:rPr>
            </w:pPr>
          </w:p>
        </w:tc>
        <w:tc>
          <w:tcPr>
            <w:tcW w:w="458" w:type="dxa"/>
          </w:tcPr>
          <w:p w14:paraId="2570BA34">
            <w:pPr>
              <w:keepNext/>
              <w:keepLines/>
              <w:snapToGrid w:val="0"/>
              <w:spacing w:before="340" w:after="330" w:line="400" w:lineRule="exact"/>
              <w:ind w:left="41" w:leftChars="17"/>
              <w:outlineLvl w:val="0"/>
              <w:rPr>
                <w:rFonts w:ascii="宋体" w:hAnsi="宋体"/>
                <w:szCs w:val="21"/>
              </w:rPr>
            </w:pPr>
          </w:p>
        </w:tc>
        <w:tc>
          <w:tcPr>
            <w:tcW w:w="1054" w:type="dxa"/>
          </w:tcPr>
          <w:p w14:paraId="50B6E7C2">
            <w:pPr>
              <w:keepNext/>
              <w:keepLines/>
              <w:snapToGrid w:val="0"/>
              <w:spacing w:before="340" w:after="330" w:line="400" w:lineRule="exact"/>
              <w:ind w:left="41" w:leftChars="17"/>
              <w:outlineLvl w:val="0"/>
              <w:rPr>
                <w:rFonts w:ascii="宋体" w:hAnsi="宋体"/>
                <w:szCs w:val="21"/>
              </w:rPr>
            </w:pPr>
          </w:p>
        </w:tc>
        <w:tc>
          <w:tcPr>
            <w:tcW w:w="1182" w:type="dxa"/>
          </w:tcPr>
          <w:p w14:paraId="0785EF22">
            <w:pPr>
              <w:keepNext/>
              <w:keepLines/>
              <w:snapToGrid w:val="0"/>
              <w:spacing w:before="340" w:after="330" w:line="400" w:lineRule="exact"/>
              <w:ind w:left="41" w:leftChars="17"/>
              <w:outlineLvl w:val="0"/>
              <w:rPr>
                <w:rFonts w:ascii="宋体" w:hAnsi="宋体"/>
                <w:szCs w:val="21"/>
              </w:rPr>
            </w:pPr>
          </w:p>
        </w:tc>
        <w:tc>
          <w:tcPr>
            <w:tcW w:w="927" w:type="dxa"/>
          </w:tcPr>
          <w:p w14:paraId="29E4635D">
            <w:pPr>
              <w:keepNext/>
              <w:keepLines/>
              <w:snapToGrid w:val="0"/>
              <w:spacing w:before="340" w:after="330" w:line="400" w:lineRule="exact"/>
              <w:ind w:left="41" w:leftChars="17"/>
              <w:outlineLvl w:val="0"/>
              <w:rPr>
                <w:rFonts w:ascii="宋体" w:hAnsi="宋体"/>
                <w:szCs w:val="21"/>
              </w:rPr>
            </w:pPr>
          </w:p>
        </w:tc>
        <w:tc>
          <w:tcPr>
            <w:tcW w:w="1052" w:type="dxa"/>
          </w:tcPr>
          <w:p w14:paraId="7FD53078">
            <w:pPr>
              <w:keepNext/>
              <w:keepLines/>
              <w:snapToGrid w:val="0"/>
              <w:spacing w:before="340" w:after="330" w:line="400" w:lineRule="exact"/>
              <w:ind w:left="41" w:leftChars="17"/>
              <w:outlineLvl w:val="0"/>
              <w:rPr>
                <w:rFonts w:ascii="宋体" w:hAnsi="宋体"/>
                <w:szCs w:val="21"/>
              </w:rPr>
            </w:pPr>
          </w:p>
        </w:tc>
      </w:tr>
      <w:tr w14:paraId="12F0D0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63DB4E0">
            <w:pPr>
              <w:keepNext/>
              <w:keepLines/>
              <w:snapToGrid w:val="0"/>
              <w:spacing w:before="340" w:after="330" w:line="400" w:lineRule="exact"/>
              <w:ind w:left="41" w:leftChars="17"/>
              <w:outlineLvl w:val="0"/>
              <w:rPr>
                <w:rFonts w:ascii="宋体" w:hAnsi="宋体"/>
                <w:szCs w:val="21"/>
              </w:rPr>
            </w:pPr>
          </w:p>
        </w:tc>
        <w:tc>
          <w:tcPr>
            <w:tcW w:w="1880" w:type="dxa"/>
          </w:tcPr>
          <w:p w14:paraId="65DCE331">
            <w:pPr>
              <w:keepNext/>
              <w:keepLines/>
              <w:snapToGrid w:val="0"/>
              <w:spacing w:before="340" w:after="330" w:line="400" w:lineRule="exact"/>
              <w:ind w:left="41" w:leftChars="17"/>
              <w:outlineLvl w:val="0"/>
              <w:rPr>
                <w:rFonts w:ascii="宋体" w:hAnsi="宋体"/>
                <w:szCs w:val="21"/>
              </w:rPr>
            </w:pPr>
          </w:p>
        </w:tc>
        <w:tc>
          <w:tcPr>
            <w:tcW w:w="1419" w:type="dxa"/>
          </w:tcPr>
          <w:p w14:paraId="1038DF74">
            <w:pPr>
              <w:keepNext/>
              <w:keepLines/>
              <w:snapToGrid w:val="0"/>
              <w:spacing w:before="340" w:after="330" w:line="400" w:lineRule="exact"/>
              <w:ind w:left="41" w:leftChars="17"/>
              <w:outlineLvl w:val="0"/>
              <w:rPr>
                <w:rFonts w:ascii="宋体" w:hAnsi="宋体"/>
                <w:szCs w:val="21"/>
              </w:rPr>
            </w:pPr>
          </w:p>
        </w:tc>
        <w:tc>
          <w:tcPr>
            <w:tcW w:w="564" w:type="dxa"/>
          </w:tcPr>
          <w:p w14:paraId="435AAED8">
            <w:pPr>
              <w:keepNext/>
              <w:keepLines/>
              <w:snapToGrid w:val="0"/>
              <w:spacing w:before="340" w:after="330" w:line="400" w:lineRule="exact"/>
              <w:ind w:left="41" w:leftChars="17"/>
              <w:outlineLvl w:val="0"/>
              <w:rPr>
                <w:rFonts w:ascii="宋体" w:hAnsi="宋体"/>
                <w:szCs w:val="21"/>
              </w:rPr>
            </w:pPr>
          </w:p>
        </w:tc>
        <w:tc>
          <w:tcPr>
            <w:tcW w:w="426" w:type="dxa"/>
          </w:tcPr>
          <w:p w14:paraId="51C1A1AD">
            <w:pPr>
              <w:keepNext/>
              <w:keepLines/>
              <w:snapToGrid w:val="0"/>
              <w:spacing w:before="340" w:after="330" w:line="400" w:lineRule="exact"/>
              <w:ind w:left="41" w:leftChars="17"/>
              <w:outlineLvl w:val="0"/>
              <w:rPr>
                <w:rFonts w:ascii="宋体" w:hAnsi="宋体"/>
                <w:szCs w:val="21"/>
              </w:rPr>
            </w:pPr>
          </w:p>
        </w:tc>
        <w:tc>
          <w:tcPr>
            <w:tcW w:w="458" w:type="dxa"/>
          </w:tcPr>
          <w:p w14:paraId="0C02BDAB">
            <w:pPr>
              <w:keepNext/>
              <w:keepLines/>
              <w:snapToGrid w:val="0"/>
              <w:spacing w:before="340" w:after="330" w:line="400" w:lineRule="exact"/>
              <w:ind w:left="41" w:leftChars="17"/>
              <w:outlineLvl w:val="0"/>
              <w:rPr>
                <w:rFonts w:ascii="宋体" w:hAnsi="宋体"/>
                <w:szCs w:val="21"/>
              </w:rPr>
            </w:pPr>
          </w:p>
        </w:tc>
        <w:tc>
          <w:tcPr>
            <w:tcW w:w="1054" w:type="dxa"/>
          </w:tcPr>
          <w:p w14:paraId="5A29ABEB">
            <w:pPr>
              <w:keepNext/>
              <w:keepLines/>
              <w:snapToGrid w:val="0"/>
              <w:spacing w:before="340" w:after="330" w:line="400" w:lineRule="exact"/>
              <w:ind w:left="41" w:leftChars="17"/>
              <w:outlineLvl w:val="0"/>
              <w:rPr>
                <w:rFonts w:ascii="宋体" w:hAnsi="宋体"/>
                <w:szCs w:val="21"/>
              </w:rPr>
            </w:pPr>
          </w:p>
        </w:tc>
        <w:tc>
          <w:tcPr>
            <w:tcW w:w="1182" w:type="dxa"/>
          </w:tcPr>
          <w:p w14:paraId="212A65D1">
            <w:pPr>
              <w:keepNext/>
              <w:keepLines/>
              <w:snapToGrid w:val="0"/>
              <w:spacing w:before="340" w:after="330" w:line="400" w:lineRule="exact"/>
              <w:ind w:left="41" w:leftChars="17"/>
              <w:outlineLvl w:val="0"/>
              <w:rPr>
                <w:rFonts w:ascii="宋体" w:hAnsi="宋体"/>
                <w:szCs w:val="21"/>
              </w:rPr>
            </w:pPr>
          </w:p>
        </w:tc>
        <w:tc>
          <w:tcPr>
            <w:tcW w:w="927" w:type="dxa"/>
          </w:tcPr>
          <w:p w14:paraId="40259589">
            <w:pPr>
              <w:keepNext/>
              <w:keepLines/>
              <w:snapToGrid w:val="0"/>
              <w:spacing w:before="340" w:after="330" w:line="400" w:lineRule="exact"/>
              <w:ind w:left="41" w:leftChars="17"/>
              <w:outlineLvl w:val="0"/>
              <w:rPr>
                <w:rFonts w:ascii="宋体" w:hAnsi="宋体"/>
                <w:szCs w:val="21"/>
              </w:rPr>
            </w:pPr>
          </w:p>
        </w:tc>
        <w:tc>
          <w:tcPr>
            <w:tcW w:w="1052" w:type="dxa"/>
          </w:tcPr>
          <w:p w14:paraId="62EFDF32">
            <w:pPr>
              <w:keepNext/>
              <w:keepLines/>
              <w:snapToGrid w:val="0"/>
              <w:spacing w:before="340" w:after="330" w:line="400" w:lineRule="exact"/>
              <w:ind w:left="41" w:leftChars="17"/>
              <w:outlineLvl w:val="0"/>
              <w:rPr>
                <w:rFonts w:ascii="宋体" w:hAnsi="宋体"/>
                <w:szCs w:val="21"/>
              </w:rPr>
            </w:pPr>
          </w:p>
        </w:tc>
      </w:tr>
      <w:tr w14:paraId="06F4E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A1B0E31">
            <w:pPr>
              <w:keepNext/>
              <w:keepLines/>
              <w:snapToGrid w:val="0"/>
              <w:spacing w:before="340" w:after="330" w:line="400" w:lineRule="exact"/>
              <w:ind w:left="41" w:leftChars="17"/>
              <w:outlineLvl w:val="0"/>
              <w:rPr>
                <w:rFonts w:ascii="宋体" w:hAnsi="宋体"/>
                <w:szCs w:val="21"/>
              </w:rPr>
            </w:pPr>
          </w:p>
        </w:tc>
        <w:tc>
          <w:tcPr>
            <w:tcW w:w="1880" w:type="dxa"/>
          </w:tcPr>
          <w:p w14:paraId="5075CDBE">
            <w:pPr>
              <w:keepNext/>
              <w:keepLines/>
              <w:snapToGrid w:val="0"/>
              <w:spacing w:before="340" w:after="330" w:line="400" w:lineRule="exact"/>
              <w:ind w:left="41" w:leftChars="17"/>
              <w:outlineLvl w:val="0"/>
              <w:rPr>
                <w:rFonts w:ascii="宋体" w:hAnsi="宋体"/>
                <w:szCs w:val="21"/>
              </w:rPr>
            </w:pPr>
          </w:p>
        </w:tc>
        <w:tc>
          <w:tcPr>
            <w:tcW w:w="1419" w:type="dxa"/>
          </w:tcPr>
          <w:p w14:paraId="7FEB5573">
            <w:pPr>
              <w:keepNext/>
              <w:keepLines/>
              <w:snapToGrid w:val="0"/>
              <w:spacing w:before="340" w:after="330" w:line="400" w:lineRule="exact"/>
              <w:ind w:left="41" w:leftChars="17"/>
              <w:outlineLvl w:val="0"/>
              <w:rPr>
                <w:rFonts w:ascii="宋体" w:hAnsi="宋体"/>
                <w:szCs w:val="21"/>
              </w:rPr>
            </w:pPr>
          </w:p>
        </w:tc>
        <w:tc>
          <w:tcPr>
            <w:tcW w:w="564" w:type="dxa"/>
          </w:tcPr>
          <w:p w14:paraId="6494500A">
            <w:pPr>
              <w:keepNext/>
              <w:keepLines/>
              <w:snapToGrid w:val="0"/>
              <w:spacing w:before="340" w:after="330" w:line="400" w:lineRule="exact"/>
              <w:ind w:left="41" w:leftChars="17"/>
              <w:outlineLvl w:val="0"/>
              <w:rPr>
                <w:rFonts w:ascii="宋体" w:hAnsi="宋体"/>
                <w:szCs w:val="21"/>
              </w:rPr>
            </w:pPr>
          </w:p>
        </w:tc>
        <w:tc>
          <w:tcPr>
            <w:tcW w:w="426" w:type="dxa"/>
          </w:tcPr>
          <w:p w14:paraId="7E8AECF6">
            <w:pPr>
              <w:keepNext/>
              <w:keepLines/>
              <w:snapToGrid w:val="0"/>
              <w:spacing w:before="340" w:after="330" w:line="400" w:lineRule="exact"/>
              <w:ind w:left="41" w:leftChars="17"/>
              <w:outlineLvl w:val="0"/>
              <w:rPr>
                <w:rFonts w:ascii="宋体" w:hAnsi="宋体"/>
                <w:szCs w:val="21"/>
              </w:rPr>
            </w:pPr>
          </w:p>
        </w:tc>
        <w:tc>
          <w:tcPr>
            <w:tcW w:w="458" w:type="dxa"/>
          </w:tcPr>
          <w:p w14:paraId="41FB8CC0">
            <w:pPr>
              <w:keepNext/>
              <w:keepLines/>
              <w:snapToGrid w:val="0"/>
              <w:spacing w:before="340" w:after="330" w:line="400" w:lineRule="exact"/>
              <w:ind w:left="41" w:leftChars="17"/>
              <w:outlineLvl w:val="0"/>
              <w:rPr>
                <w:rFonts w:ascii="宋体" w:hAnsi="宋体"/>
                <w:szCs w:val="21"/>
              </w:rPr>
            </w:pPr>
          </w:p>
        </w:tc>
        <w:tc>
          <w:tcPr>
            <w:tcW w:w="1054" w:type="dxa"/>
          </w:tcPr>
          <w:p w14:paraId="0B75AEA9">
            <w:pPr>
              <w:keepNext/>
              <w:keepLines/>
              <w:snapToGrid w:val="0"/>
              <w:spacing w:before="340" w:after="330" w:line="400" w:lineRule="exact"/>
              <w:ind w:left="41" w:leftChars="17"/>
              <w:outlineLvl w:val="0"/>
              <w:rPr>
                <w:rFonts w:ascii="宋体" w:hAnsi="宋体"/>
                <w:szCs w:val="21"/>
              </w:rPr>
            </w:pPr>
          </w:p>
        </w:tc>
        <w:tc>
          <w:tcPr>
            <w:tcW w:w="1182" w:type="dxa"/>
          </w:tcPr>
          <w:p w14:paraId="2070700A">
            <w:pPr>
              <w:keepNext/>
              <w:keepLines/>
              <w:snapToGrid w:val="0"/>
              <w:spacing w:before="340" w:after="330" w:line="400" w:lineRule="exact"/>
              <w:ind w:left="41" w:leftChars="17"/>
              <w:outlineLvl w:val="0"/>
              <w:rPr>
                <w:rFonts w:ascii="宋体" w:hAnsi="宋体"/>
                <w:szCs w:val="21"/>
              </w:rPr>
            </w:pPr>
          </w:p>
        </w:tc>
        <w:tc>
          <w:tcPr>
            <w:tcW w:w="927" w:type="dxa"/>
          </w:tcPr>
          <w:p w14:paraId="1CBB7D53">
            <w:pPr>
              <w:keepNext/>
              <w:keepLines/>
              <w:snapToGrid w:val="0"/>
              <w:spacing w:before="340" w:after="330" w:line="400" w:lineRule="exact"/>
              <w:ind w:left="41" w:leftChars="17"/>
              <w:outlineLvl w:val="0"/>
              <w:rPr>
                <w:rFonts w:ascii="宋体" w:hAnsi="宋体"/>
                <w:szCs w:val="21"/>
              </w:rPr>
            </w:pPr>
          </w:p>
        </w:tc>
        <w:tc>
          <w:tcPr>
            <w:tcW w:w="1052" w:type="dxa"/>
          </w:tcPr>
          <w:p w14:paraId="000ADB7C">
            <w:pPr>
              <w:keepNext/>
              <w:keepLines/>
              <w:snapToGrid w:val="0"/>
              <w:spacing w:before="340" w:after="330" w:line="400" w:lineRule="exact"/>
              <w:ind w:left="41" w:leftChars="17"/>
              <w:outlineLvl w:val="0"/>
              <w:rPr>
                <w:rFonts w:ascii="宋体" w:hAnsi="宋体"/>
                <w:szCs w:val="21"/>
              </w:rPr>
            </w:pPr>
          </w:p>
        </w:tc>
      </w:tr>
      <w:tr w14:paraId="56E10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66005D7">
            <w:pPr>
              <w:keepNext/>
              <w:keepLines/>
              <w:snapToGrid w:val="0"/>
              <w:spacing w:before="340" w:after="330" w:line="400" w:lineRule="exact"/>
              <w:ind w:left="41" w:leftChars="17"/>
              <w:outlineLvl w:val="0"/>
              <w:rPr>
                <w:rFonts w:ascii="宋体" w:hAnsi="宋体"/>
                <w:szCs w:val="21"/>
              </w:rPr>
            </w:pPr>
          </w:p>
        </w:tc>
        <w:tc>
          <w:tcPr>
            <w:tcW w:w="1880" w:type="dxa"/>
          </w:tcPr>
          <w:p w14:paraId="64795FCC">
            <w:pPr>
              <w:keepNext/>
              <w:keepLines/>
              <w:snapToGrid w:val="0"/>
              <w:spacing w:before="340" w:after="330" w:line="400" w:lineRule="exact"/>
              <w:ind w:left="41" w:leftChars="17"/>
              <w:outlineLvl w:val="0"/>
              <w:rPr>
                <w:rFonts w:ascii="宋体" w:hAnsi="宋体"/>
                <w:szCs w:val="21"/>
              </w:rPr>
            </w:pPr>
          </w:p>
        </w:tc>
        <w:tc>
          <w:tcPr>
            <w:tcW w:w="1419" w:type="dxa"/>
          </w:tcPr>
          <w:p w14:paraId="69420D2C">
            <w:pPr>
              <w:keepNext/>
              <w:keepLines/>
              <w:snapToGrid w:val="0"/>
              <w:spacing w:before="340" w:after="330" w:line="400" w:lineRule="exact"/>
              <w:ind w:left="41" w:leftChars="17"/>
              <w:outlineLvl w:val="0"/>
              <w:rPr>
                <w:rFonts w:ascii="宋体" w:hAnsi="宋体"/>
                <w:szCs w:val="21"/>
              </w:rPr>
            </w:pPr>
          </w:p>
        </w:tc>
        <w:tc>
          <w:tcPr>
            <w:tcW w:w="564" w:type="dxa"/>
          </w:tcPr>
          <w:p w14:paraId="4AA0BC9A">
            <w:pPr>
              <w:keepNext/>
              <w:keepLines/>
              <w:snapToGrid w:val="0"/>
              <w:spacing w:before="340" w:after="330" w:line="400" w:lineRule="exact"/>
              <w:ind w:left="41" w:leftChars="17"/>
              <w:outlineLvl w:val="0"/>
              <w:rPr>
                <w:rFonts w:ascii="宋体" w:hAnsi="宋体"/>
                <w:szCs w:val="21"/>
              </w:rPr>
            </w:pPr>
          </w:p>
        </w:tc>
        <w:tc>
          <w:tcPr>
            <w:tcW w:w="426" w:type="dxa"/>
          </w:tcPr>
          <w:p w14:paraId="24835DFD">
            <w:pPr>
              <w:keepNext/>
              <w:keepLines/>
              <w:snapToGrid w:val="0"/>
              <w:spacing w:before="340" w:after="330" w:line="400" w:lineRule="exact"/>
              <w:ind w:left="41" w:leftChars="17"/>
              <w:outlineLvl w:val="0"/>
              <w:rPr>
                <w:rFonts w:ascii="宋体" w:hAnsi="宋体"/>
                <w:szCs w:val="21"/>
              </w:rPr>
            </w:pPr>
          </w:p>
        </w:tc>
        <w:tc>
          <w:tcPr>
            <w:tcW w:w="458" w:type="dxa"/>
          </w:tcPr>
          <w:p w14:paraId="1A8C4139">
            <w:pPr>
              <w:keepNext/>
              <w:keepLines/>
              <w:snapToGrid w:val="0"/>
              <w:spacing w:before="340" w:after="330" w:line="400" w:lineRule="exact"/>
              <w:ind w:left="41" w:leftChars="17"/>
              <w:outlineLvl w:val="0"/>
              <w:rPr>
                <w:rFonts w:ascii="宋体" w:hAnsi="宋体"/>
                <w:szCs w:val="21"/>
              </w:rPr>
            </w:pPr>
          </w:p>
        </w:tc>
        <w:tc>
          <w:tcPr>
            <w:tcW w:w="1054" w:type="dxa"/>
          </w:tcPr>
          <w:p w14:paraId="49970C4C">
            <w:pPr>
              <w:keepNext/>
              <w:keepLines/>
              <w:snapToGrid w:val="0"/>
              <w:spacing w:before="340" w:after="330" w:line="400" w:lineRule="exact"/>
              <w:ind w:left="41" w:leftChars="17"/>
              <w:outlineLvl w:val="0"/>
              <w:rPr>
                <w:rFonts w:ascii="宋体" w:hAnsi="宋体"/>
                <w:szCs w:val="21"/>
              </w:rPr>
            </w:pPr>
          </w:p>
        </w:tc>
        <w:tc>
          <w:tcPr>
            <w:tcW w:w="1182" w:type="dxa"/>
          </w:tcPr>
          <w:p w14:paraId="2E3D6279">
            <w:pPr>
              <w:keepNext/>
              <w:keepLines/>
              <w:snapToGrid w:val="0"/>
              <w:spacing w:before="340" w:after="330" w:line="400" w:lineRule="exact"/>
              <w:ind w:left="41" w:leftChars="17"/>
              <w:outlineLvl w:val="0"/>
              <w:rPr>
                <w:rFonts w:ascii="宋体" w:hAnsi="宋体"/>
                <w:szCs w:val="21"/>
              </w:rPr>
            </w:pPr>
          </w:p>
        </w:tc>
        <w:tc>
          <w:tcPr>
            <w:tcW w:w="927" w:type="dxa"/>
          </w:tcPr>
          <w:p w14:paraId="1FE0EA08">
            <w:pPr>
              <w:keepNext/>
              <w:keepLines/>
              <w:snapToGrid w:val="0"/>
              <w:spacing w:before="340" w:after="330" w:line="400" w:lineRule="exact"/>
              <w:ind w:left="41" w:leftChars="17"/>
              <w:outlineLvl w:val="0"/>
              <w:rPr>
                <w:rFonts w:ascii="宋体" w:hAnsi="宋体"/>
                <w:szCs w:val="21"/>
              </w:rPr>
            </w:pPr>
          </w:p>
        </w:tc>
        <w:tc>
          <w:tcPr>
            <w:tcW w:w="1052" w:type="dxa"/>
          </w:tcPr>
          <w:p w14:paraId="422C50B3">
            <w:pPr>
              <w:keepNext/>
              <w:keepLines/>
              <w:snapToGrid w:val="0"/>
              <w:spacing w:before="340" w:after="330" w:line="400" w:lineRule="exact"/>
              <w:ind w:left="41" w:leftChars="17"/>
              <w:outlineLvl w:val="0"/>
              <w:rPr>
                <w:rFonts w:ascii="宋体" w:hAnsi="宋体"/>
                <w:szCs w:val="21"/>
              </w:rPr>
            </w:pPr>
          </w:p>
        </w:tc>
      </w:tr>
      <w:tr w14:paraId="64145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1132D36C">
            <w:pPr>
              <w:keepNext/>
              <w:keepLines/>
              <w:snapToGrid w:val="0"/>
              <w:spacing w:before="340" w:after="330" w:line="400" w:lineRule="exact"/>
              <w:ind w:left="41" w:leftChars="17"/>
              <w:outlineLvl w:val="0"/>
              <w:rPr>
                <w:rFonts w:ascii="宋体" w:hAnsi="宋体"/>
                <w:szCs w:val="21"/>
              </w:rPr>
            </w:pPr>
          </w:p>
        </w:tc>
        <w:tc>
          <w:tcPr>
            <w:tcW w:w="1880" w:type="dxa"/>
          </w:tcPr>
          <w:p w14:paraId="50378A33">
            <w:pPr>
              <w:keepNext/>
              <w:keepLines/>
              <w:snapToGrid w:val="0"/>
              <w:spacing w:before="340" w:after="330" w:line="400" w:lineRule="exact"/>
              <w:ind w:left="41" w:leftChars="17"/>
              <w:outlineLvl w:val="0"/>
              <w:rPr>
                <w:rFonts w:ascii="宋体" w:hAnsi="宋体"/>
                <w:szCs w:val="21"/>
              </w:rPr>
            </w:pPr>
          </w:p>
        </w:tc>
        <w:tc>
          <w:tcPr>
            <w:tcW w:w="1419" w:type="dxa"/>
          </w:tcPr>
          <w:p w14:paraId="3A666605">
            <w:pPr>
              <w:keepNext/>
              <w:keepLines/>
              <w:snapToGrid w:val="0"/>
              <w:spacing w:before="340" w:after="330" w:line="400" w:lineRule="exact"/>
              <w:ind w:left="41" w:leftChars="17"/>
              <w:outlineLvl w:val="0"/>
              <w:rPr>
                <w:rFonts w:ascii="宋体" w:hAnsi="宋体"/>
                <w:szCs w:val="21"/>
              </w:rPr>
            </w:pPr>
          </w:p>
        </w:tc>
        <w:tc>
          <w:tcPr>
            <w:tcW w:w="564" w:type="dxa"/>
          </w:tcPr>
          <w:p w14:paraId="0F3B3585">
            <w:pPr>
              <w:keepNext/>
              <w:keepLines/>
              <w:snapToGrid w:val="0"/>
              <w:spacing w:before="340" w:after="330" w:line="400" w:lineRule="exact"/>
              <w:ind w:left="41" w:leftChars="17"/>
              <w:outlineLvl w:val="0"/>
              <w:rPr>
                <w:rFonts w:ascii="宋体" w:hAnsi="宋体"/>
                <w:szCs w:val="21"/>
              </w:rPr>
            </w:pPr>
          </w:p>
        </w:tc>
        <w:tc>
          <w:tcPr>
            <w:tcW w:w="426" w:type="dxa"/>
          </w:tcPr>
          <w:p w14:paraId="4B383A0C">
            <w:pPr>
              <w:keepNext/>
              <w:keepLines/>
              <w:snapToGrid w:val="0"/>
              <w:spacing w:before="340" w:after="330" w:line="400" w:lineRule="exact"/>
              <w:ind w:left="41" w:leftChars="17"/>
              <w:outlineLvl w:val="0"/>
              <w:rPr>
                <w:rFonts w:ascii="宋体" w:hAnsi="宋体"/>
                <w:szCs w:val="21"/>
              </w:rPr>
            </w:pPr>
          </w:p>
        </w:tc>
        <w:tc>
          <w:tcPr>
            <w:tcW w:w="458" w:type="dxa"/>
          </w:tcPr>
          <w:p w14:paraId="0FA00F82">
            <w:pPr>
              <w:keepNext/>
              <w:keepLines/>
              <w:snapToGrid w:val="0"/>
              <w:spacing w:before="340" w:after="330" w:line="400" w:lineRule="exact"/>
              <w:ind w:left="41" w:leftChars="17"/>
              <w:outlineLvl w:val="0"/>
              <w:rPr>
                <w:rFonts w:ascii="宋体" w:hAnsi="宋体"/>
                <w:szCs w:val="21"/>
              </w:rPr>
            </w:pPr>
          </w:p>
        </w:tc>
        <w:tc>
          <w:tcPr>
            <w:tcW w:w="1054" w:type="dxa"/>
          </w:tcPr>
          <w:p w14:paraId="765024E7">
            <w:pPr>
              <w:keepNext/>
              <w:keepLines/>
              <w:snapToGrid w:val="0"/>
              <w:spacing w:before="340" w:after="330" w:line="400" w:lineRule="exact"/>
              <w:ind w:left="41" w:leftChars="17"/>
              <w:outlineLvl w:val="0"/>
              <w:rPr>
                <w:rFonts w:ascii="宋体" w:hAnsi="宋体"/>
                <w:szCs w:val="21"/>
              </w:rPr>
            </w:pPr>
          </w:p>
        </w:tc>
        <w:tc>
          <w:tcPr>
            <w:tcW w:w="1182" w:type="dxa"/>
          </w:tcPr>
          <w:p w14:paraId="7538DC19">
            <w:pPr>
              <w:keepNext/>
              <w:keepLines/>
              <w:snapToGrid w:val="0"/>
              <w:spacing w:before="340" w:after="330" w:line="400" w:lineRule="exact"/>
              <w:ind w:left="41" w:leftChars="17"/>
              <w:outlineLvl w:val="0"/>
              <w:rPr>
                <w:rFonts w:ascii="宋体" w:hAnsi="宋体"/>
                <w:szCs w:val="21"/>
              </w:rPr>
            </w:pPr>
          </w:p>
        </w:tc>
        <w:tc>
          <w:tcPr>
            <w:tcW w:w="927" w:type="dxa"/>
          </w:tcPr>
          <w:p w14:paraId="50FA5E50">
            <w:pPr>
              <w:keepNext/>
              <w:keepLines/>
              <w:snapToGrid w:val="0"/>
              <w:spacing w:before="340" w:after="330" w:line="400" w:lineRule="exact"/>
              <w:ind w:left="41" w:leftChars="17"/>
              <w:outlineLvl w:val="0"/>
              <w:rPr>
                <w:rFonts w:ascii="宋体" w:hAnsi="宋体"/>
                <w:szCs w:val="21"/>
              </w:rPr>
            </w:pPr>
          </w:p>
        </w:tc>
        <w:tc>
          <w:tcPr>
            <w:tcW w:w="1052" w:type="dxa"/>
          </w:tcPr>
          <w:p w14:paraId="53B1834E">
            <w:pPr>
              <w:keepNext/>
              <w:keepLines/>
              <w:snapToGrid w:val="0"/>
              <w:spacing w:before="340" w:after="330" w:line="400" w:lineRule="exact"/>
              <w:ind w:left="41" w:leftChars="17"/>
              <w:outlineLvl w:val="0"/>
              <w:rPr>
                <w:rFonts w:ascii="宋体" w:hAnsi="宋体"/>
                <w:szCs w:val="21"/>
              </w:rPr>
            </w:pPr>
          </w:p>
        </w:tc>
      </w:tr>
      <w:tr w14:paraId="3F2CB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6B7C801B">
            <w:pPr>
              <w:keepNext/>
              <w:keepLines/>
              <w:snapToGrid w:val="0"/>
              <w:spacing w:before="340" w:after="330" w:line="400" w:lineRule="exact"/>
              <w:ind w:left="41" w:leftChars="17"/>
              <w:outlineLvl w:val="0"/>
              <w:rPr>
                <w:rFonts w:ascii="宋体" w:hAnsi="宋体"/>
                <w:szCs w:val="21"/>
              </w:rPr>
            </w:pPr>
          </w:p>
        </w:tc>
        <w:tc>
          <w:tcPr>
            <w:tcW w:w="1880" w:type="dxa"/>
          </w:tcPr>
          <w:p w14:paraId="5DE486AE">
            <w:pPr>
              <w:keepNext/>
              <w:keepLines/>
              <w:snapToGrid w:val="0"/>
              <w:spacing w:before="340" w:after="330" w:line="400" w:lineRule="exact"/>
              <w:ind w:left="41" w:leftChars="17"/>
              <w:outlineLvl w:val="0"/>
              <w:rPr>
                <w:rFonts w:ascii="宋体" w:hAnsi="宋体"/>
                <w:szCs w:val="21"/>
              </w:rPr>
            </w:pPr>
          </w:p>
        </w:tc>
        <w:tc>
          <w:tcPr>
            <w:tcW w:w="1419" w:type="dxa"/>
          </w:tcPr>
          <w:p w14:paraId="0FB532E8">
            <w:pPr>
              <w:keepNext/>
              <w:keepLines/>
              <w:snapToGrid w:val="0"/>
              <w:spacing w:before="340" w:after="330" w:line="400" w:lineRule="exact"/>
              <w:ind w:left="41" w:leftChars="17"/>
              <w:outlineLvl w:val="0"/>
              <w:rPr>
                <w:rFonts w:ascii="宋体" w:hAnsi="宋体"/>
                <w:szCs w:val="21"/>
              </w:rPr>
            </w:pPr>
          </w:p>
        </w:tc>
        <w:tc>
          <w:tcPr>
            <w:tcW w:w="564" w:type="dxa"/>
          </w:tcPr>
          <w:p w14:paraId="17787D60">
            <w:pPr>
              <w:keepNext/>
              <w:keepLines/>
              <w:snapToGrid w:val="0"/>
              <w:spacing w:before="340" w:after="330" w:line="400" w:lineRule="exact"/>
              <w:ind w:left="41" w:leftChars="17"/>
              <w:outlineLvl w:val="0"/>
              <w:rPr>
                <w:rFonts w:ascii="宋体" w:hAnsi="宋体"/>
                <w:szCs w:val="21"/>
              </w:rPr>
            </w:pPr>
          </w:p>
        </w:tc>
        <w:tc>
          <w:tcPr>
            <w:tcW w:w="426" w:type="dxa"/>
          </w:tcPr>
          <w:p w14:paraId="166DD49A">
            <w:pPr>
              <w:keepNext/>
              <w:keepLines/>
              <w:snapToGrid w:val="0"/>
              <w:spacing w:before="340" w:after="330" w:line="400" w:lineRule="exact"/>
              <w:ind w:left="41" w:leftChars="17"/>
              <w:outlineLvl w:val="0"/>
              <w:rPr>
                <w:rFonts w:ascii="宋体" w:hAnsi="宋体"/>
                <w:szCs w:val="21"/>
              </w:rPr>
            </w:pPr>
          </w:p>
        </w:tc>
        <w:tc>
          <w:tcPr>
            <w:tcW w:w="458" w:type="dxa"/>
          </w:tcPr>
          <w:p w14:paraId="38F48E18">
            <w:pPr>
              <w:keepNext/>
              <w:keepLines/>
              <w:snapToGrid w:val="0"/>
              <w:spacing w:before="340" w:after="330" w:line="400" w:lineRule="exact"/>
              <w:ind w:left="41" w:leftChars="17"/>
              <w:outlineLvl w:val="0"/>
              <w:rPr>
                <w:rFonts w:ascii="宋体" w:hAnsi="宋体"/>
                <w:szCs w:val="21"/>
              </w:rPr>
            </w:pPr>
          </w:p>
        </w:tc>
        <w:tc>
          <w:tcPr>
            <w:tcW w:w="1054" w:type="dxa"/>
          </w:tcPr>
          <w:p w14:paraId="155DD669">
            <w:pPr>
              <w:keepNext/>
              <w:keepLines/>
              <w:snapToGrid w:val="0"/>
              <w:spacing w:before="340" w:after="330" w:line="400" w:lineRule="exact"/>
              <w:ind w:left="41" w:leftChars="17"/>
              <w:outlineLvl w:val="0"/>
              <w:rPr>
                <w:rFonts w:ascii="宋体" w:hAnsi="宋体"/>
                <w:szCs w:val="21"/>
              </w:rPr>
            </w:pPr>
          </w:p>
        </w:tc>
        <w:tc>
          <w:tcPr>
            <w:tcW w:w="1182" w:type="dxa"/>
          </w:tcPr>
          <w:p w14:paraId="03D82E56">
            <w:pPr>
              <w:keepNext/>
              <w:keepLines/>
              <w:snapToGrid w:val="0"/>
              <w:spacing w:before="340" w:after="330" w:line="400" w:lineRule="exact"/>
              <w:ind w:left="41" w:leftChars="17"/>
              <w:outlineLvl w:val="0"/>
              <w:rPr>
                <w:rFonts w:ascii="宋体" w:hAnsi="宋体"/>
                <w:szCs w:val="21"/>
              </w:rPr>
            </w:pPr>
          </w:p>
        </w:tc>
        <w:tc>
          <w:tcPr>
            <w:tcW w:w="927" w:type="dxa"/>
          </w:tcPr>
          <w:p w14:paraId="21032FB8">
            <w:pPr>
              <w:keepNext/>
              <w:keepLines/>
              <w:snapToGrid w:val="0"/>
              <w:spacing w:before="340" w:after="330" w:line="400" w:lineRule="exact"/>
              <w:ind w:left="41" w:leftChars="17"/>
              <w:outlineLvl w:val="0"/>
              <w:rPr>
                <w:rFonts w:ascii="宋体" w:hAnsi="宋体"/>
                <w:szCs w:val="21"/>
              </w:rPr>
            </w:pPr>
          </w:p>
        </w:tc>
        <w:tc>
          <w:tcPr>
            <w:tcW w:w="1052" w:type="dxa"/>
          </w:tcPr>
          <w:p w14:paraId="69DDF155">
            <w:pPr>
              <w:keepNext/>
              <w:keepLines/>
              <w:snapToGrid w:val="0"/>
              <w:spacing w:before="340" w:after="330" w:line="400" w:lineRule="exact"/>
              <w:ind w:left="41" w:leftChars="17"/>
              <w:outlineLvl w:val="0"/>
              <w:rPr>
                <w:rFonts w:ascii="宋体" w:hAnsi="宋体"/>
                <w:szCs w:val="21"/>
              </w:rPr>
            </w:pPr>
          </w:p>
        </w:tc>
      </w:tr>
      <w:tr w14:paraId="31262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012A54BB">
            <w:pPr>
              <w:keepNext/>
              <w:keepLines/>
              <w:snapToGrid w:val="0"/>
              <w:spacing w:before="340" w:after="330" w:line="400" w:lineRule="exact"/>
              <w:ind w:left="41" w:leftChars="17"/>
              <w:outlineLvl w:val="0"/>
              <w:rPr>
                <w:rFonts w:ascii="宋体" w:hAnsi="宋体"/>
                <w:szCs w:val="21"/>
              </w:rPr>
            </w:pPr>
          </w:p>
        </w:tc>
        <w:tc>
          <w:tcPr>
            <w:tcW w:w="1880" w:type="dxa"/>
          </w:tcPr>
          <w:p w14:paraId="0E7C4F47">
            <w:pPr>
              <w:keepNext/>
              <w:keepLines/>
              <w:snapToGrid w:val="0"/>
              <w:spacing w:before="340" w:after="330" w:line="400" w:lineRule="exact"/>
              <w:ind w:left="41" w:leftChars="17"/>
              <w:outlineLvl w:val="0"/>
              <w:rPr>
                <w:rFonts w:ascii="宋体" w:hAnsi="宋体"/>
                <w:szCs w:val="21"/>
              </w:rPr>
            </w:pPr>
          </w:p>
        </w:tc>
        <w:tc>
          <w:tcPr>
            <w:tcW w:w="1419" w:type="dxa"/>
          </w:tcPr>
          <w:p w14:paraId="1F60CC86">
            <w:pPr>
              <w:keepNext/>
              <w:keepLines/>
              <w:snapToGrid w:val="0"/>
              <w:spacing w:before="340" w:after="330" w:line="400" w:lineRule="exact"/>
              <w:ind w:left="41" w:leftChars="17"/>
              <w:outlineLvl w:val="0"/>
              <w:rPr>
                <w:rFonts w:ascii="宋体" w:hAnsi="宋体"/>
                <w:szCs w:val="21"/>
              </w:rPr>
            </w:pPr>
          </w:p>
        </w:tc>
        <w:tc>
          <w:tcPr>
            <w:tcW w:w="564" w:type="dxa"/>
          </w:tcPr>
          <w:p w14:paraId="26E07F0D">
            <w:pPr>
              <w:keepNext/>
              <w:keepLines/>
              <w:snapToGrid w:val="0"/>
              <w:spacing w:before="340" w:after="330" w:line="400" w:lineRule="exact"/>
              <w:ind w:left="41" w:leftChars="17"/>
              <w:outlineLvl w:val="0"/>
              <w:rPr>
                <w:rFonts w:ascii="宋体" w:hAnsi="宋体"/>
                <w:szCs w:val="21"/>
              </w:rPr>
            </w:pPr>
          </w:p>
        </w:tc>
        <w:tc>
          <w:tcPr>
            <w:tcW w:w="426" w:type="dxa"/>
          </w:tcPr>
          <w:p w14:paraId="2FDE88D5">
            <w:pPr>
              <w:keepNext/>
              <w:keepLines/>
              <w:snapToGrid w:val="0"/>
              <w:spacing w:before="340" w:after="330" w:line="400" w:lineRule="exact"/>
              <w:ind w:left="41" w:leftChars="17"/>
              <w:outlineLvl w:val="0"/>
              <w:rPr>
                <w:rFonts w:ascii="宋体" w:hAnsi="宋体"/>
                <w:szCs w:val="21"/>
              </w:rPr>
            </w:pPr>
          </w:p>
        </w:tc>
        <w:tc>
          <w:tcPr>
            <w:tcW w:w="458" w:type="dxa"/>
          </w:tcPr>
          <w:p w14:paraId="552CD762">
            <w:pPr>
              <w:keepNext/>
              <w:keepLines/>
              <w:snapToGrid w:val="0"/>
              <w:spacing w:before="340" w:after="330" w:line="400" w:lineRule="exact"/>
              <w:ind w:left="41" w:leftChars="17"/>
              <w:outlineLvl w:val="0"/>
              <w:rPr>
                <w:rFonts w:ascii="宋体" w:hAnsi="宋体"/>
                <w:szCs w:val="21"/>
              </w:rPr>
            </w:pPr>
          </w:p>
        </w:tc>
        <w:tc>
          <w:tcPr>
            <w:tcW w:w="1054" w:type="dxa"/>
          </w:tcPr>
          <w:p w14:paraId="4B6CDA79">
            <w:pPr>
              <w:keepNext/>
              <w:keepLines/>
              <w:snapToGrid w:val="0"/>
              <w:spacing w:before="340" w:after="330" w:line="400" w:lineRule="exact"/>
              <w:ind w:left="41" w:leftChars="17"/>
              <w:outlineLvl w:val="0"/>
              <w:rPr>
                <w:rFonts w:ascii="宋体" w:hAnsi="宋体"/>
                <w:szCs w:val="21"/>
              </w:rPr>
            </w:pPr>
          </w:p>
        </w:tc>
        <w:tc>
          <w:tcPr>
            <w:tcW w:w="1182" w:type="dxa"/>
          </w:tcPr>
          <w:p w14:paraId="69EDE06B">
            <w:pPr>
              <w:keepNext/>
              <w:keepLines/>
              <w:snapToGrid w:val="0"/>
              <w:spacing w:before="340" w:after="330" w:line="400" w:lineRule="exact"/>
              <w:ind w:left="41" w:leftChars="17"/>
              <w:outlineLvl w:val="0"/>
              <w:rPr>
                <w:rFonts w:ascii="宋体" w:hAnsi="宋体"/>
                <w:szCs w:val="21"/>
              </w:rPr>
            </w:pPr>
          </w:p>
        </w:tc>
        <w:tc>
          <w:tcPr>
            <w:tcW w:w="927" w:type="dxa"/>
          </w:tcPr>
          <w:p w14:paraId="63CA8FCB">
            <w:pPr>
              <w:keepNext/>
              <w:keepLines/>
              <w:snapToGrid w:val="0"/>
              <w:spacing w:before="340" w:after="330" w:line="400" w:lineRule="exact"/>
              <w:ind w:left="41" w:leftChars="17"/>
              <w:outlineLvl w:val="0"/>
              <w:rPr>
                <w:rFonts w:ascii="宋体" w:hAnsi="宋体"/>
                <w:szCs w:val="21"/>
              </w:rPr>
            </w:pPr>
          </w:p>
        </w:tc>
        <w:tc>
          <w:tcPr>
            <w:tcW w:w="1052" w:type="dxa"/>
          </w:tcPr>
          <w:p w14:paraId="3D540158">
            <w:pPr>
              <w:keepNext/>
              <w:keepLines/>
              <w:snapToGrid w:val="0"/>
              <w:spacing w:before="340" w:after="330" w:line="400" w:lineRule="exact"/>
              <w:ind w:left="41" w:leftChars="17"/>
              <w:outlineLvl w:val="0"/>
              <w:rPr>
                <w:rFonts w:ascii="宋体" w:hAnsi="宋体"/>
                <w:szCs w:val="21"/>
              </w:rPr>
            </w:pPr>
          </w:p>
        </w:tc>
      </w:tr>
      <w:tr w14:paraId="67952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D037187">
            <w:pPr>
              <w:keepNext/>
              <w:keepLines/>
              <w:snapToGrid w:val="0"/>
              <w:spacing w:before="340" w:after="330" w:line="400" w:lineRule="exact"/>
              <w:ind w:left="41" w:leftChars="17"/>
              <w:outlineLvl w:val="0"/>
              <w:rPr>
                <w:rFonts w:ascii="宋体" w:hAnsi="宋体"/>
                <w:szCs w:val="21"/>
              </w:rPr>
            </w:pPr>
          </w:p>
        </w:tc>
        <w:tc>
          <w:tcPr>
            <w:tcW w:w="1880" w:type="dxa"/>
          </w:tcPr>
          <w:p w14:paraId="36E5C5B7">
            <w:pPr>
              <w:keepNext/>
              <w:keepLines/>
              <w:snapToGrid w:val="0"/>
              <w:spacing w:before="340" w:after="330" w:line="400" w:lineRule="exact"/>
              <w:ind w:left="41" w:leftChars="17"/>
              <w:outlineLvl w:val="0"/>
              <w:rPr>
                <w:rFonts w:ascii="宋体" w:hAnsi="宋体"/>
                <w:szCs w:val="21"/>
              </w:rPr>
            </w:pPr>
          </w:p>
        </w:tc>
        <w:tc>
          <w:tcPr>
            <w:tcW w:w="1419" w:type="dxa"/>
          </w:tcPr>
          <w:p w14:paraId="62268EEB">
            <w:pPr>
              <w:keepNext/>
              <w:keepLines/>
              <w:snapToGrid w:val="0"/>
              <w:spacing w:before="340" w:after="330" w:line="400" w:lineRule="exact"/>
              <w:ind w:left="41" w:leftChars="17"/>
              <w:outlineLvl w:val="0"/>
              <w:rPr>
                <w:rFonts w:ascii="宋体" w:hAnsi="宋体"/>
                <w:szCs w:val="21"/>
              </w:rPr>
            </w:pPr>
          </w:p>
        </w:tc>
        <w:tc>
          <w:tcPr>
            <w:tcW w:w="564" w:type="dxa"/>
          </w:tcPr>
          <w:p w14:paraId="752CCC67">
            <w:pPr>
              <w:keepNext/>
              <w:keepLines/>
              <w:snapToGrid w:val="0"/>
              <w:spacing w:before="340" w:after="330" w:line="400" w:lineRule="exact"/>
              <w:ind w:left="41" w:leftChars="17"/>
              <w:outlineLvl w:val="0"/>
              <w:rPr>
                <w:rFonts w:ascii="宋体" w:hAnsi="宋体"/>
                <w:szCs w:val="21"/>
              </w:rPr>
            </w:pPr>
          </w:p>
        </w:tc>
        <w:tc>
          <w:tcPr>
            <w:tcW w:w="426" w:type="dxa"/>
          </w:tcPr>
          <w:p w14:paraId="41E5D202">
            <w:pPr>
              <w:keepNext/>
              <w:keepLines/>
              <w:snapToGrid w:val="0"/>
              <w:spacing w:before="340" w:after="330" w:line="400" w:lineRule="exact"/>
              <w:ind w:left="41" w:leftChars="17"/>
              <w:outlineLvl w:val="0"/>
              <w:rPr>
                <w:rFonts w:ascii="宋体" w:hAnsi="宋体"/>
                <w:szCs w:val="21"/>
              </w:rPr>
            </w:pPr>
          </w:p>
        </w:tc>
        <w:tc>
          <w:tcPr>
            <w:tcW w:w="458" w:type="dxa"/>
          </w:tcPr>
          <w:p w14:paraId="3A378432">
            <w:pPr>
              <w:keepNext/>
              <w:keepLines/>
              <w:snapToGrid w:val="0"/>
              <w:spacing w:before="340" w:after="330" w:line="400" w:lineRule="exact"/>
              <w:ind w:left="41" w:leftChars="17"/>
              <w:outlineLvl w:val="0"/>
              <w:rPr>
                <w:rFonts w:ascii="宋体" w:hAnsi="宋体"/>
                <w:szCs w:val="21"/>
              </w:rPr>
            </w:pPr>
          </w:p>
        </w:tc>
        <w:tc>
          <w:tcPr>
            <w:tcW w:w="1054" w:type="dxa"/>
          </w:tcPr>
          <w:p w14:paraId="256160DE">
            <w:pPr>
              <w:keepNext/>
              <w:keepLines/>
              <w:snapToGrid w:val="0"/>
              <w:spacing w:before="340" w:after="330" w:line="400" w:lineRule="exact"/>
              <w:ind w:left="41" w:leftChars="17"/>
              <w:outlineLvl w:val="0"/>
              <w:rPr>
                <w:rFonts w:ascii="宋体" w:hAnsi="宋体"/>
                <w:szCs w:val="21"/>
              </w:rPr>
            </w:pPr>
          </w:p>
        </w:tc>
        <w:tc>
          <w:tcPr>
            <w:tcW w:w="1182" w:type="dxa"/>
          </w:tcPr>
          <w:p w14:paraId="4F16E994">
            <w:pPr>
              <w:keepNext/>
              <w:keepLines/>
              <w:snapToGrid w:val="0"/>
              <w:spacing w:before="340" w:after="330" w:line="400" w:lineRule="exact"/>
              <w:ind w:left="41" w:leftChars="17"/>
              <w:outlineLvl w:val="0"/>
              <w:rPr>
                <w:rFonts w:ascii="宋体" w:hAnsi="宋体"/>
                <w:szCs w:val="21"/>
              </w:rPr>
            </w:pPr>
          </w:p>
        </w:tc>
        <w:tc>
          <w:tcPr>
            <w:tcW w:w="927" w:type="dxa"/>
          </w:tcPr>
          <w:p w14:paraId="6702C477">
            <w:pPr>
              <w:keepNext/>
              <w:keepLines/>
              <w:snapToGrid w:val="0"/>
              <w:spacing w:before="340" w:after="330" w:line="400" w:lineRule="exact"/>
              <w:ind w:left="41" w:leftChars="17"/>
              <w:outlineLvl w:val="0"/>
              <w:rPr>
                <w:rFonts w:ascii="宋体" w:hAnsi="宋体"/>
                <w:szCs w:val="21"/>
              </w:rPr>
            </w:pPr>
          </w:p>
        </w:tc>
        <w:tc>
          <w:tcPr>
            <w:tcW w:w="1052" w:type="dxa"/>
          </w:tcPr>
          <w:p w14:paraId="6A16B012">
            <w:pPr>
              <w:keepNext/>
              <w:keepLines/>
              <w:snapToGrid w:val="0"/>
              <w:spacing w:before="340" w:after="330" w:line="400" w:lineRule="exact"/>
              <w:ind w:left="41" w:leftChars="17"/>
              <w:outlineLvl w:val="0"/>
              <w:rPr>
                <w:rFonts w:ascii="宋体" w:hAnsi="宋体"/>
                <w:szCs w:val="21"/>
              </w:rPr>
            </w:pPr>
          </w:p>
        </w:tc>
      </w:tr>
      <w:tr w14:paraId="3D632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1309F338">
            <w:pPr>
              <w:keepNext/>
              <w:keepLines/>
              <w:snapToGrid w:val="0"/>
              <w:spacing w:before="340" w:after="330" w:line="400" w:lineRule="exact"/>
              <w:ind w:left="41" w:leftChars="17"/>
              <w:outlineLvl w:val="0"/>
              <w:rPr>
                <w:rFonts w:ascii="宋体" w:hAnsi="宋体"/>
                <w:szCs w:val="21"/>
              </w:rPr>
            </w:pPr>
          </w:p>
        </w:tc>
        <w:tc>
          <w:tcPr>
            <w:tcW w:w="1880" w:type="dxa"/>
          </w:tcPr>
          <w:p w14:paraId="51EFE1D0">
            <w:pPr>
              <w:keepNext/>
              <w:keepLines/>
              <w:snapToGrid w:val="0"/>
              <w:spacing w:before="340" w:after="330" w:line="400" w:lineRule="exact"/>
              <w:ind w:left="41" w:leftChars="17"/>
              <w:outlineLvl w:val="0"/>
              <w:rPr>
                <w:rFonts w:ascii="宋体" w:hAnsi="宋体"/>
                <w:szCs w:val="21"/>
              </w:rPr>
            </w:pPr>
          </w:p>
        </w:tc>
        <w:tc>
          <w:tcPr>
            <w:tcW w:w="1419" w:type="dxa"/>
          </w:tcPr>
          <w:p w14:paraId="6232A0CC">
            <w:pPr>
              <w:keepNext/>
              <w:keepLines/>
              <w:snapToGrid w:val="0"/>
              <w:spacing w:before="340" w:after="330" w:line="400" w:lineRule="exact"/>
              <w:ind w:left="41" w:leftChars="17"/>
              <w:outlineLvl w:val="0"/>
              <w:rPr>
                <w:rFonts w:ascii="宋体" w:hAnsi="宋体"/>
                <w:szCs w:val="21"/>
              </w:rPr>
            </w:pPr>
          </w:p>
        </w:tc>
        <w:tc>
          <w:tcPr>
            <w:tcW w:w="564" w:type="dxa"/>
          </w:tcPr>
          <w:p w14:paraId="14621BF0">
            <w:pPr>
              <w:keepNext/>
              <w:keepLines/>
              <w:snapToGrid w:val="0"/>
              <w:spacing w:before="340" w:after="330" w:line="400" w:lineRule="exact"/>
              <w:ind w:left="41" w:leftChars="17"/>
              <w:outlineLvl w:val="0"/>
              <w:rPr>
                <w:rFonts w:ascii="宋体" w:hAnsi="宋体"/>
                <w:szCs w:val="21"/>
              </w:rPr>
            </w:pPr>
          </w:p>
        </w:tc>
        <w:tc>
          <w:tcPr>
            <w:tcW w:w="426" w:type="dxa"/>
          </w:tcPr>
          <w:p w14:paraId="2D898C38">
            <w:pPr>
              <w:keepNext/>
              <w:keepLines/>
              <w:snapToGrid w:val="0"/>
              <w:spacing w:before="340" w:after="330" w:line="400" w:lineRule="exact"/>
              <w:ind w:left="41" w:leftChars="17"/>
              <w:outlineLvl w:val="0"/>
              <w:rPr>
                <w:rFonts w:ascii="宋体" w:hAnsi="宋体"/>
                <w:szCs w:val="21"/>
              </w:rPr>
            </w:pPr>
          </w:p>
        </w:tc>
        <w:tc>
          <w:tcPr>
            <w:tcW w:w="458" w:type="dxa"/>
          </w:tcPr>
          <w:p w14:paraId="582C1C61">
            <w:pPr>
              <w:keepNext/>
              <w:keepLines/>
              <w:snapToGrid w:val="0"/>
              <w:spacing w:before="340" w:after="330" w:line="400" w:lineRule="exact"/>
              <w:ind w:left="41" w:leftChars="17"/>
              <w:outlineLvl w:val="0"/>
              <w:rPr>
                <w:rFonts w:ascii="宋体" w:hAnsi="宋体"/>
                <w:szCs w:val="21"/>
              </w:rPr>
            </w:pPr>
          </w:p>
        </w:tc>
        <w:tc>
          <w:tcPr>
            <w:tcW w:w="1054" w:type="dxa"/>
          </w:tcPr>
          <w:p w14:paraId="56498793">
            <w:pPr>
              <w:keepNext/>
              <w:keepLines/>
              <w:snapToGrid w:val="0"/>
              <w:spacing w:before="340" w:after="330" w:line="400" w:lineRule="exact"/>
              <w:ind w:left="41" w:leftChars="17"/>
              <w:outlineLvl w:val="0"/>
              <w:rPr>
                <w:rFonts w:ascii="宋体" w:hAnsi="宋体"/>
                <w:szCs w:val="21"/>
              </w:rPr>
            </w:pPr>
          </w:p>
        </w:tc>
        <w:tc>
          <w:tcPr>
            <w:tcW w:w="1182" w:type="dxa"/>
          </w:tcPr>
          <w:p w14:paraId="02B22EE7">
            <w:pPr>
              <w:keepNext/>
              <w:keepLines/>
              <w:snapToGrid w:val="0"/>
              <w:spacing w:before="340" w:after="330" w:line="400" w:lineRule="exact"/>
              <w:ind w:left="41" w:leftChars="17"/>
              <w:outlineLvl w:val="0"/>
              <w:rPr>
                <w:rFonts w:ascii="宋体" w:hAnsi="宋体"/>
                <w:szCs w:val="21"/>
              </w:rPr>
            </w:pPr>
          </w:p>
        </w:tc>
        <w:tc>
          <w:tcPr>
            <w:tcW w:w="927" w:type="dxa"/>
          </w:tcPr>
          <w:p w14:paraId="799F1383">
            <w:pPr>
              <w:keepNext/>
              <w:keepLines/>
              <w:snapToGrid w:val="0"/>
              <w:spacing w:before="340" w:after="330" w:line="400" w:lineRule="exact"/>
              <w:ind w:left="41" w:leftChars="17"/>
              <w:outlineLvl w:val="0"/>
              <w:rPr>
                <w:rFonts w:ascii="宋体" w:hAnsi="宋体"/>
                <w:szCs w:val="21"/>
              </w:rPr>
            </w:pPr>
          </w:p>
        </w:tc>
        <w:tc>
          <w:tcPr>
            <w:tcW w:w="1052" w:type="dxa"/>
          </w:tcPr>
          <w:p w14:paraId="02E8B586">
            <w:pPr>
              <w:keepNext/>
              <w:keepLines/>
              <w:snapToGrid w:val="0"/>
              <w:spacing w:before="340" w:after="330" w:line="400" w:lineRule="exact"/>
              <w:ind w:left="41" w:leftChars="17"/>
              <w:outlineLvl w:val="0"/>
              <w:rPr>
                <w:rFonts w:ascii="宋体" w:hAnsi="宋体"/>
                <w:szCs w:val="21"/>
              </w:rPr>
            </w:pPr>
          </w:p>
        </w:tc>
      </w:tr>
      <w:tr w14:paraId="5ADF0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21E4390">
            <w:pPr>
              <w:keepNext/>
              <w:keepLines/>
              <w:snapToGrid w:val="0"/>
              <w:spacing w:before="340" w:after="330" w:line="400" w:lineRule="exact"/>
              <w:ind w:left="41" w:leftChars="17"/>
              <w:outlineLvl w:val="0"/>
              <w:rPr>
                <w:rFonts w:ascii="宋体" w:hAnsi="宋体"/>
                <w:szCs w:val="21"/>
              </w:rPr>
            </w:pPr>
          </w:p>
        </w:tc>
        <w:tc>
          <w:tcPr>
            <w:tcW w:w="1880" w:type="dxa"/>
          </w:tcPr>
          <w:p w14:paraId="514ABCDE">
            <w:pPr>
              <w:keepNext/>
              <w:keepLines/>
              <w:snapToGrid w:val="0"/>
              <w:spacing w:before="340" w:after="330" w:line="400" w:lineRule="exact"/>
              <w:ind w:left="41" w:leftChars="17"/>
              <w:outlineLvl w:val="0"/>
              <w:rPr>
                <w:rFonts w:ascii="宋体" w:hAnsi="宋体"/>
                <w:szCs w:val="21"/>
              </w:rPr>
            </w:pPr>
          </w:p>
        </w:tc>
        <w:tc>
          <w:tcPr>
            <w:tcW w:w="1419" w:type="dxa"/>
          </w:tcPr>
          <w:p w14:paraId="0196DE2A">
            <w:pPr>
              <w:keepNext/>
              <w:keepLines/>
              <w:snapToGrid w:val="0"/>
              <w:spacing w:before="340" w:after="330" w:line="400" w:lineRule="exact"/>
              <w:ind w:left="41" w:leftChars="17"/>
              <w:outlineLvl w:val="0"/>
              <w:rPr>
                <w:rFonts w:ascii="宋体" w:hAnsi="宋体"/>
                <w:szCs w:val="21"/>
              </w:rPr>
            </w:pPr>
          </w:p>
        </w:tc>
        <w:tc>
          <w:tcPr>
            <w:tcW w:w="564" w:type="dxa"/>
          </w:tcPr>
          <w:p w14:paraId="2A121DBB">
            <w:pPr>
              <w:keepNext/>
              <w:keepLines/>
              <w:snapToGrid w:val="0"/>
              <w:spacing w:before="340" w:after="330" w:line="400" w:lineRule="exact"/>
              <w:ind w:left="41" w:leftChars="17"/>
              <w:outlineLvl w:val="0"/>
              <w:rPr>
                <w:rFonts w:ascii="宋体" w:hAnsi="宋体"/>
                <w:szCs w:val="21"/>
              </w:rPr>
            </w:pPr>
          </w:p>
        </w:tc>
        <w:tc>
          <w:tcPr>
            <w:tcW w:w="426" w:type="dxa"/>
          </w:tcPr>
          <w:p w14:paraId="54D189AF">
            <w:pPr>
              <w:keepNext/>
              <w:keepLines/>
              <w:snapToGrid w:val="0"/>
              <w:spacing w:before="340" w:after="330" w:line="400" w:lineRule="exact"/>
              <w:ind w:left="41" w:leftChars="17"/>
              <w:outlineLvl w:val="0"/>
              <w:rPr>
                <w:rFonts w:ascii="宋体" w:hAnsi="宋体"/>
                <w:szCs w:val="21"/>
              </w:rPr>
            </w:pPr>
          </w:p>
        </w:tc>
        <w:tc>
          <w:tcPr>
            <w:tcW w:w="458" w:type="dxa"/>
          </w:tcPr>
          <w:p w14:paraId="01F5213D">
            <w:pPr>
              <w:keepNext/>
              <w:keepLines/>
              <w:snapToGrid w:val="0"/>
              <w:spacing w:before="340" w:after="330" w:line="400" w:lineRule="exact"/>
              <w:ind w:left="41" w:leftChars="17"/>
              <w:outlineLvl w:val="0"/>
              <w:rPr>
                <w:rFonts w:ascii="宋体" w:hAnsi="宋体"/>
                <w:szCs w:val="21"/>
              </w:rPr>
            </w:pPr>
          </w:p>
        </w:tc>
        <w:tc>
          <w:tcPr>
            <w:tcW w:w="1054" w:type="dxa"/>
          </w:tcPr>
          <w:p w14:paraId="161FA2EA">
            <w:pPr>
              <w:keepNext/>
              <w:keepLines/>
              <w:snapToGrid w:val="0"/>
              <w:spacing w:before="340" w:after="330" w:line="400" w:lineRule="exact"/>
              <w:ind w:left="41" w:leftChars="17"/>
              <w:outlineLvl w:val="0"/>
              <w:rPr>
                <w:rFonts w:ascii="宋体" w:hAnsi="宋体"/>
                <w:szCs w:val="21"/>
              </w:rPr>
            </w:pPr>
          </w:p>
        </w:tc>
        <w:tc>
          <w:tcPr>
            <w:tcW w:w="1182" w:type="dxa"/>
          </w:tcPr>
          <w:p w14:paraId="722AD27E">
            <w:pPr>
              <w:keepNext/>
              <w:keepLines/>
              <w:snapToGrid w:val="0"/>
              <w:spacing w:before="340" w:after="330" w:line="400" w:lineRule="exact"/>
              <w:ind w:left="41" w:leftChars="17"/>
              <w:outlineLvl w:val="0"/>
              <w:rPr>
                <w:rFonts w:ascii="宋体" w:hAnsi="宋体"/>
                <w:szCs w:val="21"/>
              </w:rPr>
            </w:pPr>
          </w:p>
        </w:tc>
        <w:tc>
          <w:tcPr>
            <w:tcW w:w="927" w:type="dxa"/>
          </w:tcPr>
          <w:p w14:paraId="399329C0">
            <w:pPr>
              <w:keepNext/>
              <w:keepLines/>
              <w:snapToGrid w:val="0"/>
              <w:spacing w:before="340" w:after="330" w:line="400" w:lineRule="exact"/>
              <w:ind w:left="41" w:leftChars="17"/>
              <w:outlineLvl w:val="0"/>
              <w:rPr>
                <w:rFonts w:ascii="宋体" w:hAnsi="宋体"/>
                <w:szCs w:val="21"/>
              </w:rPr>
            </w:pPr>
          </w:p>
        </w:tc>
        <w:tc>
          <w:tcPr>
            <w:tcW w:w="1052" w:type="dxa"/>
          </w:tcPr>
          <w:p w14:paraId="66466BE4">
            <w:pPr>
              <w:keepNext/>
              <w:keepLines/>
              <w:snapToGrid w:val="0"/>
              <w:spacing w:before="340" w:after="330" w:line="400" w:lineRule="exact"/>
              <w:ind w:left="41" w:leftChars="17"/>
              <w:outlineLvl w:val="0"/>
              <w:rPr>
                <w:rFonts w:ascii="宋体" w:hAnsi="宋体"/>
                <w:szCs w:val="21"/>
              </w:rPr>
            </w:pPr>
          </w:p>
        </w:tc>
      </w:tr>
      <w:tr w14:paraId="2A382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6989E05B">
            <w:pPr>
              <w:keepNext/>
              <w:keepLines/>
              <w:snapToGrid w:val="0"/>
              <w:spacing w:before="340" w:after="330" w:line="400" w:lineRule="exact"/>
              <w:ind w:left="41" w:leftChars="17"/>
              <w:outlineLvl w:val="0"/>
              <w:rPr>
                <w:rFonts w:ascii="宋体" w:hAnsi="宋体"/>
                <w:szCs w:val="21"/>
              </w:rPr>
            </w:pPr>
          </w:p>
        </w:tc>
        <w:tc>
          <w:tcPr>
            <w:tcW w:w="1880" w:type="dxa"/>
          </w:tcPr>
          <w:p w14:paraId="4C85BE86">
            <w:pPr>
              <w:keepNext/>
              <w:keepLines/>
              <w:snapToGrid w:val="0"/>
              <w:spacing w:before="340" w:after="330" w:line="400" w:lineRule="exact"/>
              <w:ind w:left="41" w:leftChars="17"/>
              <w:outlineLvl w:val="0"/>
              <w:rPr>
                <w:rFonts w:ascii="宋体" w:hAnsi="宋体"/>
                <w:szCs w:val="21"/>
              </w:rPr>
            </w:pPr>
          </w:p>
        </w:tc>
        <w:tc>
          <w:tcPr>
            <w:tcW w:w="1419" w:type="dxa"/>
          </w:tcPr>
          <w:p w14:paraId="53C2CB8F">
            <w:pPr>
              <w:keepNext/>
              <w:keepLines/>
              <w:snapToGrid w:val="0"/>
              <w:spacing w:before="340" w:after="330" w:line="400" w:lineRule="exact"/>
              <w:ind w:left="41" w:leftChars="17"/>
              <w:outlineLvl w:val="0"/>
              <w:rPr>
                <w:rFonts w:ascii="宋体" w:hAnsi="宋体"/>
                <w:szCs w:val="21"/>
              </w:rPr>
            </w:pPr>
          </w:p>
        </w:tc>
        <w:tc>
          <w:tcPr>
            <w:tcW w:w="564" w:type="dxa"/>
          </w:tcPr>
          <w:p w14:paraId="150B4619">
            <w:pPr>
              <w:keepNext/>
              <w:keepLines/>
              <w:snapToGrid w:val="0"/>
              <w:spacing w:before="340" w:after="330" w:line="400" w:lineRule="exact"/>
              <w:ind w:left="41" w:leftChars="17"/>
              <w:outlineLvl w:val="0"/>
              <w:rPr>
                <w:rFonts w:ascii="宋体" w:hAnsi="宋体"/>
                <w:szCs w:val="21"/>
              </w:rPr>
            </w:pPr>
          </w:p>
        </w:tc>
        <w:tc>
          <w:tcPr>
            <w:tcW w:w="426" w:type="dxa"/>
          </w:tcPr>
          <w:p w14:paraId="3876A1B9">
            <w:pPr>
              <w:keepNext/>
              <w:keepLines/>
              <w:snapToGrid w:val="0"/>
              <w:spacing w:before="340" w:after="330" w:line="400" w:lineRule="exact"/>
              <w:ind w:left="41" w:leftChars="17"/>
              <w:outlineLvl w:val="0"/>
              <w:rPr>
                <w:rFonts w:ascii="宋体" w:hAnsi="宋体"/>
                <w:szCs w:val="21"/>
              </w:rPr>
            </w:pPr>
          </w:p>
        </w:tc>
        <w:tc>
          <w:tcPr>
            <w:tcW w:w="458" w:type="dxa"/>
          </w:tcPr>
          <w:p w14:paraId="5CDF07A3">
            <w:pPr>
              <w:keepNext/>
              <w:keepLines/>
              <w:snapToGrid w:val="0"/>
              <w:spacing w:before="340" w:after="330" w:line="400" w:lineRule="exact"/>
              <w:ind w:left="41" w:leftChars="17"/>
              <w:outlineLvl w:val="0"/>
              <w:rPr>
                <w:rFonts w:ascii="宋体" w:hAnsi="宋体"/>
                <w:szCs w:val="21"/>
              </w:rPr>
            </w:pPr>
          </w:p>
        </w:tc>
        <w:tc>
          <w:tcPr>
            <w:tcW w:w="1054" w:type="dxa"/>
          </w:tcPr>
          <w:p w14:paraId="1B17AEDF">
            <w:pPr>
              <w:keepNext/>
              <w:keepLines/>
              <w:snapToGrid w:val="0"/>
              <w:spacing w:before="340" w:after="330" w:line="400" w:lineRule="exact"/>
              <w:ind w:left="41" w:leftChars="17"/>
              <w:outlineLvl w:val="0"/>
              <w:rPr>
                <w:rFonts w:ascii="宋体" w:hAnsi="宋体"/>
                <w:szCs w:val="21"/>
              </w:rPr>
            </w:pPr>
          </w:p>
        </w:tc>
        <w:tc>
          <w:tcPr>
            <w:tcW w:w="1182" w:type="dxa"/>
          </w:tcPr>
          <w:p w14:paraId="1F68170A">
            <w:pPr>
              <w:keepNext/>
              <w:keepLines/>
              <w:snapToGrid w:val="0"/>
              <w:spacing w:before="340" w:after="330" w:line="400" w:lineRule="exact"/>
              <w:ind w:left="41" w:leftChars="17"/>
              <w:outlineLvl w:val="0"/>
              <w:rPr>
                <w:rFonts w:ascii="宋体" w:hAnsi="宋体"/>
                <w:szCs w:val="21"/>
              </w:rPr>
            </w:pPr>
          </w:p>
        </w:tc>
        <w:tc>
          <w:tcPr>
            <w:tcW w:w="927" w:type="dxa"/>
          </w:tcPr>
          <w:p w14:paraId="092C87B8">
            <w:pPr>
              <w:keepNext/>
              <w:keepLines/>
              <w:snapToGrid w:val="0"/>
              <w:spacing w:before="340" w:after="330" w:line="400" w:lineRule="exact"/>
              <w:ind w:left="41" w:leftChars="17"/>
              <w:outlineLvl w:val="0"/>
              <w:rPr>
                <w:rFonts w:ascii="宋体" w:hAnsi="宋体"/>
                <w:szCs w:val="21"/>
              </w:rPr>
            </w:pPr>
          </w:p>
        </w:tc>
        <w:tc>
          <w:tcPr>
            <w:tcW w:w="1052" w:type="dxa"/>
          </w:tcPr>
          <w:p w14:paraId="20E60303">
            <w:pPr>
              <w:keepNext/>
              <w:keepLines/>
              <w:snapToGrid w:val="0"/>
              <w:spacing w:before="340" w:after="330" w:line="400" w:lineRule="exact"/>
              <w:ind w:left="41" w:leftChars="17"/>
              <w:outlineLvl w:val="0"/>
              <w:rPr>
                <w:rFonts w:ascii="宋体" w:hAnsi="宋体"/>
                <w:szCs w:val="21"/>
              </w:rPr>
            </w:pPr>
          </w:p>
        </w:tc>
      </w:tr>
      <w:tr w14:paraId="67D08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6505C4C8">
            <w:pPr>
              <w:keepNext/>
              <w:keepLines/>
              <w:snapToGrid w:val="0"/>
              <w:spacing w:before="340" w:after="330" w:line="400" w:lineRule="exact"/>
              <w:ind w:left="41" w:leftChars="17"/>
              <w:outlineLvl w:val="0"/>
              <w:rPr>
                <w:rFonts w:ascii="宋体" w:hAnsi="宋体"/>
                <w:szCs w:val="21"/>
              </w:rPr>
            </w:pPr>
          </w:p>
        </w:tc>
        <w:tc>
          <w:tcPr>
            <w:tcW w:w="1880" w:type="dxa"/>
          </w:tcPr>
          <w:p w14:paraId="33CE0FB3">
            <w:pPr>
              <w:keepNext/>
              <w:keepLines/>
              <w:snapToGrid w:val="0"/>
              <w:spacing w:before="340" w:after="330" w:line="400" w:lineRule="exact"/>
              <w:ind w:left="41" w:leftChars="17"/>
              <w:outlineLvl w:val="0"/>
              <w:rPr>
                <w:rFonts w:ascii="宋体" w:hAnsi="宋体"/>
                <w:szCs w:val="21"/>
              </w:rPr>
            </w:pPr>
          </w:p>
        </w:tc>
        <w:tc>
          <w:tcPr>
            <w:tcW w:w="1419" w:type="dxa"/>
          </w:tcPr>
          <w:p w14:paraId="5B7AC5E2">
            <w:pPr>
              <w:keepNext/>
              <w:keepLines/>
              <w:snapToGrid w:val="0"/>
              <w:spacing w:before="340" w:after="330" w:line="400" w:lineRule="exact"/>
              <w:ind w:left="41" w:leftChars="17"/>
              <w:outlineLvl w:val="0"/>
              <w:rPr>
                <w:rFonts w:ascii="宋体" w:hAnsi="宋体"/>
                <w:szCs w:val="21"/>
              </w:rPr>
            </w:pPr>
          </w:p>
        </w:tc>
        <w:tc>
          <w:tcPr>
            <w:tcW w:w="564" w:type="dxa"/>
          </w:tcPr>
          <w:p w14:paraId="7C4F69C7">
            <w:pPr>
              <w:keepNext/>
              <w:keepLines/>
              <w:snapToGrid w:val="0"/>
              <w:spacing w:before="340" w:after="330" w:line="400" w:lineRule="exact"/>
              <w:ind w:left="41" w:leftChars="17"/>
              <w:outlineLvl w:val="0"/>
              <w:rPr>
                <w:rFonts w:ascii="宋体" w:hAnsi="宋体"/>
                <w:szCs w:val="21"/>
              </w:rPr>
            </w:pPr>
          </w:p>
        </w:tc>
        <w:tc>
          <w:tcPr>
            <w:tcW w:w="426" w:type="dxa"/>
          </w:tcPr>
          <w:p w14:paraId="6B9F075C">
            <w:pPr>
              <w:keepNext/>
              <w:keepLines/>
              <w:snapToGrid w:val="0"/>
              <w:spacing w:before="340" w:after="330" w:line="400" w:lineRule="exact"/>
              <w:ind w:left="41" w:leftChars="17"/>
              <w:outlineLvl w:val="0"/>
              <w:rPr>
                <w:rFonts w:ascii="宋体" w:hAnsi="宋体"/>
                <w:szCs w:val="21"/>
              </w:rPr>
            </w:pPr>
          </w:p>
        </w:tc>
        <w:tc>
          <w:tcPr>
            <w:tcW w:w="458" w:type="dxa"/>
          </w:tcPr>
          <w:p w14:paraId="17764517">
            <w:pPr>
              <w:keepNext/>
              <w:keepLines/>
              <w:snapToGrid w:val="0"/>
              <w:spacing w:before="340" w:after="330" w:line="400" w:lineRule="exact"/>
              <w:ind w:left="41" w:leftChars="17"/>
              <w:outlineLvl w:val="0"/>
              <w:rPr>
                <w:rFonts w:ascii="宋体" w:hAnsi="宋体"/>
                <w:szCs w:val="21"/>
              </w:rPr>
            </w:pPr>
          </w:p>
        </w:tc>
        <w:tc>
          <w:tcPr>
            <w:tcW w:w="1054" w:type="dxa"/>
          </w:tcPr>
          <w:p w14:paraId="22CEED69">
            <w:pPr>
              <w:keepNext/>
              <w:keepLines/>
              <w:snapToGrid w:val="0"/>
              <w:spacing w:before="340" w:after="330" w:line="400" w:lineRule="exact"/>
              <w:ind w:left="41" w:leftChars="17"/>
              <w:outlineLvl w:val="0"/>
              <w:rPr>
                <w:rFonts w:ascii="宋体" w:hAnsi="宋体"/>
                <w:szCs w:val="21"/>
              </w:rPr>
            </w:pPr>
          </w:p>
        </w:tc>
        <w:tc>
          <w:tcPr>
            <w:tcW w:w="1182" w:type="dxa"/>
          </w:tcPr>
          <w:p w14:paraId="054E3945">
            <w:pPr>
              <w:keepNext/>
              <w:keepLines/>
              <w:snapToGrid w:val="0"/>
              <w:spacing w:before="340" w:after="330" w:line="400" w:lineRule="exact"/>
              <w:ind w:left="41" w:leftChars="17"/>
              <w:outlineLvl w:val="0"/>
              <w:rPr>
                <w:rFonts w:ascii="宋体" w:hAnsi="宋体"/>
                <w:szCs w:val="21"/>
              </w:rPr>
            </w:pPr>
          </w:p>
        </w:tc>
        <w:tc>
          <w:tcPr>
            <w:tcW w:w="927" w:type="dxa"/>
          </w:tcPr>
          <w:p w14:paraId="2CFA7541">
            <w:pPr>
              <w:keepNext/>
              <w:keepLines/>
              <w:snapToGrid w:val="0"/>
              <w:spacing w:before="340" w:after="330" w:line="400" w:lineRule="exact"/>
              <w:ind w:left="41" w:leftChars="17"/>
              <w:outlineLvl w:val="0"/>
              <w:rPr>
                <w:rFonts w:ascii="宋体" w:hAnsi="宋体"/>
                <w:szCs w:val="21"/>
              </w:rPr>
            </w:pPr>
          </w:p>
        </w:tc>
        <w:tc>
          <w:tcPr>
            <w:tcW w:w="1052" w:type="dxa"/>
          </w:tcPr>
          <w:p w14:paraId="57178D6C">
            <w:pPr>
              <w:keepNext/>
              <w:keepLines/>
              <w:snapToGrid w:val="0"/>
              <w:spacing w:before="340" w:after="330" w:line="400" w:lineRule="exact"/>
              <w:ind w:left="41" w:leftChars="17"/>
              <w:outlineLvl w:val="0"/>
              <w:rPr>
                <w:rFonts w:ascii="宋体" w:hAnsi="宋体"/>
                <w:szCs w:val="21"/>
              </w:rPr>
            </w:pPr>
          </w:p>
        </w:tc>
      </w:tr>
      <w:tr w14:paraId="1DAAC2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2274131">
            <w:pPr>
              <w:keepNext/>
              <w:keepLines/>
              <w:snapToGrid w:val="0"/>
              <w:spacing w:before="340" w:after="330" w:line="400" w:lineRule="exact"/>
              <w:ind w:left="41" w:leftChars="17"/>
              <w:outlineLvl w:val="0"/>
              <w:rPr>
                <w:rFonts w:ascii="宋体" w:hAnsi="宋体"/>
                <w:szCs w:val="21"/>
              </w:rPr>
            </w:pPr>
          </w:p>
        </w:tc>
        <w:tc>
          <w:tcPr>
            <w:tcW w:w="1880" w:type="dxa"/>
          </w:tcPr>
          <w:p w14:paraId="40B685AF">
            <w:pPr>
              <w:keepNext/>
              <w:keepLines/>
              <w:snapToGrid w:val="0"/>
              <w:spacing w:before="340" w:after="330" w:line="400" w:lineRule="exact"/>
              <w:ind w:left="41" w:leftChars="17"/>
              <w:outlineLvl w:val="0"/>
              <w:rPr>
                <w:rFonts w:ascii="宋体" w:hAnsi="宋体"/>
                <w:szCs w:val="21"/>
              </w:rPr>
            </w:pPr>
          </w:p>
        </w:tc>
        <w:tc>
          <w:tcPr>
            <w:tcW w:w="1419" w:type="dxa"/>
          </w:tcPr>
          <w:p w14:paraId="71DE3EB4">
            <w:pPr>
              <w:keepNext/>
              <w:keepLines/>
              <w:snapToGrid w:val="0"/>
              <w:spacing w:before="340" w:after="330" w:line="400" w:lineRule="exact"/>
              <w:ind w:left="41" w:leftChars="17"/>
              <w:outlineLvl w:val="0"/>
              <w:rPr>
                <w:rFonts w:ascii="宋体" w:hAnsi="宋体"/>
                <w:szCs w:val="21"/>
              </w:rPr>
            </w:pPr>
          </w:p>
        </w:tc>
        <w:tc>
          <w:tcPr>
            <w:tcW w:w="564" w:type="dxa"/>
          </w:tcPr>
          <w:p w14:paraId="6C09E6E3">
            <w:pPr>
              <w:keepNext/>
              <w:keepLines/>
              <w:snapToGrid w:val="0"/>
              <w:spacing w:before="340" w:after="330" w:line="400" w:lineRule="exact"/>
              <w:ind w:left="41" w:leftChars="17"/>
              <w:outlineLvl w:val="0"/>
              <w:rPr>
                <w:rFonts w:ascii="宋体" w:hAnsi="宋体"/>
                <w:szCs w:val="21"/>
              </w:rPr>
            </w:pPr>
          </w:p>
        </w:tc>
        <w:tc>
          <w:tcPr>
            <w:tcW w:w="426" w:type="dxa"/>
          </w:tcPr>
          <w:p w14:paraId="3160658B">
            <w:pPr>
              <w:keepNext/>
              <w:keepLines/>
              <w:snapToGrid w:val="0"/>
              <w:spacing w:before="340" w:after="330" w:line="400" w:lineRule="exact"/>
              <w:ind w:left="41" w:leftChars="17"/>
              <w:outlineLvl w:val="0"/>
              <w:rPr>
                <w:rFonts w:ascii="宋体" w:hAnsi="宋体"/>
                <w:szCs w:val="21"/>
              </w:rPr>
            </w:pPr>
          </w:p>
        </w:tc>
        <w:tc>
          <w:tcPr>
            <w:tcW w:w="458" w:type="dxa"/>
          </w:tcPr>
          <w:p w14:paraId="0A369C5A">
            <w:pPr>
              <w:keepNext/>
              <w:keepLines/>
              <w:snapToGrid w:val="0"/>
              <w:spacing w:before="340" w:after="330" w:line="400" w:lineRule="exact"/>
              <w:ind w:left="41" w:leftChars="17"/>
              <w:outlineLvl w:val="0"/>
              <w:rPr>
                <w:rFonts w:ascii="宋体" w:hAnsi="宋体"/>
                <w:szCs w:val="21"/>
              </w:rPr>
            </w:pPr>
          </w:p>
        </w:tc>
        <w:tc>
          <w:tcPr>
            <w:tcW w:w="1054" w:type="dxa"/>
          </w:tcPr>
          <w:p w14:paraId="32675293">
            <w:pPr>
              <w:keepNext/>
              <w:keepLines/>
              <w:snapToGrid w:val="0"/>
              <w:spacing w:before="340" w:after="330" w:line="400" w:lineRule="exact"/>
              <w:ind w:left="41" w:leftChars="17"/>
              <w:outlineLvl w:val="0"/>
              <w:rPr>
                <w:rFonts w:ascii="宋体" w:hAnsi="宋体"/>
                <w:szCs w:val="21"/>
              </w:rPr>
            </w:pPr>
          </w:p>
        </w:tc>
        <w:tc>
          <w:tcPr>
            <w:tcW w:w="1182" w:type="dxa"/>
          </w:tcPr>
          <w:p w14:paraId="531B7AEA">
            <w:pPr>
              <w:keepNext/>
              <w:keepLines/>
              <w:snapToGrid w:val="0"/>
              <w:spacing w:before="340" w:after="330" w:line="400" w:lineRule="exact"/>
              <w:ind w:left="41" w:leftChars="17"/>
              <w:outlineLvl w:val="0"/>
              <w:rPr>
                <w:rFonts w:ascii="宋体" w:hAnsi="宋体"/>
                <w:szCs w:val="21"/>
              </w:rPr>
            </w:pPr>
          </w:p>
        </w:tc>
        <w:tc>
          <w:tcPr>
            <w:tcW w:w="927" w:type="dxa"/>
          </w:tcPr>
          <w:p w14:paraId="584C3567">
            <w:pPr>
              <w:keepNext/>
              <w:keepLines/>
              <w:snapToGrid w:val="0"/>
              <w:spacing w:before="340" w:after="330" w:line="400" w:lineRule="exact"/>
              <w:ind w:left="41" w:leftChars="17"/>
              <w:outlineLvl w:val="0"/>
              <w:rPr>
                <w:rFonts w:ascii="宋体" w:hAnsi="宋体"/>
                <w:szCs w:val="21"/>
              </w:rPr>
            </w:pPr>
          </w:p>
        </w:tc>
        <w:tc>
          <w:tcPr>
            <w:tcW w:w="1052" w:type="dxa"/>
          </w:tcPr>
          <w:p w14:paraId="4D21F0E2">
            <w:pPr>
              <w:keepNext/>
              <w:keepLines/>
              <w:snapToGrid w:val="0"/>
              <w:spacing w:before="340" w:after="330" w:line="400" w:lineRule="exact"/>
              <w:ind w:left="41" w:leftChars="17"/>
              <w:outlineLvl w:val="0"/>
              <w:rPr>
                <w:rFonts w:ascii="宋体" w:hAnsi="宋体"/>
                <w:szCs w:val="21"/>
              </w:rPr>
            </w:pPr>
          </w:p>
        </w:tc>
      </w:tr>
      <w:tr w14:paraId="47F1A1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D41A44E">
            <w:pPr>
              <w:keepNext/>
              <w:keepLines/>
              <w:snapToGrid w:val="0"/>
              <w:spacing w:before="340" w:after="330" w:line="400" w:lineRule="exact"/>
              <w:ind w:left="41" w:leftChars="17"/>
              <w:outlineLvl w:val="0"/>
              <w:rPr>
                <w:rFonts w:ascii="宋体" w:hAnsi="宋体"/>
                <w:szCs w:val="21"/>
              </w:rPr>
            </w:pPr>
          </w:p>
        </w:tc>
        <w:tc>
          <w:tcPr>
            <w:tcW w:w="1880" w:type="dxa"/>
          </w:tcPr>
          <w:p w14:paraId="79D52E37">
            <w:pPr>
              <w:keepNext/>
              <w:keepLines/>
              <w:snapToGrid w:val="0"/>
              <w:spacing w:before="340" w:after="330" w:line="400" w:lineRule="exact"/>
              <w:ind w:left="41" w:leftChars="17"/>
              <w:outlineLvl w:val="0"/>
              <w:rPr>
                <w:rFonts w:ascii="宋体" w:hAnsi="宋体"/>
                <w:szCs w:val="21"/>
              </w:rPr>
            </w:pPr>
          </w:p>
        </w:tc>
        <w:tc>
          <w:tcPr>
            <w:tcW w:w="1419" w:type="dxa"/>
          </w:tcPr>
          <w:p w14:paraId="1A4A46CD">
            <w:pPr>
              <w:keepNext/>
              <w:keepLines/>
              <w:snapToGrid w:val="0"/>
              <w:spacing w:before="340" w:after="330" w:line="400" w:lineRule="exact"/>
              <w:ind w:left="41" w:leftChars="17"/>
              <w:outlineLvl w:val="0"/>
              <w:rPr>
                <w:rFonts w:ascii="宋体" w:hAnsi="宋体"/>
                <w:szCs w:val="21"/>
              </w:rPr>
            </w:pPr>
          </w:p>
        </w:tc>
        <w:tc>
          <w:tcPr>
            <w:tcW w:w="564" w:type="dxa"/>
          </w:tcPr>
          <w:p w14:paraId="6670E219">
            <w:pPr>
              <w:keepNext/>
              <w:keepLines/>
              <w:snapToGrid w:val="0"/>
              <w:spacing w:before="340" w:after="330" w:line="400" w:lineRule="exact"/>
              <w:ind w:left="41" w:leftChars="17"/>
              <w:outlineLvl w:val="0"/>
              <w:rPr>
                <w:rFonts w:ascii="宋体" w:hAnsi="宋体"/>
                <w:szCs w:val="21"/>
              </w:rPr>
            </w:pPr>
          </w:p>
        </w:tc>
        <w:tc>
          <w:tcPr>
            <w:tcW w:w="426" w:type="dxa"/>
          </w:tcPr>
          <w:p w14:paraId="77E212C6">
            <w:pPr>
              <w:keepNext/>
              <w:keepLines/>
              <w:snapToGrid w:val="0"/>
              <w:spacing w:before="340" w:after="330" w:line="400" w:lineRule="exact"/>
              <w:ind w:left="41" w:leftChars="17"/>
              <w:outlineLvl w:val="0"/>
              <w:rPr>
                <w:rFonts w:ascii="宋体" w:hAnsi="宋体"/>
                <w:szCs w:val="21"/>
              </w:rPr>
            </w:pPr>
          </w:p>
        </w:tc>
        <w:tc>
          <w:tcPr>
            <w:tcW w:w="458" w:type="dxa"/>
          </w:tcPr>
          <w:p w14:paraId="3A045A7F">
            <w:pPr>
              <w:keepNext/>
              <w:keepLines/>
              <w:snapToGrid w:val="0"/>
              <w:spacing w:before="340" w:after="330" w:line="400" w:lineRule="exact"/>
              <w:ind w:left="41" w:leftChars="17"/>
              <w:outlineLvl w:val="0"/>
              <w:rPr>
                <w:rFonts w:ascii="宋体" w:hAnsi="宋体"/>
                <w:szCs w:val="21"/>
              </w:rPr>
            </w:pPr>
          </w:p>
        </w:tc>
        <w:tc>
          <w:tcPr>
            <w:tcW w:w="1054" w:type="dxa"/>
          </w:tcPr>
          <w:p w14:paraId="1A17828C">
            <w:pPr>
              <w:keepNext/>
              <w:keepLines/>
              <w:snapToGrid w:val="0"/>
              <w:spacing w:before="340" w:after="330" w:line="400" w:lineRule="exact"/>
              <w:ind w:left="41" w:leftChars="17"/>
              <w:outlineLvl w:val="0"/>
              <w:rPr>
                <w:rFonts w:ascii="宋体" w:hAnsi="宋体"/>
                <w:szCs w:val="21"/>
              </w:rPr>
            </w:pPr>
          </w:p>
        </w:tc>
        <w:tc>
          <w:tcPr>
            <w:tcW w:w="1182" w:type="dxa"/>
          </w:tcPr>
          <w:p w14:paraId="22A207F4">
            <w:pPr>
              <w:keepNext/>
              <w:keepLines/>
              <w:snapToGrid w:val="0"/>
              <w:spacing w:before="340" w:after="330" w:line="400" w:lineRule="exact"/>
              <w:ind w:left="41" w:leftChars="17"/>
              <w:outlineLvl w:val="0"/>
              <w:rPr>
                <w:rFonts w:ascii="宋体" w:hAnsi="宋体"/>
                <w:szCs w:val="21"/>
              </w:rPr>
            </w:pPr>
          </w:p>
        </w:tc>
        <w:tc>
          <w:tcPr>
            <w:tcW w:w="927" w:type="dxa"/>
          </w:tcPr>
          <w:p w14:paraId="5121D0A4">
            <w:pPr>
              <w:keepNext/>
              <w:keepLines/>
              <w:snapToGrid w:val="0"/>
              <w:spacing w:before="340" w:after="330" w:line="400" w:lineRule="exact"/>
              <w:ind w:left="41" w:leftChars="17"/>
              <w:outlineLvl w:val="0"/>
              <w:rPr>
                <w:rFonts w:ascii="宋体" w:hAnsi="宋体"/>
                <w:szCs w:val="21"/>
              </w:rPr>
            </w:pPr>
          </w:p>
        </w:tc>
        <w:tc>
          <w:tcPr>
            <w:tcW w:w="1052" w:type="dxa"/>
          </w:tcPr>
          <w:p w14:paraId="6190E05A">
            <w:pPr>
              <w:keepNext/>
              <w:keepLines/>
              <w:snapToGrid w:val="0"/>
              <w:spacing w:before="340" w:after="330" w:line="400" w:lineRule="exact"/>
              <w:ind w:left="41" w:leftChars="17"/>
              <w:outlineLvl w:val="0"/>
              <w:rPr>
                <w:rFonts w:ascii="宋体" w:hAnsi="宋体"/>
                <w:szCs w:val="21"/>
              </w:rPr>
            </w:pPr>
          </w:p>
        </w:tc>
      </w:tr>
      <w:tr w14:paraId="50D37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722EBAC">
            <w:pPr>
              <w:keepNext/>
              <w:keepLines/>
              <w:snapToGrid w:val="0"/>
              <w:spacing w:before="340" w:after="330" w:line="400" w:lineRule="exact"/>
              <w:ind w:left="41" w:leftChars="17"/>
              <w:outlineLvl w:val="0"/>
              <w:rPr>
                <w:rFonts w:ascii="宋体" w:hAnsi="宋体"/>
                <w:szCs w:val="21"/>
              </w:rPr>
            </w:pPr>
          </w:p>
        </w:tc>
        <w:tc>
          <w:tcPr>
            <w:tcW w:w="1880" w:type="dxa"/>
          </w:tcPr>
          <w:p w14:paraId="7C2C5B53">
            <w:pPr>
              <w:keepNext/>
              <w:keepLines/>
              <w:snapToGrid w:val="0"/>
              <w:spacing w:before="340" w:after="330" w:line="400" w:lineRule="exact"/>
              <w:ind w:left="41" w:leftChars="17"/>
              <w:outlineLvl w:val="0"/>
              <w:rPr>
                <w:rFonts w:ascii="宋体" w:hAnsi="宋体"/>
                <w:szCs w:val="21"/>
              </w:rPr>
            </w:pPr>
          </w:p>
        </w:tc>
        <w:tc>
          <w:tcPr>
            <w:tcW w:w="1419" w:type="dxa"/>
          </w:tcPr>
          <w:p w14:paraId="0330AEB8">
            <w:pPr>
              <w:keepNext/>
              <w:keepLines/>
              <w:snapToGrid w:val="0"/>
              <w:spacing w:before="340" w:after="330" w:line="400" w:lineRule="exact"/>
              <w:ind w:left="41" w:leftChars="17"/>
              <w:outlineLvl w:val="0"/>
              <w:rPr>
                <w:rFonts w:ascii="宋体" w:hAnsi="宋体"/>
                <w:szCs w:val="21"/>
              </w:rPr>
            </w:pPr>
          </w:p>
        </w:tc>
        <w:tc>
          <w:tcPr>
            <w:tcW w:w="564" w:type="dxa"/>
          </w:tcPr>
          <w:p w14:paraId="419AA978">
            <w:pPr>
              <w:keepNext/>
              <w:keepLines/>
              <w:snapToGrid w:val="0"/>
              <w:spacing w:before="340" w:after="330" w:line="400" w:lineRule="exact"/>
              <w:ind w:left="41" w:leftChars="17"/>
              <w:outlineLvl w:val="0"/>
              <w:rPr>
                <w:rFonts w:ascii="宋体" w:hAnsi="宋体"/>
                <w:szCs w:val="21"/>
              </w:rPr>
            </w:pPr>
          </w:p>
        </w:tc>
        <w:tc>
          <w:tcPr>
            <w:tcW w:w="426" w:type="dxa"/>
          </w:tcPr>
          <w:p w14:paraId="63646918">
            <w:pPr>
              <w:keepNext/>
              <w:keepLines/>
              <w:snapToGrid w:val="0"/>
              <w:spacing w:before="340" w:after="330" w:line="400" w:lineRule="exact"/>
              <w:ind w:left="41" w:leftChars="17"/>
              <w:outlineLvl w:val="0"/>
              <w:rPr>
                <w:rFonts w:ascii="宋体" w:hAnsi="宋体"/>
                <w:szCs w:val="21"/>
              </w:rPr>
            </w:pPr>
          </w:p>
        </w:tc>
        <w:tc>
          <w:tcPr>
            <w:tcW w:w="458" w:type="dxa"/>
          </w:tcPr>
          <w:p w14:paraId="5F5FDAB9">
            <w:pPr>
              <w:keepNext/>
              <w:keepLines/>
              <w:snapToGrid w:val="0"/>
              <w:spacing w:before="340" w:after="330" w:line="400" w:lineRule="exact"/>
              <w:ind w:left="41" w:leftChars="17"/>
              <w:outlineLvl w:val="0"/>
              <w:rPr>
                <w:rFonts w:ascii="宋体" w:hAnsi="宋体"/>
                <w:szCs w:val="21"/>
              </w:rPr>
            </w:pPr>
          </w:p>
        </w:tc>
        <w:tc>
          <w:tcPr>
            <w:tcW w:w="1054" w:type="dxa"/>
          </w:tcPr>
          <w:p w14:paraId="4880D483">
            <w:pPr>
              <w:keepNext/>
              <w:keepLines/>
              <w:snapToGrid w:val="0"/>
              <w:spacing w:before="340" w:after="330" w:line="400" w:lineRule="exact"/>
              <w:ind w:left="41" w:leftChars="17"/>
              <w:outlineLvl w:val="0"/>
              <w:rPr>
                <w:rFonts w:ascii="宋体" w:hAnsi="宋体"/>
                <w:szCs w:val="21"/>
              </w:rPr>
            </w:pPr>
          </w:p>
        </w:tc>
        <w:tc>
          <w:tcPr>
            <w:tcW w:w="1182" w:type="dxa"/>
          </w:tcPr>
          <w:p w14:paraId="460FC092">
            <w:pPr>
              <w:keepNext/>
              <w:keepLines/>
              <w:snapToGrid w:val="0"/>
              <w:spacing w:before="340" w:after="330" w:line="400" w:lineRule="exact"/>
              <w:ind w:left="41" w:leftChars="17"/>
              <w:outlineLvl w:val="0"/>
              <w:rPr>
                <w:rFonts w:ascii="宋体" w:hAnsi="宋体"/>
                <w:szCs w:val="21"/>
              </w:rPr>
            </w:pPr>
          </w:p>
        </w:tc>
        <w:tc>
          <w:tcPr>
            <w:tcW w:w="927" w:type="dxa"/>
          </w:tcPr>
          <w:p w14:paraId="33695130">
            <w:pPr>
              <w:keepNext/>
              <w:keepLines/>
              <w:snapToGrid w:val="0"/>
              <w:spacing w:before="340" w:after="330" w:line="400" w:lineRule="exact"/>
              <w:ind w:left="41" w:leftChars="17"/>
              <w:outlineLvl w:val="0"/>
              <w:rPr>
                <w:rFonts w:ascii="宋体" w:hAnsi="宋体"/>
                <w:szCs w:val="21"/>
              </w:rPr>
            </w:pPr>
          </w:p>
        </w:tc>
        <w:tc>
          <w:tcPr>
            <w:tcW w:w="1052" w:type="dxa"/>
          </w:tcPr>
          <w:p w14:paraId="60F39BCF">
            <w:pPr>
              <w:keepNext/>
              <w:keepLines/>
              <w:snapToGrid w:val="0"/>
              <w:spacing w:before="340" w:after="330" w:line="400" w:lineRule="exact"/>
              <w:ind w:left="41" w:leftChars="17"/>
              <w:outlineLvl w:val="0"/>
              <w:rPr>
                <w:rFonts w:ascii="宋体" w:hAnsi="宋体"/>
                <w:szCs w:val="21"/>
              </w:rPr>
            </w:pPr>
          </w:p>
        </w:tc>
      </w:tr>
      <w:tr w14:paraId="52B17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0A33BB3">
            <w:pPr>
              <w:keepNext/>
              <w:keepLines/>
              <w:snapToGrid w:val="0"/>
              <w:spacing w:before="340" w:after="330" w:line="400" w:lineRule="exact"/>
              <w:ind w:left="41" w:leftChars="17"/>
              <w:outlineLvl w:val="0"/>
              <w:rPr>
                <w:rFonts w:ascii="宋体" w:hAnsi="宋体"/>
                <w:szCs w:val="21"/>
              </w:rPr>
            </w:pPr>
          </w:p>
        </w:tc>
        <w:tc>
          <w:tcPr>
            <w:tcW w:w="1880" w:type="dxa"/>
          </w:tcPr>
          <w:p w14:paraId="46CDE090">
            <w:pPr>
              <w:keepNext/>
              <w:keepLines/>
              <w:snapToGrid w:val="0"/>
              <w:spacing w:before="340" w:after="330" w:line="400" w:lineRule="exact"/>
              <w:ind w:left="41" w:leftChars="17"/>
              <w:outlineLvl w:val="0"/>
              <w:rPr>
                <w:rFonts w:ascii="宋体" w:hAnsi="宋体"/>
                <w:szCs w:val="21"/>
              </w:rPr>
            </w:pPr>
          </w:p>
        </w:tc>
        <w:tc>
          <w:tcPr>
            <w:tcW w:w="1419" w:type="dxa"/>
          </w:tcPr>
          <w:p w14:paraId="2ECFAFD4">
            <w:pPr>
              <w:keepNext/>
              <w:keepLines/>
              <w:snapToGrid w:val="0"/>
              <w:spacing w:before="340" w:after="330" w:line="400" w:lineRule="exact"/>
              <w:ind w:left="41" w:leftChars="17"/>
              <w:outlineLvl w:val="0"/>
              <w:rPr>
                <w:rFonts w:ascii="宋体" w:hAnsi="宋体"/>
                <w:szCs w:val="21"/>
              </w:rPr>
            </w:pPr>
          </w:p>
        </w:tc>
        <w:tc>
          <w:tcPr>
            <w:tcW w:w="564" w:type="dxa"/>
          </w:tcPr>
          <w:p w14:paraId="55CD9425">
            <w:pPr>
              <w:keepNext/>
              <w:keepLines/>
              <w:snapToGrid w:val="0"/>
              <w:spacing w:before="340" w:after="330" w:line="400" w:lineRule="exact"/>
              <w:ind w:left="41" w:leftChars="17"/>
              <w:outlineLvl w:val="0"/>
              <w:rPr>
                <w:rFonts w:ascii="宋体" w:hAnsi="宋体"/>
                <w:szCs w:val="21"/>
              </w:rPr>
            </w:pPr>
          </w:p>
        </w:tc>
        <w:tc>
          <w:tcPr>
            <w:tcW w:w="426" w:type="dxa"/>
          </w:tcPr>
          <w:p w14:paraId="5DBB2280">
            <w:pPr>
              <w:keepNext/>
              <w:keepLines/>
              <w:snapToGrid w:val="0"/>
              <w:spacing w:before="340" w:after="330" w:line="400" w:lineRule="exact"/>
              <w:ind w:left="41" w:leftChars="17"/>
              <w:outlineLvl w:val="0"/>
              <w:rPr>
                <w:rFonts w:ascii="宋体" w:hAnsi="宋体"/>
                <w:szCs w:val="21"/>
              </w:rPr>
            </w:pPr>
          </w:p>
        </w:tc>
        <w:tc>
          <w:tcPr>
            <w:tcW w:w="458" w:type="dxa"/>
          </w:tcPr>
          <w:p w14:paraId="6474377E">
            <w:pPr>
              <w:keepNext/>
              <w:keepLines/>
              <w:snapToGrid w:val="0"/>
              <w:spacing w:before="340" w:after="330" w:line="400" w:lineRule="exact"/>
              <w:ind w:left="41" w:leftChars="17"/>
              <w:outlineLvl w:val="0"/>
              <w:rPr>
                <w:rFonts w:ascii="宋体" w:hAnsi="宋体"/>
                <w:szCs w:val="21"/>
              </w:rPr>
            </w:pPr>
          </w:p>
        </w:tc>
        <w:tc>
          <w:tcPr>
            <w:tcW w:w="1054" w:type="dxa"/>
          </w:tcPr>
          <w:p w14:paraId="3E8EAC36">
            <w:pPr>
              <w:keepNext/>
              <w:keepLines/>
              <w:snapToGrid w:val="0"/>
              <w:spacing w:before="340" w:after="330" w:line="400" w:lineRule="exact"/>
              <w:ind w:left="41" w:leftChars="17"/>
              <w:outlineLvl w:val="0"/>
              <w:rPr>
                <w:rFonts w:ascii="宋体" w:hAnsi="宋体"/>
                <w:szCs w:val="21"/>
              </w:rPr>
            </w:pPr>
          </w:p>
        </w:tc>
        <w:tc>
          <w:tcPr>
            <w:tcW w:w="1182" w:type="dxa"/>
          </w:tcPr>
          <w:p w14:paraId="028D8F8E">
            <w:pPr>
              <w:keepNext/>
              <w:keepLines/>
              <w:snapToGrid w:val="0"/>
              <w:spacing w:before="340" w:after="330" w:line="400" w:lineRule="exact"/>
              <w:ind w:left="41" w:leftChars="17"/>
              <w:outlineLvl w:val="0"/>
              <w:rPr>
                <w:rFonts w:ascii="宋体" w:hAnsi="宋体"/>
                <w:szCs w:val="21"/>
              </w:rPr>
            </w:pPr>
          </w:p>
        </w:tc>
        <w:tc>
          <w:tcPr>
            <w:tcW w:w="927" w:type="dxa"/>
          </w:tcPr>
          <w:p w14:paraId="70D452DB">
            <w:pPr>
              <w:keepNext/>
              <w:keepLines/>
              <w:snapToGrid w:val="0"/>
              <w:spacing w:before="340" w:after="330" w:line="400" w:lineRule="exact"/>
              <w:ind w:left="41" w:leftChars="17"/>
              <w:outlineLvl w:val="0"/>
              <w:rPr>
                <w:rFonts w:ascii="宋体" w:hAnsi="宋体"/>
                <w:szCs w:val="21"/>
              </w:rPr>
            </w:pPr>
          </w:p>
        </w:tc>
        <w:tc>
          <w:tcPr>
            <w:tcW w:w="1052" w:type="dxa"/>
          </w:tcPr>
          <w:p w14:paraId="3336DCCB">
            <w:pPr>
              <w:keepNext/>
              <w:keepLines/>
              <w:snapToGrid w:val="0"/>
              <w:spacing w:before="340" w:after="330" w:line="400" w:lineRule="exact"/>
              <w:ind w:left="41" w:leftChars="17"/>
              <w:outlineLvl w:val="0"/>
              <w:rPr>
                <w:rFonts w:ascii="宋体" w:hAnsi="宋体"/>
                <w:szCs w:val="21"/>
              </w:rPr>
            </w:pPr>
          </w:p>
        </w:tc>
      </w:tr>
      <w:tr w14:paraId="4F99A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307A10B8">
            <w:pPr>
              <w:keepNext/>
              <w:keepLines/>
              <w:snapToGrid w:val="0"/>
              <w:spacing w:before="340" w:after="330" w:line="400" w:lineRule="exact"/>
              <w:ind w:left="41" w:leftChars="17"/>
              <w:outlineLvl w:val="0"/>
              <w:rPr>
                <w:rFonts w:ascii="宋体" w:hAnsi="宋体"/>
                <w:szCs w:val="21"/>
              </w:rPr>
            </w:pPr>
          </w:p>
        </w:tc>
        <w:tc>
          <w:tcPr>
            <w:tcW w:w="1880" w:type="dxa"/>
          </w:tcPr>
          <w:p w14:paraId="53851125">
            <w:pPr>
              <w:keepNext/>
              <w:keepLines/>
              <w:snapToGrid w:val="0"/>
              <w:spacing w:before="340" w:after="330" w:line="400" w:lineRule="exact"/>
              <w:ind w:left="41" w:leftChars="17"/>
              <w:outlineLvl w:val="0"/>
              <w:rPr>
                <w:rFonts w:ascii="宋体" w:hAnsi="宋体"/>
                <w:szCs w:val="21"/>
              </w:rPr>
            </w:pPr>
          </w:p>
        </w:tc>
        <w:tc>
          <w:tcPr>
            <w:tcW w:w="1419" w:type="dxa"/>
          </w:tcPr>
          <w:p w14:paraId="7A15218A">
            <w:pPr>
              <w:keepNext/>
              <w:keepLines/>
              <w:snapToGrid w:val="0"/>
              <w:spacing w:before="340" w:after="330" w:line="400" w:lineRule="exact"/>
              <w:ind w:left="41" w:leftChars="17"/>
              <w:outlineLvl w:val="0"/>
              <w:rPr>
                <w:rFonts w:ascii="宋体" w:hAnsi="宋体"/>
                <w:szCs w:val="21"/>
              </w:rPr>
            </w:pPr>
          </w:p>
        </w:tc>
        <w:tc>
          <w:tcPr>
            <w:tcW w:w="564" w:type="dxa"/>
          </w:tcPr>
          <w:p w14:paraId="29534A19">
            <w:pPr>
              <w:keepNext/>
              <w:keepLines/>
              <w:snapToGrid w:val="0"/>
              <w:spacing w:before="340" w:after="330" w:line="400" w:lineRule="exact"/>
              <w:ind w:left="41" w:leftChars="17"/>
              <w:outlineLvl w:val="0"/>
              <w:rPr>
                <w:rFonts w:ascii="宋体" w:hAnsi="宋体"/>
                <w:szCs w:val="21"/>
              </w:rPr>
            </w:pPr>
          </w:p>
        </w:tc>
        <w:tc>
          <w:tcPr>
            <w:tcW w:w="426" w:type="dxa"/>
          </w:tcPr>
          <w:p w14:paraId="1FF562D7">
            <w:pPr>
              <w:keepNext/>
              <w:keepLines/>
              <w:snapToGrid w:val="0"/>
              <w:spacing w:before="340" w:after="330" w:line="400" w:lineRule="exact"/>
              <w:ind w:left="41" w:leftChars="17"/>
              <w:outlineLvl w:val="0"/>
              <w:rPr>
                <w:rFonts w:ascii="宋体" w:hAnsi="宋体"/>
                <w:szCs w:val="21"/>
              </w:rPr>
            </w:pPr>
          </w:p>
        </w:tc>
        <w:tc>
          <w:tcPr>
            <w:tcW w:w="458" w:type="dxa"/>
          </w:tcPr>
          <w:p w14:paraId="5AA7011E">
            <w:pPr>
              <w:keepNext/>
              <w:keepLines/>
              <w:snapToGrid w:val="0"/>
              <w:spacing w:before="340" w:after="330" w:line="400" w:lineRule="exact"/>
              <w:ind w:left="41" w:leftChars="17"/>
              <w:outlineLvl w:val="0"/>
              <w:rPr>
                <w:rFonts w:ascii="宋体" w:hAnsi="宋体"/>
                <w:szCs w:val="21"/>
              </w:rPr>
            </w:pPr>
          </w:p>
        </w:tc>
        <w:tc>
          <w:tcPr>
            <w:tcW w:w="1054" w:type="dxa"/>
          </w:tcPr>
          <w:p w14:paraId="30622937">
            <w:pPr>
              <w:keepNext/>
              <w:keepLines/>
              <w:snapToGrid w:val="0"/>
              <w:spacing w:before="340" w:after="330" w:line="400" w:lineRule="exact"/>
              <w:ind w:left="41" w:leftChars="17"/>
              <w:outlineLvl w:val="0"/>
              <w:rPr>
                <w:rFonts w:ascii="宋体" w:hAnsi="宋体"/>
                <w:szCs w:val="21"/>
              </w:rPr>
            </w:pPr>
          </w:p>
        </w:tc>
        <w:tc>
          <w:tcPr>
            <w:tcW w:w="1182" w:type="dxa"/>
          </w:tcPr>
          <w:p w14:paraId="1E5E5619">
            <w:pPr>
              <w:keepNext/>
              <w:keepLines/>
              <w:snapToGrid w:val="0"/>
              <w:spacing w:before="340" w:after="330" w:line="400" w:lineRule="exact"/>
              <w:ind w:left="41" w:leftChars="17"/>
              <w:outlineLvl w:val="0"/>
              <w:rPr>
                <w:rFonts w:ascii="宋体" w:hAnsi="宋体"/>
                <w:szCs w:val="21"/>
              </w:rPr>
            </w:pPr>
          </w:p>
        </w:tc>
        <w:tc>
          <w:tcPr>
            <w:tcW w:w="927" w:type="dxa"/>
          </w:tcPr>
          <w:p w14:paraId="048054B7">
            <w:pPr>
              <w:keepNext/>
              <w:keepLines/>
              <w:snapToGrid w:val="0"/>
              <w:spacing w:before="340" w:after="330" w:line="400" w:lineRule="exact"/>
              <w:ind w:left="41" w:leftChars="17"/>
              <w:outlineLvl w:val="0"/>
              <w:rPr>
                <w:rFonts w:ascii="宋体" w:hAnsi="宋体"/>
                <w:szCs w:val="21"/>
              </w:rPr>
            </w:pPr>
          </w:p>
        </w:tc>
        <w:tc>
          <w:tcPr>
            <w:tcW w:w="1052" w:type="dxa"/>
          </w:tcPr>
          <w:p w14:paraId="66A82804">
            <w:pPr>
              <w:keepNext/>
              <w:keepLines/>
              <w:snapToGrid w:val="0"/>
              <w:spacing w:before="340" w:after="330" w:line="400" w:lineRule="exact"/>
              <w:ind w:left="41" w:leftChars="17"/>
              <w:outlineLvl w:val="0"/>
              <w:rPr>
                <w:rFonts w:ascii="宋体" w:hAnsi="宋体"/>
                <w:szCs w:val="21"/>
              </w:rPr>
            </w:pPr>
          </w:p>
        </w:tc>
      </w:tr>
      <w:tr w14:paraId="038606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56EE90B4">
            <w:pPr>
              <w:keepNext/>
              <w:keepLines/>
              <w:snapToGrid w:val="0"/>
              <w:spacing w:before="340" w:after="330" w:line="400" w:lineRule="exact"/>
              <w:ind w:left="41" w:leftChars="17"/>
              <w:outlineLvl w:val="0"/>
              <w:rPr>
                <w:rFonts w:ascii="宋体" w:hAnsi="宋体"/>
                <w:szCs w:val="21"/>
              </w:rPr>
            </w:pPr>
          </w:p>
        </w:tc>
        <w:tc>
          <w:tcPr>
            <w:tcW w:w="1880" w:type="dxa"/>
          </w:tcPr>
          <w:p w14:paraId="75FB0BE9">
            <w:pPr>
              <w:keepNext/>
              <w:keepLines/>
              <w:snapToGrid w:val="0"/>
              <w:spacing w:before="340" w:after="330" w:line="400" w:lineRule="exact"/>
              <w:ind w:left="41" w:leftChars="17"/>
              <w:outlineLvl w:val="0"/>
              <w:rPr>
                <w:rFonts w:ascii="宋体" w:hAnsi="宋体"/>
                <w:szCs w:val="21"/>
              </w:rPr>
            </w:pPr>
          </w:p>
        </w:tc>
        <w:tc>
          <w:tcPr>
            <w:tcW w:w="1419" w:type="dxa"/>
          </w:tcPr>
          <w:p w14:paraId="799AC181">
            <w:pPr>
              <w:keepNext/>
              <w:keepLines/>
              <w:snapToGrid w:val="0"/>
              <w:spacing w:before="340" w:after="330" w:line="400" w:lineRule="exact"/>
              <w:ind w:left="41" w:leftChars="17"/>
              <w:outlineLvl w:val="0"/>
              <w:rPr>
                <w:rFonts w:ascii="宋体" w:hAnsi="宋体"/>
                <w:szCs w:val="21"/>
              </w:rPr>
            </w:pPr>
          </w:p>
        </w:tc>
        <w:tc>
          <w:tcPr>
            <w:tcW w:w="564" w:type="dxa"/>
          </w:tcPr>
          <w:p w14:paraId="2DFACBA6">
            <w:pPr>
              <w:keepNext/>
              <w:keepLines/>
              <w:snapToGrid w:val="0"/>
              <w:spacing w:before="340" w:after="330" w:line="400" w:lineRule="exact"/>
              <w:ind w:left="41" w:leftChars="17"/>
              <w:outlineLvl w:val="0"/>
              <w:rPr>
                <w:rFonts w:ascii="宋体" w:hAnsi="宋体"/>
                <w:szCs w:val="21"/>
              </w:rPr>
            </w:pPr>
          </w:p>
        </w:tc>
        <w:tc>
          <w:tcPr>
            <w:tcW w:w="426" w:type="dxa"/>
          </w:tcPr>
          <w:p w14:paraId="2CAB440D">
            <w:pPr>
              <w:keepNext/>
              <w:keepLines/>
              <w:snapToGrid w:val="0"/>
              <w:spacing w:before="340" w:after="330" w:line="400" w:lineRule="exact"/>
              <w:ind w:left="41" w:leftChars="17"/>
              <w:outlineLvl w:val="0"/>
              <w:rPr>
                <w:rFonts w:ascii="宋体" w:hAnsi="宋体"/>
                <w:szCs w:val="21"/>
              </w:rPr>
            </w:pPr>
          </w:p>
        </w:tc>
        <w:tc>
          <w:tcPr>
            <w:tcW w:w="458" w:type="dxa"/>
          </w:tcPr>
          <w:p w14:paraId="50693D18">
            <w:pPr>
              <w:keepNext/>
              <w:keepLines/>
              <w:snapToGrid w:val="0"/>
              <w:spacing w:before="340" w:after="330" w:line="400" w:lineRule="exact"/>
              <w:ind w:left="41" w:leftChars="17"/>
              <w:outlineLvl w:val="0"/>
              <w:rPr>
                <w:rFonts w:ascii="宋体" w:hAnsi="宋体"/>
                <w:szCs w:val="21"/>
              </w:rPr>
            </w:pPr>
          </w:p>
        </w:tc>
        <w:tc>
          <w:tcPr>
            <w:tcW w:w="1054" w:type="dxa"/>
          </w:tcPr>
          <w:p w14:paraId="28B6678D">
            <w:pPr>
              <w:keepNext/>
              <w:keepLines/>
              <w:snapToGrid w:val="0"/>
              <w:spacing w:before="340" w:after="330" w:line="400" w:lineRule="exact"/>
              <w:ind w:left="41" w:leftChars="17"/>
              <w:outlineLvl w:val="0"/>
              <w:rPr>
                <w:rFonts w:ascii="宋体" w:hAnsi="宋体"/>
                <w:szCs w:val="21"/>
              </w:rPr>
            </w:pPr>
          </w:p>
        </w:tc>
        <w:tc>
          <w:tcPr>
            <w:tcW w:w="1182" w:type="dxa"/>
          </w:tcPr>
          <w:p w14:paraId="3E6F6459">
            <w:pPr>
              <w:keepNext/>
              <w:keepLines/>
              <w:snapToGrid w:val="0"/>
              <w:spacing w:before="340" w:after="330" w:line="400" w:lineRule="exact"/>
              <w:ind w:left="41" w:leftChars="17"/>
              <w:outlineLvl w:val="0"/>
              <w:rPr>
                <w:rFonts w:ascii="宋体" w:hAnsi="宋体"/>
                <w:szCs w:val="21"/>
              </w:rPr>
            </w:pPr>
          </w:p>
        </w:tc>
        <w:tc>
          <w:tcPr>
            <w:tcW w:w="927" w:type="dxa"/>
          </w:tcPr>
          <w:p w14:paraId="1FEF216D">
            <w:pPr>
              <w:keepNext/>
              <w:keepLines/>
              <w:snapToGrid w:val="0"/>
              <w:spacing w:before="340" w:after="330" w:line="400" w:lineRule="exact"/>
              <w:ind w:left="41" w:leftChars="17"/>
              <w:outlineLvl w:val="0"/>
              <w:rPr>
                <w:rFonts w:ascii="宋体" w:hAnsi="宋体"/>
                <w:szCs w:val="21"/>
              </w:rPr>
            </w:pPr>
          </w:p>
        </w:tc>
        <w:tc>
          <w:tcPr>
            <w:tcW w:w="1052" w:type="dxa"/>
          </w:tcPr>
          <w:p w14:paraId="1CEA39AA">
            <w:pPr>
              <w:keepNext/>
              <w:keepLines/>
              <w:snapToGrid w:val="0"/>
              <w:spacing w:before="340" w:after="330" w:line="400" w:lineRule="exact"/>
              <w:ind w:left="41" w:leftChars="17"/>
              <w:outlineLvl w:val="0"/>
              <w:rPr>
                <w:rFonts w:ascii="宋体" w:hAnsi="宋体"/>
                <w:szCs w:val="21"/>
              </w:rPr>
            </w:pPr>
          </w:p>
        </w:tc>
      </w:tr>
      <w:tr w14:paraId="0062C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F5428BE">
            <w:pPr>
              <w:keepNext/>
              <w:keepLines/>
              <w:snapToGrid w:val="0"/>
              <w:spacing w:before="340" w:after="330" w:line="400" w:lineRule="exact"/>
              <w:ind w:left="41" w:leftChars="17"/>
              <w:outlineLvl w:val="0"/>
              <w:rPr>
                <w:rFonts w:ascii="宋体" w:hAnsi="宋体"/>
                <w:szCs w:val="21"/>
              </w:rPr>
            </w:pPr>
          </w:p>
        </w:tc>
        <w:tc>
          <w:tcPr>
            <w:tcW w:w="1880" w:type="dxa"/>
          </w:tcPr>
          <w:p w14:paraId="376C2335">
            <w:pPr>
              <w:keepNext/>
              <w:keepLines/>
              <w:snapToGrid w:val="0"/>
              <w:spacing w:before="340" w:after="330" w:line="400" w:lineRule="exact"/>
              <w:ind w:left="41" w:leftChars="17"/>
              <w:outlineLvl w:val="0"/>
              <w:rPr>
                <w:rFonts w:ascii="宋体" w:hAnsi="宋体"/>
                <w:szCs w:val="21"/>
              </w:rPr>
            </w:pPr>
          </w:p>
        </w:tc>
        <w:tc>
          <w:tcPr>
            <w:tcW w:w="1419" w:type="dxa"/>
          </w:tcPr>
          <w:p w14:paraId="20C4455C">
            <w:pPr>
              <w:keepNext/>
              <w:keepLines/>
              <w:snapToGrid w:val="0"/>
              <w:spacing w:before="340" w:after="330" w:line="400" w:lineRule="exact"/>
              <w:ind w:left="41" w:leftChars="17"/>
              <w:outlineLvl w:val="0"/>
              <w:rPr>
                <w:rFonts w:ascii="宋体" w:hAnsi="宋体"/>
                <w:szCs w:val="21"/>
              </w:rPr>
            </w:pPr>
          </w:p>
        </w:tc>
        <w:tc>
          <w:tcPr>
            <w:tcW w:w="564" w:type="dxa"/>
          </w:tcPr>
          <w:p w14:paraId="17A47ABE">
            <w:pPr>
              <w:keepNext/>
              <w:keepLines/>
              <w:snapToGrid w:val="0"/>
              <w:spacing w:before="340" w:after="330" w:line="400" w:lineRule="exact"/>
              <w:ind w:left="41" w:leftChars="17"/>
              <w:outlineLvl w:val="0"/>
              <w:rPr>
                <w:rFonts w:ascii="宋体" w:hAnsi="宋体"/>
                <w:szCs w:val="21"/>
              </w:rPr>
            </w:pPr>
          </w:p>
        </w:tc>
        <w:tc>
          <w:tcPr>
            <w:tcW w:w="426" w:type="dxa"/>
          </w:tcPr>
          <w:p w14:paraId="1B341DE7">
            <w:pPr>
              <w:keepNext/>
              <w:keepLines/>
              <w:snapToGrid w:val="0"/>
              <w:spacing w:before="340" w:after="330" w:line="400" w:lineRule="exact"/>
              <w:ind w:left="41" w:leftChars="17"/>
              <w:outlineLvl w:val="0"/>
              <w:rPr>
                <w:rFonts w:ascii="宋体" w:hAnsi="宋体"/>
                <w:szCs w:val="21"/>
              </w:rPr>
            </w:pPr>
          </w:p>
        </w:tc>
        <w:tc>
          <w:tcPr>
            <w:tcW w:w="458" w:type="dxa"/>
          </w:tcPr>
          <w:p w14:paraId="44161EF7">
            <w:pPr>
              <w:keepNext/>
              <w:keepLines/>
              <w:snapToGrid w:val="0"/>
              <w:spacing w:before="340" w:after="330" w:line="400" w:lineRule="exact"/>
              <w:ind w:left="41" w:leftChars="17"/>
              <w:outlineLvl w:val="0"/>
              <w:rPr>
                <w:rFonts w:ascii="宋体" w:hAnsi="宋体"/>
                <w:szCs w:val="21"/>
              </w:rPr>
            </w:pPr>
          </w:p>
        </w:tc>
        <w:tc>
          <w:tcPr>
            <w:tcW w:w="1054" w:type="dxa"/>
          </w:tcPr>
          <w:p w14:paraId="627541F3">
            <w:pPr>
              <w:keepNext/>
              <w:keepLines/>
              <w:snapToGrid w:val="0"/>
              <w:spacing w:before="340" w:after="330" w:line="400" w:lineRule="exact"/>
              <w:ind w:left="41" w:leftChars="17"/>
              <w:outlineLvl w:val="0"/>
              <w:rPr>
                <w:rFonts w:ascii="宋体" w:hAnsi="宋体"/>
                <w:szCs w:val="21"/>
              </w:rPr>
            </w:pPr>
          </w:p>
        </w:tc>
        <w:tc>
          <w:tcPr>
            <w:tcW w:w="1182" w:type="dxa"/>
          </w:tcPr>
          <w:p w14:paraId="410FB512">
            <w:pPr>
              <w:keepNext/>
              <w:keepLines/>
              <w:snapToGrid w:val="0"/>
              <w:spacing w:before="340" w:after="330" w:line="400" w:lineRule="exact"/>
              <w:ind w:left="41" w:leftChars="17"/>
              <w:outlineLvl w:val="0"/>
              <w:rPr>
                <w:rFonts w:ascii="宋体" w:hAnsi="宋体"/>
                <w:szCs w:val="21"/>
              </w:rPr>
            </w:pPr>
          </w:p>
        </w:tc>
        <w:tc>
          <w:tcPr>
            <w:tcW w:w="927" w:type="dxa"/>
          </w:tcPr>
          <w:p w14:paraId="655BC2EE">
            <w:pPr>
              <w:keepNext/>
              <w:keepLines/>
              <w:snapToGrid w:val="0"/>
              <w:spacing w:before="340" w:after="330" w:line="400" w:lineRule="exact"/>
              <w:ind w:left="41" w:leftChars="17"/>
              <w:outlineLvl w:val="0"/>
              <w:rPr>
                <w:rFonts w:ascii="宋体" w:hAnsi="宋体"/>
                <w:szCs w:val="21"/>
              </w:rPr>
            </w:pPr>
          </w:p>
        </w:tc>
        <w:tc>
          <w:tcPr>
            <w:tcW w:w="1052" w:type="dxa"/>
          </w:tcPr>
          <w:p w14:paraId="2C72B46D">
            <w:pPr>
              <w:keepNext/>
              <w:keepLines/>
              <w:snapToGrid w:val="0"/>
              <w:spacing w:before="340" w:after="330" w:line="400" w:lineRule="exact"/>
              <w:ind w:left="41" w:leftChars="17"/>
              <w:outlineLvl w:val="0"/>
              <w:rPr>
                <w:rFonts w:ascii="宋体" w:hAnsi="宋体"/>
                <w:szCs w:val="21"/>
              </w:rPr>
            </w:pPr>
          </w:p>
        </w:tc>
      </w:tr>
      <w:tr w14:paraId="36824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08348DA8">
            <w:pPr>
              <w:keepNext/>
              <w:keepLines/>
              <w:snapToGrid w:val="0"/>
              <w:spacing w:before="340" w:after="330" w:line="400" w:lineRule="exact"/>
              <w:ind w:left="41" w:leftChars="17"/>
              <w:outlineLvl w:val="0"/>
              <w:rPr>
                <w:rFonts w:ascii="宋体" w:hAnsi="宋体"/>
                <w:szCs w:val="21"/>
              </w:rPr>
            </w:pPr>
          </w:p>
        </w:tc>
        <w:tc>
          <w:tcPr>
            <w:tcW w:w="1880" w:type="dxa"/>
          </w:tcPr>
          <w:p w14:paraId="5E076051">
            <w:pPr>
              <w:keepNext/>
              <w:keepLines/>
              <w:snapToGrid w:val="0"/>
              <w:spacing w:before="340" w:after="330" w:line="400" w:lineRule="exact"/>
              <w:ind w:left="41" w:leftChars="17"/>
              <w:outlineLvl w:val="0"/>
              <w:rPr>
                <w:rFonts w:ascii="宋体" w:hAnsi="宋体"/>
                <w:szCs w:val="21"/>
              </w:rPr>
            </w:pPr>
          </w:p>
        </w:tc>
        <w:tc>
          <w:tcPr>
            <w:tcW w:w="1419" w:type="dxa"/>
          </w:tcPr>
          <w:p w14:paraId="1EE03577">
            <w:pPr>
              <w:keepNext/>
              <w:keepLines/>
              <w:snapToGrid w:val="0"/>
              <w:spacing w:before="340" w:after="330" w:line="400" w:lineRule="exact"/>
              <w:ind w:left="41" w:leftChars="17"/>
              <w:outlineLvl w:val="0"/>
              <w:rPr>
                <w:rFonts w:ascii="宋体" w:hAnsi="宋体"/>
                <w:szCs w:val="21"/>
              </w:rPr>
            </w:pPr>
          </w:p>
        </w:tc>
        <w:tc>
          <w:tcPr>
            <w:tcW w:w="564" w:type="dxa"/>
          </w:tcPr>
          <w:p w14:paraId="1DDDB996">
            <w:pPr>
              <w:keepNext/>
              <w:keepLines/>
              <w:snapToGrid w:val="0"/>
              <w:spacing w:before="340" w:after="330" w:line="400" w:lineRule="exact"/>
              <w:ind w:left="41" w:leftChars="17"/>
              <w:outlineLvl w:val="0"/>
              <w:rPr>
                <w:rFonts w:ascii="宋体" w:hAnsi="宋体"/>
                <w:szCs w:val="21"/>
              </w:rPr>
            </w:pPr>
          </w:p>
        </w:tc>
        <w:tc>
          <w:tcPr>
            <w:tcW w:w="426" w:type="dxa"/>
          </w:tcPr>
          <w:p w14:paraId="52915734">
            <w:pPr>
              <w:keepNext/>
              <w:keepLines/>
              <w:snapToGrid w:val="0"/>
              <w:spacing w:before="340" w:after="330" w:line="400" w:lineRule="exact"/>
              <w:ind w:left="41" w:leftChars="17"/>
              <w:outlineLvl w:val="0"/>
              <w:rPr>
                <w:rFonts w:ascii="宋体" w:hAnsi="宋体"/>
                <w:szCs w:val="21"/>
              </w:rPr>
            </w:pPr>
          </w:p>
        </w:tc>
        <w:tc>
          <w:tcPr>
            <w:tcW w:w="458" w:type="dxa"/>
          </w:tcPr>
          <w:p w14:paraId="574707F6">
            <w:pPr>
              <w:keepNext/>
              <w:keepLines/>
              <w:snapToGrid w:val="0"/>
              <w:spacing w:before="340" w:after="330" w:line="400" w:lineRule="exact"/>
              <w:ind w:left="41" w:leftChars="17"/>
              <w:outlineLvl w:val="0"/>
              <w:rPr>
                <w:rFonts w:ascii="宋体" w:hAnsi="宋体"/>
                <w:szCs w:val="21"/>
              </w:rPr>
            </w:pPr>
          </w:p>
        </w:tc>
        <w:tc>
          <w:tcPr>
            <w:tcW w:w="1054" w:type="dxa"/>
          </w:tcPr>
          <w:p w14:paraId="4030484D">
            <w:pPr>
              <w:keepNext/>
              <w:keepLines/>
              <w:snapToGrid w:val="0"/>
              <w:spacing w:before="340" w:after="330" w:line="400" w:lineRule="exact"/>
              <w:ind w:left="41" w:leftChars="17"/>
              <w:outlineLvl w:val="0"/>
              <w:rPr>
                <w:rFonts w:ascii="宋体" w:hAnsi="宋体"/>
                <w:szCs w:val="21"/>
              </w:rPr>
            </w:pPr>
          </w:p>
        </w:tc>
        <w:tc>
          <w:tcPr>
            <w:tcW w:w="1182" w:type="dxa"/>
          </w:tcPr>
          <w:p w14:paraId="055EF54E">
            <w:pPr>
              <w:keepNext/>
              <w:keepLines/>
              <w:snapToGrid w:val="0"/>
              <w:spacing w:before="340" w:after="330" w:line="400" w:lineRule="exact"/>
              <w:ind w:left="41" w:leftChars="17"/>
              <w:outlineLvl w:val="0"/>
              <w:rPr>
                <w:rFonts w:ascii="宋体" w:hAnsi="宋体"/>
                <w:szCs w:val="21"/>
              </w:rPr>
            </w:pPr>
          </w:p>
        </w:tc>
        <w:tc>
          <w:tcPr>
            <w:tcW w:w="927" w:type="dxa"/>
          </w:tcPr>
          <w:p w14:paraId="544A674C">
            <w:pPr>
              <w:keepNext/>
              <w:keepLines/>
              <w:snapToGrid w:val="0"/>
              <w:spacing w:before="340" w:after="330" w:line="400" w:lineRule="exact"/>
              <w:ind w:left="41" w:leftChars="17"/>
              <w:outlineLvl w:val="0"/>
              <w:rPr>
                <w:rFonts w:ascii="宋体" w:hAnsi="宋体"/>
                <w:szCs w:val="21"/>
              </w:rPr>
            </w:pPr>
          </w:p>
        </w:tc>
        <w:tc>
          <w:tcPr>
            <w:tcW w:w="1052" w:type="dxa"/>
          </w:tcPr>
          <w:p w14:paraId="3C82E50E">
            <w:pPr>
              <w:keepNext/>
              <w:keepLines/>
              <w:snapToGrid w:val="0"/>
              <w:spacing w:before="340" w:after="330" w:line="400" w:lineRule="exact"/>
              <w:ind w:left="41" w:leftChars="17"/>
              <w:outlineLvl w:val="0"/>
              <w:rPr>
                <w:rFonts w:ascii="宋体" w:hAnsi="宋体"/>
                <w:szCs w:val="21"/>
              </w:rPr>
            </w:pPr>
          </w:p>
        </w:tc>
      </w:tr>
      <w:tr w14:paraId="613E2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09287441">
            <w:pPr>
              <w:keepNext/>
              <w:keepLines/>
              <w:snapToGrid w:val="0"/>
              <w:spacing w:before="340" w:after="330" w:line="400" w:lineRule="exact"/>
              <w:ind w:left="41" w:leftChars="17"/>
              <w:outlineLvl w:val="0"/>
              <w:rPr>
                <w:rFonts w:ascii="宋体" w:hAnsi="宋体"/>
                <w:szCs w:val="21"/>
              </w:rPr>
            </w:pPr>
          </w:p>
        </w:tc>
        <w:tc>
          <w:tcPr>
            <w:tcW w:w="1880" w:type="dxa"/>
          </w:tcPr>
          <w:p w14:paraId="136558E3">
            <w:pPr>
              <w:keepNext/>
              <w:keepLines/>
              <w:snapToGrid w:val="0"/>
              <w:spacing w:before="340" w:after="330" w:line="400" w:lineRule="exact"/>
              <w:ind w:left="41" w:leftChars="17"/>
              <w:outlineLvl w:val="0"/>
              <w:rPr>
                <w:rFonts w:ascii="宋体" w:hAnsi="宋体"/>
                <w:szCs w:val="21"/>
              </w:rPr>
            </w:pPr>
          </w:p>
        </w:tc>
        <w:tc>
          <w:tcPr>
            <w:tcW w:w="1419" w:type="dxa"/>
          </w:tcPr>
          <w:p w14:paraId="4A0BD889">
            <w:pPr>
              <w:keepNext/>
              <w:keepLines/>
              <w:snapToGrid w:val="0"/>
              <w:spacing w:before="340" w:after="330" w:line="400" w:lineRule="exact"/>
              <w:ind w:left="41" w:leftChars="17"/>
              <w:outlineLvl w:val="0"/>
              <w:rPr>
                <w:rFonts w:ascii="宋体" w:hAnsi="宋体"/>
                <w:szCs w:val="21"/>
              </w:rPr>
            </w:pPr>
          </w:p>
        </w:tc>
        <w:tc>
          <w:tcPr>
            <w:tcW w:w="564" w:type="dxa"/>
          </w:tcPr>
          <w:p w14:paraId="45256509">
            <w:pPr>
              <w:keepNext/>
              <w:keepLines/>
              <w:snapToGrid w:val="0"/>
              <w:spacing w:before="340" w:after="330" w:line="400" w:lineRule="exact"/>
              <w:ind w:left="41" w:leftChars="17"/>
              <w:outlineLvl w:val="0"/>
              <w:rPr>
                <w:rFonts w:ascii="宋体" w:hAnsi="宋体"/>
                <w:szCs w:val="21"/>
              </w:rPr>
            </w:pPr>
          </w:p>
        </w:tc>
        <w:tc>
          <w:tcPr>
            <w:tcW w:w="426" w:type="dxa"/>
          </w:tcPr>
          <w:p w14:paraId="303334B1">
            <w:pPr>
              <w:keepNext/>
              <w:keepLines/>
              <w:snapToGrid w:val="0"/>
              <w:spacing w:before="340" w:after="330" w:line="400" w:lineRule="exact"/>
              <w:ind w:left="41" w:leftChars="17"/>
              <w:outlineLvl w:val="0"/>
              <w:rPr>
                <w:rFonts w:ascii="宋体" w:hAnsi="宋体"/>
                <w:szCs w:val="21"/>
              </w:rPr>
            </w:pPr>
          </w:p>
        </w:tc>
        <w:tc>
          <w:tcPr>
            <w:tcW w:w="458" w:type="dxa"/>
          </w:tcPr>
          <w:p w14:paraId="504687AD">
            <w:pPr>
              <w:keepNext/>
              <w:keepLines/>
              <w:snapToGrid w:val="0"/>
              <w:spacing w:before="340" w:after="330" w:line="400" w:lineRule="exact"/>
              <w:ind w:left="41" w:leftChars="17"/>
              <w:outlineLvl w:val="0"/>
              <w:rPr>
                <w:rFonts w:ascii="宋体" w:hAnsi="宋体"/>
                <w:szCs w:val="21"/>
              </w:rPr>
            </w:pPr>
          </w:p>
        </w:tc>
        <w:tc>
          <w:tcPr>
            <w:tcW w:w="1054" w:type="dxa"/>
          </w:tcPr>
          <w:p w14:paraId="5C7D8EF2">
            <w:pPr>
              <w:keepNext/>
              <w:keepLines/>
              <w:snapToGrid w:val="0"/>
              <w:spacing w:before="340" w:after="330" w:line="400" w:lineRule="exact"/>
              <w:ind w:left="41" w:leftChars="17"/>
              <w:outlineLvl w:val="0"/>
              <w:rPr>
                <w:rFonts w:ascii="宋体" w:hAnsi="宋体"/>
                <w:szCs w:val="21"/>
              </w:rPr>
            </w:pPr>
          </w:p>
        </w:tc>
        <w:tc>
          <w:tcPr>
            <w:tcW w:w="1182" w:type="dxa"/>
          </w:tcPr>
          <w:p w14:paraId="669A0260">
            <w:pPr>
              <w:keepNext/>
              <w:keepLines/>
              <w:snapToGrid w:val="0"/>
              <w:spacing w:before="340" w:after="330" w:line="400" w:lineRule="exact"/>
              <w:ind w:left="41" w:leftChars="17"/>
              <w:outlineLvl w:val="0"/>
              <w:rPr>
                <w:rFonts w:ascii="宋体" w:hAnsi="宋体"/>
                <w:szCs w:val="21"/>
              </w:rPr>
            </w:pPr>
          </w:p>
        </w:tc>
        <w:tc>
          <w:tcPr>
            <w:tcW w:w="927" w:type="dxa"/>
          </w:tcPr>
          <w:p w14:paraId="6F0AE8BF">
            <w:pPr>
              <w:keepNext/>
              <w:keepLines/>
              <w:snapToGrid w:val="0"/>
              <w:spacing w:before="340" w:after="330" w:line="400" w:lineRule="exact"/>
              <w:ind w:left="41" w:leftChars="17"/>
              <w:outlineLvl w:val="0"/>
              <w:rPr>
                <w:rFonts w:ascii="宋体" w:hAnsi="宋体"/>
                <w:szCs w:val="21"/>
              </w:rPr>
            </w:pPr>
          </w:p>
        </w:tc>
        <w:tc>
          <w:tcPr>
            <w:tcW w:w="1052" w:type="dxa"/>
          </w:tcPr>
          <w:p w14:paraId="0D937AA7">
            <w:pPr>
              <w:keepNext/>
              <w:keepLines/>
              <w:snapToGrid w:val="0"/>
              <w:spacing w:before="340" w:after="330" w:line="400" w:lineRule="exact"/>
              <w:ind w:left="41" w:leftChars="17"/>
              <w:outlineLvl w:val="0"/>
              <w:rPr>
                <w:rFonts w:ascii="宋体" w:hAnsi="宋体"/>
                <w:szCs w:val="21"/>
              </w:rPr>
            </w:pPr>
          </w:p>
        </w:tc>
      </w:tr>
      <w:tr w14:paraId="51273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45A173D4">
            <w:pPr>
              <w:keepNext/>
              <w:keepLines/>
              <w:snapToGrid w:val="0"/>
              <w:spacing w:before="340" w:after="330" w:line="400" w:lineRule="exact"/>
              <w:ind w:left="41" w:leftChars="17"/>
              <w:outlineLvl w:val="0"/>
              <w:rPr>
                <w:rFonts w:ascii="宋体" w:hAnsi="宋体"/>
                <w:szCs w:val="21"/>
              </w:rPr>
            </w:pPr>
          </w:p>
        </w:tc>
        <w:tc>
          <w:tcPr>
            <w:tcW w:w="1880" w:type="dxa"/>
          </w:tcPr>
          <w:p w14:paraId="334AADAF">
            <w:pPr>
              <w:keepNext/>
              <w:keepLines/>
              <w:snapToGrid w:val="0"/>
              <w:spacing w:before="340" w:after="330" w:line="400" w:lineRule="exact"/>
              <w:ind w:left="41" w:leftChars="17"/>
              <w:outlineLvl w:val="0"/>
              <w:rPr>
                <w:rFonts w:ascii="宋体" w:hAnsi="宋体"/>
                <w:szCs w:val="21"/>
              </w:rPr>
            </w:pPr>
          </w:p>
        </w:tc>
        <w:tc>
          <w:tcPr>
            <w:tcW w:w="1419" w:type="dxa"/>
          </w:tcPr>
          <w:p w14:paraId="6F1F753C">
            <w:pPr>
              <w:keepNext/>
              <w:keepLines/>
              <w:snapToGrid w:val="0"/>
              <w:spacing w:before="340" w:after="330" w:line="400" w:lineRule="exact"/>
              <w:ind w:left="41" w:leftChars="17"/>
              <w:outlineLvl w:val="0"/>
              <w:rPr>
                <w:rFonts w:ascii="宋体" w:hAnsi="宋体"/>
                <w:szCs w:val="21"/>
              </w:rPr>
            </w:pPr>
          </w:p>
        </w:tc>
        <w:tc>
          <w:tcPr>
            <w:tcW w:w="564" w:type="dxa"/>
          </w:tcPr>
          <w:p w14:paraId="3CFBD29A">
            <w:pPr>
              <w:keepNext/>
              <w:keepLines/>
              <w:snapToGrid w:val="0"/>
              <w:spacing w:before="340" w:after="330" w:line="400" w:lineRule="exact"/>
              <w:ind w:left="41" w:leftChars="17"/>
              <w:outlineLvl w:val="0"/>
              <w:rPr>
                <w:rFonts w:ascii="宋体" w:hAnsi="宋体"/>
                <w:szCs w:val="21"/>
              </w:rPr>
            </w:pPr>
          </w:p>
        </w:tc>
        <w:tc>
          <w:tcPr>
            <w:tcW w:w="426" w:type="dxa"/>
          </w:tcPr>
          <w:p w14:paraId="454A4A1B">
            <w:pPr>
              <w:keepNext/>
              <w:keepLines/>
              <w:snapToGrid w:val="0"/>
              <w:spacing w:before="340" w:after="330" w:line="400" w:lineRule="exact"/>
              <w:ind w:left="41" w:leftChars="17"/>
              <w:outlineLvl w:val="0"/>
              <w:rPr>
                <w:rFonts w:ascii="宋体" w:hAnsi="宋体"/>
                <w:szCs w:val="21"/>
              </w:rPr>
            </w:pPr>
          </w:p>
        </w:tc>
        <w:tc>
          <w:tcPr>
            <w:tcW w:w="458" w:type="dxa"/>
          </w:tcPr>
          <w:p w14:paraId="393CA0A3">
            <w:pPr>
              <w:keepNext/>
              <w:keepLines/>
              <w:snapToGrid w:val="0"/>
              <w:spacing w:before="340" w:after="330" w:line="400" w:lineRule="exact"/>
              <w:ind w:left="41" w:leftChars="17"/>
              <w:outlineLvl w:val="0"/>
              <w:rPr>
                <w:rFonts w:ascii="宋体" w:hAnsi="宋体"/>
                <w:szCs w:val="21"/>
              </w:rPr>
            </w:pPr>
          </w:p>
        </w:tc>
        <w:tc>
          <w:tcPr>
            <w:tcW w:w="1054" w:type="dxa"/>
          </w:tcPr>
          <w:p w14:paraId="48FEDB5A">
            <w:pPr>
              <w:keepNext/>
              <w:keepLines/>
              <w:snapToGrid w:val="0"/>
              <w:spacing w:before="340" w:after="330" w:line="400" w:lineRule="exact"/>
              <w:ind w:left="41" w:leftChars="17"/>
              <w:outlineLvl w:val="0"/>
              <w:rPr>
                <w:rFonts w:ascii="宋体" w:hAnsi="宋体"/>
                <w:szCs w:val="21"/>
              </w:rPr>
            </w:pPr>
          </w:p>
        </w:tc>
        <w:tc>
          <w:tcPr>
            <w:tcW w:w="1182" w:type="dxa"/>
          </w:tcPr>
          <w:p w14:paraId="5CFD8442">
            <w:pPr>
              <w:keepNext/>
              <w:keepLines/>
              <w:snapToGrid w:val="0"/>
              <w:spacing w:before="340" w:after="330" w:line="400" w:lineRule="exact"/>
              <w:ind w:left="41" w:leftChars="17"/>
              <w:outlineLvl w:val="0"/>
              <w:rPr>
                <w:rFonts w:ascii="宋体" w:hAnsi="宋体"/>
                <w:szCs w:val="21"/>
              </w:rPr>
            </w:pPr>
          </w:p>
        </w:tc>
        <w:tc>
          <w:tcPr>
            <w:tcW w:w="927" w:type="dxa"/>
          </w:tcPr>
          <w:p w14:paraId="6088E4A3">
            <w:pPr>
              <w:keepNext/>
              <w:keepLines/>
              <w:snapToGrid w:val="0"/>
              <w:spacing w:before="340" w:after="330" w:line="400" w:lineRule="exact"/>
              <w:ind w:left="41" w:leftChars="17"/>
              <w:outlineLvl w:val="0"/>
              <w:rPr>
                <w:rFonts w:ascii="宋体" w:hAnsi="宋体"/>
                <w:szCs w:val="21"/>
              </w:rPr>
            </w:pPr>
          </w:p>
        </w:tc>
        <w:tc>
          <w:tcPr>
            <w:tcW w:w="1052" w:type="dxa"/>
          </w:tcPr>
          <w:p w14:paraId="78C42C65">
            <w:pPr>
              <w:keepNext/>
              <w:keepLines/>
              <w:snapToGrid w:val="0"/>
              <w:spacing w:before="340" w:after="330" w:line="400" w:lineRule="exact"/>
              <w:ind w:left="41" w:leftChars="17"/>
              <w:outlineLvl w:val="0"/>
              <w:rPr>
                <w:rFonts w:ascii="宋体" w:hAnsi="宋体"/>
                <w:szCs w:val="21"/>
              </w:rPr>
            </w:pPr>
          </w:p>
        </w:tc>
      </w:tr>
      <w:tr w14:paraId="09E97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495" w:type="dxa"/>
          </w:tcPr>
          <w:p w14:paraId="771C4D11">
            <w:pPr>
              <w:keepNext/>
              <w:keepLines/>
              <w:snapToGrid w:val="0"/>
              <w:spacing w:before="340" w:after="330" w:line="400" w:lineRule="exact"/>
              <w:ind w:left="41" w:leftChars="17"/>
              <w:outlineLvl w:val="0"/>
              <w:rPr>
                <w:rFonts w:ascii="宋体" w:hAnsi="宋体"/>
                <w:szCs w:val="21"/>
              </w:rPr>
            </w:pPr>
          </w:p>
        </w:tc>
        <w:tc>
          <w:tcPr>
            <w:tcW w:w="1880" w:type="dxa"/>
          </w:tcPr>
          <w:p w14:paraId="37425BFA">
            <w:pPr>
              <w:keepNext/>
              <w:keepLines/>
              <w:snapToGrid w:val="0"/>
              <w:spacing w:before="340" w:after="330" w:line="400" w:lineRule="exact"/>
              <w:ind w:left="41" w:leftChars="17"/>
              <w:outlineLvl w:val="0"/>
              <w:rPr>
                <w:rFonts w:ascii="宋体" w:hAnsi="宋体"/>
                <w:szCs w:val="21"/>
              </w:rPr>
            </w:pPr>
          </w:p>
        </w:tc>
        <w:tc>
          <w:tcPr>
            <w:tcW w:w="1419" w:type="dxa"/>
          </w:tcPr>
          <w:p w14:paraId="59E10C3E">
            <w:pPr>
              <w:keepNext/>
              <w:keepLines/>
              <w:snapToGrid w:val="0"/>
              <w:spacing w:before="340" w:after="330" w:line="400" w:lineRule="exact"/>
              <w:ind w:left="41" w:leftChars="17"/>
              <w:outlineLvl w:val="0"/>
              <w:rPr>
                <w:rFonts w:ascii="宋体" w:hAnsi="宋体"/>
                <w:szCs w:val="21"/>
              </w:rPr>
            </w:pPr>
          </w:p>
        </w:tc>
        <w:tc>
          <w:tcPr>
            <w:tcW w:w="564" w:type="dxa"/>
          </w:tcPr>
          <w:p w14:paraId="7B555E25">
            <w:pPr>
              <w:keepNext/>
              <w:keepLines/>
              <w:snapToGrid w:val="0"/>
              <w:spacing w:before="340" w:after="330" w:line="400" w:lineRule="exact"/>
              <w:ind w:left="41" w:leftChars="17"/>
              <w:outlineLvl w:val="0"/>
              <w:rPr>
                <w:rFonts w:ascii="宋体" w:hAnsi="宋体"/>
                <w:szCs w:val="21"/>
              </w:rPr>
            </w:pPr>
          </w:p>
        </w:tc>
        <w:tc>
          <w:tcPr>
            <w:tcW w:w="426" w:type="dxa"/>
          </w:tcPr>
          <w:p w14:paraId="227B957D">
            <w:pPr>
              <w:keepNext/>
              <w:keepLines/>
              <w:snapToGrid w:val="0"/>
              <w:spacing w:before="340" w:after="330" w:line="400" w:lineRule="exact"/>
              <w:ind w:left="41" w:leftChars="17"/>
              <w:outlineLvl w:val="0"/>
              <w:rPr>
                <w:rFonts w:ascii="宋体" w:hAnsi="宋体"/>
                <w:szCs w:val="21"/>
              </w:rPr>
            </w:pPr>
          </w:p>
        </w:tc>
        <w:tc>
          <w:tcPr>
            <w:tcW w:w="458" w:type="dxa"/>
          </w:tcPr>
          <w:p w14:paraId="371410F9">
            <w:pPr>
              <w:keepNext/>
              <w:keepLines/>
              <w:snapToGrid w:val="0"/>
              <w:spacing w:before="340" w:after="330" w:line="400" w:lineRule="exact"/>
              <w:ind w:left="41" w:leftChars="17"/>
              <w:outlineLvl w:val="0"/>
              <w:rPr>
                <w:rFonts w:ascii="宋体" w:hAnsi="宋体"/>
                <w:szCs w:val="21"/>
              </w:rPr>
            </w:pPr>
          </w:p>
        </w:tc>
        <w:tc>
          <w:tcPr>
            <w:tcW w:w="1054" w:type="dxa"/>
          </w:tcPr>
          <w:p w14:paraId="27C3ED53">
            <w:pPr>
              <w:keepNext/>
              <w:keepLines/>
              <w:snapToGrid w:val="0"/>
              <w:spacing w:before="340" w:after="330" w:line="400" w:lineRule="exact"/>
              <w:ind w:left="41" w:leftChars="17"/>
              <w:outlineLvl w:val="0"/>
              <w:rPr>
                <w:rFonts w:ascii="宋体" w:hAnsi="宋体"/>
                <w:szCs w:val="21"/>
              </w:rPr>
            </w:pPr>
          </w:p>
        </w:tc>
        <w:tc>
          <w:tcPr>
            <w:tcW w:w="1182" w:type="dxa"/>
          </w:tcPr>
          <w:p w14:paraId="10178B0E">
            <w:pPr>
              <w:keepNext/>
              <w:keepLines/>
              <w:snapToGrid w:val="0"/>
              <w:spacing w:before="340" w:after="330" w:line="400" w:lineRule="exact"/>
              <w:ind w:left="41" w:leftChars="17"/>
              <w:outlineLvl w:val="0"/>
              <w:rPr>
                <w:rFonts w:ascii="宋体" w:hAnsi="宋体"/>
                <w:szCs w:val="21"/>
              </w:rPr>
            </w:pPr>
          </w:p>
        </w:tc>
        <w:tc>
          <w:tcPr>
            <w:tcW w:w="927" w:type="dxa"/>
          </w:tcPr>
          <w:p w14:paraId="5542A950">
            <w:pPr>
              <w:keepNext/>
              <w:keepLines/>
              <w:snapToGrid w:val="0"/>
              <w:spacing w:before="340" w:after="330" w:line="400" w:lineRule="exact"/>
              <w:ind w:left="41" w:leftChars="17"/>
              <w:outlineLvl w:val="0"/>
              <w:rPr>
                <w:rFonts w:ascii="宋体" w:hAnsi="宋体"/>
                <w:szCs w:val="21"/>
              </w:rPr>
            </w:pPr>
          </w:p>
        </w:tc>
        <w:tc>
          <w:tcPr>
            <w:tcW w:w="1052" w:type="dxa"/>
          </w:tcPr>
          <w:p w14:paraId="4543CEC9">
            <w:pPr>
              <w:keepNext/>
              <w:keepLines/>
              <w:snapToGrid w:val="0"/>
              <w:spacing w:before="340" w:after="330" w:line="400" w:lineRule="exact"/>
              <w:ind w:left="41" w:leftChars="17"/>
              <w:outlineLvl w:val="0"/>
              <w:rPr>
                <w:rFonts w:ascii="宋体" w:hAnsi="宋体"/>
                <w:szCs w:val="21"/>
              </w:rPr>
            </w:pPr>
          </w:p>
        </w:tc>
      </w:tr>
    </w:tbl>
    <w:p w14:paraId="6A27BBA1">
      <w:pPr>
        <w:rPr>
          <w:rFonts w:ascii="宋体" w:hAnsi="宋体" w:cs="Arial"/>
        </w:rPr>
      </w:pPr>
      <w:r>
        <w:rPr>
          <w:rFonts w:ascii="宋体" w:hAnsi="宋体" w:cs="Arial"/>
        </w:rPr>
        <w:br w:type="page"/>
      </w:r>
    </w:p>
    <w:p w14:paraId="07FE85F0">
      <w:pPr>
        <w:outlineLvl w:val="1"/>
        <w:rPr>
          <w:rFonts w:ascii="宋体" w:hAnsi="宋体" w:cs="Arial"/>
        </w:rPr>
      </w:pPr>
      <w:bookmarkStart w:id="916" w:name="_Toc30524"/>
      <w:r>
        <w:rPr>
          <w:rFonts w:hint="eastAsia" w:ascii="宋体" w:hAnsi="宋体" w:cs="Arial"/>
        </w:rPr>
        <w:t>附件</w:t>
      </w:r>
      <w:r>
        <w:rPr>
          <w:rFonts w:ascii="宋体" w:hAnsi="宋体" w:cs="Arial"/>
        </w:rPr>
        <w:t>6：工程质量保修书</w:t>
      </w:r>
      <w:bookmarkEnd w:id="908"/>
      <w:bookmarkEnd w:id="909"/>
      <w:bookmarkEnd w:id="916"/>
    </w:p>
    <w:p w14:paraId="7FC9888C">
      <w:pPr>
        <w:tabs>
          <w:tab w:val="left" w:pos="4860"/>
          <w:tab w:val="left" w:pos="5580"/>
        </w:tabs>
        <w:snapToGrid w:val="0"/>
        <w:spacing w:after="360" w:afterLines="150"/>
        <w:jc w:val="center"/>
        <w:rPr>
          <w:rFonts w:ascii="宋体" w:hAnsi="宋体" w:cs="Arial"/>
          <w:b/>
          <w:sz w:val="30"/>
          <w:szCs w:val="30"/>
        </w:rPr>
      </w:pPr>
      <w:r>
        <w:rPr>
          <w:rFonts w:hint="eastAsia" w:ascii="宋体" w:hAnsi="宋体" w:cs="Arial"/>
          <w:b/>
          <w:sz w:val="30"/>
          <w:szCs w:val="30"/>
        </w:rPr>
        <w:t>工程质量保修书</w:t>
      </w:r>
    </w:p>
    <w:p w14:paraId="18CB3CEB">
      <w:pPr>
        <w:tabs>
          <w:tab w:val="left" w:pos="4860"/>
          <w:tab w:val="left" w:pos="5580"/>
        </w:tabs>
        <w:snapToGrid w:val="0"/>
        <w:ind w:right="36" w:rightChars="15"/>
        <w:rPr>
          <w:rFonts w:ascii="宋体" w:hAnsi="宋体" w:cs="Arial"/>
          <w:u w:val="single"/>
        </w:rPr>
      </w:pPr>
      <w:bookmarkStart w:id="917" w:name="_Toc433293271"/>
      <w:r>
        <w:rPr>
          <w:rFonts w:hint="eastAsia" w:ascii="宋体" w:hAnsi="宋体" w:cs="Arial"/>
        </w:rPr>
        <w:t>发包人（全称）：</w:t>
      </w:r>
      <w:r>
        <w:rPr>
          <w:rFonts w:hint="eastAsia" w:ascii="宋体" w:hAnsi="宋体" w:cs="Arial"/>
          <w:u w:val="single"/>
        </w:rPr>
        <w:t xml:space="preserve">广东中粤通油品经营有限公司       </w:t>
      </w:r>
    </w:p>
    <w:p w14:paraId="6738F69B">
      <w:pPr>
        <w:tabs>
          <w:tab w:val="left" w:pos="4860"/>
          <w:tab w:val="left" w:pos="5580"/>
        </w:tabs>
        <w:snapToGrid w:val="0"/>
        <w:ind w:right="36" w:rightChars="15"/>
        <w:rPr>
          <w:rFonts w:ascii="宋体" w:hAnsi="宋体" w:cs="Arial"/>
          <w:u w:val="single"/>
        </w:rPr>
      </w:pPr>
      <w:r>
        <w:rPr>
          <w:rFonts w:hint="eastAsia" w:ascii="宋体" w:hAnsi="宋体" w:cs="Arial"/>
        </w:rPr>
        <w:t>承包人（全称）：</w:t>
      </w:r>
    </w:p>
    <w:p w14:paraId="25137F81">
      <w:pPr>
        <w:tabs>
          <w:tab w:val="left" w:pos="4860"/>
          <w:tab w:val="left" w:pos="5580"/>
        </w:tabs>
        <w:snapToGrid w:val="0"/>
        <w:ind w:right="36" w:rightChars="15" w:firstLine="480" w:firstLineChars="200"/>
        <w:rPr>
          <w:rFonts w:ascii="宋体" w:hAnsi="宋体" w:cs="Arial"/>
        </w:rPr>
      </w:pPr>
      <w:r>
        <w:rPr>
          <w:rFonts w:hint="eastAsia" w:ascii="宋体" w:hAnsi="宋体" w:cs="Arial"/>
        </w:rPr>
        <w:t>发包人、承包人根据《中华人民共和国建筑法》、《建设工程质量管理条例》和《房屋建筑工程质量保修办法》，经协商一致，对</w:t>
      </w:r>
      <w:r>
        <w:rPr>
          <w:rFonts w:hint="eastAsia" w:ascii="宋体" w:hAnsi="宋体" w:cs="Arial"/>
          <w:u w:val="single"/>
        </w:rPr>
        <w:t>广澳高速中山服务区西区加油站重建项目</w:t>
      </w:r>
      <w:r>
        <w:rPr>
          <w:rFonts w:hint="eastAsia" w:ascii="宋体" w:hAnsi="宋体" w:cs="Arial"/>
          <w:highlight w:val="none"/>
          <w:u w:val="single"/>
        </w:rPr>
        <w:t>土建工程</w:t>
      </w:r>
      <w:r>
        <w:rPr>
          <w:rFonts w:ascii="宋体" w:hAnsi="宋体" w:cs="Arial"/>
          <w:highlight w:val="none"/>
        </w:rPr>
        <w:t>(</w:t>
      </w:r>
      <w:r>
        <w:rPr>
          <w:rFonts w:ascii="宋体" w:hAnsi="宋体" w:cs="Arial"/>
        </w:rPr>
        <w:t>工程名称）签订工程质量保修书。</w:t>
      </w:r>
    </w:p>
    <w:p w14:paraId="43E63BDC">
      <w:pPr>
        <w:ind w:left="480" w:leftChars="200"/>
        <w:rPr>
          <w:rFonts w:ascii="宋体" w:hAnsi="宋体" w:cs="Arial"/>
        </w:rPr>
      </w:pPr>
      <w:bookmarkStart w:id="918" w:name="_Toc514167067"/>
      <w:bookmarkStart w:id="919" w:name="_Toc511143010"/>
      <w:bookmarkStart w:id="920" w:name="_Toc511126631"/>
      <w:r>
        <w:rPr>
          <w:rFonts w:hint="eastAsia" w:ascii="宋体" w:hAnsi="宋体" w:cs="Arial"/>
          <w:b/>
        </w:rPr>
        <w:t>一、工程质量保修范围和内容</w:t>
      </w:r>
      <w:bookmarkEnd w:id="918"/>
      <w:bookmarkEnd w:id="919"/>
      <w:bookmarkEnd w:id="920"/>
    </w:p>
    <w:p w14:paraId="46D25DAE">
      <w:pPr>
        <w:tabs>
          <w:tab w:val="left" w:pos="4860"/>
          <w:tab w:val="left" w:pos="5580"/>
        </w:tabs>
        <w:snapToGrid w:val="0"/>
        <w:ind w:right="36" w:rightChars="15" w:firstLine="482"/>
        <w:rPr>
          <w:rFonts w:ascii="宋体" w:hAnsi="宋体" w:cs="Arial"/>
        </w:rPr>
      </w:pPr>
      <w:r>
        <w:rPr>
          <w:rFonts w:hint="eastAsia" w:ascii="宋体" w:hAnsi="宋体" w:cs="Arial"/>
        </w:rPr>
        <w:t>承包人和质量保修期内，按照有关法律、法规、规章规定和双方约定，承担工程质量保修责任。</w:t>
      </w:r>
    </w:p>
    <w:p w14:paraId="5144ABD0">
      <w:pPr>
        <w:tabs>
          <w:tab w:val="left" w:pos="4860"/>
          <w:tab w:val="left" w:pos="5580"/>
        </w:tabs>
        <w:snapToGrid w:val="0"/>
        <w:ind w:right="36" w:rightChars="15" w:firstLine="480" w:firstLineChars="200"/>
        <w:rPr>
          <w:rFonts w:ascii="宋体" w:hAnsi="宋体" w:cs="Arial"/>
          <w:u w:val="single"/>
        </w:rPr>
      </w:pPr>
      <w:r>
        <w:rPr>
          <w:rFonts w:hint="eastAsia" w:ascii="宋体" w:hAnsi="宋体" w:cs="Arial"/>
        </w:rPr>
        <w:t>质量保修范围为承包人按照本合同约定的全部工作内容。</w:t>
      </w:r>
    </w:p>
    <w:p w14:paraId="677CE9EB">
      <w:pPr>
        <w:ind w:left="480" w:leftChars="200"/>
        <w:rPr>
          <w:rFonts w:ascii="宋体" w:hAnsi="宋体" w:cs="Arial"/>
          <w:b/>
        </w:rPr>
      </w:pPr>
      <w:bookmarkStart w:id="921" w:name="_Toc511126632"/>
      <w:bookmarkStart w:id="922" w:name="_Toc511143011"/>
      <w:bookmarkStart w:id="923" w:name="_Toc514167068"/>
      <w:r>
        <w:rPr>
          <w:rFonts w:hint="eastAsia" w:ascii="宋体" w:hAnsi="宋体" w:cs="Arial"/>
          <w:b/>
        </w:rPr>
        <w:t>二、质量保修期</w:t>
      </w:r>
      <w:bookmarkEnd w:id="921"/>
      <w:bookmarkEnd w:id="922"/>
      <w:bookmarkEnd w:id="923"/>
    </w:p>
    <w:p w14:paraId="2A3FEF5A">
      <w:pPr>
        <w:tabs>
          <w:tab w:val="left" w:pos="4860"/>
          <w:tab w:val="left" w:pos="5580"/>
        </w:tabs>
        <w:snapToGrid w:val="0"/>
        <w:ind w:right="36" w:rightChars="15" w:firstLine="480" w:firstLineChars="200"/>
        <w:rPr>
          <w:rFonts w:ascii="宋体" w:hAnsi="宋体" w:cs="Arial"/>
        </w:rPr>
      </w:pPr>
      <w:r>
        <w:rPr>
          <w:rFonts w:hint="eastAsia" w:ascii="宋体" w:hAnsi="宋体" w:cs="Arial"/>
        </w:rPr>
        <w:t>双方根据《建设工程质量管理条例》及有关规定，约定本工程的质量保修期如下：</w:t>
      </w:r>
    </w:p>
    <w:p w14:paraId="4A281168">
      <w:pPr>
        <w:tabs>
          <w:tab w:val="left" w:pos="4860"/>
          <w:tab w:val="left" w:pos="5580"/>
        </w:tabs>
        <w:snapToGrid w:val="0"/>
        <w:ind w:right="36" w:rightChars="15" w:firstLine="480" w:firstLineChars="200"/>
        <w:rPr>
          <w:rFonts w:ascii="宋体" w:hAnsi="宋体" w:cs="Arial"/>
        </w:rPr>
      </w:pPr>
      <w:r>
        <w:rPr>
          <w:rFonts w:ascii="宋体" w:hAnsi="宋体" w:cs="Arial"/>
        </w:rPr>
        <w:t>1.地基基础工程和主体结构工程为设计文件规定的该工程合理使用年限；</w:t>
      </w:r>
    </w:p>
    <w:p w14:paraId="56173CE5">
      <w:pPr>
        <w:tabs>
          <w:tab w:val="left" w:pos="4860"/>
          <w:tab w:val="left" w:pos="5580"/>
        </w:tabs>
        <w:snapToGrid w:val="0"/>
        <w:ind w:right="36" w:rightChars="15" w:firstLine="480" w:firstLineChars="200"/>
        <w:rPr>
          <w:rFonts w:ascii="宋体" w:hAnsi="宋体" w:cs="Arial"/>
        </w:rPr>
      </w:pPr>
      <w:r>
        <w:rPr>
          <w:rFonts w:ascii="宋体" w:hAnsi="宋体" w:cs="Arial"/>
        </w:rPr>
        <w:t>2.长输管道主体工程为</w:t>
      </w:r>
      <w:r>
        <w:rPr>
          <w:rFonts w:ascii="宋体" w:hAnsi="宋体" w:cs="Arial"/>
          <w:u w:val="single"/>
        </w:rPr>
        <w:t>5</w:t>
      </w:r>
      <w:r>
        <w:rPr>
          <w:rFonts w:hint="eastAsia" w:ascii="宋体" w:hAnsi="宋体" w:cs="Arial"/>
        </w:rPr>
        <w:t>年；</w:t>
      </w:r>
    </w:p>
    <w:p w14:paraId="4D8AB0A3">
      <w:pPr>
        <w:tabs>
          <w:tab w:val="left" w:pos="4860"/>
          <w:tab w:val="left" w:pos="5580"/>
        </w:tabs>
        <w:snapToGrid w:val="0"/>
        <w:ind w:right="36" w:rightChars="15" w:firstLine="480" w:firstLineChars="200"/>
        <w:rPr>
          <w:rFonts w:ascii="宋体" w:hAnsi="宋体" w:cs="Arial"/>
        </w:rPr>
      </w:pPr>
      <w:r>
        <w:rPr>
          <w:rFonts w:ascii="宋体" w:hAnsi="宋体" w:cs="Arial"/>
        </w:rPr>
        <w:t>3.炼油化工装置主体工程为</w:t>
      </w:r>
      <w:r>
        <w:rPr>
          <w:rFonts w:ascii="宋体" w:hAnsi="宋体" w:cs="Arial"/>
          <w:u w:val="single"/>
        </w:rPr>
        <w:t>5</w:t>
      </w:r>
      <w:r>
        <w:rPr>
          <w:rFonts w:hint="eastAsia" w:ascii="宋体" w:hAnsi="宋体" w:cs="Arial"/>
        </w:rPr>
        <w:t>年；</w:t>
      </w:r>
    </w:p>
    <w:p w14:paraId="34A36522">
      <w:pPr>
        <w:tabs>
          <w:tab w:val="left" w:pos="4860"/>
          <w:tab w:val="left" w:pos="5580"/>
        </w:tabs>
        <w:snapToGrid w:val="0"/>
        <w:ind w:right="36" w:rightChars="15" w:firstLine="480" w:firstLineChars="200"/>
        <w:rPr>
          <w:rFonts w:ascii="宋体" w:hAnsi="宋体" w:cs="Arial"/>
        </w:rPr>
      </w:pPr>
      <w:r>
        <w:rPr>
          <w:rFonts w:ascii="宋体" w:hAnsi="宋体" w:cs="Arial"/>
        </w:rPr>
        <w:t>4.配套安装工程为</w:t>
      </w:r>
      <w:r>
        <w:rPr>
          <w:rFonts w:ascii="宋体" w:hAnsi="宋体" w:cs="Arial"/>
          <w:u w:val="single"/>
        </w:rPr>
        <w:t>2</w:t>
      </w:r>
      <w:r>
        <w:rPr>
          <w:rFonts w:hint="eastAsia" w:ascii="宋体" w:hAnsi="宋体" w:cs="Arial"/>
        </w:rPr>
        <w:t>年；</w:t>
      </w:r>
    </w:p>
    <w:p w14:paraId="0E58B3D5">
      <w:pPr>
        <w:tabs>
          <w:tab w:val="left" w:pos="4860"/>
          <w:tab w:val="left" w:pos="5580"/>
        </w:tabs>
        <w:snapToGrid w:val="0"/>
        <w:ind w:right="36" w:rightChars="15" w:firstLine="480" w:firstLineChars="200"/>
        <w:rPr>
          <w:rFonts w:ascii="宋体" w:hAnsi="宋体" w:cs="Arial"/>
        </w:rPr>
      </w:pPr>
      <w:r>
        <w:rPr>
          <w:rFonts w:ascii="宋体" w:hAnsi="宋体" w:cs="Arial"/>
        </w:rPr>
        <w:t>5.防水、防渗工程为</w:t>
      </w:r>
      <w:r>
        <w:rPr>
          <w:rFonts w:ascii="宋体" w:hAnsi="宋体" w:cs="Arial"/>
          <w:u w:val="single"/>
        </w:rPr>
        <w:t>5</w:t>
      </w:r>
      <w:r>
        <w:rPr>
          <w:rFonts w:hint="eastAsia" w:ascii="宋体" w:hAnsi="宋体" w:cs="Arial"/>
        </w:rPr>
        <w:t>年；</w:t>
      </w:r>
    </w:p>
    <w:p w14:paraId="50A8F940">
      <w:pPr>
        <w:tabs>
          <w:tab w:val="left" w:pos="4860"/>
          <w:tab w:val="left" w:pos="5580"/>
        </w:tabs>
        <w:snapToGrid w:val="0"/>
        <w:ind w:right="36" w:rightChars="15" w:firstLine="480" w:firstLineChars="200"/>
        <w:rPr>
          <w:rFonts w:ascii="宋体" w:hAnsi="宋体" w:cs="Arial"/>
        </w:rPr>
      </w:pPr>
      <w:r>
        <w:rPr>
          <w:rFonts w:ascii="宋体" w:hAnsi="宋体" w:cs="Arial"/>
        </w:rPr>
        <w:t>6.保温、保冷工程为2</w:t>
      </w:r>
      <w:r>
        <w:rPr>
          <w:rFonts w:hint="eastAsia" w:ascii="宋体" w:hAnsi="宋体" w:cs="Arial"/>
        </w:rPr>
        <w:t>年；</w:t>
      </w:r>
    </w:p>
    <w:p w14:paraId="76A49836">
      <w:pPr>
        <w:tabs>
          <w:tab w:val="left" w:pos="4860"/>
          <w:tab w:val="left" w:pos="5580"/>
        </w:tabs>
        <w:snapToGrid w:val="0"/>
        <w:ind w:right="36" w:rightChars="15" w:firstLine="480" w:firstLineChars="200"/>
        <w:rPr>
          <w:rFonts w:ascii="宋体" w:hAnsi="宋体" w:cs="Arial"/>
        </w:rPr>
      </w:pPr>
      <w:r>
        <w:rPr>
          <w:rFonts w:ascii="宋体" w:hAnsi="宋体" w:cs="Arial"/>
        </w:rPr>
        <w:t>7.防腐工程为</w:t>
      </w:r>
      <w:r>
        <w:rPr>
          <w:rFonts w:ascii="宋体" w:hAnsi="宋体" w:cs="Arial"/>
          <w:u w:val="single"/>
        </w:rPr>
        <w:t>5</w:t>
      </w:r>
      <w:r>
        <w:rPr>
          <w:rFonts w:hint="eastAsia" w:ascii="宋体" w:hAnsi="宋体" w:cs="Arial"/>
        </w:rPr>
        <w:t>年；</w:t>
      </w:r>
    </w:p>
    <w:p w14:paraId="7399F1D8">
      <w:pPr>
        <w:tabs>
          <w:tab w:val="left" w:pos="4860"/>
          <w:tab w:val="left" w:pos="5580"/>
        </w:tabs>
        <w:snapToGrid w:val="0"/>
        <w:ind w:right="36" w:rightChars="15" w:firstLine="480" w:firstLineChars="200"/>
        <w:rPr>
          <w:rFonts w:ascii="宋体" w:hAnsi="宋体" w:cs="Arial"/>
        </w:rPr>
      </w:pPr>
      <w:r>
        <w:rPr>
          <w:rFonts w:ascii="宋体" w:hAnsi="宋体" w:cs="Arial"/>
        </w:rPr>
        <w:t>8.装修工程为</w:t>
      </w:r>
      <w:r>
        <w:rPr>
          <w:rFonts w:ascii="宋体" w:hAnsi="宋体" w:cs="Arial"/>
          <w:u w:val="single"/>
        </w:rPr>
        <w:t>2</w:t>
      </w:r>
      <w:r>
        <w:rPr>
          <w:rFonts w:hint="eastAsia" w:ascii="宋体" w:hAnsi="宋体" w:cs="Arial"/>
        </w:rPr>
        <w:t>年；</w:t>
      </w:r>
    </w:p>
    <w:p w14:paraId="6F6F42B3">
      <w:pPr>
        <w:tabs>
          <w:tab w:val="left" w:pos="4860"/>
          <w:tab w:val="left" w:pos="5580"/>
        </w:tabs>
        <w:snapToGrid w:val="0"/>
        <w:ind w:right="36" w:rightChars="15" w:firstLine="480" w:firstLineChars="200"/>
        <w:rPr>
          <w:rFonts w:ascii="宋体" w:hAnsi="宋体" w:cs="Arial"/>
          <w:u w:val="single"/>
        </w:rPr>
      </w:pPr>
      <w:r>
        <w:rPr>
          <w:rFonts w:ascii="宋体" w:hAnsi="宋体" w:cs="Arial"/>
        </w:rPr>
        <w:t>9.其他</w:t>
      </w:r>
    </w:p>
    <w:p w14:paraId="55DBC422">
      <w:pPr>
        <w:tabs>
          <w:tab w:val="left" w:pos="4860"/>
          <w:tab w:val="left" w:pos="5580"/>
        </w:tabs>
        <w:snapToGrid w:val="0"/>
        <w:ind w:firstLine="480" w:firstLineChars="200"/>
        <w:rPr>
          <w:rFonts w:ascii="华文楷体" w:hAnsi="华文楷体" w:eastAsia="华文楷体" w:cs="Arial"/>
          <w:sz w:val="18"/>
          <w:szCs w:val="18"/>
        </w:rPr>
      </w:pPr>
      <w:r>
        <w:rPr>
          <w:rFonts w:hint="eastAsia" w:ascii="宋体" w:hAnsi="宋体" w:cs="Arial"/>
        </w:rPr>
        <w:t>质量保修期自工程交工验收合格之日起计算。</w:t>
      </w:r>
    </w:p>
    <w:p w14:paraId="3F0A48E9">
      <w:pPr>
        <w:ind w:left="480" w:leftChars="200"/>
        <w:rPr>
          <w:rFonts w:ascii="宋体" w:hAnsi="宋体" w:cs="Arial"/>
          <w:b/>
        </w:rPr>
      </w:pPr>
      <w:bookmarkStart w:id="924" w:name="_Toc511143012"/>
      <w:bookmarkStart w:id="925" w:name="_Toc514167069"/>
      <w:bookmarkStart w:id="926" w:name="_Toc511126633"/>
      <w:r>
        <w:rPr>
          <w:rFonts w:hint="eastAsia" w:ascii="宋体" w:hAnsi="宋体" w:cs="Arial"/>
          <w:b/>
        </w:rPr>
        <w:t>三、质量保修责任</w:t>
      </w:r>
      <w:bookmarkEnd w:id="924"/>
      <w:bookmarkEnd w:id="925"/>
      <w:bookmarkEnd w:id="926"/>
    </w:p>
    <w:p w14:paraId="57C074FF">
      <w:pPr>
        <w:tabs>
          <w:tab w:val="left" w:pos="4860"/>
          <w:tab w:val="left" w:pos="5580"/>
        </w:tabs>
        <w:snapToGrid w:val="0"/>
        <w:ind w:right="36" w:rightChars="15" w:firstLine="480" w:firstLineChars="200"/>
        <w:rPr>
          <w:rFonts w:ascii="宋体" w:hAnsi="宋体" w:cs="Arial"/>
        </w:rPr>
      </w:pPr>
      <w:r>
        <w:rPr>
          <w:rFonts w:ascii="宋体" w:hAnsi="宋体" w:cs="Arial"/>
        </w:rPr>
        <w:t>1.属于保修范围、内容的项目，承包人应当在接到保修通知之日起</w:t>
      </w:r>
      <w:r>
        <w:rPr>
          <w:rFonts w:ascii="宋体" w:hAnsi="宋体" w:cs="Arial"/>
          <w:u w:val="single"/>
        </w:rPr>
        <w:t>1</w:t>
      </w:r>
      <w:r>
        <w:rPr>
          <w:rFonts w:hint="eastAsia" w:ascii="宋体" w:hAnsi="宋体" w:cs="Arial"/>
        </w:rPr>
        <w:t>天内派人保修。承包人不在约定期限内派人保修的，发包人可以委托他人修理，修理费用从质量保险金内扣除。</w:t>
      </w:r>
    </w:p>
    <w:p w14:paraId="55B7D00E">
      <w:pPr>
        <w:tabs>
          <w:tab w:val="left" w:pos="4860"/>
          <w:tab w:val="left" w:pos="5580"/>
        </w:tabs>
        <w:snapToGrid w:val="0"/>
        <w:ind w:right="36" w:rightChars="15" w:firstLine="480" w:firstLineChars="200"/>
        <w:rPr>
          <w:rFonts w:ascii="宋体" w:hAnsi="宋体" w:cs="Arial"/>
        </w:rPr>
      </w:pPr>
      <w:r>
        <w:rPr>
          <w:rFonts w:ascii="宋体" w:hAnsi="宋体" w:cs="Arial"/>
        </w:rPr>
        <w:t>2.发生紧急抢修事故的，承包人在接到事故通知后，应当立即到达事故现场抢修。</w:t>
      </w:r>
    </w:p>
    <w:p w14:paraId="77AA62AE">
      <w:pPr>
        <w:tabs>
          <w:tab w:val="left" w:pos="4860"/>
          <w:tab w:val="left" w:pos="5580"/>
        </w:tabs>
        <w:snapToGrid w:val="0"/>
        <w:ind w:right="36" w:rightChars="15" w:firstLine="480" w:firstLineChars="200"/>
        <w:rPr>
          <w:rFonts w:ascii="宋体" w:hAnsi="宋体" w:cs="Arial"/>
        </w:rPr>
      </w:pPr>
      <w:r>
        <w:rPr>
          <w:rFonts w:ascii="宋体" w:hAnsi="宋体" w:cs="Arial"/>
        </w:rPr>
        <w:t>3.对于涉及工程安全质量问题的，发包人应当按照有关的规定，采取安全防范措施。由原设计单位或者具有相应资质等级的设计单位提出保修方案，承包人实施保修。</w:t>
      </w:r>
    </w:p>
    <w:p w14:paraId="4C8733B9">
      <w:pPr>
        <w:tabs>
          <w:tab w:val="left" w:pos="4860"/>
          <w:tab w:val="left" w:pos="5580"/>
        </w:tabs>
        <w:snapToGrid w:val="0"/>
        <w:ind w:right="36" w:rightChars="15" w:firstLine="480" w:firstLineChars="200"/>
        <w:rPr>
          <w:rFonts w:ascii="宋体" w:hAnsi="宋体" w:cs="Arial"/>
        </w:rPr>
      </w:pPr>
      <w:r>
        <w:rPr>
          <w:rFonts w:ascii="宋体" w:hAnsi="宋体" w:cs="Arial"/>
        </w:rPr>
        <w:t>4.质量保修完成后，由发包人组织验收。</w:t>
      </w:r>
    </w:p>
    <w:p w14:paraId="024DF8D9">
      <w:pPr>
        <w:ind w:left="480" w:leftChars="200"/>
        <w:rPr>
          <w:rFonts w:ascii="宋体" w:hAnsi="宋体" w:cs="Arial"/>
          <w:b/>
        </w:rPr>
      </w:pPr>
      <w:r>
        <w:rPr>
          <w:rFonts w:hint="eastAsia" w:ascii="宋体" w:hAnsi="宋体" w:cs="Arial"/>
          <w:b/>
        </w:rPr>
        <w:t>四</w:t>
      </w:r>
      <w:r>
        <w:rPr>
          <w:rFonts w:ascii="宋体" w:hAnsi="宋体" w:cs="Arial"/>
          <w:b/>
        </w:rPr>
        <w:t>.保修费</w:t>
      </w:r>
    </w:p>
    <w:p w14:paraId="0AFD318C">
      <w:pPr>
        <w:tabs>
          <w:tab w:val="left" w:pos="4860"/>
          <w:tab w:val="left" w:pos="5580"/>
        </w:tabs>
        <w:snapToGrid w:val="0"/>
        <w:ind w:right="36" w:rightChars="15" w:firstLine="480" w:firstLineChars="200"/>
        <w:rPr>
          <w:rFonts w:ascii="宋体" w:hAnsi="宋体" w:cs="Arial"/>
        </w:rPr>
      </w:pPr>
      <w:r>
        <w:rPr>
          <w:rFonts w:ascii="宋体" w:hAnsi="宋体" w:cs="Arial"/>
        </w:rPr>
        <w:t>1.保修费由造成质量缺陷的责任方承担。</w:t>
      </w:r>
    </w:p>
    <w:p w14:paraId="436F38C3">
      <w:pPr>
        <w:tabs>
          <w:tab w:val="left" w:pos="4860"/>
          <w:tab w:val="left" w:pos="5580"/>
        </w:tabs>
        <w:snapToGrid w:val="0"/>
        <w:ind w:right="36" w:rightChars="15" w:firstLine="480" w:firstLineChars="200"/>
        <w:rPr>
          <w:rFonts w:ascii="宋体" w:hAnsi="宋体" w:cs="Arial"/>
        </w:rPr>
      </w:pPr>
      <w:r>
        <w:rPr>
          <w:rFonts w:ascii="宋体" w:hAnsi="宋体" w:cs="Arial"/>
        </w:rPr>
        <w:t>2.发包人向承包人支付工程结算价款时，保留工程结算总价款的3%</w:t>
      </w:r>
      <w:r>
        <w:rPr>
          <w:rFonts w:hint="eastAsia" w:ascii="宋体" w:hAnsi="宋体" w:cs="Arial"/>
        </w:rPr>
        <w:t>作为质量保证金。</w:t>
      </w:r>
    </w:p>
    <w:p w14:paraId="4A86B088">
      <w:pPr>
        <w:tabs>
          <w:tab w:val="left" w:pos="4860"/>
          <w:tab w:val="left" w:pos="5580"/>
        </w:tabs>
        <w:snapToGrid w:val="0"/>
        <w:ind w:right="36" w:rightChars="15" w:firstLine="480" w:firstLineChars="200"/>
        <w:rPr>
          <w:rFonts w:ascii="宋体" w:hAnsi="宋体" w:cs="Arial"/>
        </w:rPr>
      </w:pPr>
      <w:r>
        <w:rPr>
          <w:rFonts w:ascii="宋体" w:hAnsi="宋体" w:cs="Arial"/>
        </w:rPr>
        <w:t>3.若造成质量缺陷的责任方为承包人，则本合同缺陷责任期内发生的质量保修费在质量保证金内扣除，不足部分由承包人补足。</w:t>
      </w:r>
    </w:p>
    <w:p w14:paraId="1A9C5E3A">
      <w:pPr>
        <w:tabs>
          <w:tab w:val="left" w:pos="4860"/>
          <w:tab w:val="left" w:pos="5580"/>
        </w:tabs>
        <w:snapToGrid w:val="0"/>
        <w:ind w:right="36" w:rightChars="15" w:firstLine="480" w:firstLineChars="200"/>
        <w:rPr>
          <w:rFonts w:ascii="宋体" w:hAnsi="宋体" w:cs="Arial"/>
        </w:rPr>
      </w:pPr>
      <w:r>
        <w:rPr>
          <w:rFonts w:ascii="宋体" w:hAnsi="宋体" w:cs="Arial"/>
        </w:rPr>
        <w:t>4.缺陷责任期满后</w:t>
      </w:r>
      <w:r>
        <w:rPr>
          <w:rFonts w:ascii="宋体" w:hAnsi="宋体" w:cs="Arial"/>
          <w:u w:val="single"/>
        </w:rPr>
        <w:t>30</w:t>
      </w:r>
      <w:r>
        <w:rPr>
          <w:rFonts w:hint="eastAsia" w:ascii="宋体" w:hAnsi="宋体" w:cs="Arial"/>
        </w:rPr>
        <w:t>天内，双方清算质量保证金，剩余部分退还。</w:t>
      </w:r>
    </w:p>
    <w:p w14:paraId="6B245846">
      <w:pPr>
        <w:tabs>
          <w:tab w:val="left" w:pos="4860"/>
          <w:tab w:val="left" w:pos="5580"/>
        </w:tabs>
        <w:snapToGrid w:val="0"/>
        <w:ind w:right="36" w:rightChars="15" w:firstLine="480" w:firstLineChars="200"/>
        <w:rPr>
          <w:rFonts w:ascii="宋体" w:hAnsi="宋体" w:cs="Arial"/>
        </w:rPr>
      </w:pPr>
      <w:r>
        <w:rPr>
          <w:rFonts w:ascii="宋体" w:hAnsi="宋体" w:cs="Arial"/>
        </w:rPr>
        <w:t xml:space="preserve">5.质量保修期内缺陷责任期满外如有返修，若造成质量缺陷的责任方为承包人，发生费用由承包人另行支付。 </w:t>
      </w:r>
    </w:p>
    <w:p w14:paraId="1B6A4DAB">
      <w:pPr>
        <w:ind w:left="480" w:leftChars="200"/>
        <w:rPr>
          <w:rFonts w:ascii="宋体" w:hAnsi="宋体" w:cs="Arial"/>
          <w:b/>
        </w:rPr>
      </w:pPr>
      <w:bookmarkStart w:id="927" w:name="_Toc514167070"/>
      <w:bookmarkStart w:id="928" w:name="_Toc511126634"/>
      <w:bookmarkStart w:id="929" w:name="_Toc511143013"/>
      <w:r>
        <w:rPr>
          <w:rFonts w:hint="eastAsia" w:ascii="宋体" w:hAnsi="宋体" w:cs="Arial"/>
          <w:b/>
        </w:rPr>
        <w:t>五、其他</w:t>
      </w:r>
      <w:bookmarkEnd w:id="927"/>
      <w:bookmarkEnd w:id="928"/>
      <w:bookmarkEnd w:id="929"/>
    </w:p>
    <w:p w14:paraId="5E925879">
      <w:pPr>
        <w:tabs>
          <w:tab w:val="left" w:pos="4860"/>
          <w:tab w:val="left" w:pos="5580"/>
        </w:tabs>
        <w:snapToGrid w:val="0"/>
        <w:ind w:right="36" w:rightChars="15" w:firstLine="480" w:firstLineChars="200"/>
        <w:rPr>
          <w:rFonts w:ascii="宋体" w:hAnsi="宋体" w:cs="Arial"/>
        </w:rPr>
      </w:pPr>
      <w:r>
        <w:rPr>
          <w:rFonts w:hint="eastAsia" w:ascii="宋体" w:hAnsi="宋体" w:cs="Arial"/>
        </w:rPr>
        <w:t>双方约定的其他工程质量保修事项：保修期内由于承包人的原因造成的任何质量安全事故，其责任及费用均由承包人承担。</w:t>
      </w:r>
    </w:p>
    <w:p w14:paraId="3E1E8FCA">
      <w:pPr>
        <w:tabs>
          <w:tab w:val="left" w:pos="4860"/>
          <w:tab w:val="left" w:pos="5580"/>
        </w:tabs>
        <w:snapToGrid w:val="0"/>
        <w:ind w:right="36" w:rightChars="15" w:firstLine="480" w:firstLineChars="200"/>
        <w:rPr>
          <w:rFonts w:ascii="宋体" w:hAnsi="宋体"/>
        </w:rPr>
      </w:pPr>
      <w:r>
        <w:rPr>
          <w:rFonts w:hint="eastAsia" w:ascii="宋体" w:hAnsi="宋体" w:cs="Arial"/>
        </w:rPr>
        <w:t>本工程质量保修书由发包人、承包人双方在交工验收前共同签署，作为合同附件，其有效期限至保修期满。</w:t>
      </w:r>
    </w:p>
    <w:p w14:paraId="250E06E2">
      <w:pPr>
        <w:tabs>
          <w:tab w:val="left" w:pos="4860"/>
          <w:tab w:val="left" w:pos="5580"/>
        </w:tabs>
        <w:snapToGrid w:val="0"/>
        <w:ind w:right="36" w:rightChars="15" w:firstLine="480" w:firstLineChars="200"/>
        <w:rPr>
          <w:rFonts w:ascii="宋体" w:hAnsi="宋体" w:cs="Arial"/>
        </w:rPr>
      </w:pPr>
    </w:p>
    <w:p w14:paraId="35D5C93F">
      <w:pPr>
        <w:tabs>
          <w:tab w:val="left" w:pos="4860"/>
          <w:tab w:val="left" w:pos="5580"/>
        </w:tabs>
        <w:snapToGrid w:val="0"/>
        <w:ind w:right="36" w:rightChars="15" w:firstLine="480" w:firstLineChars="200"/>
        <w:rPr>
          <w:rFonts w:ascii="宋体" w:hAnsi="宋体" w:cs="Arial"/>
        </w:rPr>
      </w:pPr>
      <w:r>
        <w:rPr>
          <w:rFonts w:hint="eastAsia" w:ascii="宋体" w:hAnsi="宋体" w:cs="Arial"/>
        </w:rPr>
        <w:t>发</w:t>
      </w:r>
      <w:r>
        <w:rPr>
          <w:rFonts w:ascii="宋体" w:hAnsi="宋体" w:cs="Arial"/>
        </w:rPr>
        <w:t xml:space="preserve"> </w:t>
      </w:r>
      <w:r>
        <w:rPr>
          <w:rFonts w:hint="eastAsia" w:ascii="宋体" w:hAnsi="宋体" w:cs="Arial"/>
        </w:rPr>
        <w:t>包</w:t>
      </w:r>
      <w:r>
        <w:rPr>
          <w:rFonts w:ascii="宋体" w:hAnsi="宋体" w:cs="Arial"/>
        </w:rPr>
        <w:t xml:space="preserve"> </w:t>
      </w:r>
      <w:r>
        <w:rPr>
          <w:rFonts w:hint="eastAsia" w:ascii="宋体" w:hAnsi="宋体" w:cs="Arial"/>
        </w:rPr>
        <w:t>人（盖章）：</w:t>
      </w:r>
      <w:r>
        <w:rPr>
          <w:rFonts w:ascii="宋体" w:hAnsi="宋体" w:cs="Arial"/>
        </w:rPr>
        <w:t xml:space="preserve"> </w:t>
      </w:r>
      <w:r>
        <w:rPr>
          <w:rFonts w:hint="eastAsia" w:ascii="宋体" w:hAnsi="宋体" w:cs="Arial"/>
        </w:rPr>
        <w:t xml:space="preserve">                  承包人（盖章）：</w:t>
      </w:r>
    </w:p>
    <w:p w14:paraId="669E976F">
      <w:pPr>
        <w:tabs>
          <w:tab w:val="left" w:pos="4860"/>
          <w:tab w:val="left" w:pos="5580"/>
        </w:tabs>
        <w:snapToGrid w:val="0"/>
        <w:ind w:right="36" w:rightChars="15" w:firstLine="480" w:firstLineChars="200"/>
        <w:rPr>
          <w:rFonts w:ascii="宋体" w:hAnsi="宋体" w:cs="Arial"/>
        </w:rPr>
      </w:pPr>
      <w:r>
        <w:rPr>
          <w:rFonts w:hint="eastAsia" w:ascii="宋体" w:hAnsi="宋体" w:cs="Arial"/>
        </w:rPr>
        <w:t>法定代表人或委托代理人（签字）：</w:t>
      </w:r>
      <w:r>
        <w:rPr>
          <w:rFonts w:ascii="宋体" w:hAnsi="宋体" w:cs="Arial"/>
        </w:rPr>
        <w:t xml:space="preserve"> </w:t>
      </w:r>
      <w:r>
        <w:rPr>
          <w:rFonts w:hint="eastAsia" w:ascii="宋体" w:hAnsi="宋体" w:cs="Arial"/>
        </w:rPr>
        <w:t xml:space="preserve">    法定代表人或委托代理人（签字）：</w:t>
      </w:r>
    </w:p>
    <w:p w14:paraId="47A90F4E">
      <w:pPr>
        <w:tabs>
          <w:tab w:val="left" w:pos="4860"/>
          <w:tab w:val="left" w:pos="5580"/>
        </w:tabs>
        <w:snapToGrid w:val="0"/>
        <w:ind w:right="36" w:rightChars="15" w:firstLine="480" w:firstLineChars="200"/>
        <w:rPr>
          <w:rFonts w:ascii="宋体" w:hAnsi="宋体" w:cs="Arial"/>
        </w:rPr>
      </w:pPr>
      <w:r>
        <w:rPr>
          <w:rFonts w:hint="eastAsia" w:ascii="宋体" w:hAnsi="宋体" w:cs="Arial"/>
        </w:rPr>
        <w:t>住所：</w:t>
      </w:r>
      <w:r>
        <w:rPr>
          <w:rFonts w:ascii="宋体" w:hAnsi="宋体" w:cs="Arial"/>
        </w:rPr>
        <w:t xml:space="preserve">                               </w:t>
      </w:r>
      <w:r>
        <w:rPr>
          <w:rFonts w:hint="eastAsia" w:ascii="宋体" w:hAnsi="宋体" w:cs="Arial"/>
        </w:rPr>
        <w:t>住所：</w:t>
      </w:r>
    </w:p>
    <w:p w14:paraId="50DA69AA">
      <w:pPr>
        <w:tabs>
          <w:tab w:val="left" w:pos="4860"/>
          <w:tab w:val="left" w:pos="5580"/>
        </w:tabs>
        <w:snapToGrid w:val="0"/>
        <w:ind w:right="36" w:rightChars="15" w:firstLine="480" w:firstLineChars="200"/>
        <w:rPr>
          <w:rFonts w:ascii="宋体" w:hAnsi="宋体" w:cs="Arial"/>
        </w:rPr>
      </w:pPr>
      <w:r>
        <w:rPr>
          <w:rFonts w:hint="eastAsia" w:ascii="宋体" w:hAnsi="宋体" w:cs="Arial"/>
        </w:rPr>
        <w:t>联系人：</w:t>
      </w:r>
      <w:r>
        <w:rPr>
          <w:rFonts w:ascii="宋体" w:hAnsi="宋体" w:cs="Arial"/>
        </w:rPr>
        <w:t xml:space="preserve">                             </w:t>
      </w:r>
      <w:r>
        <w:rPr>
          <w:rFonts w:hint="eastAsia" w:ascii="宋体" w:hAnsi="宋体" w:cs="Arial"/>
        </w:rPr>
        <w:t>联系人：</w:t>
      </w:r>
    </w:p>
    <w:p w14:paraId="78CAD5A2">
      <w:pPr>
        <w:tabs>
          <w:tab w:val="left" w:pos="4260"/>
          <w:tab w:val="left" w:pos="5580"/>
        </w:tabs>
        <w:snapToGrid w:val="0"/>
        <w:ind w:right="36" w:rightChars="15" w:firstLine="480" w:firstLineChars="200"/>
        <w:rPr>
          <w:rFonts w:ascii="宋体" w:hAnsi="宋体" w:cs="Arial"/>
        </w:rPr>
      </w:pPr>
      <w:r>
        <w:rPr>
          <w:rFonts w:hint="eastAsia" w:ascii="宋体" w:hAnsi="宋体" w:cs="Arial"/>
        </w:rPr>
        <w:t>电话：</w:t>
      </w:r>
      <w:r>
        <w:rPr>
          <w:rFonts w:ascii="宋体" w:hAnsi="宋体" w:cs="Arial"/>
        </w:rPr>
        <w:t xml:space="preserve">                               </w:t>
      </w:r>
      <w:r>
        <w:rPr>
          <w:rFonts w:hint="eastAsia" w:ascii="宋体" w:hAnsi="宋体" w:cs="Arial"/>
        </w:rPr>
        <w:t>电话：</w:t>
      </w:r>
    </w:p>
    <w:p w14:paraId="5CCB0023">
      <w:pPr>
        <w:tabs>
          <w:tab w:val="left" w:pos="4860"/>
          <w:tab w:val="left" w:pos="5580"/>
        </w:tabs>
        <w:snapToGrid w:val="0"/>
        <w:ind w:right="36" w:rightChars="15" w:firstLine="480" w:firstLineChars="200"/>
        <w:rPr>
          <w:rFonts w:ascii="宋体" w:hAnsi="宋体" w:cs="Arial"/>
        </w:rPr>
      </w:pPr>
      <w:r>
        <w:rPr>
          <w:rFonts w:hint="eastAsia" w:ascii="宋体" w:hAnsi="宋体" w:cs="Arial"/>
        </w:rPr>
        <w:t>传真：</w:t>
      </w:r>
      <w:r>
        <w:rPr>
          <w:rFonts w:ascii="宋体" w:hAnsi="宋体" w:cs="Arial"/>
        </w:rPr>
        <w:t xml:space="preserve">                               </w:t>
      </w:r>
      <w:r>
        <w:rPr>
          <w:rFonts w:hint="eastAsia" w:ascii="宋体" w:hAnsi="宋体" w:cs="Arial"/>
        </w:rPr>
        <w:t>传真：</w:t>
      </w:r>
    </w:p>
    <w:p w14:paraId="39BEDAB8">
      <w:pPr>
        <w:tabs>
          <w:tab w:val="left" w:pos="4860"/>
          <w:tab w:val="left" w:pos="5580"/>
        </w:tabs>
        <w:snapToGrid w:val="0"/>
        <w:ind w:right="36" w:rightChars="15" w:firstLine="480" w:firstLineChars="200"/>
        <w:rPr>
          <w:rFonts w:ascii="宋体" w:hAnsi="宋体" w:cs="Arial"/>
        </w:rPr>
      </w:pPr>
      <w:r>
        <w:rPr>
          <w:rFonts w:hint="eastAsia" w:ascii="宋体" w:hAnsi="宋体" w:cs="Arial"/>
        </w:rPr>
        <w:t>邮政编码：</w:t>
      </w:r>
      <w:r>
        <w:rPr>
          <w:rFonts w:ascii="宋体" w:hAnsi="宋体" w:cs="Arial"/>
        </w:rPr>
        <w:t xml:space="preserve">          </w:t>
      </w:r>
      <w:r>
        <w:rPr>
          <w:rFonts w:hint="eastAsia" w:ascii="宋体" w:hAnsi="宋体" w:cs="Arial"/>
        </w:rPr>
        <w:t xml:space="preserve">                 </w:t>
      </w:r>
      <w:r>
        <w:rPr>
          <w:rFonts w:ascii="宋体" w:hAnsi="宋体" w:cs="Arial"/>
        </w:rPr>
        <w:t xml:space="preserve">邮政编码： </w:t>
      </w:r>
    </w:p>
    <w:p w14:paraId="3BF8C72A">
      <w:pPr>
        <w:tabs>
          <w:tab w:val="left" w:pos="5580"/>
        </w:tabs>
        <w:snapToGrid w:val="0"/>
        <w:ind w:right="36" w:rightChars="15" w:firstLine="480" w:firstLineChars="200"/>
        <w:rPr>
          <w:rFonts w:ascii="宋体" w:hAnsi="宋体" w:cs="Arial"/>
        </w:rPr>
      </w:pPr>
      <w:r>
        <w:rPr>
          <w:rFonts w:ascii="宋体" w:hAnsi="宋体" w:cs="Arial"/>
        </w:rPr>
        <w:tab/>
      </w:r>
    </w:p>
    <w:p w14:paraId="6BAB3610">
      <w:pPr>
        <w:tabs>
          <w:tab w:val="left" w:pos="4860"/>
          <w:tab w:val="left" w:pos="5580"/>
        </w:tabs>
        <w:snapToGrid w:val="0"/>
        <w:ind w:right="36" w:rightChars="15" w:firstLine="480" w:firstLineChars="200"/>
        <w:rPr>
          <w:rFonts w:ascii="宋体" w:hAnsi="宋体" w:cs="Arial"/>
        </w:rPr>
      </w:pPr>
      <w:r>
        <w:rPr>
          <w:rFonts w:ascii="宋体" w:hAnsi="宋体" w:cs="Arial"/>
        </w:rPr>
        <w:t>202</w:t>
      </w:r>
      <w:r>
        <w:rPr>
          <w:rFonts w:hint="eastAsia" w:ascii="宋体" w:hAnsi="宋体" w:cs="Arial"/>
        </w:rPr>
        <w:t>5年  月  日</w:t>
      </w:r>
      <w:r>
        <w:rPr>
          <w:rFonts w:ascii="宋体" w:hAnsi="宋体" w:cs="Arial"/>
        </w:rPr>
        <w:t xml:space="preserve">                    </w:t>
      </w:r>
      <w:r>
        <w:rPr>
          <w:rFonts w:hint="eastAsia" w:ascii="宋体" w:hAnsi="宋体" w:cs="Arial"/>
        </w:rPr>
        <w:t xml:space="preserve">      </w:t>
      </w:r>
      <w:r>
        <w:rPr>
          <w:rFonts w:ascii="宋体" w:hAnsi="宋体" w:cs="Arial"/>
        </w:rPr>
        <w:t xml:space="preserve"> 202</w:t>
      </w:r>
      <w:r>
        <w:rPr>
          <w:rFonts w:hint="eastAsia" w:ascii="宋体" w:hAnsi="宋体" w:cs="Arial"/>
        </w:rPr>
        <w:t>5年  月  日</w:t>
      </w:r>
    </w:p>
    <w:p w14:paraId="47A3F892">
      <w:pPr>
        <w:snapToGrid w:val="0"/>
        <w:rPr>
          <w:rFonts w:ascii="宋体" w:hAnsi="宋体" w:cs="Arial"/>
        </w:rPr>
      </w:pPr>
    </w:p>
    <w:p w14:paraId="337A53EA">
      <w:pPr>
        <w:jc w:val="left"/>
        <w:rPr>
          <w:rFonts w:ascii="宋体" w:hAnsi="宋体" w:cs="Arial"/>
        </w:rPr>
      </w:pPr>
      <w:bookmarkStart w:id="930" w:name="_Toc439160061"/>
      <w:r>
        <w:rPr>
          <w:rFonts w:ascii="宋体" w:hAnsi="宋体" w:cs="Arial"/>
        </w:rPr>
        <w:br w:type="page"/>
      </w:r>
    </w:p>
    <w:p w14:paraId="21285BE6">
      <w:pPr>
        <w:outlineLvl w:val="1"/>
        <w:rPr>
          <w:rFonts w:ascii="宋体" w:hAnsi="宋体" w:cs="Arial"/>
        </w:rPr>
      </w:pPr>
      <w:bookmarkStart w:id="931" w:name="_Toc25752"/>
      <w:r>
        <w:rPr>
          <w:rFonts w:hint="eastAsia" w:ascii="宋体" w:hAnsi="宋体" w:cs="Arial"/>
        </w:rPr>
        <w:t>附件</w:t>
      </w:r>
      <w:r>
        <w:rPr>
          <w:rFonts w:ascii="宋体" w:hAnsi="宋体" w:cs="Arial"/>
        </w:rPr>
        <w:t>7：廉洁从业责任书</w:t>
      </w:r>
      <w:bookmarkEnd w:id="917"/>
      <w:bookmarkEnd w:id="930"/>
      <w:bookmarkEnd w:id="931"/>
    </w:p>
    <w:p w14:paraId="6AF5B595">
      <w:pPr>
        <w:jc w:val="center"/>
        <w:rPr>
          <w:rFonts w:ascii="宋体" w:hAnsi="宋体"/>
          <w:b/>
          <w:sz w:val="30"/>
          <w:szCs w:val="30"/>
        </w:rPr>
      </w:pPr>
      <w:r>
        <w:rPr>
          <w:rFonts w:hint="eastAsia" w:ascii="宋体" w:hAnsi="宋体"/>
          <w:b/>
          <w:sz w:val="30"/>
          <w:szCs w:val="30"/>
        </w:rPr>
        <w:t>廉洁从业责任书</w:t>
      </w:r>
    </w:p>
    <w:p w14:paraId="73140EAD">
      <w:pPr>
        <w:rPr>
          <w:rFonts w:ascii="仿宋_GB2312" w:eastAsia="仿宋_GB2312"/>
          <w:sz w:val="32"/>
          <w:szCs w:val="32"/>
        </w:rPr>
      </w:pPr>
    </w:p>
    <w:p w14:paraId="7002AC0D">
      <w:pPr>
        <w:tabs>
          <w:tab w:val="left" w:pos="4860"/>
          <w:tab w:val="left" w:pos="5580"/>
        </w:tabs>
        <w:snapToGrid w:val="0"/>
        <w:ind w:right="36" w:rightChars="15"/>
        <w:rPr>
          <w:rFonts w:ascii="宋体" w:hAnsi="宋体" w:cs="Arial"/>
          <w:u w:val="single"/>
        </w:rPr>
      </w:pPr>
      <w:r>
        <w:rPr>
          <w:rFonts w:hint="eastAsia" w:ascii="宋体" w:hAnsi="宋体" w:cs="Arial"/>
        </w:rPr>
        <w:t>发包人（全称）：</w:t>
      </w:r>
      <w:r>
        <w:rPr>
          <w:rFonts w:hint="eastAsia" w:ascii="宋体" w:hAnsi="宋体" w:cs="Arial"/>
          <w:u w:val="single"/>
        </w:rPr>
        <w:t xml:space="preserve">广东中粤通油品经营有限公司      </w:t>
      </w:r>
    </w:p>
    <w:p w14:paraId="14A0DA90">
      <w:pPr>
        <w:tabs>
          <w:tab w:val="left" w:pos="4860"/>
          <w:tab w:val="left" w:pos="5580"/>
        </w:tabs>
        <w:snapToGrid w:val="0"/>
        <w:ind w:right="36" w:rightChars="15"/>
        <w:rPr>
          <w:rFonts w:ascii="宋体" w:hAnsi="宋体" w:cs="Arial"/>
        </w:rPr>
      </w:pPr>
      <w:r>
        <w:rPr>
          <w:rFonts w:hint="eastAsia" w:ascii="宋体" w:hAnsi="宋体" w:cs="Arial"/>
        </w:rPr>
        <w:t>承包人（全称）：</w:t>
      </w:r>
    </w:p>
    <w:p w14:paraId="0A0AEA8B">
      <w:pPr>
        <w:ind w:firstLine="480" w:firstLineChars="200"/>
        <w:rPr>
          <w:rFonts w:ascii="宋体" w:hAnsi="宋体"/>
        </w:rPr>
      </w:pPr>
      <w:r>
        <w:rPr>
          <w:rFonts w:hint="eastAsia" w:ascii="宋体" w:hAnsi="宋体"/>
        </w:rPr>
        <w:t>为规范发包人和承包人的交易行为，维护公平竞争，预防商业贿赂，根据国家有关法律法规，经双方协商一致，签订本责任书。</w:t>
      </w:r>
    </w:p>
    <w:p w14:paraId="69BE7164">
      <w:pPr>
        <w:ind w:firstLine="482" w:firstLineChars="200"/>
        <w:rPr>
          <w:rFonts w:ascii="宋体" w:hAnsi="宋体"/>
        </w:rPr>
      </w:pPr>
      <w:r>
        <w:rPr>
          <w:rFonts w:hint="eastAsia" w:ascii="宋体" w:hAnsi="宋体"/>
          <w:b/>
        </w:rPr>
        <w:t>第一条</w:t>
      </w:r>
      <w:r>
        <w:rPr>
          <w:rFonts w:ascii="宋体" w:hAnsi="宋体"/>
          <w:b/>
        </w:rPr>
        <w:t xml:space="preserve"> </w:t>
      </w:r>
      <w:r>
        <w:rPr>
          <w:rFonts w:ascii="宋体" w:hAnsi="宋体"/>
        </w:rPr>
        <w:t xml:space="preserve"> 发包人和承包人共同责任</w:t>
      </w:r>
    </w:p>
    <w:p w14:paraId="232D008F">
      <w:pPr>
        <w:ind w:firstLine="480" w:firstLineChars="200"/>
        <w:rPr>
          <w:rFonts w:ascii="宋体" w:hAnsi="宋体"/>
        </w:rPr>
      </w:pPr>
      <w:r>
        <w:rPr>
          <w:rFonts w:hint="eastAsia" w:ascii="宋体" w:hAnsi="宋体"/>
        </w:rPr>
        <w:t>（一）严格遵守国家有关法律法规以及廉洁从业的有关规定。</w:t>
      </w:r>
    </w:p>
    <w:p w14:paraId="7AD8625D">
      <w:pPr>
        <w:ind w:firstLine="480" w:firstLineChars="200"/>
        <w:rPr>
          <w:rFonts w:ascii="宋体" w:hAnsi="宋体"/>
        </w:rPr>
      </w:pPr>
      <w:r>
        <w:rPr>
          <w:rFonts w:hint="eastAsia" w:ascii="宋体" w:hAnsi="宋体"/>
        </w:rPr>
        <w:t>（二）严格遵守商业道德和市场规则，共同营造公平公正的交易环境。</w:t>
      </w:r>
    </w:p>
    <w:p w14:paraId="2C6A22A9">
      <w:pPr>
        <w:ind w:firstLine="480" w:firstLineChars="200"/>
        <w:rPr>
          <w:rFonts w:ascii="宋体" w:hAnsi="宋体"/>
        </w:rPr>
      </w:pPr>
      <w:r>
        <w:rPr>
          <w:rFonts w:hint="eastAsia" w:ascii="宋体" w:hAnsi="宋体"/>
        </w:rPr>
        <w:t>（三）加强相关人员的管理和廉洁从业教育，自觉抵制不廉洁行为；在交易过程中发现对方及其工作人员存在违规违纪违法问题，应及时向监察部门或司法机关举报。</w:t>
      </w:r>
    </w:p>
    <w:p w14:paraId="662AE586">
      <w:pPr>
        <w:ind w:firstLine="482" w:firstLineChars="200"/>
        <w:rPr>
          <w:rFonts w:ascii="宋体" w:hAnsi="宋体"/>
        </w:rPr>
      </w:pPr>
      <w:r>
        <w:rPr>
          <w:rFonts w:hint="eastAsia" w:ascii="宋体" w:hAnsi="宋体"/>
          <w:b/>
        </w:rPr>
        <w:t>第二条</w:t>
      </w:r>
      <w:r>
        <w:rPr>
          <w:rFonts w:ascii="宋体" w:hAnsi="宋体"/>
          <w:b/>
        </w:rPr>
        <w:t xml:space="preserve"> </w:t>
      </w:r>
      <w:r>
        <w:rPr>
          <w:rFonts w:ascii="宋体" w:hAnsi="宋体"/>
        </w:rPr>
        <w:t xml:space="preserve"> 发包人及其人员的责任</w:t>
      </w:r>
    </w:p>
    <w:p w14:paraId="2479C1EF">
      <w:pPr>
        <w:ind w:firstLine="480" w:firstLineChars="200"/>
        <w:rPr>
          <w:rFonts w:ascii="宋体" w:hAnsi="宋体"/>
        </w:rPr>
      </w:pPr>
      <w:r>
        <w:rPr>
          <w:rFonts w:hint="eastAsia" w:ascii="宋体" w:hAnsi="宋体"/>
        </w:rPr>
        <w:t>（一）不得索要或接受承包人及其相关单位、人员提供的折扣费、中介费、佣金、礼金、有价证券、支付凭证、贵重物品等。</w:t>
      </w:r>
    </w:p>
    <w:p w14:paraId="18695C86">
      <w:pPr>
        <w:ind w:firstLine="480" w:firstLineChars="200"/>
        <w:rPr>
          <w:rFonts w:ascii="宋体" w:hAnsi="宋体"/>
        </w:rPr>
      </w:pPr>
      <w:r>
        <w:rPr>
          <w:rFonts w:hint="eastAsia" w:ascii="宋体" w:hAnsi="宋体"/>
        </w:rPr>
        <w:t>（二）不得在承包人及其相关单位报销任何应由发包人或个人支付的费用。</w:t>
      </w:r>
    </w:p>
    <w:p w14:paraId="29B32D36">
      <w:pPr>
        <w:ind w:firstLine="480" w:firstLineChars="200"/>
        <w:rPr>
          <w:rFonts w:ascii="宋体" w:hAnsi="宋体"/>
        </w:rPr>
      </w:pPr>
      <w:r>
        <w:rPr>
          <w:rFonts w:hint="eastAsia" w:ascii="宋体" w:hAnsi="宋体"/>
        </w:rPr>
        <w:t>（三）不得违反规定在承包人及其相关单位投资入股、合伙经营，不得向承包人单位及人员借款或委托买卖股票、债券等。</w:t>
      </w:r>
    </w:p>
    <w:p w14:paraId="21AEEA3C">
      <w:pPr>
        <w:ind w:firstLine="480" w:firstLineChars="200"/>
        <w:rPr>
          <w:rFonts w:ascii="宋体" w:hAnsi="宋体"/>
        </w:rPr>
      </w:pPr>
      <w:r>
        <w:rPr>
          <w:rFonts w:hint="eastAsia" w:ascii="宋体" w:hAnsi="宋体"/>
        </w:rPr>
        <w:t>（四）不得要求、暗示和接受承包人及其相关单位和个人为其购买或装修住房、婚丧嫁娶、配偶和子女的工作安排或上学以及出国（境）、旅游等提供方便。</w:t>
      </w:r>
    </w:p>
    <w:p w14:paraId="717279CC">
      <w:pPr>
        <w:ind w:firstLine="480" w:firstLineChars="200"/>
        <w:rPr>
          <w:rFonts w:ascii="宋体" w:hAnsi="宋体"/>
        </w:rPr>
      </w:pPr>
      <w:r>
        <w:rPr>
          <w:rFonts w:hint="eastAsia" w:ascii="宋体" w:hAnsi="宋体"/>
        </w:rPr>
        <w:t>（五）不得参加承包人及其相关单位、个人安排的可能影响公平交易的宴请、健身、娱乐等活动。</w:t>
      </w:r>
    </w:p>
    <w:p w14:paraId="1B057530">
      <w:pPr>
        <w:ind w:firstLine="480" w:firstLineChars="200"/>
        <w:rPr>
          <w:rFonts w:ascii="宋体" w:hAnsi="宋体"/>
        </w:rPr>
      </w:pPr>
      <w:r>
        <w:rPr>
          <w:rFonts w:hint="eastAsia" w:ascii="宋体" w:hAnsi="宋体"/>
        </w:rPr>
        <w:t>（六）不得接受、占用或以明显低于市场价格购买、租用承包人及其相关单位和个人提供的通讯工具、交通工具和高档办公用品。</w:t>
      </w:r>
    </w:p>
    <w:p w14:paraId="57B5C5E2">
      <w:pPr>
        <w:ind w:firstLine="480" w:firstLineChars="200"/>
        <w:rPr>
          <w:rFonts w:ascii="宋体" w:hAnsi="宋体"/>
        </w:rPr>
      </w:pPr>
      <w:r>
        <w:rPr>
          <w:rFonts w:hint="eastAsia" w:ascii="宋体" w:hAnsi="宋体"/>
        </w:rPr>
        <w:t>（七）不得通过承包人及其相关单位为其配偶、子女及其他特定关系人谋取不正当利益。</w:t>
      </w:r>
    </w:p>
    <w:p w14:paraId="4CC20222">
      <w:pPr>
        <w:ind w:firstLine="480" w:firstLineChars="200"/>
        <w:rPr>
          <w:rFonts w:ascii="宋体" w:hAnsi="宋体"/>
        </w:rPr>
      </w:pPr>
      <w:r>
        <w:rPr>
          <w:rFonts w:hint="eastAsia" w:ascii="宋体" w:hAnsi="宋体"/>
        </w:rPr>
        <w:t>（八）不得违反规定在承包人或承包人相关单位兼职和领取兼职工资及报酬；不得利用发包人的商业秘密谋取个人私利，或将其提供泄漏给承包人及其它企业和个人。</w:t>
      </w:r>
    </w:p>
    <w:p w14:paraId="6F762E7D">
      <w:pPr>
        <w:ind w:firstLine="480" w:firstLineChars="200"/>
        <w:rPr>
          <w:rFonts w:ascii="宋体" w:hAnsi="宋体"/>
        </w:rPr>
      </w:pPr>
      <w:r>
        <w:rPr>
          <w:rFonts w:hint="eastAsia" w:ascii="宋体" w:hAnsi="宋体"/>
        </w:rPr>
        <w:t>（九）不得利用职权和工作之便向承包人提出与交易无关的事项或要求。</w:t>
      </w:r>
    </w:p>
    <w:p w14:paraId="3BE05BFA">
      <w:pPr>
        <w:ind w:firstLine="482" w:firstLineChars="200"/>
        <w:rPr>
          <w:rFonts w:ascii="宋体" w:hAnsi="宋体"/>
        </w:rPr>
      </w:pPr>
      <w:r>
        <w:rPr>
          <w:rFonts w:hint="eastAsia" w:ascii="宋体" w:hAnsi="宋体"/>
          <w:b/>
        </w:rPr>
        <w:t>第三条</w:t>
      </w:r>
      <w:r>
        <w:rPr>
          <w:rFonts w:ascii="宋体" w:hAnsi="宋体"/>
        </w:rPr>
        <w:t xml:space="preserve">  承包人及其人员的责任</w:t>
      </w:r>
    </w:p>
    <w:p w14:paraId="7A6DEE15">
      <w:pPr>
        <w:ind w:firstLine="480" w:firstLineChars="200"/>
        <w:rPr>
          <w:rFonts w:ascii="宋体" w:hAnsi="宋体"/>
        </w:rPr>
      </w:pPr>
      <w:r>
        <w:rPr>
          <w:rFonts w:hint="eastAsia" w:ascii="宋体" w:hAnsi="宋体"/>
        </w:rPr>
        <w:t>（一）不得向发包人及其人员提供折扣费、中介费、佣金、礼金、有价证券、支付凭证、贵重物品等。</w:t>
      </w:r>
    </w:p>
    <w:p w14:paraId="778D50E2">
      <w:pPr>
        <w:ind w:firstLine="480" w:firstLineChars="200"/>
        <w:rPr>
          <w:rFonts w:ascii="宋体" w:hAnsi="宋体"/>
        </w:rPr>
      </w:pPr>
      <w:r>
        <w:rPr>
          <w:rFonts w:hint="eastAsia" w:ascii="宋体" w:hAnsi="宋体"/>
        </w:rPr>
        <w:t>（二）不得为发包人及其人员报销应由发包人或个人支付的费用。</w:t>
      </w:r>
    </w:p>
    <w:p w14:paraId="45184B4B">
      <w:pPr>
        <w:ind w:firstLine="480" w:firstLineChars="200"/>
        <w:rPr>
          <w:rFonts w:ascii="宋体" w:hAnsi="宋体"/>
        </w:rPr>
      </w:pPr>
      <w:r>
        <w:rPr>
          <w:rFonts w:hint="eastAsia" w:ascii="宋体" w:hAnsi="宋体"/>
        </w:rPr>
        <w:t>（三）不得为发包人人员投资入股、个人借款或买卖股票、债券等提供方便。</w:t>
      </w:r>
    </w:p>
    <w:p w14:paraId="0E7A1981">
      <w:pPr>
        <w:ind w:firstLine="480" w:firstLineChars="200"/>
        <w:rPr>
          <w:rFonts w:ascii="宋体" w:hAnsi="宋体"/>
        </w:rPr>
      </w:pPr>
      <w:r>
        <w:rPr>
          <w:rFonts w:hint="eastAsia" w:ascii="宋体" w:hAnsi="宋体"/>
        </w:rPr>
        <w:t>（四）不得为发包人人员购买或装修住房、婚丧嫁娶、配偶子女上学或工作安排以及出国（境）、旅游等提供方便。</w:t>
      </w:r>
    </w:p>
    <w:p w14:paraId="11994653">
      <w:pPr>
        <w:ind w:firstLine="480" w:firstLineChars="200"/>
        <w:rPr>
          <w:rFonts w:ascii="宋体" w:hAnsi="宋体"/>
        </w:rPr>
      </w:pPr>
      <w:r>
        <w:rPr>
          <w:rFonts w:hint="eastAsia" w:ascii="宋体" w:hAnsi="宋体"/>
        </w:rPr>
        <w:t>（五）不得为发包人人员安排有可能影响公平交易的宴请、健身、娱乐等活动。</w:t>
      </w:r>
    </w:p>
    <w:p w14:paraId="1E998884">
      <w:pPr>
        <w:ind w:firstLine="480" w:firstLineChars="200"/>
        <w:rPr>
          <w:rFonts w:ascii="宋体" w:hAnsi="宋体"/>
        </w:rPr>
      </w:pPr>
      <w:r>
        <w:rPr>
          <w:rFonts w:hint="eastAsia" w:ascii="宋体" w:hAnsi="宋体"/>
        </w:rPr>
        <w:t>（六）不得为发包人及其人员购置或以明显低于市场价值提供通讯工具、交通工具和高档办公用品。</w:t>
      </w:r>
    </w:p>
    <w:p w14:paraId="582E2E4F">
      <w:pPr>
        <w:ind w:firstLine="480" w:firstLineChars="200"/>
        <w:rPr>
          <w:rFonts w:ascii="宋体" w:hAnsi="宋体"/>
        </w:rPr>
      </w:pPr>
      <w:r>
        <w:rPr>
          <w:rFonts w:hint="eastAsia" w:ascii="宋体" w:hAnsi="宋体"/>
        </w:rPr>
        <w:t>（七）不得为发包人工作人员的配偶、子女及其他特定关系人谋取不正当利益提供方便。</w:t>
      </w:r>
    </w:p>
    <w:p w14:paraId="59969380">
      <w:pPr>
        <w:ind w:firstLine="480" w:firstLineChars="200"/>
        <w:rPr>
          <w:rFonts w:ascii="宋体" w:hAnsi="宋体"/>
        </w:rPr>
      </w:pPr>
      <w:r>
        <w:rPr>
          <w:rFonts w:hint="eastAsia" w:ascii="宋体" w:hAnsi="宋体"/>
        </w:rPr>
        <w:t>（八）不得违反规定安排发包人人员在承包人或承包人相关企业兼职和领取兼职工资及报酬；不得向发包人人员打探涉及发包人的商业秘密。</w:t>
      </w:r>
    </w:p>
    <w:p w14:paraId="253A7721">
      <w:pPr>
        <w:ind w:firstLine="480" w:firstLineChars="200"/>
        <w:rPr>
          <w:rFonts w:ascii="宋体" w:hAnsi="宋体"/>
        </w:rPr>
      </w:pPr>
      <w:r>
        <w:rPr>
          <w:rFonts w:hint="eastAsia" w:ascii="宋体" w:hAnsi="宋体"/>
        </w:rPr>
        <w:t>（九）发包人对涉嫌不廉洁的商业行为进行调查时，承包人有配合发包人提供证据、作证的义务。</w:t>
      </w:r>
    </w:p>
    <w:p w14:paraId="7F002F8B">
      <w:pPr>
        <w:ind w:firstLine="482" w:firstLineChars="200"/>
        <w:rPr>
          <w:rFonts w:ascii="宋体" w:hAnsi="宋体"/>
        </w:rPr>
      </w:pPr>
      <w:r>
        <w:rPr>
          <w:rFonts w:hint="eastAsia" w:ascii="宋体" w:hAnsi="宋体"/>
          <w:b/>
        </w:rPr>
        <w:t>第四条</w:t>
      </w:r>
      <w:r>
        <w:rPr>
          <w:rFonts w:ascii="宋体" w:hAnsi="宋体"/>
        </w:rPr>
        <w:t xml:space="preserve">  违约责任</w:t>
      </w:r>
    </w:p>
    <w:p w14:paraId="1490FE8B">
      <w:pPr>
        <w:ind w:firstLine="480" w:firstLineChars="200"/>
        <w:rPr>
          <w:rFonts w:ascii="宋体" w:hAnsi="宋体"/>
        </w:rPr>
      </w:pPr>
      <w:r>
        <w:rPr>
          <w:rFonts w:hint="eastAsia" w:ascii="宋体" w:hAnsi="宋体"/>
        </w:rPr>
        <w:t>（一）发包人及其人员有违反本责任书第一条、第二条规定的，按照管理权限，依据有关法律法规和规定给予有关人员纪律处分或组织处理；涉嫌犯罪的，移交司法机关追究其刑事责任。</w:t>
      </w:r>
    </w:p>
    <w:p w14:paraId="4FAA0EF1">
      <w:pPr>
        <w:ind w:firstLine="480" w:firstLineChars="200"/>
        <w:rPr>
          <w:rFonts w:ascii="宋体" w:hAnsi="宋体"/>
        </w:rPr>
      </w:pPr>
      <w:r>
        <w:rPr>
          <w:rFonts w:hint="eastAsia" w:ascii="宋体" w:hAnsi="宋体"/>
        </w:rPr>
        <w:t>（二）承包人及其人员有违反本责任书第一条、第三条规定的，根据情节和后果，发包人有权要求承包人赔偿由此造成的发包人损失；涉嫌犯罪的，报请司法机关追究其刑事责任。</w:t>
      </w:r>
    </w:p>
    <w:p w14:paraId="755017F3">
      <w:pPr>
        <w:ind w:firstLine="482" w:firstLineChars="200"/>
        <w:rPr>
          <w:rFonts w:ascii="宋体" w:hAnsi="宋体"/>
        </w:rPr>
      </w:pPr>
      <w:r>
        <w:rPr>
          <w:rFonts w:hint="eastAsia" w:ascii="宋体" w:hAnsi="宋体"/>
          <w:b/>
        </w:rPr>
        <w:t>第五条</w:t>
      </w:r>
      <w:r>
        <w:rPr>
          <w:rFonts w:ascii="宋体" w:hAnsi="宋体"/>
          <w:b/>
        </w:rPr>
        <w:t xml:space="preserve"> </w:t>
      </w:r>
      <w:r>
        <w:rPr>
          <w:rFonts w:ascii="宋体" w:hAnsi="宋体"/>
        </w:rPr>
        <w:t xml:space="preserve"> 本责任书经双方签署后生效。</w:t>
      </w:r>
    </w:p>
    <w:p w14:paraId="0A3B9F73">
      <w:pPr>
        <w:ind w:firstLine="480" w:firstLineChars="200"/>
        <w:rPr>
          <w:rFonts w:ascii="宋体" w:hAnsi="宋体"/>
        </w:rPr>
      </w:pPr>
      <w:r>
        <w:rPr>
          <w:rFonts w:hint="eastAsia" w:ascii="宋体" w:hAnsi="宋体"/>
        </w:rPr>
        <w:t>发包人和承包人签订交易合同的，本责任书作为交易合同附件，与交易合同具有同等法律效力；未签订交易合同的，本责任书独立有效。</w:t>
      </w:r>
    </w:p>
    <w:p w14:paraId="3A92AB6C">
      <w:pPr>
        <w:ind w:firstLine="482" w:firstLineChars="200"/>
        <w:rPr>
          <w:rFonts w:ascii="宋体" w:hAnsi="宋体"/>
        </w:rPr>
      </w:pPr>
      <w:r>
        <w:rPr>
          <w:rFonts w:hint="eastAsia" w:ascii="宋体" w:hAnsi="宋体"/>
          <w:b/>
        </w:rPr>
        <w:t>第六条</w:t>
      </w:r>
      <w:r>
        <w:rPr>
          <w:rFonts w:ascii="宋体" w:hAnsi="宋体"/>
        </w:rPr>
        <w:t xml:space="preserve">  发包人和承包人及其人员在交易活动完成后，发生或发现违反本责任书规定的行为，按本责任书约定处理。</w:t>
      </w:r>
    </w:p>
    <w:p w14:paraId="11EBDF4B">
      <w:pPr>
        <w:ind w:firstLine="482" w:firstLineChars="200"/>
        <w:rPr>
          <w:rFonts w:ascii="宋体" w:hAnsi="宋体"/>
        </w:rPr>
      </w:pPr>
      <w:r>
        <w:rPr>
          <w:rFonts w:hint="eastAsia" w:ascii="宋体" w:hAnsi="宋体"/>
          <w:b/>
        </w:rPr>
        <w:t>第七条</w:t>
      </w:r>
      <w:r>
        <w:rPr>
          <w:rFonts w:ascii="宋体" w:hAnsi="宋体"/>
        </w:rPr>
        <w:t xml:space="preserve">  本责任书一式两份，发包人和承包人双方各执一份，具有同等法律效力。</w:t>
      </w:r>
    </w:p>
    <w:p w14:paraId="3FCA57FF">
      <w:pPr>
        <w:rPr>
          <w:rFonts w:ascii="仿宋_GB2312" w:eastAsia="仿宋_GB2312"/>
          <w:sz w:val="32"/>
          <w:szCs w:val="32"/>
        </w:rPr>
      </w:pPr>
    </w:p>
    <w:p w14:paraId="60D3F9DB">
      <w:pPr>
        <w:rPr>
          <w:rFonts w:ascii="仿宋_GB2312" w:eastAsia="仿宋_GB2312"/>
          <w:sz w:val="32"/>
          <w:szCs w:val="32"/>
        </w:rPr>
      </w:pPr>
    </w:p>
    <w:tbl>
      <w:tblPr>
        <w:tblStyle w:val="63"/>
        <w:tblW w:w="0" w:type="auto"/>
        <w:tblInd w:w="0" w:type="dxa"/>
        <w:tblLayout w:type="fixed"/>
        <w:tblCellMar>
          <w:top w:w="0" w:type="dxa"/>
          <w:left w:w="108" w:type="dxa"/>
          <w:bottom w:w="0" w:type="dxa"/>
          <w:right w:w="108" w:type="dxa"/>
        </w:tblCellMar>
      </w:tblPr>
      <w:tblGrid>
        <w:gridCol w:w="4261"/>
        <w:gridCol w:w="4261"/>
      </w:tblGrid>
      <w:tr w14:paraId="3C813AA1">
        <w:tblPrEx>
          <w:tblCellMar>
            <w:top w:w="0" w:type="dxa"/>
            <w:left w:w="108" w:type="dxa"/>
            <w:bottom w:w="0" w:type="dxa"/>
            <w:right w:w="108" w:type="dxa"/>
          </w:tblCellMar>
        </w:tblPrEx>
        <w:tc>
          <w:tcPr>
            <w:tcW w:w="4261" w:type="dxa"/>
          </w:tcPr>
          <w:p w14:paraId="1F621367">
            <w:pPr>
              <w:rPr>
                <w:rFonts w:ascii="宋体" w:hAnsi="宋体"/>
              </w:rPr>
            </w:pPr>
            <w:r>
              <w:rPr>
                <w:rFonts w:hint="eastAsia" w:ascii="宋体" w:hAnsi="宋体"/>
              </w:rPr>
              <w:t>发包人：</w:t>
            </w:r>
            <w:r>
              <w:rPr>
                <w:rFonts w:ascii="宋体" w:hAnsi="宋体"/>
              </w:rPr>
              <w:t xml:space="preserve">(盖章)  </w:t>
            </w:r>
          </w:p>
          <w:p w14:paraId="6370546C">
            <w:pPr>
              <w:keepNext/>
              <w:keepLines/>
              <w:spacing w:before="240" w:after="240"/>
              <w:outlineLvl w:val="2"/>
              <w:rPr>
                <w:rFonts w:ascii="宋体" w:hAnsi="宋体"/>
              </w:rPr>
            </w:pPr>
          </w:p>
          <w:p w14:paraId="0066233D">
            <w:pPr>
              <w:keepNext/>
              <w:keepLines/>
              <w:spacing w:before="240" w:after="240"/>
              <w:outlineLvl w:val="2"/>
              <w:rPr>
                <w:rFonts w:ascii="宋体" w:hAnsi="宋体"/>
              </w:rPr>
            </w:pPr>
          </w:p>
        </w:tc>
        <w:tc>
          <w:tcPr>
            <w:tcW w:w="4261" w:type="dxa"/>
          </w:tcPr>
          <w:p w14:paraId="273E21CB">
            <w:pPr>
              <w:rPr>
                <w:rFonts w:ascii="宋体" w:hAnsi="宋体"/>
              </w:rPr>
            </w:pPr>
            <w:r>
              <w:rPr>
                <w:rFonts w:hint="eastAsia" w:ascii="宋体" w:hAnsi="宋体"/>
              </w:rPr>
              <w:t>承包人：</w:t>
            </w:r>
            <w:r>
              <w:rPr>
                <w:rFonts w:ascii="宋体" w:hAnsi="宋体"/>
              </w:rPr>
              <w:t>(盖章)</w:t>
            </w:r>
          </w:p>
          <w:p w14:paraId="4BCDAE10">
            <w:pPr>
              <w:keepNext/>
              <w:keepLines/>
              <w:spacing w:before="240" w:after="240"/>
              <w:outlineLvl w:val="2"/>
              <w:rPr>
                <w:rFonts w:ascii="宋体" w:hAnsi="宋体"/>
              </w:rPr>
            </w:pPr>
          </w:p>
        </w:tc>
      </w:tr>
      <w:tr w14:paraId="7A901836">
        <w:tblPrEx>
          <w:tblCellMar>
            <w:top w:w="0" w:type="dxa"/>
            <w:left w:w="108" w:type="dxa"/>
            <w:bottom w:w="0" w:type="dxa"/>
            <w:right w:w="108" w:type="dxa"/>
          </w:tblCellMar>
        </w:tblPrEx>
        <w:tc>
          <w:tcPr>
            <w:tcW w:w="4261" w:type="dxa"/>
          </w:tcPr>
          <w:p w14:paraId="00B7C9D8">
            <w:pPr>
              <w:rPr>
                <w:rFonts w:ascii="宋体" w:hAnsi="宋体"/>
              </w:rPr>
            </w:pPr>
            <w:r>
              <w:rPr>
                <w:rFonts w:hint="eastAsia" w:ascii="宋体" w:hAnsi="宋体"/>
              </w:rPr>
              <w:t>法定代表人或</w:t>
            </w:r>
          </w:p>
          <w:p w14:paraId="4491384E">
            <w:pPr>
              <w:rPr>
                <w:rFonts w:ascii="宋体" w:hAnsi="宋体"/>
              </w:rPr>
            </w:pPr>
            <w:r>
              <w:rPr>
                <w:rFonts w:hint="eastAsia" w:ascii="宋体" w:hAnsi="宋体"/>
              </w:rPr>
              <w:t>委托代理人（签章）：</w:t>
            </w:r>
          </w:p>
          <w:p w14:paraId="45C50FCF">
            <w:pPr>
              <w:keepNext/>
              <w:keepLines/>
              <w:spacing w:before="240" w:after="240"/>
              <w:outlineLvl w:val="2"/>
              <w:rPr>
                <w:rFonts w:ascii="宋体" w:hAnsi="宋体"/>
              </w:rPr>
            </w:pPr>
          </w:p>
        </w:tc>
        <w:tc>
          <w:tcPr>
            <w:tcW w:w="4261" w:type="dxa"/>
          </w:tcPr>
          <w:p w14:paraId="332A63AA">
            <w:pPr>
              <w:rPr>
                <w:rFonts w:ascii="宋体" w:hAnsi="宋体"/>
              </w:rPr>
            </w:pPr>
            <w:r>
              <w:rPr>
                <w:rFonts w:hint="eastAsia" w:ascii="宋体" w:hAnsi="宋体"/>
              </w:rPr>
              <w:t>法定代表人或</w:t>
            </w:r>
          </w:p>
          <w:p w14:paraId="3C1A1FF2">
            <w:pPr>
              <w:rPr>
                <w:rFonts w:ascii="宋体" w:hAnsi="宋体"/>
              </w:rPr>
            </w:pPr>
            <w:r>
              <w:rPr>
                <w:rFonts w:hint="eastAsia" w:ascii="宋体" w:hAnsi="宋体"/>
              </w:rPr>
              <w:t>委托代理人（签章）：</w:t>
            </w:r>
          </w:p>
          <w:p w14:paraId="5ED3D94F">
            <w:pPr>
              <w:keepNext/>
              <w:keepLines/>
              <w:spacing w:before="240" w:after="240"/>
              <w:outlineLvl w:val="2"/>
              <w:rPr>
                <w:rFonts w:ascii="宋体" w:hAnsi="宋体"/>
              </w:rPr>
            </w:pPr>
          </w:p>
        </w:tc>
      </w:tr>
      <w:tr w14:paraId="33523CC0">
        <w:tblPrEx>
          <w:tblCellMar>
            <w:top w:w="0" w:type="dxa"/>
            <w:left w:w="108" w:type="dxa"/>
            <w:bottom w:w="0" w:type="dxa"/>
            <w:right w:w="108" w:type="dxa"/>
          </w:tblCellMar>
        </w:tblPrEx>
        <w:tc>
          <w:tcPr>
            <w:tcW w:w="4261" w:type="dxa"/>
          </w:tcPr>
          <w:p w14:paraId="4C18C9CB">
            <w:pPr>
              <w:ind w:firstLine="720" w:firstLineChars="300"/>
              <w:rPr>
                <w:rFonts w:ascii="宋体" w:hAnsi="宋体"/>
              </w:rPr>
            </w:pPr>
            <w:r>
              <w:rPr>
                <w:rFonts w:hint="eastAsia" w:ascii="宋体" w:hAnsi="宋体" w:cs="Arial"/>
              </w:rPr>
              <w:t>年  月  日</w:t>
            </w:r>
          </w:p>
        </w:tc>
        <w:tc>
          <w:tcPr>
            <w:tcW w:w="4261" w:type="dxa"/>
          </w:tcPr>
          <w:p w14:paraId="46F1A9DF">
            <w:pPr>
              <w:ind w:firstLine="1440" w:firstLineChars="600"/>
              <w:rPr>
                <w:rFonts w:ascii="宋体" w:hAnsi="宋体"/>
              </w:rPr>
            </w:pPr>
            <w:r>
              <w:rPr>
                <w:rFonts w:hint="eastAsia" w:ascii="宋体" w:hAnsi="宋体" w:cs="Arial"/>
              </w:rPr>
              <w:t>年  月  日</w:t>
            </w:r>
          </w:p>
        </w:tc>
      </w:tr>
    </w:tbl>
    <w:p w14:paraId="6F097D20">
      <w:pPr>
        <w:adjustRightInd w:val="0"/>
        <w:snapToGrid w:val="0"/>
        <w:spacing w:after="200" w:line="220" w:lineRule="atLeast"/>
        <w:jc w:val="left"/>
        <w:rPr>
          <w:rFonts w:ascii="Tahoma" w:hAnsi="Tahoma" w:eastAsia="微软雅黑"/>
          <w:kern w:val="0"/>
          <w:sz w:val="22"/>
          <w:szCs w:val="22"/>
        </w:rPr>
      </w:pPr>
    </w:p>
    <w:p w14:paraId="04097DEE">
      <w:pPr>
        <w:rPr>
          <w:rFonts w:ascii="仿宋_GB2312" w:eastAsia="仿宋_GB2312"/>
          <w:sz w:val="32"/>
          <w:szCs w:val="32"/>
        </w:rPr>
      </w:pPr>
    </w:p>
    <w:p w14:paraId="781FFD7B">
      <w:pPr>
        <w:jc w:val="left"/>
        <w:rPr>
          <w:rFonts w:ascii="宋体" w:hAnsi="宋体" w:cs="Arial"/>
        </w:rPr>
      </w:pPr>
      <w:bookmarkStart w:id="932" w:name="_Toc433293272"/>
      <w:bookmarkStart w:id="933" w:name="_Toc439160062"/>
      <w:r>
        <w:rPr>
          <w:rFonts w:ascii="宋体" w:hAnsi="宋体" w:cs="Arial"/>
        </w:rPr>
        <w:br w:type="page"/>
      </w:r>
    </w:p>
    <w:p w14:paraId="4A9FBCD1">
      <w:pPr>
        <w:outlineLvl w:val="1"/>
        <w:rPr>
          <w:rFonts w:ascii="宋体" w:hAnsi="宋体" w:cs="Arial"/>
        </w:rPr>
      </w:pPr>
      <w:bookmarkStart w:id="934" w:name="_Toc14863"/>
      <w:r>
        <w:rPr>
          <w:rFonts w:hint="eastAsia" w:ascii="宋体" w:hAnsi="宋体" w:cs="Arial"/>
        </w:rPr>
        <w:t>附件</w:t>
      </w:r>
      <w:r>
        <w:rPr>
          <w:rFonts w:ascii="宋体" w:hAnsi="宋体" w:cs="Arial"/>
        </w:rPr>
        <w:t>8：保密协议</w:t>
      </w:r>
      <w:bookmarkEnd w:id="932"/>
      <w:bookmarkEnd w:id="933"/>
      <w:bookmarkEnd w:id="934"/>
    </w:p>
    <w:p w14:paraId="193D3180">
      <w:pPr>
        <w:spacing w:after="360" w:afterLines="150"/>
        <w:jc w:val="center"/>
        <w:rPr>
          <w:rFonts w:ascii="宋体" w:hAnsi="宋体" w:cs="Arial"/>
          <w:b/>
          <w:sz w:val="30"/>
          <w:szCs w:val="30"/>
        </w:rPr>
      </w:pPr>
      <w:r>
        <w:rPr>
          <w:rFonts w:hint="eastAsia" w:ascii="宋体" w:hAnsi="宋体" w:cs="Arial"/>
          <w:b/>
          <w:sz w:val="30"/>
          <w:szCs w:val="30"/>
        </w:rPr>
        <w:t>保密协议</w:t>
      </w:r>
    </w:p>
    <w:p w14:paraId="43EB3976">
      <w:pPr>
        <w:tabs>
          <w:tab w:val="left" w:pos="4860"/>
          <w:tab w:val="left" w:pos="5580"/>
        </w:tabs>
        <w:snapToGrid w:val="0"/>
        <w:ind w:right="36" w:rightChars="15"/>
        <w:rPr>
          <w:rFonts w:ascii="宋体" w:hAnsi="宋体" w:cs="Arial"/>
          <w:u w:val="single"/>
        </w:rPr>
      </w:pPr>
      <w:r>
        <w:rPr>
          <w:rFonts w:hint="eastAsia" w:ascii="宋体" w:hAnsi="宋体" w:cs="Arial"/>
        </w:rPr>
        <w:t>发包人（全称）：</w:t>
      </w:r>
      <w:r>
        <w:rPr>
          <w:rFonts w:hint="eastAsia" w:ascii="宋体" w:hAnsi="宋体" w:cs="Arial"/>
          <w:u w:val="single"/>
        </w:rPr>
        <w:t xml:space="preserve">广东中粤通油品经营有限公司        </w:t>
      </w:r>
    </w:p>
    <w:p w14:paraId="230D8D3D">
      <w:pPr>
        <w:autoSpaceDE w:val="0"/>
        <w:autoSpaceDN w:val="0"/>
        <w:snapToGrid w:val="0"/>
        <w:rPr>
          <w:rFonts w:ascii="宋体" w:hAnsi="宋体"/>
          <w:b/>
          <w:kern w:val="0"/>
          <w:lang w:val="en-GB"/>
        </w:rPr>
      </w:pPr>
      <w:r>
        <w:rPr>
          <w:rFonts w:hint="eastAsia" w:ascii="宋体" w:hAnsi="宋体" w:cs="Arial"/>
        </w:rPr>
        <w:t>承包人（全称）：</w:t>
      </w:r>
    </w:p>
    <w:p w14:paraId="5A973818">
      <w:pPr>
        <w:autoSpaceDE w:val="0"/>
        <w:autoSpaceDN w:val="0"/>
        <w:snapToGrid w:val="0"/>
        <w:ind w:firstLine="482" w:firstLineChars="200"/>
        <w:rPr>
          <w:rFonts w:ascii="宋体" w:hAnsi="宋体"/>
          <w:b/>
          <w:kern w:val="0"/>
          <w:lang w:val="en-GB"/>
        </w:rPr>
      </w:pPr>
      <w:r>
        <w:rPr>
          <w:rFonts w:hint="eastAsia" w:ascii="宋体" w:hAnsi="宋体"/>
          <w:b/>
          <w:kern w:val="0"/>
          <w:lang w:val="en-GB"/>
        </w:rPr>
        <w:t>鉴于：</w:t>
      </w:r>
    </w:p>
    <w:p w14:paraId="360C0477">
      <w:pPr>
        <w:autoSpaceDE w:val="0"/>
        <w:autoSpaceDN w:val="0"/>
        <w:snapToGrid w:val="0"/>
        <w:ind w:left="1" w:firstLine="480" w:firstLineChars="200"/>
        <w:rPr>
          <w:rFonts w:ascii="宋体" w:hAnsi="宋体"/>
          <w:bCs/>
          <w:kern w:val="0"/>
          <w:highlight w:val="none"/>
          <w:lang w:val="en-GB"/>
        </w:rPr>
      </w:pPr>
      <w:r>
        <w:rPr>
          <w:rFonts w:hint="eastAsia" w:ascii="宋体" w:hAnsi="宋体"/>
          <w:bCs/>
          <w:kern w:val="0"/>
          <w:lang w:val="en-GB"/>
        </w:rPr>
        <w:t>发包人和承包人</w:t>
      </w:r>
      <w:r>
        <w:rPr>
          <w:rFonts w:ascii="宋体" w:hAnsi="宋体"/>
          <w:bCs/>
          <w:kern w:val="0"/>
          <w:lang w:val="en-GB"/>
        </w:rPr>
        <w:t>双方均有</w:t>
      </w:r>
      <w:r>
        <w:rPr>
          <w:rFonts w:hint="eastAsia" w:ascii="宋体" w:hAnsi="宋体"/>
          <w:bCs/>
          <w:kern w:val="0"/>
          <w:lang w:val="en-GB"/>
        </w:rPr>
        <w:t>意</w:t>
      </w:r>
      <w:r>
        <w:rPr>
          <w:rFonts w:ascii="宋体" w:hAnsi="宋体"/>
          <w:bCs/>
          <w:kern w:val="0"/>
          <w:lang w:val="en-GB"/>
        </w:rPr>
        <w:t>就</w:t>
      </w:r>
      <w:r>
        <w:rPr>
          <w:rFonts w:hint="eastAsia" w:ascii="宋体" w:hAnsi="宋体"/>
          <w:kern w:val="0"/>
          <w:u w:val="single"/>
          <w:lang w:val="en-GB"/>
        </w:rPr>
        <w:t>广澳高速中山服务区西区加</w:t>
      </w:r>
      <w:r>
        <w:rPr>
          <w:rFonts w:hint="eastAsia" w:ascii="宋体" w:hAnsi="宋体"/>
          <w:kern w:val="0"/>
          <w:highlight w:val="none"/>
          <w:u w:val="single"/>
          <w:lang w:val="en-GB"/>
        </w:rPr>
        <w:t>油站重建项目土建工程</w:t>
      </w:r>
      <w:r>
        <w:rPr>
          <w:rFonts w:ascii="宋体" w:hAnsi="宋体"/>
          <w:bCs/>
          <w:kern w:val="0"/>
          <w:highlight w:val="none"/>
          <w:lang w:val="en-GB"/>
        </w:rPr>
        <w:t>（以下简称“项目”）探讨合作机会，在此期间发包人将向</w:t>
      </w:r>
      <w:r>
        <w:rPr>
          <w:rFonts w:hint="eastAsia" w:ascii="宋体" w:hAnsi="宋体"/>
          <w:bCs/>
          <w:kern w:val="0"/>
          <w:highlight w:val="none"/>
          <w:lang w:val="en-GB"/>
        </w:rPr>
        <w:t>承包人</w:t>
      </w:r>
      <w:r>
        <w:rPr>
          <w:rFonts w:ascii="宋体" w:hAnsi="宋体"/>
          <w:bCs/>
          <w:kern w:val="0"/>
          <w:highlight w:val="none"/>
          <w:lang w:val="en-GB"/>
        </w:rPr>
        <w:t>披露其保密信息</w:t>
      </w:r>
      <w:r>
        <w:rPr>
          <w:rFonts w:hint="eastAsia" w:ascii="宋体" w:hAnsi="宋体"/>
          <w:bCs/>
          <w:kern w:val="0"/>
          <w:highlight w:val="none"/>
          <w:lang w:val="en-GB"/>
        </w:rPr>
        <w:t>，</w:t>
      </w:r>
      <w:r>
        <w:rPr>
          <w:rFonts w:ascii="宋体" w:hAnsi="宋体"/>
          <w:bCs/>
          <w:kern w:val="0"/>
          <w:highlight w:val="none"/>
          <w:lang w:val="en-GB"/>
        </w:rPr>
        <w:t>以及双方在合作过程中</w:t>
      </w:r>
      <w:r>
        <w:rPr>
          <w:rFonts w:hint="eastAsia" w:ascii="宋体" w:hAnsi="宋体"/>
          <w:bCs/>
          <w:kern w:val="0"/>
          <w:highlight w:val="none"/>
          <w:lang w:val="en-GB"/>
        </w:rPr>
        <w:t>承包人</w:t>
      </w:r>
      <w:r>
        <w:rPr>
          <w:rFonts w:ascii="宋体" w:hAnsi="宋体"/>
          <w:bCs/>
          <w:kern w:val="0"/>
          <w:highlight w:val="none"/>
          <w:lang w:val="en-GB"/>
        </w:rPr>
        <w:t>已经或者将要知悉</w:t>
      </w:r>
      <w:r>
        <w:rPr>
          <w:rFonts w:hint="eastAsia" w:ascii="宋体" w:hAnsi="宋体"/>
          <w:bCs/>
          <w:kern w:val="0"/>
          <w:highlight w:val="none"/>
          <w:lang w:val="en-GB"/>
        </w:rPr>
        <w:t>发包人</w:t>
      </w:r>
      <w:r>
        <w:rPr>
          <w:rFonts w:ascii="宋体" w:hAnsi="宋体"/>
          <w:bCs/>
          <w:kern w:val="0"/>
          <w:highlight w:val="none"/>
          <w:lang w:val="en-GB"/>
        </w:rPr>
        <w:t>的保密信息，为明确发包人和承包人双方的保密义务，保护</w:t>
      </w:r>
      <w:r>
        <w:rPr>
          <w:rFonts w:hint="eastAsia" w:ascii="宋体" w:hAnsi="宋体"/>
          <w:bCs/>
          <w:kern w:val="0"/>
          <w:highlight w:val="none"/>
          <w:lang w:val="en-GB"/>
        </w:rPr>
        <w:t>发包人的</w:t>
      </w:r>
      <w:r>
        <w:rPr>
          <w:rFonts w:ascii="宋体" w:hAnsi="宋体"/>
          <w:bCs/>
          <w:kern w:val="0"/>
          <w:highlight w:val="none"/>
          <w:lang w:val="en-GB"/>
        </w:rPr>
        <w:t>商业秘密不受侵犯，经协商一致，达成如下协议：</w:t>
      </w:r>
    </w:p>
    <w:p w14:paraId="6637162A">
      <w:pPr>
        <w:ind w:left="480" w:leftChars="200"/>
        <w:rPr>
          <w:rFonts w:ascii="宋体" w:hAnsi="宋体"/>
          <w:b/>
          <w:caps/>
          <w:kern w:val="28"/>
          <w:highlight w:val="none"/>
          <w:lang w:val="en-GB"/>
        </w:rPr>
      </w:pPr>
      <w:bookmarkStart w:id="935" w:name="_Toc22482220"/>
      <w:bookmarkStart w:id="936" w:name="_Toc511143016"/>
      <w:bookmarkStart w:id="937" w:name="_Toc514167073"/>
      <w:bookmarkStart w:id="938" w:name="_Toc511126637"/>
      <w:r>
        <w:rPr>
          <w:rFonts w:hint="eastAsia" w:ascii="宋体" w:hAnsi="宋体"/>
          <w:b/>
          <w:caps/>
          <w:kern w:val="28"/>
          <w:highlight w:val="none"/>
          <w:lang w:val="en-GB"/>
        </w:rPr>
        <w:t>第一条</w:t>
      </w:r>
      <w:r>
        <w:rPr>
          <w:rFonts w:ascii="宋体" w:hAnsi="宋体"/>
          <w:b/>
          <w:caps/>
          <w:kern w:val="28"/>
          <w:highlight w:val="none"/>
          <w:lang w:val="en-GB"/>
        </w:rPr>
        <w:t xml:space="preserve">  </w:t>
      </w:r>
      <w:r>
        <w:rPr>
          <w:rFonts w:hint="eastAsia" w:ascii="宋体" w:hAnsi="宋体"/>
          <w:b/>
          <w:caps/>
          <w:kern w:val="28"/>
          <w:highlight w:val="none"/>
          <w:lang w:val="en-GB"/>
        </w:rPr>
        <w:t>保密信息的范围</w:t>
      </w:r>
      <w:bookmarkEnd w:id="935"/>
      <w:bookmarkEnd w:id="936"/>
      <w:bookmarkEnd w:id="937"/>
      <w:bookmarkEnd w:id="938"/>
    </w:p>
    <w:p w14:paraId="1D9A94E0">
      <w:pPr>
        <w:autoSpaceDE w:val="0"/>
        <w:autoSpaceDN w:val="0"/>
        <w:adjustRightInd w:val="0"/>
        <w:snapToGrid w:val="0"/>
        <w:ind w:firstLine="480" w:firstLineChars="200"/>
        <w:jc w:val="left"/>
        <w:rPr>
          <w:rFonts w:ascii="宋体" w:hAnsi="宋体"/>
          <w:bCs/>
          <w:kern w:val="0"/>
          <w:highlight w:val="none"/>
          <w:lang w:val="en-GB"/>
        </w:rPr>
      </w:pPr>
      <w:r>
        <w:rPr>
          <w:rFonts w:ascii="宋体" w:hAnsi="宋体"/>
          <w:bCs/>
          <w:kern w:val="0"/>
          <w:highlight w:val="none"/>
          <w:lang w:val="en-GB"/>
        </w:rPr>
        <w:t>1.保密信息是指由发包人通过文字、电子或数字方式或媒介向承包人提供的，在提供时明确标记有“保密”的任何经营或技术信息。口头传达并在传达同时认定为属于保密，且在口头传达后30日内以书面形式标明“保密”并传送给承包人的信息应当视为保密信息。保密信息包括但不限于：</w:t>
      </w:r>
    </w:p>
    <w:p w14:paraId="3212A429">
      <w:pPr>
        <w:autoSpaceDE w:val="0"/>
        <w:autoSpaceDN w:val="0"/>
        <w:adjustRightInd w:val="0"/>
        <w:snapToGrid w:val="0"/>
        <w:ind w:firstLine="480" w:firstLineChars="200"/>
        <w:jc w:val="left"/>
        <w:rPr>
          <w:rFonts w:ascii="宋体" w:hAnsi="宋体"/>
          <w:bCs/>
          <w:kern w:val="0"/>
          <w:lang w:val="en-GB"/>
        </w:rPr>
      </w:pPr>
      <w:r>
        <w:rPr>
          <w:rFonts w:ascii="宋体" w:hAnsi="宋体"/>
          <w:bCs/>
          <w:kern w:val="0"/>
          <w:highlight w:val="none"/>
          <w:lang w:val="en-GB"/>
        </w:rPr>
        <w:t>(1)</w:t>
      </w:r>
      <w:r>
        <w:rPr>
          <w:rFonts w:hint="eastAsia" w:ascii="宋体" w:hAnsi="宋体"/>
          <w:bCs/>
          <w:kern w:val="0"/>
          <w:highlight w:val="none"/>
          <w:u w:val="single"/>
          <w:lang w:val="en-GB"/>
        </w:rPr>
        <w:t>广澳高速中山服务区西区加油站重建项目土建工程</w:t>
      </w:r>
      <w:r>
        <w:rPr>
          <w:rFonts w:hint="eastAsia" w:ascii="宋体" w:hAnsi="宋体"/>
          <w:bCs/>
          <w:kern w:val="0"/>
          <w:highlight w:val="none"/>
          <w:lang w:val="en-GB"/>
        </w:rPr>
        <w:t>合作项目所</w:t>
      </w:r>
      <w:r>
        <w:rPr>
          <w:rFonts w:hint="eastAsia" w:ascii="宋体" w:hAnsi="宋体"/>
          <w:bCs/>
          <w:kern w:val="0"/>
          <w:lang w:val="en-GB"/>
        </w:rPr>
        <w:t>专有的技术信息；</w:t>
      </w:r>
    </w:p>
    <w:p w14:paraId="69258C25">
      <w:pPr>
        <w:autoSpaceDE w:val="0"/>
        <w:autoSpaceDN w:val="0"/>
        <w:adjustRightInd w:val="0"/>
        <w:snapToGrid w:val="0"/>
        <w:ind w:firstLine="480" w:firstLineChars="200"/>
        <w:jc w:val="left"/>
        <w:rPr>
          <w:rFonts w:ascii="宋体" w:hAnsi="宋体"/>
          <w:bCs/>
          <w:kern w:val="0"/>
          <w:lang w:val="en-GB"/>
        </w:rPr>
      </w:pPr>
      <w:r>
        <w:rPr>
          <w:rFonts w:ascii="宋体" w:hAnsi="宋体"/>
          <w:bCs/>
          <w:kern w:val="0"/>
          <w:lang w:val="en-GB"/>
        </w:rPr>
        <w:t>(2)客户或潜在客户的身份及其他相关信息、客户联系方式和客户销售策略等；</w:t>
      </w:r>
    </w:p>
    <w:p w14:paraId="3493681C">
      <w:pPr>
        <w:autoSpaceDE w:val="0"/>
        <w:autoSpaceDN w:val="0"/>
        <w:adjustRightInd w:val="0"/>
        <w:snapToGrid w:val="0"/>
        <w:ind w:firstLine="480" w:firstLineChars="200"/>
        <w:jc w:val="left"/>
        <w:rPr>
          <w:rFonts w:ascii="宋体" w:hAnsi="宋体"/>
          <w:bCs/>
          <w:kern w:val="0"/>
          <w:lang w:val="en-GB"/>
        </w:rPr>
      </w:pPr>
      <w:r>
        <w:rPr>
          <w:rFonts w:ascii="宋体" w:hAnsi="宋体"/>
          <w:bCs/>
          <w:kern w:val="0"/>
          <w:lang w:val="en-GB"/>
        </w:rPr>
        <w:t>(3)市场研究结果，市场渗透资料，及其他市场信息；</w:t>
      </w:r>
    </w:p>
    <w:p w14:paraId="5CF38DBD">
      <w:pPr>
        <w:autoSpaceDE w:val="0"/>
        <w:autoSpaceDN w:val="0"/>
        <w:adjustRightInd w:val="0"/>
        <w:snapToGrid w:val="0"/>
        <w:ind w:firstLine="480" w:firstLineChars="200"/>
        <w:jc w:val="left"/>
        <w:rPr>
          <w:rFonts w:ascii="宋体" w:hAnsi="宋体"/>
          <w:bCs/>
          <w:kern w:val="0"/>
          <w:lang w:val="en-GB"/>
        </w:rPr>
      </w:pPr>
      <w:r>
        <w:rPr>
          <w:rFonts w:ascii="宋体" w:hAnsi="宋体"/>
          <w:bCs/>
          <w:kern w:val="0"/>
          <w:lang w:val="en-GB"/>
        </w:rPr>
        <w:t>(4)销售和市场计划、规划及策略；</w:t>
      </w:r>
    </w:p>
    <w:p w14:paraId="07C9020F">
      <w:pPr>
        <w:autoSpaceDE w:val="0"/>
        <w:autoSpaceDN w:val="0"/>
        <w:adjustRightInd w:val="0"/>
        <w:snapToGrid w:val="0"/>
        <w:ind w:firstLine="480" w:firstLineChars="200"/>
        <w:jc w:val="left"/>
        <w:rPr>
          <w:rFonts w:ascii="宋体" w:hAnsi="宋体"/>
          <w:bCs/>
          <w:kern w:val="0"/>
          <w:lang w:val="en-GB"/>
        </w:rPr>
      </w:pPr>
      <w:r>
        <w:rPr>
          <w:rFonts w:ascii="宋体" w:hAnsi="宋体"/>
          <w:bCs/>
          <w:kern w:val="0"/>
          <w:lang w:val="en-GB"/>
        </w:rPr>
        <w:t>(5)销售额、成本和其他财务数据；</w:t>
      </w:r>
    </w:p>
    <w:p w14:paraId="76D0E697">
      <w:pPr>
        <w:autoSpaceDE w:val="0"/>
        <w:autoSpaceDN w:val="0"/>
        <w:adjustRightInd w:val="0"/>
        <w:snapToGrid w:val="0"/>
        <w:ind w:firstLine="480" w:firstLineChars="200"/>
        <w:jc w:val="left"/>
        <w:rPr>
          <w:rFonts w:ascii="宋体" w:hAnsi="宋体"/>
          <w:bCs/>
          <w:kern w:val="0"/>
          <w:lang w:val="en-GB"/>
        </w:rPr>
      </w:pPr>
      <w:r>
        <w:rPr>
          <w:rFonts w:ascii="宋体" w:hAnsi="宋体"/>
          <w:bCs/>
          <w:kern w:val="0"/>
          <w:lang w:val="en-GB"/>
        </w:rPr>
        <w:t>(6)经营秘密、技术秘密、设计及专有的经营和技术信息，与本协议所涉及产品及其零部件的制造、装配、设计或加工等有关的方法、经验、程序、步骤和配方；</w:t>
      </w:r>
    </w:p>
    <w:p w14:paraId="012D9615">
      <w:pPr>
        <w:autoSpaceDE w:val="0"/>
        <w:autoSpaceDN w:val="0"/>
        <w:adjustRightInd w:val="0"/>
        <w:snapToGrid w:val="0"/>
        <w:ind w:firstLine="480" w:firstLineChars="200"/>
        <w:jc w:val="left"/>
        <w:rPr>
          <w:rFonts w:ascii="宋体" w:hAnsi="宋体"/>
          <w:bCs/>
          <w:kern w:val="0"/>
          <w:lang w:val="en-GB"/>
        </w:rPr>
      </w:pPr>
      <w:r>
        <w:rPr>
          <w:rFonts w:ascii="宋体" w:hAnsi="宋体"/>
          <w:bCs/>
          <w:kern w:val="0"/>
          <w:lang w:val="en-GB"/>
        </w:rPr>
        <w:t>(7)产品、零件及服务的供应源；</w:t>
      </w:r>
    </w:p>
    <w:p w14:paraId="1E3B8DD6">
      <w:pPr>
        <w:autoSpaceDE w:val="0"/>
        <w:autoSpaceDN w:val="0"/>
        <w:adjustRightInd w:val="0"/>
        <w:snapToGrid w:val="0"/>
        <w:ind w:firstLine="480" w:firstLineChars="200"/>
        <w:jc w:val="left"/>
        <w:rPr>
          <w:rFonts w:ascii="宋体" w:hAnsi="宋体"/>
          <w:bCs/>
          <w:kern w:val="0"/>
          <w:lang w:val="en-GB"/>
        </w:rPr>
      </w:pPr>
      <w:r>
        <w:rPr>
          <w:rFonts w:ascii="宋体" w:hAnsi="宋体"/>
          <w:bCs/>
          <w:kern w:val="0"/>
          <w:lang w:val="en-GB"/>
        </w:rPr>
        <w:t>(8)组成数据；</w:t>
      </w:r>
    </w:p>
    <w:p w14:paraId="7CA9A3F4">
      <w:pPr>
        <w:autoSpaceDE w:val="0"/>
        <w:autoSpaceDN w:val="0"/>
        <w:adjustRightInd w:val="0"/>
        <w:snapToGrid w:val="0"/>
        <w:ind w:firstLine="480" w:firstLineChars="200"/>
        <w:jc w:val="left"/>
        <w:rPr>
          <w:rFonts w:ascii="宋体" w:hAnsi="宋体"/>
          <w:bCs/>
          <w:kern w:val="0"/>
          <w:lang w:val="en-GB"/>
        </w:rPr>
      </w:pPr>
      <w:r>
        <w:rPr>
          <w:rFonts w:ascii="宋体" w:hAnsi="宋体"/>
          <w:bCs/>
          <w:kern w:val="0"/>
          <w:lang w:val="en-GB"/>
        </w:rPr>
        <w:t>(9)任何其他秘密工艺、配方或方法。</w:t>
      </w:r>
    </w:p>
    <w:p w14:paraId="0695BCD5">
      <w:pPr>
        <w:autoSpaceDE w:val="0"/>
        <w:autoSpaceDN w:val="0"/>
        <w:adjustRightInd w:val="0"/>
        <w:snapToGrid w:val="0"/>
        <w:spacing w:before="120" w:beforeLines="50" w:after="120" w:afterLines="50"/>
        <w:ind w:firstLine="480" w:firstLineChars="200"/>
        <w:jc w:val="left"/>
        <w:rPr>
          <w:rFonts w:ascii="宋体" w:hAnsi="宋体"/>
          <w:bCs/>
          <w:kern w:val="0"/>
          <w:lang w:val="en-GB"/>
        </w:rPr>
      </w:pPr>
      <w:r>
        <w:rPr>
          <w:rFonts w:hint="eastAsia" w:ascii="宋体" w:hAnsi="宋体"/>
          <w:bCs/>
          <w:kern w:val="0"/>
          <w:lang w:val="en-GB"/>
        </w:rPr>
        <w:t>就本协议而言，发包人包括其分支机构、子公司、关联公司、代理人、董事及雇员。</w:t>
      </w:r>
    </w:p>
    <w:p w14:paraId="09CDD4AD">
      <w:pPr>
        <w:autoSpaceDE w:val="0"/>
        <w:autoSpaceDN w:val="0"/>
        <w:snapToGrid w:val="0"/>
        <w:spacing w:before="60" w:beforeLines="25" w:after="60" w:afterLines="25"/>
        <w:ind w:left="693" w:leftChars="232" w:hanging="136" w:hangingChars="57"/>
        <w:rPr>
          <w:rFonts w:ascii="宋体" w:hAnsi="宋体"/>
          <w:kern w:val="0"/>
          <w:lang w:val="en-GB"/>
        </w:rPr>
      </w:pPr>
      <w:r>
        <w:rPr>
          <w:rFonts w:ascii="宋体" w:hAnsi="宋体"/>
          <w:kern w:val="0"/>
          <w:lang w:val="en-GB"/>
        </w:rPr>
        <w:t>2.保密信息不包括以下信息：</w:t>
      </w:r>
    </w:p>
    <w:p w14:paraId="20090F19">
      <w:pPr>
        <w:autoSpaceDE w:val="0"/>
        <w:autoSpaceDN w:val="0"/>
        <w:snapToGrid w:val="0"/>
        <w:ind w:left="2" w:firstLine="475" w:firstLineChars="198"/>
        <w:rPr>
          <w:rFonts w:ascii="宋体" w:hAnsi="宋体"/>
          <w:kern w:val="0"/>
          <w:lang w:val="en-GB"/>
        </w:rPr>
      </w:pPr>
      <w:r>
        <w:rPr>
          <w:rFonts w:ascii="宋体" w:hAnsi="宋体"/>
          <w:kern w:val="0"/>
          <w:lang w:val="en-GB"/>
        </w:rPr>
        <w:t>(1)承包人已经独立开发的及未曾违反任何法律、法规或发包人的任何权利的信息，并且该等信息是在承包人依照本协议条款从发包人获悉该等信息之前独立开发的；</w:t>
      </w:r>
    </w:p>
    <w:p w14:paraId="31C31ED2">
      <w:pPr>
        <w:autoSpaceDE w:val="0"/>
        <w:autoSpaceDN w:val="0"/>
        <w:snapToGrid w:val="0"/>
        <w:ind w:firstLine="480" w:firstLineChars="200"/>
        <w:rPr>
          <w:rFonts w:ascii="宋体" w:hAnsi="宋体"/>
          <w:kern w:val="0"/>
          <w:lang w:val="en-GB"/>
        </w:rPr>
      </w:pPr>
      <w:r>
        <w:rPr>
          <w:rFonts w:ascii="宋体" w:hAnsi="宋体"/>
          <w:kern w:val="0"/>
          <w:lang w:val="en-GB"/>
        </w:rPr>
        <w:t>(2)承包人在依照本协议条款从发包人获悉之前已经占有的信息，并且就承包人所知承包人并不需要对该等信息承担任何具有约束力的保密义务；或</w:t>
      </w:r>
    </w:p>
    <w:p w14:paraId="13A4D674">
      <w:pPr>
        <w:autoSpaceDE w:val="0"/>
        <w:autoSpaceDN w:val="0"/>
        <w:snapToGrid w:val="0"/>
        <w:ind w:firstLine="480" w:firstLineChars="200"/>
        <w:rPr>
          <w:rFonts w:ascii="宋体" w:hAnsi="宋体"/>
          <w:kern w:val="0"/>
          <w:lang w:val="en-GB"/>
        </w:rPr>
      </w:pPr>
      <w:r>
        <w:rPr>
          <w:rFonts w:ascii="宋体" w:hAnsi="宋体"/>
          <w:kern w:val="0"/>
          <w:lang w:val="en-GB"/>
        </w:rPr>
        <w:t>(3)在双方签订本协议以后并非由于承包人的过错而被公众所知的信息；</w:t>
      </w:r>
    </w:p>
    <w:p w14:paraId="7AD4F002">
      <w:pPr>
        <w:autoSpaceDE w:val="0"/>
        <w:autoSpaceDN w:val="0"/>
        <w:snapToGrid w:val="0"/>
        <w:ind w:firstLine="480" w:firstLineChars="200"/>
        <w:rPr>
          <w:rFonts w:ascii="宋体" w:hAnsi="宋体"/>
          <w:kern w:val="0"/>
          <w:lang w:val="en-GB"/>
        </w:rPr>
      </w:pPr>
      <w:r>
        <w:rPr>
          <w:rFonts w:ascii="宋体" w:hAnsi="宋体"/>
          <w:kern w:val="0"/>
          <w:lang w:val="en-GB"/>
        </w:rPr>
        <w:t>(4)承包人在未违反其对发包人承担的任何义务的情况下从第三方获得的信息。</w:t>
      </w:r>
    </w:p>
    <w:p w14:paraId="0FCE3AF3">
      <w:pPr>
        <w:ind w:left="480" w:leftChars="200"/>
        <w:rPr>
          <w:rFonts w:ascii="宋体" w:hAnsi="宋体"/>
          <w:b/>
          <w:caps/>
          <w:kern w:val="28"/>
          <w:lang w:val="en-GB"/>
        </w:rPr>
      </w:pPr>
      <w:bookmarkStart w:id="939" w:name="_Toc511126638"/>
      <w:bookmarkStart w:id="940" w:name="_Toc514167074"/>
      <w:bookmarkStart w:id="941" w:name="_Toc511143017"/>
      <w:bookmarkStart w:id="942" w:name="_Toc22482221"/>
      <w:r>
        <w:rPr>
          <w:rFonts w:hint="eastAsia" w:ascii="宋体" w:hAnsi="宋体"/>
          <w:b/>
          <w:caps/>
          <w:kern w:val="28"/>
          <w:lang w:val="en-GB"/>
        </w:rPr>
        <w:t>第二条</w:t>
      </w:r>
      <w:r>
        <w:rPr>
          <w:rFonts w:ascii="宋体" w:hAnsi="宋体"/>
          <w:b/>
          <w:caps/>
          <w:kern w:val="28"/>
          <w:lang w:val="en-GB"/>
        </w:rPr>
        <w:t xml:space="preserve">  </w:t>
      </w:r>
      <w:r>
        <w:rPr>
          <w:rFonts w:hint="eastAsia" w:ascii="宋体" w:hAnsi="宋体"/>
          <w:b/>
          <w:caps/>
          <w:kern w:val="28"/>
          <w:lang w:val="en-GB"/>
        </w:rPr>
        <w:t>保密信息的使用</w:t>
      </w:r>
      <w:bookmarkEnd w:id="939"/>
      <w:bookmarkEnd w:id="940"/>
      <w:bookmarkEnd w:id="941"/>
      <w:bookmarkEnd w:id="942"/>
    </w:p>
    <w:p w14:paraId="003CE67F">
      <w:pPr>
        <w:autoSpaceDE w:val="0"/>
        <w:autoSpaceDN w:val="0"/>
        <w:snapToGrid w:val="0"/>
        <w:ind w:firstLine="480" w:firstLineChars="200"/>
        <w:rPr>
          <w:rFonts w:ascii="宋体" w:hAnsi="宋体"/>
          <w:bCs/>
          <w:kern w:val="0"/>
          <w:lang w:val="en-GB"/>
        </w:rPr>
      </w:pPr>
      <w:r>
        <w:rPr>
          <w:rFonts w:ascii="宋体" w:hAnsi="宋体"/>
          <w:bCs/>
          <w:kern w:val="0"/>
          <w:lang w:val="en-GB"/>
        </w:rPr>
        <w:t>1.承包人应使所有保密信息得到最严格的保密，并且除(1)</w:t>
      </w:r>
      <w:r>
        <w:rPr>
          <w:rFonts w:hint="eastAsia" w:ascii="宋体" w:hAnsi="宋体"/>
          <w:bCs/>
          <w:kern w:val="0"/>
          <w:lang w:val="en-GB"/>
        </w:rPr>
        <w:t>为促进项目发展，或</w:t>
      </w:r>
      <w:r>
        <w:rPr>
          <w:rFonts w:ascii="宋体" w:hAnsi="宋体"/>
          <w:bCs/>
          <w:kern w:val="0"/>
          <w:lang w:val="en-GB"/>
        </w:rPr>
        <w:t>(2)</w:t>
      </w:r>
      <w:r>
        <w:rPr>
          <w:rFonts w:hint="eastAsia" w:ascii="宋体" w:hAnsi="宋体"/>
          <w:bCs/>
          <w:kern w:val="0"/>
          <w:lang w:val="en-GB"/>
        </w:rPr>
        <w:t>本协议允许的用途外，不得使用该等保密信息。</w:t>
      </w:r>
    </w:p>
    <w:p w14:paraId="5309C4D1">
      <w:pPr>
        <w:autoSpaceDE w:val="0"/>
        <w:autoSpaceDN w:val="0"/>
        <w:snapToGrid w:val="0"/>
        <w:ind w:firstLine="480" w:firstLineChars="200"/>
        <w:rPr>
          <w:rFonts w:ascii="宋体" w:hAnsi="宋体"/>
          <w:kern w:val="0"/>
          <w:lang w:val="en-GB"/>
        </w:rPr>
      </w:pPr>
      <w:r>
        <w:rPr>
          <w:rFonts w:hint="eastAsia" w:ascii="宋体" w:hAnsi="宋体"/>
          <w:bCs/>
          <w:kern w:val="0"/>
          <w:lang w:val="en-GB"/>
        </w:rPr>
        <w:t>在履行上述义务时，承包人均应采取不低于与保护其自身保密信息所用措施同样严格的措施，并责成其每一位有可能得到保密信息的董事、雇员或代理人分别就本项目涉及的保密内容签订一份与本协议所列条款同样严格的保密协议。</w:t>
      </w:r>
    </w:p>
    <w:p w14:paraId="1103397C">
      <w:pPr>
        <w:autoSpaceDE w:val="0"/>
        <w:autoSpaceDN w:val="0"/>
        <w:snapToGrid w:val="0"/>
        <w:ind w:firstLine="480" w:firstLineChars="200"/>
        <w:rPr>
          <w:rFonts w:ascii="宋体" w:hAnsi="宋体"/>
          <w:bCs/>
          <w:kern w:val="0"/>
          <w:lang w:val="en-GB"/>
        </w:rPr>
      </w:pPr>
      <w:r>
        <w:rPr>
          <w:rFonts w:ascii="宋体" w:hAnsi="宋体"/>
          <w:bCs/>
          <w:kern w:val="0"/>
          <w:lang w:val="en-GB"/>
        </w:rPr>
        <w:t>2.除非事先取得发包人的书面同意，否则承包人不得复制、出版或向第三方披露任何保密信息。</w:t>
      </w:r>
    </w:p>
    <w:p w14:paraId="6069281F">
      <w:pPr>
        <w:autoSpaceDE w:val="0"/>
        <w:autoSpaceDN w:val="0"/>
        <w:snapToGrid w:val="0"/>
        <w:ind w:firstLine="480" w:firstLineChars="200"/>
        <w:rPr>
          <w:rFonts w:ascii="宋体" w:hAnsi="宋体"/>
          <w:kern w:val="0"/>
          <w:lang w:val="en-GB"/>
        </w:rPr>
      </w:pPr>
      <w:r>
        <w:rPr>
          <w:rFonts w:ascii="宋体" w:hAnsi="宋体"/>
          <w:bCs/>
          <w:kern w:val="0"/>
          <w:lang w:val="en-GB"/>
        </w:rPr>
        <w:t>3.如果具有司法管辖权的法庭或政府主管部门要求承包人披露保密信息，承包人应事先通知发包人，使发包人能够查验需要披露的保密信息。</w:t>
      </w:r>
    </w:p>
    <w:p w14:paraId="02885349">
      <w:pPr>
        <w:autoSpaceDE w:val="0"/>
        <w:autoSpaceDN w:val="0"/>
        <w:snapToGrid w:val="0"/>
        <w:ind w:firstLine="480" w:firstLineChars="200"/>
        <w:rPr>
          <w:rFonts w:ascii="宋体" w:hAnsi="宋体"/>
          <w:bCs/>
          <w:kern w:val="0"/>
          <w:lang w:val="en-GB"/>
        </w:rPr>
      </w:pPr>
      <w:r>
        <w:rPr>
          <w:rFonts w:ascii="宋体" w:hAnsi="宋体"/>
          <w:bCs/>
          <w:kern w:val="0"/>
          <w:lang w:val="en-GB"/>
        </w:rPr>
        <w:t>4.本协议在终止后的</w:t>
      </w:r>
      <w:r>
        <w:rPr>
          <w:rFonts w:ascii="宋体" w:hAnsi="宋体"/>
          <w:bCs/>
          <w:kern w:val="0"/>
          <w:u w:val="single"/>
          <w:lang w:val="en-GB"/>
        </w:rPr>
        <w:t>_____</w:t>
      </w:r>
      <w:r>
        <w:rPr>
          <w:rFonts w:hint="eastAsia" w:ascii="宋体" w:hAnsi="宋体"/>
          <w:bCs/>
          <w:kern w:val="0"/>
          <w:lang w:val="en-GB"/>
        </w:rPr>
        <w:t>年内仍完全有效。期满后承包人如需对外披露保密信息，事先必须经过发包人书面同意。</w:t>
      </w:r>
    </w:p>
    <w:p w14:paraId="27427DFE">
      <w:pPr>
        <w:ind w:left="480" w:leftChars="200"/>
        <w:rPr>
          <w:rFonts w:ascii="宋体" w:hAnsi="宋体"/>
          <w:b/>
          <w:caps/>
          <w:kern w:val="28"/>
          <w:lang w:val="en-GB"/>
        </w:rPr>
      </w:pPr>
      <w:bookmarkStart w:id="943" w:name="_Toc511143018"/>
      <w:bookmarkStart w:id="944" w:name="_Toc511126639"/>
      <w:bookmarkStart w:id="945" w:name="_Toc22482222"/>
      <w:bookmarkStart w:id="946" w:name="_Toc514167075"/>
      <w:r>
        <w:rPr>
          <w:rFonts w:hint="eastAsia" w:ascii="宋体" w:hAnsi="宋体"/>
          <w:b/>
          <w:caps/>
          <w:kern w:val="28"/>
          <w:lang w:val="en-GB"/>
        </w:rPr>
        <w:t>第三条</w:t>
      </w:r>
      <w:r>
        <w:rPr>
          <w:rFonts w:ascii="宋体" w:hAnsi="宋体"/>
          <w:b/>
          <w:caps/>
          <w:kern w:val="28"/>
          <w:lang w:val="en-GB"/>
        </w:rPr>
        <w:t xml:space="preserve">  </w:t>
      </w:r>
      <w:r>
        <w:rPr>
          <w:rFonts w:hint="eastAsia" w:ascii="宋体" w:hAnsi="宋体"/>
          <w:b/>
          <w:caps/>
          <w:kern w:val="28"/>
          <w:lang w:val="en-GB"/>
        </w:rPr>
        <w:t>保密信息的所有权</w:t>
      </w:r>
      <w:bookmarkEnd w:id="943"/>
      <w:bookmarkEnd w:id="944"/>
      <w:bookmarkEnd w:id="945"/>
      <w:bookmarkEnd w:id="946"/>
    </w:p>
    <w:p w14:paraId="0546D881">
      <w:pPr>
        <w:autoSpaceDE w:val="0"/>
        <w:autoSpaceDN w:val="0"/>
        <w:snapToGrid w:val="0"/>
        <w:ind w:firstLine="480" w:firstLineChars="200"/>
        <w:rPr>
          <w:rFonts w:ascii="宋体" w:hAnsi="宋体"/>
          <w:bCs/>
          <w:kern w:val="0"/>
          <w:lang w:val="en-GB"/>
        </w:rPr>
      </w:pPr>
      <w:r>
        <w:rPr>
          <w:rFonts w:hint="eastAsia" w:ascii="宋体" w:hAnsi="宋体"/>
          <w:bCs/>
          <w:kern w:val="0"/>
          <w:lang w:val="en-GB"/>
        </w:rPr>
        <w:t>本协议的任何规定均不得被视为向承包人授予任何保密信息的任何专有权或所有权。</w:t>
      </w:r>
    </w:p>
    <w:p w14:paraId="132B9ECF">
      <w:pPr>
        <w:ind w:left="480" w:leftChars="200"/>
        <w:rPr>
          <w:rFonts w:ascii="宋体" w:hAnsi="宋体"/>
          <w:b/>
          <w:caps/>
          <w:kern w:val="28"/>
          <w:lang w:val="en-GB"/>
        </w:rPr>
      </w:pPr>
      <w:bookmarkStart w:id="947" w:name="_Toc22482223"/>
      <w:bookmarkStart w:id="948" w:name="_Toc514167076"/>
      <w:bookmarkStart w:id="949" w:name="_Toc511126640"/>
      <w:bookmarkStart w:id="950" w:name="_Toc511143019"/>
      <w:r>
        <w:rPr>
          <w:rFonts w:hint="eastAsia" w:ascii="宋体" w:hAnsi="宋体"/>
          <w:b/>
          <w:caps/>
          <w:kern w:val="28"/>
          <w:lang w:val="en-GB"/>
        </w:rPr>
        <w:t>第四条</w:t>
      </w:r>
      <w:r>
        <w:rPr>
          <w:rFonts w:ascii="宋体" w:hAnsi="宋体"/>
          <w:b/>
          <w:caps/>
          <w:kern w:val="28"/>
          <w:lang w:val="en-GB"/>
        </w:rPr>
        <w:t xml:space="preserve">  </w:t>
      </w:r>
      <w:r>
        <w:rPr>
          <w:rFonts w:hint="eastAsia" w:ascii="宋体" w:hAnsi="宋体"/>
          <w:b/>
          <w:caps/>
          <w:kern w:val="28"/>
          <w:lang w:val="en-GB"/>
        </w:rPr>
        <w:t>文件退还</w:t>
      </w:r>
      <w:bookmarkEnd w:id="947"/>
      <w:bookmarkEnd w:id="948"/>
      <w:bookmarkEnd w:id="949"/>
      <w:bookmarkEnd w:id="950"/>
    </w:p>
    <w:p w14:paraId="3F3FF4A9">
      <w:pPr>
        <w:autoSpaceDE w:val="0"/>
        <w:autoSpaceDN w:val="0"/>
        <w:snapToGrid w:val="0"/>
        <w:ind w:firstLine="480" w:firstLineChars="200"/>
        <w:rPr>
          <w:rFonts w:ascii="宋体" w:hAnsi="宋体"/>
          <w:bCs/>
          <w:kern w:val="0"/>
          <w:lang w:val="en-GB"/>
        </w:rPr>
      </w:pPr>
      <w:r>
        <w:rPr>
          <w:rFonts w:hint="eastAsia" w:ascii="宋体" w:hAnsi="宋体"/>
          <w:bCs/>
          <w:kern w:val="0"/>
          <w:lang w:val="en-GB"/>
        </w:rPr>
        <w:t>如果双方同意终止项目合作，承包人应在双方同意终止后的</w:t>
      </w:r>
      <w:r>
        <w:rPr>
          <w:rFonts w:ascii="宋体" w:hAnsi="宋体"/>
          <w:b/>
          <w:bCs/>
          <w:kern w:val="0"/>
          <w:u w:val="single"/>
          <w:lang w:val="en-GB"/>
        </w:rPr>
        <w:t>______</w:t>
      </w:r>
      <w:r>
        <w:rPr>
          <w:rFonts w:hint="eastAsia" w:ascii="宋体" w:hAnsi="宋体"/>
          <w:bCs/>
          <w:kern w:val="0"/>
          <w:lang w:val="en-GB"/>
        </w:rPr>
        <w:t>天内，向发包人退还全部保密信息及其全部副本（不论其是否是在计算机磁盘、光盘读取器、光盘、硬盘或软件中或在纸张载体上存储、保存或记录的）；如果承包人退还上述保密信息及其全部副本为不可行，则该承包人应将其销毁，或者从计算机或其他电子系统中将其删除或抹掉。</w:t>
      </w:r>
    </w:p>
    <w:p w14:paraId="670BAAB4">
      <w:pPr>
        <w:ind w:left="480" w:leftChars="200"/>
        <w:rPr>
          <w:rFonts w:ascii="宋体" w:hAnsi="宋体"/>
          <w:b/>
          <w:caps/>
          <w:kern w:val="28"/>
          <w:lang w:val="en-GB"/>
        </w:rPr>
      </w:pPr>
      <w:bookmarkStart w:id="951" w:name="_Toc511126641"/>
      <w:bookmarkStart w:id="952" w:name="_Toc514167077"/>
      <w:bookmarkStart w:id="953" w:name="_Toc511143020"/>
      <w:r>
        <w:rPr>
          <w:rFonts w:hint="eastAsia" w:ascii="宋体" w:hAnsi="宋体"/>
          <w:b/>
          <w:caps/>
          <w:kern w:val="28"/>
          <w:lang w:val="en-GB"/>
        </w:rPr>
        <w:t>第五条</w:t>
      </w:r>
      <w:r>
        <w:rPr>
          <w:rFonts w:ascii="宋体" w:hAnsi="宋体"/>
          <w:b/>
          <w:caps/>
          <w:kern w:val="28"/>
          <w:lang w:val="en-GB"/>
        </w:rPr>
        <w:t xml:space="preserve">  </w:t>
      </w:r>
      <w:r>
        <w:rPr>
          <w:rFonts w:hint="eastAsia" w:ascii="宋体" w:hAnsi="宋体"/>
          <w:b/>
          <w:caps/>
          <w:kern w:val="28"/>
          <w:lang w:val="en-GB"/>
        </w:rPr>
        <w:t>违约责任</w:t>
      </w:r>
      <w:bookmarkEnd w:id="951"/>
      <w:bookmarkEnd w:id="952"/>
      <w:bookmarkEnd w:id="953"/>
    </w:p>
    <w:p w14:paraId="3BF1446D">
      <w:pPr>
        <w:autoSpaceDE w:val="0"/>
        <w:autoSpaceDN w:val="0"/>
        <w:snapToGrid w:val="0"/>
        <w:ind w:firstLine="480" w:firstLineChars="200"/>
        <w:rPr>
          <w:rFonts w:ascii="宋体" w:hAnsi="宋体"/>
          <w:bCs/>
          <w:kern w:val="0"/>
          <w:lang w:val="en-GB"/>
        </w:rPr>
      </w:pPr>
      <w:r>
        <w:rPr>
          <w:rFonts w:hint="eastAsia" w:ascii="宋体" w:hAnsi="宋体"/>
          <w:bCs/>
          <w:kern w:val="0"/>
          <w:lang w:val="en-GB"/>
        </w:rPr>
        <w:t>承包人如果违反其在本协议项下的义务，应赔偿发包人因上述违约而导致的全部实际损失，包括但不限于法律费用。</w:t>
      </w:r>
      <w:bookmarkStart w:id="954" w:name="_Toc22482225"/>
    </w:p>
    <w:p w14:paraId="1A8E498F">
      <w:pPr>
        <w:ind w:left="480" w:leftChars="200"/>
        <w:rPr>
          <w:rFonts w:ascii="宋体" w:hAnsi="宋体"/>
          <w:b/>
          <w:caps/>
          <w:kern w:val="28"/>
          <w:lang w:val="en-GB"/>
        </w:rPr>
      </w:pPr>
      <w:bookmarkStart w:id="955" w:name="_Toc514167078"/>
      <w:bookmarkStart w:id="956" w:name="_Toc511143021"/>
      <w:bookmarkStart w:id="957" w:name="_Toc511126642"/>
      <w:r>
        <w:rPr>
          <w:rFonts w:hint="eastAsia" w:ascii="宋体" w:hAnsi="宋体"/>
          <w:b/>
          <w:caps/>
          <w:kern w:val="28"/>
          <w:lang w:val="en-GB"/>
        </w:rPr>
        <w:t>第六条</w:t>
      </w:r>
      <w:r>
        <w:rPr>
          <w:rFonts w:ascii="宋体" w:hAnsi="宋体"/>
          <w:b/>
          <w:caps/>
          <w:kern w:val="28"/>
          <w:lang w:val="en-GB"/>
        </w:rPr>
        <w:t xml:space="preserve">  </w:t>
      </w:r>
      <w:r>
        <w:rPr>
          <w:rFonts w:hint="eastAsia" w:ascii="宋体" w:hAnsi="宋体"/>
          <w:b/>
          <w:caps/>
          <w:kern w:val="28"/>
          <w:lang w:val="en-GB"/>
        </w:rPr>
        <w:t>其他约定</w:t>
      </w:r>
      <w:bookmarkEnd w:id="954"/>
      <w:bookmarkEnd w:id="955"/>
      <w:bookmarkEnd w:id="956"/>
      <w:bookmarkEnd w:id="957"/>
    </w:p>
    <w:p w14:paraId="65AC78DD">
      <w:pPr>
        <w:autoSpaceDE w:val="0"/>
        <w:autoSpaceDN w:val="0"/>
        <w:snapToGrid w:val="0"/>
        <w:ind w:left="1" w:firstLine="477" w:firstLineChars="199"/>
        <w:rPr>
          <w:rFonts w:ascii="宋体" w:hAnsi="宋体"/>
          <w:kern w:val="0"/>
          <w:lang w:val="en-GB"/>
        </w:rPr>
      </w:pPr>
      <w:r>
        <w:rPr>
          <w:rFonts w:ascii="宋体" w:hAnsi="宋体"/>
          <w:kern w:val="0"/>
          <w:lang w:val="en-GB"/>
        </w:rPr>
        <w:t>1.承包人在本协议项下的义务对其法定继承人和许可受让人均有约束力。</w:t>
      </w:r>
    </w:p>
    <w:p w14:paraId="46BD40A1">
      <w:pPr>
        <w:autoSpaceDE w:val="0"/>
        <w:autoSpaceDN w:val="0"/>
        <w:snapToGrid w:val="0"/>
        <w:ind w:left="2" w:firstLine="475" w:firstLineChars="198"/>
        <w:rPr>
          <w:rFonts w:ascii="宋体" w:hAnsi="宋体"/>
          <w:kern w:val="0"/>
          <w:lang w:val="en-GB"/>
        </w:rPr>
      </w:pPr>
      <w:r>
        <w:rPr>
          <w:rFonts w:ascii="宋体" w:hAnsi="宋体"/>
          <w:kern w:val="0"/>
          <w:lang w:val="en-GB"/>
        </w:rPr>
        <w:t>2.除非双方采用书面形式，否则对本协议的任何修改均属无效。</w:t>
      </w:r>
    </w:p>
    <w:p w14:paraId="45DD6F4A">
      <w:pPr>
        <w:autoSpaceDE w:val="0"/>
        <w:autoSpaceDN w:val="0"/>
        <w:snapToGrid w:val="0"/>
        <w:ind w:firstLine="480" w:firstLineChars="200"/>
        <w:rPr>
          <w:rFonts w:ascii="宋体" w:hAnsi="宋体"/>
          <w:kern w:val="0"/>
          <w:lang w:val="en-GB"/>
        </w:rPr>
      </w:pPr>
      <w:r>
        <w:rPr>
          <w:rFonts w:ascii="宋体" w:hAnsi="宋体"/>
          <w:kern w:val="0"/>
          <w:lang w:val="en-GB"/>
        </w:rPr>
        <w:t>3.本协议有效期为</w:t>
      </w:r>
      <w:r>
        <w:rPr>
          <w:rFonts w:hint="eastAsia" w:ascii="宋体" w:hAnsi="宋体"/>
          <w:kern w:val="0"/>
          <w:u w:val="single"/>
        </w:rPr>
        <w:t xml:space="preserve">           </w:t>
      </w:r>
      <w:r>
        <w:rPr>
          <w:rFonts w:ascii="宋体" w:hAnsi="宋体"/>
          <w:kern w:val="0"/>
          <w:lang w:val="en-GB"/>
        </w:rPr>
        <w:t>。</w:t>
      </w:r>
    </w:p>
    <w:p w14:paraId="2A5EB5C8">
      <w:pPr>
        <w:autoSpaceDE w:val="0"/>
        <w:autoSpaceDN w:val="0"/>
        <w:snapToGrid w:val="0"/>
        <w:ind w:firstLine="480" w:firstLineChars="200"/>
        <w:rPr>
          <w:rFonts w:ascii="宋体" w:hAnsi="宋体"/>
          <w:kern w:val="0"/>
          <w:lang w:val="en-GB"/>
        </w:rPr>
      </w:pPr>
      <w:r>
        <w:rPr>
          <w:rFonts w:ascii="宋体" w:hAnsi="宋体"/>
          <w:kern w:val="0"/>
          <w:lang w:val="en-GB"/>
        </w:rPr>
        <w:t>4.本协议一式</w:t>
      </w:r>
      <w:r>
        <w:rPr>
          <w:rFonts w:ascii="宋体" w:hAnsi="宋体"/>
          <w:b/>
          <w:kern w:val="0"/>
          <w:lang w:val="en-GB"/>
        </w:rPr>
        <w:t>_____</w:t>
      </w:r>
      <w:r>
        <w:rPr>
          <w:rFonts w:hint="eastAsia" w:ascii="宋体" w:hAnsi="宋体"/>
          <w:kern w:val="0"/>
          <w:lang w:val="en-GB"/>
        </w:rPr>
        <w:t>份，发包人</w:t>
      </w:r>
      <w:r>
        <w:rPr>
          <w:rFonts w:hint="eastAsia" w:ascii="宋体" w:hAnsi="宋体"/>
          <w:kern w:val="0"/>
          <w:u w:val="single"/>
        </w:rPr>
        <w:t xml:space="preserve">   </w:t>
      </w:r>
      <w:r>
        <w:rPr>
          <w:rFonts w:hint="eastAsia" w:ascii="宋体" w:hAnsi="宋体"/>
          <w:kern w:val="0"/>
          <w:lang w:val="en-GB"/>
        </w:rPr>
        <w:t>份，承包人</w:t>
      </w:r>
      <w:r>
        <w:rPr>
          <w:rFonts w:hint="eastAsia" w:ascii="宋体" w:hAnsi="宋体"/>
          <w:kern w:val="0"/>
          <w:u w:val="single"/>
        </w:rPr>
        <w:t xml:space="preserve">     </w:t>
      </w:r>
      <w:r>
        <w:rPr>
          <w:rFonts w:hint="eastAsia" w:ascii="宋体" w:hAnsi="宋体"/>
          <w:kern w:val="0"/>
          <w:lang w:val="en-GB"/>
        </w:rPr>
        <w:t>份，自双方签字盖章之日起生效。</w:t>
      </w:r>
    </w:p>
    <w:p w14:paraId="3EAC9F69">
      <w:pPr>
        <w:autoSpaceDE w:val="0"/>
        <w:autoSpaceDN w:val="0"/>
        <w:snapToGrid w:val="0"/>
        <w:jc w:val="left"/>
        <w:rPr>
          <w:rFonts w:ascii="宋体" w:hAnsi="宋体"/>
          <w:bCs/>
          <w:kern w:val="0"/>
          <w:lang w:val="en-GB"/>
        </w:rPr>
      </w:pPr>
      <w:r>
        <w:rPr>
          <w:rFonts w:ascii="宋体" w:hAnsi="宋体"/>
          <w:bCs/>
          <w:kern w:val="0"/>
          <w:lang w:val="en-GB"/>
        </w:rPr>
        <w:t xml:space="preserve">    </w:t>
      </w:r>
    </w:p>
    <w:p w14:paraId="7782B36E">
      <w:pPr>
        <w:autoSpaceDE w:val="0"/>
        <w:autoSpaceDN w:val="0"/>
        <w:snapToGrid w:val="0"/>
        <w:jc w:val="left"/>
        <w:rPr>
          <w:rFonts w:ascii="宋体" w:hAnsi="宋体"/>
          <w:bCs/>
          <w:kern w:val="0"/>
          <w:lang w:val="en-GB"/>
        </w:rPr>
      </w:pPr>
    </w:p>
    <w:p w14:paraId="65E654CD">
      <w:pPr>
        <w:autoSpaceDE w:val="0"/>
        <w:autoSpaceDN w:val="0"/>
        <w:snapToGrid w:val="0"/>
        <w:jc w:val="left"/>
        <w:rPr>
          <w:rFonts w:ascii="宋体" w:hAnsi="宋体"/>
          <w:bCs/>
          <w:kern w:val="0"/>
          <w:lang w:val="en-GB"/>
        </w:rPr>
      </w:pPr>
    </w:p>
    <w:p w14:paraId="4AA6473C">
      <w:pPr>
        <w:autoSpaceDE w:val="0"/>
        <w:autoSpaceDN w:val="0"/>
        <w:snapToGrid w:val="0"/>
        <w:ind w:firstLine="480" w:firstLineChars="200"/>
        <w:jc w:val="left"/>
        <w:rPr>
          <w:rFonts w:ascii="宋体" w:hAnsi="宋体"/>
          <w:bCs/>
          <w:kern w:val="0"/>
          <w:u w:val="single"/>
          <w:lang w:val="en-GB"/>
        </w:rPr>
      </w:pPr>
      <w:r>
        <w:rPr>
          <w:rFonts w:ascii="宋体" w:hAnsi="宋体"/>
          <w:bCs/>
          <w:kern w:val="0"/>
          <w:lang w:val="en-GB"/>
        </w:rPr>
        <w:t xml:space="preserve">发包人：（盖章）                </w:t>
      </w:r>
    </w:p>
    <w:p w14:paraId="36A0212F">
      <w:pPr>
        <w:autoSpaceDE w:val="0"/>
        <w:autoSpaceDN w:val="0"/>
        <w:snapToGrid w:val="0"/>
        <w:jc w:val="left"/>
        <w:rPr>
          <w:rFonts w:ascii="宋体" w:hAnsi="宋体"/>
          <w:bCs/>
          <w:kern w:val="0"/>
          <w:lang w:val="en-GB"/>
        </w:rPr>
      </w:pPr>
    </w:p>
    <w:p w14:paraId="45CFC9DC">
      <w:pPr>
        <w:autoSpaceDE w:val="0"/>
        <w:autoSpaceDN w:val="0"/>
        <w:snapToGrid w:val="0"/>
        <w:ind w:firstLine="480" w:firstLineChars="200"/>
        <w:jc w:val="left"/>
        <w:rPr>
          <w:rFonts w:ascii="宋体" w:hAnsi="宋体"/>
          <w:bCs/>
          <w:kern w:val="0"/>
          <w:lang w:val="en-GB"/>
        </w:rPr>
      </w:pPr>
      <w:r>
        <w:rPr>
          <w:rFonts w:hint="eastAsia" w:ascii="宋体" w:hAnsi="宋体"/>
          <w:bCs/>
          <w:kern w:val="0"/>
          <w:lang w:val="en-GB"/>
        </w:rPr>
        <w:t>法定代表人／委托代理人：</w:t>
      </w:r>
      <w:r>
        <w:rPr>
          <w:rFonts w:hint="eastAsia" w:ascii="宋体" w:hAnsi="宋体"/>
          <w:bCs/>
          <w:kern w:val="0"/>
          <w:u w:val="single"/>
          <w:lang w:val="en-GB"/>
        </w:rPr>
        <w:t>　　　　</w:t>
      </w:r>
      <w:r>
        <w:rPr>
          <w:rFonts w:ascii="宋体" w:hAnsi="宋体"/>
          <w:bCs/>
          <w:kern w:val="0"/>
          <w:u w:val="single"/>
          <w:lang w:val="en-GB"/>
        </w:rPr>
        <w:t xml:space="preserve">  　　　　      </w:t>
      </w:r>
      <w:r>
        <w:rPr>
          <w:rFonts w:hint="eastAsia" w:ascii="宋体" w:hAnsi="宋体"/>
          <w:bCs/>
          <w:kern w:val="0"/>
          <w:lang w:val="en-GB"/>
        </w:rPr>
        <w:t>（签名）　</w:t>
      </w:r>
    </w:p>
    <w:p w14:paraId="61F5A421">
      <w:pPr>
        <w:autoSpaceDE w:val="0"/>
        <w:autoSpaceDN w:val="0"/>
        <w:snapToGrid w:val="0"/>
        <w:jc w:val="left"/>
        <w:rPr>
          <w:rFonts w:ascii="宋体" w:hAnsi="宋体"/>
          <w:bCs/>
          <w:kern w:val="0"/>
          <w:lang w:val="en-GB"/>
        </w:rPr>
      </w:pPr>
    </w:p>
    <w:p w14:paraId="5086A103">
      <w:pPr>
        <w:autoSpaceDE w:val="0"/>
        <w:autoSpaceDN w:val="0"/>
        <w:snapToGrid w:val="0"/>
        <w:ind w:firstLine="5280" w:firstLineChars="2200"/>
        <w:jc w:val="left"/>
        <w:rPr>
          <w:rFonts w:ascii="宋体" w:hAnsi="宋体"/>
          <w:bCs/>
          <w:kern w:val="0"/>
          <w:lang w:val="en-GB"/>
        </w:rPr>
      </w:pPr>
      <w:r>
        <w:rPr>
          <w:rFonts w:hint="eastAsia" w:ascii="宋体" w:hAnsi="宋体"/>
          <w:bCs/>
          <w:kern w:val="0"/>
        </w:rPr>
        <w:t>2025</w:t>
      </w:r>
      <w:r>
        <w:rPr>
          <w:rFonts w:hint="eastAsia" w:ascii="宋体" w:hAnsi="宋体"/>
          <w:bCs/>
          <w:kern w:val="0"/>
          <w:lang w:val="en-GB"/>
        </w:rPr>
        <w:t>年</w:t>
      </w:r>
      <w:r>
        <w:rPr>
          <w:rFonts w:hint="eastAsia" w:ascii="宋体" w:hAnsi="宋体"/>
          <w:bCs/>
          <w:kern w:val="0"/>
          <w:u w:val="single"/>
        </w:rPr>
        <w:t xml:space="preserve">    </w:t>
      </w:r>
      <w:r>
        <w:rPr>
          <w:rFonts w:hint="eastAsia" w:ascii="宋体" w:hAnsi="宋体"/>
          <w:bCs/>
          <w:kern w:val="0"/>
          <w:lang w:val="en-GB"/>
        </w:rPr>
        <w:t>月</w:t>
      </w:r>
      <w:r>
        <w:rPr>
          <w:rFonts w:hint="eastAsia" w:ascii="宋体" w:hAnsi="宋体"/>
          <w:bCs/>
          <w:kern w:val="0"/>
          <w:u w:val="single"/>
        </w:rPr>
        <w:t xml:space="preserve">    </w:t>
      </w:r>
      <w:r>
        <w:rPr>
          <w:rFonts w:hint="eastAsia" w:ascii="宋体" w:hAnsi="宋体"/>
          <w:bCs/>
          <w:kern w:val="0"/>
          <w:lang w:val="en-GB"/>
        </w:rPr>
        <w:t>日</w:t>
      </w:r>
    </w:p>
    <w:p w14:paraId="7DAA538E">
      <w:pPr>
        <w:autoSpaceDE w:val="0"/>
        <w:autoSpaceDN w:val="0"/>
        <w:snapToGrid w:val="0"/>
        <w:jc w:val="left"/>
        <w:rPr>
          <w:rFonts w:ascii="宋体" w:hAnsi="宋体"/>
          <w:bCs/>
          <w:kern w:val="0"/>
          <w:lang w:val="en-GB"/>
        </w:rPr>
      </w:pPr>
      <w:r>
        <w:rPr>
          <w:rFonts w:ascii="宋体" w:hAnsi="宋体"/>
          <w:bCs/>
          <w:kern w:val="0"/>
          <w:lang w:val="en-GB"/>
        </w:rPr>
        <w:t xml:space="preserve">   </w:t>
      </w:r>
    </w:p>
    <w:p w14:paraId="7F19BEF8">
      <w:pPr>
        <w:autoSpaceDE w:val="0"/>
        <w:autoSpaceDN w:val="0"/>
        <w:snapToGrid w:val="0"/>
        <w:jc w:val="left"/>
        <w:rPr>
          <w:rFonts w:ascii="宋体" w:hAnsi="宋体"/>
          <w:bCs/>
          <w:kern w:val="0"/>
          <w:lang w:val="en-GB"/>
        </w:rPr>
      </w:pPr>
    </w:p>
    <w:p w14:paraId="4E145B0D">
      <w:pPr>
        <w:autoSpaceDE w:val="0"/>
        <w:autoSpaceDN w:val="0"/>
        <w:snapToGrid w:val="0"/>
        <w:jc w:val="left"/>
        <w:rPr>
          <w:rFonts w:ascii="宋体" w:hAnsi="宋体"/>
          <w:bCs/>
          <w:kern w:val="0"/>
          <w:u w:val="single"/>
          <w:lang w:val="en-GB"/>
        </w:rPr>
      </w:pPr>
      <w:r>
        <w:rPr>
          <w:rFonts w:ascii="宋体" w:hAnsi="宋体"/>
          <w:bCs/>
          <w:kern w:val="0"/>
          <w:lang w:val="en-GB"/>
        </w:rPr>
        <w:t xml:space="preserve"> </w:t>
      </w:r>
      <w:r>
        <w:rPr>
          <w:rFonts w:hint="eastAsia" w:ascii="宋体" w:hAnsi="宋体"/>
          <w:bCs/>
          <w:kern w:val="0"/>
        </w:rPr>
        <w:t xml:space="preserve">  </w:t>
      </w:r>
      <w:r>
        <w:rPr>
          <w:rFonts w:ascii="宋体" w:hAnsi="宋体"/>
          <w:bCs/>
          <w:kern w:val="0"/>
          <w:lang w:val="en-GB"/>
        </w:rPr>
        <w:t xml:space="preserve">承包人：（盖章）                </w:t>
      </w:r>
    </w:p>
    <w:p w14:paraId="686C343F">
      <w:pPr>
        <w:autoSpaceDE w:val="0"/>
        <w:autoSpaceDN w:val="0"/>
        <w:snapToGrid w:val="0"/>
        <w:jc w:val="left"/>
        <w:rPr>
          <w:rFonts w:ascii="宋体" w:hAnsi="宋体"/>
          <w:bCs/>
          <w:kern w:val="0"/>
          <w:lang w:val="en-GB"/>
        </w:rPr>
      </w:pPr>
    </w:p>
    <w:p w14:paraId="48F5D1B8">
      <w:pPr>
        <w:autoSpaceDE w:val="0"/>
        <w:autoSpaceDN w:val="0"/>
        <w:snapToGrid w:val="0"/>
        <w:ind w:firstLine="480" w:firstLineChars="200"/>
        <w:jc w:val="left"/>
        <w:rPr>
          <w:rFonts w:ascii="宋体" w:hAnsi="宋体"/>
          <w:bCs/>
          <w:kern w:val="0"/>
          <w:u w:val="single"/>
          <w:lang w:val="en-GB"/>
        </w:rPr>
      </w:pPr>
      <w:r>
        <w:rPr>
          <w:rFonts w:hint="eastAsia" w:ascii="宋体" w:hAnsi="宋体"/>
          <w:bCs/>
          <w:kern w:val="0"/>
          <w:lang w:val="en-GB"/>
        </w:rPr>
        <w:t>法定代表人／委托代理人：</w:t>
      </w:r>
      <w:r>
        <w:rPr>
          <w:rFonts w:hint="eastAsia" w:ascii="宋体" w:hAnsi="宋体"/>
          <w:bCs/>
          <w:kern w:val="0"/>
          <w:u w:val="single"/>
          <w:lang w:val="en-GB"/>
        </w:rPr>
        <w:t>　　　　</w:t>
      </w:r>
      <w:r>
        <w:rPr>
          <w:rFonts w:ascii="宋体" w:hAnsi="宋体"/>
          <w:bCs/>
          <w:kern w:val="0"/>
          <w:u w:val="single"/>
          <w:lang w:val="en-GB"/>
        </w:rPr>
        <w:t xml:space="preserve">  　　　　      </w:t>
      </w:r>
      <w:r>
        <w:rPr>
          <w:rFonts w:hint="eastAsia" w:ascii="宋体" w:hAnsi="宋体"/>
          <w:bCs/>
          <w:kern w:val="0"/>
          <w:lang w:val="en-GB"/>
        </w:rPr>
        <w:t>（签名）</w:t>
      </w:r>
    </w:p>
    <w:p w14:paraId="20F30603">
      <w:pPr>
        <w:autoSpaceDE w:val="0"/>
        <w:autoSpaceDN w:val="0"/>
        <w:snapToGrid w:val="0"/>
        <w:jc w:val="left"/>
        <w:rPr>
          <w:rFonts w:ascii="宋体" w:hAnsi="宋体"/>
          <w:bCs/>
          <w:kern w:val="0"/>
          <w:lang w:val="en-GB"/>
        </w:rPr>
      </w:pPr>
    </w:p>
    <w:p w14:paraId="56101CD4">
      <w:pPr>
        <w:autoSpaceDE w:val="0"/>
        <w:autoSpaceDN w:val="0"/>
        <w:snapToGrid w:val="0"/>
        <w:jc w:val="center"/>
        <w:rPr>
          <w:rFonts w:ascii="宋体" w:hAnsi="宋体"/>
          <w:bCs/>
          <w:kern w:val="0"/>
          <w:lang w:val="en-GB"/>
        </w:rPr>
      </w:pPr>
      <w:r>
        <w:rPr>
          <w:rFonts w:hint="eastAsia" w:ascii="宋体" w:hAnsi="宋体"/>
          <w:bCs/>
          <w:kern w:val="0"/>
        </w:rPr>
        <w:t xml:space="preserve">                                 </w:t>
      </w:r>
      <w:r>
        <w:rPr>
          <w:rFonts w:hint="eastAsia" w:ascii="宋体" w:hAnsi="宋体"/>
          <w:bCs/>
          <w:kern w:val="0"/>
          <w:u w:val="single"/>
        </w:rPr>
        <w:t>2025</w:t>
      </w:r>
      <w:r>
        <w:rPr>
          <w:rFonts w:hint="eastAsia" w:ascii="宋体" w:hAnsi="宋体"/>
          <w:bCs/>
          <w:kern w:val="0"/>
          <w:lang w:val="en-GB"/>
        </w:rPr>
        <w:t>年</w:t>
      </w:r>
      <w:r>
        <w:rPr>
          <w:rFonts w:hint="eastAsia" w:ascii="宋体" w:hAnsi="宋体"/>
          <w:bCs/>
          <w:kern w:val="0"/>
        </w:rPr>
        <w:t xml:space="preserve">    </w:t>
      </w:r>
      <w:r>
        <w:rPr>
          <w:rFonts w:hint="eastAsia" w:ascii="宋体" w:hAnsi="宋体"/>
          <w:bCs/>
          <w:kern w:val="0"/>
          <w:lang w:val="en-GB"/>
        </w:rPr>
        <w:t>月</w:t>
      </w:r>
      <w:r>
        <w:rPr>
          <w:rFonts w:hint="eastAsia" w:ascii="宋体" w:hAnsi="宋体"/>
          <w:bCs/>
          <w:kern w:val="0"/>
        </w:rPr>
        <w:t xml:space="preserve">    </w:t>
      </w:r>
      <w:r>
        <w:rPr>
          <w:rFonts w:hint="eastAsia" w:ascii="宋体" w:hAnsi="宋体"/>
          <w:bCs/>
          <w:kern w:val="0"/>
          <w:lang w:val="en-GB"/>
        </w:rPr>
        <w:t>日</w:t>
      </w:r>
    </w:p>
    <w:p w14:paraId="5C17A304">
      <w:pPr>
        <w:spacing w:before="75" w:after="75"/>
        <w:jc w:val="left"/>
        <w:rPr>
          <w:rFonts w:ascii="宋体" w:hAnsi="宋体" w:cs="楷体"/>
          <w:kern w:val="0"/>
        </w:rPr>
      </w:pPr>
      <w:bookmarkStart w:id="958" w:name="_Toc410986406"/>
      <w:bookmarkStart w:id="959" w:name="_Toc439160064"/>
      <w:r>
        <w:rPr>
          <w:rFonts w:ascii="宋体" w:hAnsi="宋体" w:cs="Arial"/>
          <w:kern w:val="0"/>
        </w:rPr>
        <w:br w:type="page"/>
      </w:r>
      <w:r>
        <w:rPr>
          <w:rFonts w:hint="eastAsia" w:ascii="宋体" w:hAnsi="宋体" w:cs="Arial"/>
          <w:kern w:val="0"/>
        </w:rPr>
        <w:t>附件</w:t>
      </w:r>
      <w:r>
        <w:rPr>
          <w:rFonts w:ascii="宋体" w:hAnsi="宋体" w:cs="Arial"/>
          <w:kern w:val="0"/>
        </w:rPr>
        <w:t>9：</w:t>
      </w:r>
      <w:r>
        <w:rPr>
          <w:rFonts w:ascii="宋体" w:hAnsi="宋体" w:cs="楷体"/>
          <w:kern w:val="0"/>
        </w:rPr>
        <w:t>HSE管理协议</w:t>
      </w:r>
    </w:p>
    <w:p w14:paraId="76FDC152">
      <w:pPr>
        <w:spacing w:before="75" w:after="75"/>
        <w:jc w:val="center"/>
        <w:rPr>
          <w:rFonts w:ascii="宋体" w:hAnsi="宋体" w:cs="楷体"/>
          <w:kern w:val="0"/>
        </w:rPr>
      </w:pPr>
      <w:r>
        <w:rPr>
          <w:rFonts w:hint="eastAsia" w:ascii="宋体" w:hAnsi="宋体" w:cs="楷体"/>
          <w:kern w:val="0"/>
        </w:rPr>
        <w:t>健康、安全、安保和环境（</w:t>
      </w:r>
      <w:r>
        <w:rPr>
          <w:rFonts w:ascii="宋体" w:hAnsi="宋体" w:cs="楷体"/>
          <w:kern w:val="0"/>
        </w:rPr>
        <w:t>HSE）管理协议</w:t>
      </w:r>
    </w:p>
    <w:p w14:paraId="61BF12E6">
      <w:pPr>
        <w:spacing w:before="75" w:after="75"/>
        <w:jc w:val="left"/>
        <w:rPr>
          <w:rFonts w:ascii="宋体" w:hAnsi="宋体" w:cs="楷体"/>
          <w:kern w:val="0"/>
        </w:rPr>
      </w:pPr>
    </w:p>
    <w:p w14:paraId="61199E78">
      <w:pPr>
        <w:spacing w:before="75" w:after="75"/>
        <w:jc w:val="left"/>
        <w:rPr>
          <w:rFonts w:ascii="宋体" w:hAnsi="宋体" w:cs="楷体"/>
          <w:kern w:val="0"/>
        </w:rPr>
      </w:pPr>
      <w:r>
        <w:rPr>
          <w:rFonts w:hint="eastAsia" w:ascii="宋体" w:hAnsi="宋体" w:cs="楷体"/>
          <w:kern w:val="0"/>
        </w:rPr>
        <w:t>工程名称：广澳高速中山服务区西区加油站重建项目</w:t>
      </w:r>
      <w:r>
        <w:rPr>
          <w:rFonts w:hint="eastAsia" w:ascii="宋体" w:hAnsi="宋体" w:cs="楷体"/>
          <w:kern w:val="0"/>
          <w:highlight w:val="none"/>
        </w:rPr>
        <w:t>土建工程</w:t>
      </w:r>
    </w:p>
    <w:p w14:paraId="370F4F24">
      <w:pPr>
        <w:spacing w:before="75" w:after="75"/>
        <w:jc w:val="left"/>
        <w:rPr>
          <w:rFonts w:ascii="宋体" w:hAnsi="宋体" w:cs="楷体"/>
          <w:kern w:val="0"/>
        </w:rPr>
      </w:pPr>
      <w:r>
        <w:rPr>
          <w:rFonts w:hint="eastAsia" w:ascii="宋体" w:hAnsi="宋体" w:cs="楷体"/>
          <w:kern w:val="0"/>
        </w:rPr>
        <w:t>发包人（全称）：</w:t>
      </w:r>
    </w:p>
    <w:p w14:paraId="21F58CE1">
      <w:pPr>
        <w:spacing w:before="75" w:after="75"/>
        <w:jc w:val="left"/>
        <w:rPr>
          <w:rFonts w:ascii="宋体" w:hAnsi="宋体" w:cs="楷体"/>
          <w:kern w:val="0"/>
        </w:rPr>
      </w:pPr>
      <w:r>
        <w:rPr>
          <w:rFonts w:hint="eastAsia" w:ascii="宋体" w:hAnsi="宋体" w:cs="楷体"/>
          <w:kern w:val="0"/>
        </w:rPr>
        <w:t>承包人（全称）：</w:t>
      </w:r>
    </w:p>
    <w:p w14:paraId="1F340510">
      <w:pPr>
        <w:spacing w:before="75" w:after="75"/>
        <w:jc w:val="left"/>
        <w:rPr>
          <w:rFonts w:ascii="宋体" w:hAnsi="宋体" w:cs="楷体"/>
          <w:kern w:val="0"/>
        </w:rPr>
      </w:pPr>
    </w:p>
    <w:p w14:paraId="69EA22D6">
      <w:pPr>
        <w:spacing w:before="75" w:after="75"/>
        <w:ind w:firstLine="480" w:firstLineChars="200"/>
        <w:jc w:val="left"/>
        <w:rPr>
          <w:rFonts w:ascii="宋体" w:hAnsi="宋体" w:cs="楷体"/>
          <w:kern w:val="0"/>
        </w:rPr>
      </w:pPr>
      <w:r>
        <w:rPr>
          <w:rFonts w:hint="eastAsia" w:ascii="宋体" w:hAnsi="宋体" w:cs="楷体"/>
          <w:kern w:val="0"/>
        </w:rPr>
        <w:t>为加强本项目健康、安全、安保和环境（</w:t>
      </w:r>
      <w:r>
        <w:rPr>
          <w:rFonts w:ascii="宋体" w:hAnsi="宋体" w:cs="楷体"/>
          <w:kern w:val="0"/>
        </w:rPr>
        <w:t>HSE）管理，明确双方的权利和义务</w:t>
      </w:r>
      <w:r>
        <w:rPr>
          <w:rFonts w:hint="eastAsia" w:ascii="宋体" w:hAnsi="宋体" w:cs="楷体"/>
          <w:kern w:val="0"/>
        </w:rPr>
        <w:t>，在遵循平等、自愿、公平和诚实信用的原则上，经平等协商，意见一致，签定本协议。</w:t>
      </w:r>
    </w:p>
    <w:p w14:paraId="730C9517">
      <w:pPr>
        <w:spacing w:before="75" w:after="75"/>
        <w:ind w:firstLine="480" w:firstLineChars="200"/>
        <w:jc w:val="left"/>
        <w:rPr>
          <w:rFonts w:ascii="宋体" w:hAnsi="宋体" w:cs="楷体"/>
          <w:kern w:val="0"/>
        </w:rPr>
      </w:pPr>
      <w:r>
        <w:rPr>
          <w:rFonts w:hint="eastAsia" w:ascii="宋体" w:hAnsi="宋体" w:cs="楷体"/>
          <w:kern w:val="0"/>
        </w:rPr>
        <w:t>一、本</w:t>
      </w:r>
      <w:r>
        <w:rPr>
          <w:rFonts w:ascii="宋体" w:hAnsi="宋体" w:cs="楷体"/>
          <w:kern w:val="0"/>
        </w:rPr>
        <w:t>HSE管理协议书是合同的组成部分，与合同具有同等法律效力，应与合同同时谈判、同时签订、同时报审。</w:t>
      </w:r>
    </w:p>
    <w:p w14:paraId="71B6010C">
      <w:pPr>
        <w:spacing w:before="75" w:after="75"/>
        <w:ind w:firstLine="480" w:firstLineChars="200"/>
        <w:jc w:val="left"/>
        <w:rPr>
          <w:rFonts w:ascii="宋体" w:hAnsi="宋体" w:cs="楷体"/>
          <w:kern w:val="0"/>
        </w:rPr>
      </w:pPr>
      <w:r>
        <w:rPr>
          <w:rFonts w:hint="eastAsia" w:ascii="宋体" w:hAnsi="宋体" w:cs="楷体"/>
          <w:kern w:val="0"/>
        </w:rPr>
        <w:t>二、</w:t>
      </w:r>
      <w:r>
        <w:rPr>
          <w:rFonts w:ascii="宋体" w:hAnsi="宋体" w:cs="楷体"/>
          <w:kern w:val="0"/>
        </w:rPr>
        <w:t>HSE管理协议期限与合同期限一致,合同因故需要变更期限，本协议书与之变更至相同期限。</w:t>
      </w:r>
    </w:p>
    <w:p w14:paraId="054ED8A9">
      <w:pPr>
        <w:spacing w:before="75" w:after="75"/>
        <w:ind w:firstLine="480" w:firstLineChars="200"/>
        <w:jc w:val="left"/>
        <w:rPr>
          <w:rFonts w:ascii="宋体" w:hAnsi="宋体" w:cs="楷体"/>
          <w:kern w:val="0"/>
        </w:rPr>
      </w:pPr>
      <w:r>
        <w:rPr>
          <w:rFonts w:hint="eastAsia" w:ascii="宋体" w:hAnsi="宋体" w:cs="楷体"/>
          <w:kern w:val="0"/>
        </w:rPr>
        <w:t>三、发包人的权利和义务</w:t>
      </w:r>
    </w:p>
    <w:p w14:paraId="0BCBA776">
      <w:pPr>
        <w:spacing w:before="75" w:after="75"/>
        <w:ind w:firstLine="480" w:firstLineChars="200"/>
        <w:jc w:val="left"/>
        <w:rPr>
          <w:rFonts w:ascii="宋体" w:hAnsi="宋体" w:cs="楷体"/>
          <w:kern w:val="0"/>
        </w:rPr>
      </w:pPr>
      <w:r>
        <w:rPr>
          <w:rFonts w:ascii="宋体" w:hAnsi="宋体" w:cs="楷体"/>
          <w:kern w:val="0"/>
        </w:rPr>
        <w:t>(一)发包人的权利</w:t>
      </w:r>
    </w:p>
    <w:p w14:paraId="11C6E628">
      <w:pPr>
        <w:spacing w:before="75" w:after="75"/>
        <w:ind w:firstLine="480" w:firstLineChars="200"/>
        <w:jc w:val="left"/>
        <w:rPr>
          <w:rFonts w:ascii="宋体" w:hAnsi="宋体" w:cs="楷体"/>
          <w:kern w:val="0"/>
        </w:rPr>
      </w:pPr>
      <w:r>
        <w:rPr>
          <w:rFonts w:ascii="宋体" w:hAnsi="宋体" w:cs="楷体"/>
          <w:kern w:val="0"/>
        </w:rPr>
        <w:t>1.充分履行《安全生产法》、《中华人民共和国职业病防治法》所赋予的各种权力，有权要求承包人建立HSE管理体系、HSE组织机构、制定相适应的HSE管理制度、制定HSE作业方案，严格执行国家HSE管理的法律、法规、标准以及</w:t>
      </w:r>
      <w:r>
        <w:rPr>
          <w:rFonts w:hint="eastAsia" w:ascii="宋体" w:hAnsi="宋体" w:cs="楷体"/>
          <w:kern w:val="0"/>
        </w:rPr>
        <w:t>发包人</w:t>
      </w:r>
      <w:r>
        <w:rPr>
          <w:rFonts w:ascii="宋体" w:hAnsi="宋体" w:cs="楷体"/>
          <w:kern w:val="0"/>
        </w:rPr>
        <w:t>安全生产规章制度、HSE管理体系文件及安全操作规程，落实安全生产和职业病防治责任制、事故防范措施和应急处理预案，遵守发包人制定的HSE生产规章制度。</w:t>
      </w:r>
    </w:p>
    <w:p w14:paraId="34DF7D05">
      <w:pPr>
        <w:spacing w:before="75" w:after="75"/>
        <w:ind w:firstLine="480" w:firstLineChars="200"/>
        <w:jc w:val="left"/>
        <w:rPr>
          <w:rFonts w:ascii="宋体" w:hAnsi="宋体" w:cs="楷体"/>
          <w:kern w:val="0"/>
        </w:rPr>
      </w:pPr>
      <w:r>
        <w:rPr>
          <w:rFonts w:ascii="宋体" w:hAnsi="宋体" w:cs="楷体"/>
          <w:kern w:val="0"/>
        </w:rPr>
        <w:t>2.有权按规定对承包人HSE业绩、资质、HSE管理人员资格进行审查，并要求承包人作业人员和管理人员参加相应的HSE培训，对承包人针对工作内容实施的HSE管理体系、“HSE两书一表”和HSE工作方案进行审查、否决、要求和备案。</w:t>
      </w:r>
    </w:p>
    <w:p w14:paraId="11730552">
      <w:pPr>
        <w:spacing w:before="75" w:after="75"/>
        <w:ind w:firstLine="480" w:firstLineChars="200"/>
        <w:jc w:val="left"/>
        <w:rPr>
          <w:rFonts w:ascii="宋体" w:hAnsi="宋体" w:cs="楷体"/>
          <w:kern w:val="0"/>
        </w:rPr>
      </w:pPr>
      <w:r>
        <w:rPr>
          <w:rFonts w:ascii="宋体" w:hAnsi="宋体" w:cs="楷体"/>
          <w:kern w:val="0"/>
        </w:rPr>
        <w:t>3.有权按规定对承包人作业人员的资质、培训、技能、HSE意识等进行审查、验证、要求、备案、考核、否决。</w:t>
      </w:r>
    </w:p>
    <w:p w14:paraId="5131C5BB">
      <w:pPr>
        <w:spacing w:before="75" w:after="75"/>
        <w:ind w:firstLine="480" w:firstLineChars="200"/>
        <w:jc w:val="left"/>
        <w:rPr>
          <w:rFonts w:ascii="宋体" w:hAnsi="宋体" w:cs="楷体"/>
          <w:kern w:val="0"/>
        </w:rPr>
      </w:pPr>
      <w:r>
        <w:rPr>
          <w:rFonts w:ascii="宋体" w:hAnsi="宋体" w:cs="楷体"/>
          <w:kern w:val="0"/>
        </w:rPr>
        <w:t>4.有权按规定要求承包人提供和完善与作业项目相匹配的HSE管理设施、设备和器材，配备具有经验的HSE管理人员,根据作业现场的职业病危害识别，为其作业人员提供合格使用的个体防护用品。有权要求更换不满足要求的管理人员；有权对承包人的HSE、文明施工方面的费用使用明细进行审查。</w:t>
      </w:r>
    </w:p>
    <w:p w14:paraId="31540589">
      <w:pPr>
        <w:spacing w:before="75" w:after="75"/>
        <w:ind w:firstLine="480" w:firstLineChars="200"/>
        <w:jc w:val="left"/>
        <w:rPr>
          <w:rFonts w:ascii="宋体" w:hAnsi="宋体" w:cs="楷体"/>
          <w:kern w:val="0"/>
        </w:rPr>
      </w:pPr>
      <w:r>
        <w:rPr>
          <w:rFonts w:ascii="宋体" w:hAnsi="宋体" w:cs="楷体"/>
          <w:kern w:val="0"/>
        </w:rPr>
        <w:t xml:space="preserve">5.发包人对承包人的工作内容实行有效监督，有HSE方面的否决权。有权对承包人HSE制度执行情况和作业现场的HSE作业情况随时进行监督检查、提出保证HSE方面的要求，以及对违法、违规、违章行为进行制止、责令整改、处罚或停止作业等。 </w:t>
      </w:r>
    </w:p>
    <w:p w14:paraId="44D25B74">
      <w:pPr>
        <w:spacing w:before="75" w:after="75"/>
        <w:ind w:firstLine="480" w:firstLineChars="200"/>
        <w:jc w:val="left"/>
        <w:rPr>
          <w:rFonts w:ascii="宋体" w:hAnsi="宋体" w:cs="楷体"/>
          <w:kern w:val="0"/>
        </w:rPr>
      </w:pPr>
      <w:r>
        <w:rPr>
          <w:rFonts w:ascii="宋体" w:hAnsi="宋体" w:cs="楷体"/>
          <w:kern w:val="0"/>
        </w:rPr>
        <w:t>6.发生承包人责任事故后，发包人有权根据有关规定组织事故处理，防止事故扩大，有权参与事故的调查和按“四不放过”原则提出处理意见，有权对事故进行统计上报。</w:t>
      </w:r>
    </w:p>
    <w:p w14:paraId="0B1FBE9B">
      <w:pPr>
        <w:spacing w:before="75" w:after="75"/>
        <w:ind w:firstLine="480" w:firstLineChars="200"/>
        <w:jc w:val="left"/>
        <w:rPr>
          <w:rFonts w:ascii="宋体" w:hAnsi="宋体" w:cs="楷体"/>
          <w:kern w:val="0"/>
        </w:rPr>
      </w:pPr>
      <w:r>
        <w:rPr>
          <w:rFonts w:ascii="宋体" w:hAnsi="宋体" w:cs="楷体"/>
          <w:kern w:val="0"/>
        </w:rPr>
        <w:t xml:space="preserve"> (二)发包人的义务</w:t>
      </w:r>
    </w:p>
    <w:p w14:paraId="72B26FD7">
      <w:pPr>
        <w:spacing w:before="75" w:after="75"/>
        <w:ind w:firstLine="480" w:firstLineChars="200"/>
        <w:jc w:val="left"/>
        <w:rPr>
          <w:rFonts w:ascii="宋体" w:hAnsi="宋体" w:cs="楷体"/>
          <w:kern w:val="0"/>
        </w:rPr>
      </w:pPr>
      <w:r>
        <w:rPr>
          <w:rFonts w:ascii="宋体" w:hAnsi="宋体" w:cs="楷体"/>
          <w:kern w:val="0"/>
        </w:rPr>
        <w:t>1.认真贯彻并积极传达国家、地方政府的有关法律法规、标准规范，以及</w:t>
      </w:r>
      <w:r>
        <w:rPr>
          <w:rFonts w:hint="eastAsia" w:ascii="宋体" w:hAnsi="宋体" w:cs="楷体"/>
          <w:kern w:val="0"/>
        </w:rPr>
        <w:t>发包人各项</w:t>
      </w:r>
      <w:r>
        <w:rPr>
          <w:rFonts w:ascii="宋体" w:hAnsi="宋体" w:cs="楷体"/>
          <w:kern w:val="0"/>
        </w:rPr>
        <w:t>HSE管理规定，严格贯彻执行</w:t>
      </w:r>
      <w:r>
        <w:rPr>
          <w:rFonts w:hint="eastAsia" w:ascii="宋体" w:hAnsi="宋体" w:cs="楷体"/>
          <w:kern w:val="0"/>
        </w:rPr>
        <w:t>发包人安全生产禁令</w:t>
      </w:r>
      <w:r>
        <w:rPr>
          <w:rFonts w:ascii="宋体" w:hAnsi="宋体" w:cs="楷体"/>
          <w:kern w:val="0"/>
        </w:rPr>
        <w:t>，落实事故防范措施。</w:t>
      </w:r>
    </w:p>
    <w:p w14:paraId="1FB91EB5">
      <w:pPr>
        <w:spacing w:before="75" w:after="75"/>
        <w:ind w:firstLine="480" w:firstLineChars="200"/>
        <w:jc w:val="left"/>
        <w:rPr>
          <w:rFonts w:ascii="宋体" w:hAnsi="宋体" w:cs="楷体"/>
          <w:kern w:val="0"/>
        </w:rPr>
      </w:pPr>
      <w:r>
        <w:rPr>
          <w:rFonts w:ascii="宋体" w:hAnsi="宋体" w:cs="楷体"/>
          <w:kern w:val="0"/>
        </w:rPr>
        <w:t>2.在承包人进入施工现场前，向承包人告知并提供发包人相关的安全生产规章制度，明确施工作业区范围、安全通道和HSE要求。告知承包人施工作业区域存在的职业病危害因素和风险及防护要求。</w:t>
      </w:r>
    </w:p>
    <w:p w14:paraId="60AA6777">
      <w:pPr>
        <w:spacing w:before="75" w:after="75"/>
        <w:ind w:firstLine="480" w:firstLineChars="200"/>
        <w:jc w:val="left"/>
        <w:rPr>
          <w:rFonts w:ascii="宋体" w:hAnsi="宋体" w:cs="楷体"/>
          <w:kern w:val="0"/>
        </w:rPr>
      </w:pPr>
      <w:r>
        <w:rPr>
          <w:rFonts w:ascii="宋体" w:hAnsi="宋体" w:cs="楷体"/>
          <w:kern w:val="0"/>
        </w:rPr>
        <w:t>3.向承包人提供施工现场及相邻建（构）筑物、地下工程的有关资料。</w:t>
      </w:r>
    </w:p>
    <w:p w14:paraId="3DC4E7F2">
      <w:pPr>
        <w:spacing w:before="75" w:after="75"/>
        <w:ind w:firstLine="480" w:firstLineChars="200"/>
        <w:jc w:val="left"/>
        <w:rPr>
          <w:rFonts w:ascii="宋体" w:hAnsi="宋体" w:cs="楷体"/>
          <w:kern w:val="0"/>
        </w:rPr>
      </w:pPr>
      <w:r>
        <w:rPr>
          <w:rFonts w:ascii="宋体" w:hAnsi="宋体" w:cs="楷体"/>
          <w:kern w:val="0"/>
        </w:rPr>
        <w:t>4.根据承包人申请，进场前组织或指定单位对承包人人员进行入厂HSE教育培训，协调配合承包人开展管理人员的HSE教育培训。</w:t>
      </w:r>
    </w:p>
    <w:p w14:paraId="575D3E1D">
      <w:pPr>
        <w:spacing w:before="75" w:after="75"/>
        <w:ind w:firstLine="480" w:firstLineChars="200"/>
        <w:jc w:val="left"/>
        <w:rPr>
          <w:rFonts w:ascii="宋体" w:hAnsi="宋体" w:cs="楷体"/>
          <w:kern w:val="0"/>
        </w:rPr>
      </w:pPr>
      <w:r>
        <w:rPr>
          <w:rFonts w:ascii="宋体" w:hAnsi="宋体" w:cs="楷体"/>
          <w:kern w:val="0"/>
        </w:rPr>
        <w:t>5.对承包人提出的有关HSE要求，给予解答或协助解决，为其创造必要的安全作业条件。</w:t>
      </w:r>
    </w:p>
    <w:p w14:paraId="514130DF">
      <w:pPr>
        <w:spacing w:before="75" w:after="75"/>
        <w:ind w:firstLine="480" w:firstLineChars="200"/>
        <w:jc w:val="left"/>
        <w:rPr>
          <w:rFonts w:ascii="宋体" w:hAnsi="宋体" w:cs="楷体"/>
          <w:kern w:val="0"/>
        </w:rPr>
      </w:pPr>
      <w:r>
        <w:rPr>
          <w:rFonts w:ascii="宋体" w:hAnsi="宋体" w:cs="楷体"/>
          <w:kern w:val="0"/>
        </w:rPr>
        <w:t>6.发生事故后积极协助承包人组织抢险，防止事故扩大，按照有关规定进行上报。</w:t>
      </w:r>
    </w:p>
    <w:p w14:paraId="546D8535">
      <w:pPr>
        <w:spacing w:before="75" w:after="75"/>
        <w:ind w:firstLine="480" w:firstLineChars="200"/>
        <w:jc w:val="left"/>
        <w:rPr>
          <w:rFonts w:ascii="宋体" w:hAnsi="宋体" w:cs="楷体"/>
          <w:kern w:val="0"/>
        </w:rPr>
      </w:pPr>
      <w:r>
        <w:rPr>
          <w:rFonts w:hint="eastAsia" w:ascii="宋体" w:hAnsi="宋体" w:cs="楷体"/>
          <w:kern w:val="0"/>
        </w:rPr>
        <w:t>四、承包人的权利和义务</w:t>
      </w:r>
    </w:p>
    <w:p w14:paraId="497C010D">
      <w:pPr>
        <w:spacing w:before="75" w:after="75"/>
        <w:ind w:firstLine="480" w:firstLineChars="200"/>
        <w:jc w:val="left"/>
        <w:rPr>
          <w:rFonts w:ascii="宋体" w:hAnsi="宋体" w:cs="楷体"/>
          <w:kern w:val="0"/>
        </w:rPr>
      </w:pPr>
      <w:r>
        <w:rPr>
          <w:rFonts w:hint="eastAsia" w:ascii="宋体" w:hAnsi="宋体" w:cs="楷体"/>
          <w:kern w:val="0"/>
        </w:rPr>
        <w:t>（一）承包人的权利</w:t>
      </w:r>
    </w:p>
    <w:p w14:paraId="7504BD48">
      <w:pPr>
        <w:spacing w:before="75" w:after="75"/>
        <w:ind w:firstLine="480" w:firstLineChars="200"/>
        <w:jc w:val="left"/>
        <w:rPr>
          <w:rFonts w:ascii="宋体" w:hAnsi="宋体" w:cs="楷体"/>
          <w:kern w:val="0"/>
        </w:rPr>
      </w:pPr>
      <w:r>
        <w:rPr>
          <w:rFonts w:ascii="宋体" w:hAnsi="宋体" w:cs="楷体"/>
          <w:kern w:val="0"/>
        </w:rPr>
        <w:t>1.充分履行《安全生产法》所赋予的各种权力。</w:t>
      </w:r>
    </w:p>
    <w:p w14:paraId="03096E1A">
      <w:pPr>
        <w:spacing w:before="75" w:after="75"/>
        <w:ind w:firstLine="480" w:firstLineChars="200"/>
        <w:jc w:val="left"/>
        <w:rPr>
          <w:rFonts w:ascii="宋体" w:hAnsi="宋体" w:cs="楷体"/>
          <w:kern w:val="0"/>
        </w:rPr>
      </w:pPr>
      <w:r>
        <w:rPr>
          <w:rFonts w:ascii="宋体" w:hAnsi="宋体" w:cs="楷体"/>
          <w:kern w:val="0"/>
        </w:rPr>
        <w:t>2.有权对发包人的HSE管理工作提出合理化建议和改进意见。</w:t>
      </w:r>
    </w:p>
    <w:p w14:paraId="70B8FFD0">
      <w:pPr>
        <w:spacing w:before="75" w:after="75"/>
        <w:ind w:firstLine="480" w:firstLineChars="200"/>
        <w:jc w:val="left"/>
        <w:rPr>
          <w:rFonts w:ascii="宋体" w:hAnsi="宋体" w:cs="楷体"/>
          <w:kern w:val="0"/>
        </w:rPr>
      </w:pPr>
      <w:r>
        <w:rPr>
          <w:rFonts w:ascii="宋体" w:hAnsi="宋体" w:cs="楷体"/>
          <w:kern w:val="0"/>
        </w:rPr>
        <w:t>3.在施工作业中，对发包人违章指挥、强令冒险作业，承包人有权拒绝执行。</w:t>
      </w:r>
    </w:p>
    <w:p w14:paraId="4E4DA96D">
      <w:pPr>
        <w:spacing w:before="75" w:after="75"/>
        <w:ind w:firstLine="480" w:firstLineChars="200"/>
        <w:jc w:val="left"/>
        <w:rPr>
          <w:rFonts w:ascii="宋体" w:hAnsi="宋体" w:cs="楷体"/>
          <w:kern w:val="0"/>
        </w:rPr>
      </w:pPr>
      <w:r>
        <w:rPr>
          <w:rFonts w:ascii="宋体" w:hAnsi="宋体" w:cs="楷体"/>
          <w:kern w:val="0"/>
        </w:rPr>
        <w:t xml:space="preserve">4. </w:t>
      </w:r>
      <w:r>
        <w:rPr>
          <w:rFonts w:hint="eastAsia" w:ascii="宋体" w:hAnsi="宋体" w:cs="楷体"/>
          <w:kern w:val="0"/>
        </w:rPr>
        <w:t>发生严重危及生命安全的紧急情况及不可抗拒的自然灾害时，承包人有权采取必要的避险措施，并立即报告发包人。</w:t>
      </w:r>
    </w:p>
    <w:p w14:paraId="61032A32">
      <w:pPr>
        <w:spacing w:before="75" w:after="75"/>
        <w:ind w:firstLine="480" w:firstLineChars="200"/>
        <w:jc w:val="left"/>
        <w:rPr>
          <w:rFonts w:ascii="宋体" w:hAnsi="宋体" w:cs="楷体"/>
          <w:kern w:val="0"/>
        </w:rPr>
      </w:pPr>
      <w:r>
        <w:rPr>
          <w:rFonts w:ascii="宋体" w:hAnsi="宋体" w:cs="楷体"/>
          <w:kern w:val="0"/>
        </w:rPr>
        <w:t>5.在符合发包人、监理单位HSE有关要求、规定及协议条款的情况下，承包人可按本单位管理方式制定施工现场HSE管理细则。</w:t>
      </w:r>
    </w:p>
    <w:p w14:paraId="39196856">
      <w:pPr>
        <w:spacing w:before="75" w:after="75"/>
        <w:ind w:firstLine="480" w:firstLineChars="200"/>
        <w:jc w:val="left"/>
        <w:rPr>
          <w:rFonts w:ascii="宋体" w:hAnsi="宋体" w:cs="楷体"/>
          <w:kern w:val="0"/>
        </w:rPr>
      </w:pPr>
      <w:r>
        <w:rPr>
          <w:rFonts w:hint="eastAsia" w:ascii="宋体" w:hAnsi="宋体" w:cs="楷体"/>
          <w:kern w:val="0"/>
        </w:rPr>
        <w:t>（二）承包人的义务</w:t>
      </w:r>
    </w:p>
    <w:p w14:paraId="40D0DF92">
      <w:pPr>
        <w:spacing w:before="75" w:after="75"/>
        <w:ind w:firstLine="480" w:firstLineChars="200"/>
        <w:jc w:val="left"/>
        <w:rPr>
          <w:rFonts w:ascii="宋体" w:hAnsi="宋体" w:cs="楷体"/>
          <w:kern w:val="0"/>
        </w:rPr>
      </w:pPr>
      <w:r>
        <w:rPr>
          <w:rFonts w:ascii="宋体" w:hAnsi="宋体" w:cs="楷体"/>
          <w:kern w:val="0"/>
        </w:rPr>
        <w:t>1.建立、健全并有效实施HSE管理体系、应急管理体系，严格执行国家相关法规、标准及发包人相关管理制度要求,落实HSE责任制，符合国家相关制度、标准要求，并严格执行发包人相关的管理制度，服从发包人的HSE监督管理；承包人应与各分包商签订“安全责任书”或安全管理协议，明确安全责任及要求，并报发包人备案。</w:t>
      </w:r>
    </w:p>
    <w:p w14:paraId="3633F342">
      <w:pPr>
        <w:spacing w:before="75" w:after="75"/>
        <w:ind w:firstLine="480" w:firstLineChars="200"/>
        <w:jc w:val="left"/>
        <w:rPr>
          <w:rFonts w:ascii="宋体" w:hAnsi="宋体" w:cs="楷体"/>
          <w:kern w:val="0"/>
        </w:rPr>
      </w:pPr>
      <w:r>
        <w:rPr>
          <w:rFonts w:ascii="宋体" w:hAnsi="宋体" w:cs="楷体"/>
          <w:kern w:val="0"/>
        </w:rPr>
        <w:t>2.按照专职安全管理人员与现场从业人员数量1:50的比率，配置专职安全管理人员，设置安全管理机构。</w:t>
      </w:r>
    </w:p>
    <w:p w14:paraId="048BAB7C">
      <w:pPr>
        <w:spacing w:before="75" w:after="75"/>
        <w:ind w:firstLine="480" w:firstLineChars="200"/>
        <w:jc w:val="left"/>
        <w:rPr>
          <w:rFonts w:ascii="宋体" w:hAnsi="宋体" w:cs="楷体"/>
          <w:kern w:val="0"/>
        </w:rPr>
      </w:pPr>
      <w:r>
        <w:rPr>
          <w:rFonts w:ascii="宋体" w:hAnsi="宋体" w:cs="楷体"/>
          <w:kern w:val="0"/>
        </w:rPr>
        <w:t>3.在整个工程施工过程中，承包人应当保持安全管理人员连续稳定，承包人的主要负责人、项目负责人和专职安全生产管理人员应按照《建筑施工企业主要负责人、项目负责人和专职安全生产管理人员安全生产考核管理暂行规定》（建质[2004]59号）要求取得安全管理人员考核合格证书；如安全管理人员发生变化的，承包人应当书面报发包人审查同意。</w:t>
      </w:r>
    </w:p>
    <w:p w14:paraId="53EEF13D">
      <w:pPr>
        <w:numPr>
          <w:ilvl w:val="0"/>
          <w:numId w:val="6"/>
        </w:numPr>
        <w:spacing w:before="75" w:after="75"/>
        <w:ind w:firstLine="480" w:firstLineChars="200"/>
        <w:jc w:val="left"/>
        <w:rPr>
          <w:rFonts w:ascii="宋体" w:hAnsi="宋体" w:cs="楷体"/>
          <w:kern w:val="0"/>
        </w:rPr>
      </w:pPr>
      <w:r>
        <w:rPr>
          <w:rFonts w:hint="eastAsia" w:ascii="宋体" w:hAnsi="宋体" w:cs="楷体"/>
          <w:kern w:val="0"/>
        </w:rPr>
        <w:t>所有施工人员必须具备合法证件，国家规定的特种作业人员必须持有有效资格证书；对接触职业病危害作业人员的健康状况到有职业健康体检资质的体检机构进行职业健康体检并审查，严禁未进行职业健康体检人员和职业禁忌人员从事相关作业。对所有参加施工人员购买意外伤害保险，未购置意外伤害保险的施工人员严禁进入施工现场。</w:t>
      </w:r>
    </w:p>
    <w:p w14:paraId="7965EF10">
      <w:pPr>
        <w:numPr>
          <w:ilvl w:val="0"/>
          <w:numId w:val="6"/>
        </w:numPr>
        <w:spacing w:before="75" w:after="75"/>
        <w:ind w:firstLine="480" w:firstLineChars="200"/>
        <w:jc w:val="left"/>
        <w:rPr>
          <w:rFonts w:ascii="宋体" w:hAnsi="宋体" w:cs="楷体"/>
          <w:kern w:val="0"/>
        </w:rPr>
      </w:pPr>
      <w:r>
        <w:rPr>
          <w:rFonts w:ascii="宋体" w:hAnsi="宋体" w:cs="楷体"/>
          <w:kern w:val="0"/>
        </w:rPr>
        <w:t>5.严格落实环境保护、文明施工、安全施工措施费用，不得挪作他用或降低投入，确保现场宣传警示、环境保护、防护措施等达到发包人HSE管理要求；为己方所有工作人员配备必要的、符合国家标准、具备有效检验合格证书的适用的劳动保护用品，并确保员工正确使用。</w:t>
      </w:r>
    </w:p>
    <w:p w14:paraId="3CC2B964">
      <w:pPr>
        <w:spacing w:before="75" w:after="75"/>
        <w:ind w:firstLine="480" w:firstLineChars="200"/>
        <w:jc w:val="left"/>
        <w:rPr>
          <w:rFonts w:ascii="宋体" w:hAnsi="宋体" w:cs="楷体"/>
          <w:kern w:val="0"/>
        </w:rPr>
      </w:pPr>
      <w:r>
        <w:rPr>
          <w:rFonts w:ascii="宋体" w:hAnsi="宋体" w:cs="楷体"/>
          <w:kern w:val="0"/>
        </w:rPr>
        <w:t>6.不得使用、租赁不合格的或者技术指标和安全性能不符合国家、行业标准和发包人规定的原材料、安全防护用具、机械设备及检测仪器等。</w:t>
      </w:r>
    </w:p>
    <w:p w14:paraId="65EB50BC">
      <w:pPr>
        <w:spacing w:before="75" w:after="75"/>
        <w:ind w:firstLine="480" w:firstLineChars="200"/>
        <w:jc w:val="left"/>
        <w:rPr>
          <w:rFonts w:ascii="宋体" w:hAnsi="宋体" w:cs="楷体"/>
          <w:kern w:val="0"/>
        </w:rPr>
      </w:pPr>
      <w:r>
        <w:rPr>
          <w:rFonts w:ascii="宋体" w:hAnsi="宋体" w:cs="楷体"/>
          <w:kern w:val="0"/>
        </w:rPr>
        <w:t>7.对作业人员进行作业前及日常、专项HSE教育培训，使其具备相应的HSE意识和安全技能，并通过发包人审核；分析施工作业中HSE风险，在编制施工组织设计及施工方案时有针对性的制定相应的安全技术措施，确保满足安全施工要求；进行危险性较大的作业前应按规定编制专项施工方案，并严格按程序审查后方可作业。</w:t>
      </w:r>
    </w:p>
    <w:p w14:paraId="790B8D49">
      <w:pPr>
        <w:spacing w:before="75" w:after="75"/>
        <w:ind w:firstLine="480" w:firstLineChars="200"/>
        <w:jc w:val="left"/>
        <w:rPr>
          <w:rFonts w:ascii="宋体" w:hAnsi="宋体" w:cs="楷体"/>
          <w:kern w:val="0"/>
        </w:rPr>
      </w:pPr>
      <w:r>
        <w:rPr>
          <w:rFonts w:ascii="宋体" w:hAnsi="宋体" w:cs="楷体"/>
          <w:kern w:val="0"/>
        </w:rPr>
        <w:t>8.按周组织开展现场安全检查，及时消除现场安全隐患，并积极开展、参与发包人组织的各种HSE活动，定期向发包人汇报HSE工作开展情况。</w:t>
      </w:r>
    </w:p>
    <w:p w14:paraId="7C693800">
      <w:pPr>
        <w:spacing w:before="75" w:after="75"/>
        <w:ind w:firstLine="480" w:firstLineChars="200"/>
        <w:jc w:val="left"/>
        <w:rPr>
          <w:rFonts w:ascii="宋体" w:hAnsi="宋体" w:cs="楷体"/>
          <w:kern w:val="0"/>
        </w:rPr>
      </w:pPr>
      <w:r>
        <w:rPr>
          <w:rFonts w:ascii="宋体" w:hAnsi="宋体" w:cs="楷体"/>
          <w:kern w:val="0"/>
        </w:rPr>
        <w:t>9.发生事故时应积极抢险，避免事故进一步扩大，并按照相关规定报告事故情况；对事故造成的人员伤亡和财产损失，应及时给受害方支付相应的费用。</w:t>
      </w:r>
    </w:p>
    <w:p w14:paraId="0DD4FD27">
      <w:pPr>
        <w:spacing w:before="75" w:after="75"/>
        <w:ind w:firstLine="480" w:firstLineChars="200"/>
        <w:jc w:val="left"/>
        <w:rPr>
          <w:rFonts w:ascii="宋体" w:hAnsi="宋体" w:cs="楷体"/>
          <w:kern w:val="0"/>
        </w:rPr>
      </w:pPr>
      <w:r>
        <w:rPr>
          <w:rFonts w:ascii="宋体" w:hAnsi="宋体" w:cs="楷体"/>
          <w:kern w:val="0"/>
        </w:rPr>
        <w:t>10.针对施工现场的实际情况制定应急预案，配置足够的应急救援物资，定期组织各分包单位开展应急演练。</w:t>
      </w:r>
    </w:p>
    <w:p w14:paraId="5D20A5FD">
      <w:pPr>
        <w:spacing w:before="75" w:after="75"/>
        <w:ind w:firstLine="480" w:firstLineChars="200"/>
        <w:jc w:val="left"/>
        <w:rPr>
          <w:rFonts w:ascii="宋体" w:hAnsi="宋体" w:cs="楷体"/>
          <w:kern w:val="0"/>
        </w:rPr>
      </w:pPr>
      <w:r>
        <w:rPr>
          <w:rFonts w:ascii="宋体" w:hAnsi="宋体" w:cs="楷体"/>
          <w:kern w:val="0"/>
        </w:rPr>
        <w:t>11.对分包商HSE管理全面负责。</w:t>
      </w:r>
    </w:p>
    <w:p w14:paraId="5EEE3695">
      <w:pPr>
        <w:spacing w:before="75" w:after="75"/>
        <w:ind w:firstLine="480" w:firstLineChars="200"/>
        <w:jc w:val="left"/>
        <w:rPr>
          <w:rFonts w:ascii="宋体" w:hAnsi="宋体" w:cs="楷体"/>
          <w:kern w:val="0"/>
        </w:rPr>
      </w:pPr>
      <w:r>
        <w:rPr>
          <w:rFonts w:hint="eastAsia" w:ascii="宋体" w:hAnsi="宋体" w:cs="楷体"/>
          <w:kern w:val="0"/>
        </w:rPr>
        <w:t>五、承包人在进入施工现场前应提供以下资料，并履行相关手续：</w:t>
      </w:r>
    </w:p>
    <w:p w14:paraId="5C912DB6">
      <w:pPr>
        <w:spacing w:before="75" w:after="75"/>
        <w:ind w:firstLine="480" w:firstLineChars="200"/>
        <w:jc w:val="left"/>
        <w:rPr>
          <w:rFonts w:ascii="宋体" w:hAnsi="宋体" w:cs="楷体"/>
          <w:kern w:val="0"/>
        </w:rPr>
      </w:pPr>
      <w:r>
        <w:rPr>
          <w:rFonts w:ascii="宋体" w:hAnsi="宋体" w:cs="楷体"/>
          <w:kern w:val="0"/>
        </w:rPr>
        <w:t>1.承包人应根据发包人HSE管理要求提供施工资质、HSE资质，主要包括《安全生产许可证》、施工业绩、HSE业绩、HSE管理体系文件、HSE体系年审报告、自</w:t>
      </w:r>
      <w:r>
        <w:rPr>
          <w:rFonts w:hint="eastAsia" w:ascii="宋体" w:hAnsi="宋体" w:cs="楷体"/>
          <w:kern w:val="0"/>
        </w:rPr>
        <w:t>202</w:t>
      </w:r>
      <w:r>
        <w:rPr>
          <w:rFonts w:hint="eastAsia" w:ascii="宋体" w:hAnsi="宋体" w:cs="楷体"/>
          <w:kern w:val="0"/>
          <w:lang w:val="en-US" w:eastAsia="zh-CN"/>
        </w:rPr>
        <w:t>1</w:t>
      </w:r>
      <w:r>
        <w:rPr>
          <w:rFonts w:ascii="宋体" w:hAnsi="宋体" w:cs="楷体"/>
          <w:kern w:val="0"/>
        </w:rPr>
        <w:t>年以来至投标截止时间的事故记录、企业HSE负责人资质、项目经理资质、拟派入现场的特种作业人员的资格证、拟派入现场安全管理人员的资格证、劳保用品检验合格证明等相关资料，经发包人审查通过后，予以办理《施工资格确认书》和《HSE资格确认书》。</w:t>
      </w:r>
    </w:p>
    <w:p w14:paraId="1E34B217">
      <w:pPr>
        <w:spacing w:before="75" w:after="75"/>
        <w:ind w:firstLine="480" w:firstLineChars="200"/>
        <w:jc w:val="left"/>
        <w:rPr>
          <w:rFonts w:ascii="宋体" w:hAnsi="宋体" w:cs="楷体"/>
          <w:kern w:val="0"/>
        </w:rPr>
      </w:pPr>
      <w:r>
        <w:rPr>
          <w:rFonts w:ascii="宋体" w:hAnsi="宋体" w:cs="楷体"/>
          <w:kern w:val="0"/>
        </w:rPr>
        <w:t>2.承包人应根据发包人HSE管理要求，建立并提供HSE管理体系和应急管理体系相关文件，主要有HSE管理组织机构、HSE管理体系文件、HSE管理规章制度、HSE“两书一表”、作业危险性分析（JHA）及应急管理组织机构、应急预案等资料，经发包人组织监理单位审批后执行。</w:t>
      </w:r>
    </w:p>
    <w:p w14:paraId="1BBC8FF0">
      <w:pPr>
        <w:spacing w:before="75" w:after="75"/>
        <w:ind w:firstLine="480" w:firstLineChars="200"/>
        <w:jc w:val="left"/>
        <w:rPr>
          <w:rFonts w:ascii="宋体" w:hAnsi="宋体" w:cs="楷体"/>
          <w:kern w:val="0"/>
        </w:rPr>
      </w:pPr>
      <w:r>
        <w:rPr>
          <w:rFonts w:ascii="宋体" w:hAnsi="宋体" w:cs="楷体"/>
          <w:kern w:val="0"/>
        </w:rPr>
        <w:t xml:space="preserve">3.承包人应组织施工人员签订HSE承诺书，承诺书上应填有有效身份证号码，对无身份证人员拒绝进入施工现场；承包人应提供施工人员登记表（包括：姓名、性别、年龄、身份证号、工种、特种作业许可证号）、特种作业人员作业许可证、施工人员近期一寸免冠照片（电子版）；根据《职业病防治法》要求提供相关特种作业人员和接触职业病危害人员的职业健康体检合格证明。 </w:t>
      </w:r>
    </w:p>
    <w:p w14:paraId="68142350">
      <w:pPr>
        <w:spacing w:before="75" w:after="75"/>
        <w:ind w:firstLine="480" w:firstLineChars="200"/>
        <w:jc w:val="left"/>
        <w:rPr>
          <w:rFonts w:ascii="宋体" w:hAnsi="宋体" w:cs="楷体"/>
          <w:kern w:val="0"/>
        </w:rPr>
      </w:pPr>
      <w:r>
        <w:rPr>
          <w:rFonts w:ascii="宋体" w:hAnsi="宋体" w:cs="楷体"/>
          <w:kern w:val="0"/>
        </w:rPr>
        <w:t>4.承包人应提供主要施工设备、器具登记表（包括：设备名称、规格型号、数量、安全防护装置及防爆情况）及相应检验合格证明。提供接触职业病危害作业人员个体防护用品发放登记台账。</w:t>
      </w:r>
    </w:p>
    <w:p w14:paraId="1EBD9C11">
      <w:pPr>
        <w:spacing w:before="75" w:after="75"/>
        <w:ind w:firstLine="480" w:firstLineChars="200"/>
        <w:jc w:val="left"/>
        <w:rPr>
          <w:rFonts w:ascii="宋体" w:hAnsi="宋体" w:cs="楷体"/>
          <w:kern w:val="0"/>
        </w:rPr>
      </w:pPr>
      <w:r>
        <w:rPr>
          <w:rFonts w:ascii="宋体" w:hAnsi="宋体" w:cs="楷体"/>
          <w:kern w:val="0"/>
        </w:rPr>
        <w:t>5.承包人所有参加施工人员入场前应接受发包人、监理单位组织的职业病危害告知，安全和职业卫生防护教育培训及考核，未经安全和职业卫生防护教育培训或考试不合格人员严禁进入项目施工现场；承包人也应按规定组织其施工人员进行入场前安全和职业卫生防护教育及考核，确保施工人员满足要求。</w:t>
      </w:r>
    </w:p>
    <w:p w14:paraId="0A51583A">
      <w:pPr>
        <w:spacing w:before="75" w:after="75"/>
        <w:ind w:firstLine="480" w:firstLineChars="200"/>
        <w:jc w:val="left"/>
        <w:rPr>
          <w:rFonts w:ascii="宋体" w:hAnsi="宋体" w:cs="楷体"/>
          <w:kern w:val="0"/>
        </w:rPr>
      </w:pPr>
      <w:r>
        <w:rPr>
          <w:rFonts w:hint="eastAsia" w:ascii="宋体" w:hAnsi="宋体" w:cs="楷体"/>
          <w:kern w:val="0"/>
        </w:rPr>
        <w:t>六、事故管理</w:t>
      </w:r>
    </w:p>
    <w:p w14:paraId="40408E90">
      <w:pPr>
        <w:spacing w:before="75" w:after="75"/>
        <w:ind w:firstLine="480" w:firstLineChars="200"/>
        <w:jc w:val="left"/>
        <w:rPr>
          <w:rFonts w:ascii="宋体" w:hAnsi="宋体" w:cs="楷体"/>
          <w:kern w:val="0"/>
        </w:rPr>
      </w:pPr>
      <w:r>
        <w:rPr>
          <w:rFonts w:ascii="宋体" w:hAnsi="宋体" w:cs="楷体"/>
          <w:kern w:val="0"/>
        </w:rPr>
        <w:t>1.工程施工过程中承包人发生安全事故，除按规定上报各自的单位之外，还必须按照发包人制度，在规定的时间内，如实向发包人报告，并负责事故调查和提交事故报告，发包人协助调查。</w:t>
      </w:r>
    </w:p>
    <w:p w14:paraId="33D010A0">
      <w:pPr>
        <w:spacing w:before="75" w:after="75"/>
        <w:ind w:firstLine="480" w:firstLineChars="200"/>
        <w:jc w:val="left"/>
        <w:rPr>
          <w:rFonts w:ascii="宋体" w:hAnsi="宋体" w:cs="楷体"/>
          <w:kern w:val="0"/>
        </w:rPr>
      </w:pPr>
      <w:r>
        <w:rPr>
          <w:rFonts w:ascii="宋体" w:hAnsi="宋体" w:cs="楷体"/>
          <w:kern w:val="0"/>
        </w:rPr>
        <w:t>2.工程施工过程中承包人发生“三违”安全责任事故，造成财产和人身伤害，承包人承担全部经济责任和法律要求承担的责任，并赔偿给发包人带来的直接和间接经济损失。</w:t>
      </w:r>
    </w:p>
    <w:p w14:paraId="2D5FDD33">
      <w:pPr>
        <w:spacing w:before="75" w:after="75"/>
        <w:ind w:firstLine="480" w:firstLineChars="200"/>
        <w:jc w:val="left"/>
        <w:rPr>
          <w:rFonts w:ascii="宋体" w:hAnsi="宋体" w:cs="楷体"/>
          <w:kern w:val="0"/>
        </w:rPr>
      </w:pPr>
      <w:r>
        <w:rPr>
          <w:rFonts w:ascii="宋体" w:hAnsi="宋体" w:cs="楷体"/>
          <w:kern w:val="0"/>
        </w:rPr>
        <w:t>3.发生其它责任事故，按责任比重承担相应的经济赔偿和相应责任。</w:t>
      </w:r>
    </w:p>
    <w:p w14:paraId="239F1A17">
      <w:pPr>
        <w:spacing w:before="75" w:after="75"/>
        <w:ind w:firstLine="480" w:firstLineChars="200"/>
        <w:jc w:val="left"/>
        <w:rPr>
          <w:rFonts w:ascii="宋体" w:hAnsi="宋体" w:cs="楷体"/>
          <w:kern w:val="0"/>
        </w:rPr>
      </w:pPr>
      <w:r>
        <w:rPr>
          <w:rFonts w:ascii="宋体" w:hAnsi="宋体" w:cs="楷体"/>
          <w:kern w:val="0"/>
        </w:rPr>
        <w:t>4.发包方、承包商双方共同违约造成事故，按双方责任大小承担相应责任，并按《安全生产法》第六章法律责任有关条款规定追究有关人员责任。</w:t>
      </w:r>
    </w:p>
    <w:p w14:paraId="5B764698">
      <w:pPr>
        <w:spacing w:before="75" w:after="75"/>
        <w:ind w:firstLine="480" w:firstLineChars="200"/>
        <w:jc w:val="left"/>
        <w:rPr>
          <w:rFonts w:ascii="宋体" w:hAnsi="宋体" w:cs="楷体"/>
          <w:kern w:val="0"/>
        </w:rPr>
      </w:pPr>
      <w:r>
        <w:rPr>
          <w:rFonts w:ascii="宋体" w:hAnsi="宋体" w:cs="楷体"/>
          <w:kern w:val="0"/>
        </w:rPr>
        <w:t>5.对承包人发生事故后弄虚作假、隐瞒不报、迟报或谎报，一经查出，按有关规定从重处罚。</w:t>
      </w:r>
    </w:p>
    <w:p w14:paraId="3748B3F1">
      <w:pPr>
        <w:spacing w:before="75" w:after="75"/>
        <w:ind w:firstLine="480" w:firstLineChars="200"/>
        <w:jc w:val="left"/>
        <w:rPr>
          <w:rFonts w:ascii="宋体" w:hAnsi="宋体" w:cs="楷体"/>
          <w:kern w:val="0"/>
        </w:rPr>
      </w:pPr>
      <w:r>
        <w:rPr>
          <w:rFonts w:hint="eastAsia" w:ascii="宋体" w:hAnsi="宋体" w:cs="楷体"/>
          <w:kern w:val="0"/>
        </w:rPr>
        <w:t>七、违约责任</w:t>
      </w:r>
    </w:p>
    <w:p w14:paraId="3E196EC1">
      <w:pPr>
        <w:spacing w:before="75" w:after="75"/>
        <w:ind w:firstLine="480" w:firstLineChars="200"/>
        <w:jc w:val="left"/>
        <w:rPr>
          <w:rFonts w:ascii="宋体" w:hAnsi="宋体" w:cs="楷体"/>
          <w:kern w:val="0"/>
        </w:rPr>
      </w:pPr>
      <w:r>
        <w:rPr>
          <w:rFonts w:ascii="宋体" w:hAnsi="宋体" w:cs="楷体"/>
          <w:kern w:val="0"/>
        </w:rPr>
        <w:t>1.承包人违反本协议要求，未造成事故时，依据协议约定对承包人进行处理(包括通报批评、警告、罚款、停工整顿和清退出场等)。</w:t>
      </w:r>
    </w:p>
    <w:p w14:paraId="3D1C8430">
      <w:pPr>
        <w:spacing w:before="75" w:after="75"/>
        <w:ind w:firstLine="480" w:firstLineChars="200"/>
        <w:jc w:val="left"/>
        <w:rPr>
          <w:rFonts w:ascii="宋体" w:hAnsi="宋体" w:cs="楷体"/>
          <w:kern w:val="0"/>
        </w:rPr>
      </w:pPr>
      <w:r>
        <w:rPr>
          <w:rFonts w:ascii="宋体" w:hAnsi="宋体" w:cs="楷体"/>
          <w:kern w:val="0"/>
        </w:rPr>
        <w:t>2.发包人违约、违章造成的事故，发包人承担相应的责任，赔偿给承包人造成的经济损失，并按规定追究有关人员责任及上报。</w:t>
      </w:r>
    </w:p>
    <w:p w14:paraId="71FE2416">
      <w:pPr>
        <w:spacing w:before="75" w:after="75"/>
        <w:ind w:firstLine="480" w:firstLineChars="200"/>
        <w:jc w:val="left"/>
        <w:rPr>
          <w:rFonts w:ascii="宋体" w:hAnsi="宋体" w:cs="楷体"/>
          <w:kern w:val="0"/>
        </w:rPr>
      </w:pPr>
      <w:r>
        <w:rPr>
          <w:rFonts w:ascii="宋体" w:hAnsi="宋体" w:cs="楷体"/>
          <w:kern w:val="0"/>
        </w:rPr>
        <w:t>3.发生事故时，发包人、承包人双方有抢险、救灾的义务，所发生的费用由责任方承担。并按照国家规定组织事故调查，确认责任：事故报告和调查应按照国家有关规定进行。</w:t>
      </w:r>
    </w:p>
    <w:p w14:paraId="47B72C2C">
      <w:pPr>
        <w:spacing w:before="75" w:after="75"/>
        <w:ind w:firstLine="480" w:firstLineChars="200"/>
        <w:jc w:val="left"/>
        <w:rPr>
          <w:rFonts w:ascii="宋体" w:hAnsi="宋体" w:cs="楷体"/>
          <w:kern w:val="0"/>
        </w:rPr>
      </w:pPr>
      <w:r>
        <w:rPr>
          <w:rFonts w:ascii="宋体" w:hAnsi="宋体" w:cs="楷体"/>
          <w:kern w:val="0"/>
        </w:rPr>
        <w:t>4.承包人在施工期间，出现安全事故和违章行为，按以下规定处理：</w:t>
      </w:r>
    </w:p>
    <w:p w14:paraId="121E4811">
      <w:pPr>
        <w:spacing w:before="75" w:after="75"/>
        <w:ind w:firstLine="480" w:firstLineChars="200"/>
        <w:jc w:val="left"/>
        <w:rPr>
          <w:rFonts w:ascii="宋体" w:hAnsi="宋体" w:cs="楷体"/>
          <w:kern w:val="0"/>
        </w:rPr>
      </w:pPr>
      <w:r>
        <w:rPr>
          <w:rFonts w:ascii="宋体" w:hAnsi="宋体" w:cs="楷体"/>
          <w:kern w:val="0"/>
        </w:rPr>
        <w:t>1)事故处罚：</w:t>
      </w:r>
    </w:p>
    <w:p w14:paraId="2F29BBC0">
      <w:pPr>
        <w:spacing w:before="75" w:after="75"/>
        <w:ind w:firstLine="480" w:firstLineChars="200"/>
        <w:jc w:val="left"/>
        <w:rPr>
          <w:rFonts w:ascii="宋体" w:hAnsi="宋体" w:cs="楷体"/>
          <w:kern w:val="0"/>
        </w:rPr>
      </w:pPr>
      <w:r>
        <w:rPr>
          <w:rFonts w:hint="eastAsia" w:ascii="宋体" w:hAnsi="宋体" w:cs="楷体"/>
          <w:kern w:val="0"/>
        </w:rPr>
        <w:t>①发生上报公司级及以上事故，处以</w:t>
      </w:r>
      <w:r>
        <w:rPr>
          <w:rFonts w:ascii="宋体" w:hAnsi="宋体" w:cs="楷体"/>
          <w:kern w:val="0"/>
        </w:rPr>
        <w:t>5万至10万元违约金；</w:t>
      </w:r>
    </w:p>
    <w:p w14:paraId="682F5CC8">
      <w:pPr>
        <w:spacing w:before="75" w:after="75"/>
        <w:ind w:firstLine="480" w:firstLineChars="200"/>
        <w:jc w:val="left"/>
        <w:rPr>
          <w:rFonts w:ascii="宋体" w:hAnsi="宋体" w:cs="楷体"/>
          <w:kern w:val="0"/>
        </w:rPr>
      </w:pPr>
      <w:r>
        <w:rPr>
          <w:rFonts w:hint="eastAsia" w:ascii="宋体" w:hAnsi="宋体" w:cs="楷体"/>
          <w:kern w:val="0"/>
        </w:rPr>
        <w:t>②发生项目部级事故，处以</w:t>
      </w:r>
      <w:r>
        <w:rPr>
          <w:rFonts w:ascii="宋体" w:hAnsi="宋体" w:cs="楷体"/>
          <w:kern w:val="0"/>
        </w:rPr>
        <w:t>5000元至5万元违约金；</w:t>
      </w:r>
    </w:p>
    <w:p w14:paraId="49FCAF28">
      <w:pPr>
        <w:spacing w:before="75" w:after="75"/>
        <w:ind w:firstLine="480" w:firstLineChars="200"/>
        <w:jc w:val="left"/>
        <w:rPr>
          <w:rFonts w:ascii="宋体" w:hAnsi="宋体" w:cs="楷体"/>
          <w:kern w:val="0"/>
        </w:rPr>
      </w:pPr>
      <w:r>
        <w:rPr>
          <w:rFonts w:hint="eastAsia" w:ascii="宋体" w:hAnsi="宋体" w:cs="楷体"/>
          <w:kern w:val="0"/>
        </w:rPr>
        <w:t>③发生轻微事故或未遂事故，未及时上报项目部相应施工管理部且未按照四不放过原则进行事故处理的，处以</w:t>
      </w:r>
      <w:r>
        <w:rPr>
          <w:rFonts w:ascii="宋体" w:hAnsi="宋体" w:cs="楷体"/>
          <w:kern w:val="0"/>
        </w:rPr>
        <w:t>5000元违约金。</w:t>
      </w:r>
    </w:p>
    <w:p w14:paraId="21026677">
      <w:pPr>
        <w:spacing w:before="75" w:after="75"/>
        <w:ind w:firstLine="480" w:firstLineChars="200"/>
        <w:jc w:val="left"/>
        <w:rPr>
          <w:rFonts w:ascii="宋体" w:hAnsi="宋体" w:cs="楷体"/>
          <w:kern w:val="0"/>
        </w:rPr>
      </w:pPr>
      <w:r>
        <w:rPr>
          <w:rFonts w:ascii="宋体" w:hAnsi="宋体" w:cs="楷体"/>
          <w:kern w:val="0"/>
        </w:rPr>
        <w:t xml:space="preserve">2)管理行为处罚，承包人有下列行为的，处以5000元至1万元的违约金： </w:t>
      </w:r>
    </w:p>
    <w:p w14:paraId="40E0A570">
      <w:pPr>
        <w:spacing w:before="75" w:after="75"/>
        <w:ind w:firstLine="480" w:firstLineChars="200"/>
        <w:jc w:val="left"/>
        <w:rPr>
          <w:rFonts w:ascii="宋体" w:hAnsi="宋体" w:cs="楷体"/>
          <w:kern w:val="0"/>
        </w:rPr>
      </w:pPr>
      <w:r>
        <w:rPr>
          <w:rFonts w:hint="eastAsia" w:ascii="宋体" w:hAnsi="宋体" w:cs="楷体"/>
          <w:kern w:val="0"/>
        </w:rPr>
        <w:t>①承包人未按要求报审“两书一表”、应急预案、人员资质、设备审查表等资料，方案未通过审查即开始施工，或施工过程未严格按报审方案执行的；</w:t>
      </w:r>
    </w:p>
    <w:p w14:paraId="681B6869">
      <w:pPr>
        <w:spacing w:before="75" w:after="75"/>
        <w:ind w:firstLine="480" w:firstLineChars="200"/>
        <w:jc w:val="left"/>
        <w:rPr>
          <w:rFonts w:ascii="宋体" w:hAnsi="宋体" w:cs="楷体"/>
          <w:kern w:val="0"/>
        </w:rPr>
      </w:pPr>
      <w:r>
        <w:rPr>
          <w:rFonts w:hint="eastAsia" w:ascii="宋体" w:hAnsi="宋体" w:cs="楷体"/>
          <w:kern w:val="0"/>
        </w:rPr>
        <w:t>②承包人未按时组织月检、周检、日常巡检、</w:t>
      </w:r>
      <w:r>
        <w:rPr>
          <w:rFonts w:ascii="宋体" w:hAnsi="宋体" w:cs="楷体"/>
          <w:kern w:val="0"/>
        </w:rPr>
        <w:t>HSE会议，或检查、会议提出的问题、要求未及时整改、闭环的；</w:t>
      </w:r>
    </w:p>
    <w:p w14:paraId="203CFD97">
      <w:pPr>
        <w:spacing w:before="75" w:after="75"/>
        <w:ind w:firstLine="480" w:firstLineChars="200"/>
        <w:jc w:val="left"/>
        <w:rPr>
          <w:rFonts w:ascii="宋体" w:hAnsi="宋体" w:cs="楷体"/>
          <w:kern w:val="0"/>
        </w:rPr>
      </w:pPr>
      <w:r>
        <w:rPr>
          <w:rFonts w:hint="eastAsia" w:ascii="宋体" w:hAnsi="宋体" w:cs="楷体"/>
          <w:kern w:val="0"/>
        </w:rPr>
        <w:t>③承包人未给施工、管理人员办理保险，未对施工人员进行</w:t>
      </w:r>
      <w:r>
        <w:rPr>
          <w:rFonts w:ascii="宋体" w:hAnsi="宋体" w:cs="楷体"/>
          <w:kern w:val="0"/>
        </w:rPr>
        <w:t>HSE培训即开始施工作业的；</w:t>
      </w:r>
    </w:p>
    <w:p w14:paraId="641A2018">
      <w:pPr>
        <w:spacing w:before="75" w:after="75"/>
        <w:ind w:firstLine="480" w:firstLineChars="200"/>
        <w:jc w:val="left"/>
        <w:rPr>
          <w:rFonts w:ascii="宋体" w:hAnsi="宋体" w:cs="楷体"/>
          <w:kern w:val="0"/>
          <w:highlight w:val="none"/>
        </w:rPr>
      </w:pPr>
      <w:r>
        <w:rPr>
          <w:rFonts w:hint="eastAsia" w:ascii="宋体" w:hAnsi="宋体" w:cs="楷体"/>
          <w:kern w:val="0"/>
        </w:rPr>
        <w:t>④承包人安全防护、文明施工、安全生产、文明施工费等专项费用未专款专用的，</w:t>
      </w:r>
      <w:r>
        <w:rPr>
          <w:rFonts w:hint="eastAsia" w:ascii="宋体" w:hAnsi="宋体" w:cs="楷体"/>
          <w:kern w:val="0"/>
          <w:highlight w:val="none"/>
        </w:rPr>
        <w:t>或</w:t>
      </w:r>
      <w:r>
        <w:rPr>
          <w:rFonts w:ascii="宋体" w:hAnsi="宋体" w:cs="楷体"/>
          <w:kern w:val="0"/>
          <w:highlight w:val="none"/>
        </w:rPr>
        <w:t>HSE方面物资、人员不到位的。</w:t>
      </w:r>
    </w:p>
    <w:p w14:paraId="663255E3">
      <w:pPr>
        <w:spacing w:before="75" w:after="75"/>
        <w:ind w:firstLine="480" w:firstLineChars="200"/>
        <w:jc w:val="left"/>
        <w:rPr>
          <w:rFonts w:ascii="宋体" w:hAnsi="宋体" w:cs="楷体"/>
          <w:kern w:val="0"/>
          <w:highlight w:val="none"/>
        </w:rPr>
      </w:pPr>
      <w:r>
        <w:rPr>
          <w:rFonts w:ascii="宋体" w:hAnsi="宋体" w:cs="楷体"/>
          <w:kern w:val="0"/>
          <w:highlight w:val="none"/>
        </w:rPr>
        <w:t xml:space="preserve">3) </w:t>
      </w:r>
      <w:r>
        <w:rPr>
          <w:rFonts w:hint="eastAsia" w:ascii="宋体" w:hAnsi="宋体" w:cs="楷体"/>
          <w:kern w:val="0"/>
          <w:highlight w:val="none"/>
        </w:rPr>
        <w:t>施工行为处罚：</w:t>
      </w:r>
    </w:p>
    <w:p w14:paraId="04F9979D">
      <w:pPr>
        <w:spacing w:before="75" w:after="75"/>
        <w:ind w:firstLine="480" w:firstLineChars="200"/>
        <w:jc w:val="left"/>
        <w:rPr>
          <w:rFonts w:ascii="宋体" w:hAnsi="宋体" w:cs="楷体"/>
          <w:kern w:val="0"/>
        </w:rPr>
      </w:pPr>
      <w:r>
        <w:rPr>
          <w:rFonts w:hint="eastAsia" w:ascii="宋体" w:hAnsi="宋体" w:cs="楷体"/>
          <w:kern w:val="0"/>
        </w:rPr>
        <w:t>①承包人违反发包人安全禁令的，违禁人员清除出场并对承包人处以</w:t>
      </w:r>
      <w:r>
        <w:rPr>
          <w:rFonts w:ascii="宋体" w:hAnsi="宋体" w:cs="楷体"/>
          <w:kern w:val="0"/>
        </w:rPr>
        <w:t>5000元至1万元违约金。</w:t>
      </w:r>
    </w:p>
    <w:p w14:paraId="0D199AB5">
      <w:pPr>
        <w:spacing w:before="75" w:after="75"/>
        <w:ind w:firstLine="480" w:firstLineChars="200"/>
        <w:jc w:val="left"/>
        <w:rPr>
          <w:rFonts w:ascii="宋体" w:hAnsi="宋体" w:cs="楷体"/>
          <w:kern w:val="0"/>
        </w:rPr>
      </w:pPr>
      <w:r>
        <w:rPr>
          <w:rFonts w:hint="eastAsia" w:ascii="宋体" w:hAnsi="宋体" w:cs="楷体"/>
          <w:kern w:val="0"/>
        </w:rPr>
        <w:t>②承包人有下列行为之一的，处以</w:t>
      </w:r>
      <w:r>
        <w:rPr>
          <w:rFonts w:ascii="宋体" w:hAnsi="宋体" w:cs="楷体"/>
          <w:kern w:val="0"/>
        </w:rPr>
        <w:t xml:space="preserve">300元至3000元的违约金： </w:t>
      </w:r>
    </w:p>
    <w:p w14:paraId="4EAB2766">
      <w:pPr>
        <w:spacing w:before="75" w:after="75"/>
        <w:ind w:firstLine="480" w:firstLineChars="200"/>
        <w:jc w:val="left"/>
        <w:rPr>
          <w:rFonts w:ascii="宋体" w:hAnsi="宋体" w:cs="楷体"/>
          <w:kern w:val="0"/>
        </w:rPr>
      </w:pPr>
      <w:r>
        <w:rPr>
          <w:rFonts w:hint="eastAsia" w:ascii="宋体" w:hAnsi="宋体" w:cs="楷体"/>
          <w:kern w:val="0"/>
        </w:rPr>
        <w:t>承包人对直接作业方案或票证审批不严、监护不到位或对现场违章、违规行为未及时发现并制止的；未严格按直接作业环节管理规定要求办理作业审批的，在六级及以上大风等恶劣天气下仍进行高风险作业的；</w:t>
      </w:r>
    </w:p>
    <w:p w14:paraId="2842C88B">
      <w:pPr>
        <w:spacing w:before="75" w:after="75"/>
        <w:ind w:firstLine="480" w:firstLineChars="200"/>
        <w:jc w:val="left"/>
        <w:rPr>
          <w:rFonts w:ascii="宋体" w:hAnsi="宋体" w:cs="楷体"/>
          <w:kern w:val="0"/>
        </w:rPr>
      </w:pPr>
      <w:r>
        <w:rPr>
          <w:rFonts w:hint="eastAsia" w:ascii="宋体" w:hAnsi="宋体" w:cs="楷体"/>
          <w:kern w:val="0"/>
        </w:rPr>
        <w:t>承包人临时用电作业未严格执行“一机一闸一保护”要求的，或设备接地、漏电保护等措施不落实的，线路有破损，作业施工无监护，或监护不到位的。</w:t>
      </w:r>
    </w:p>
    <w:p w14:paraId="08824D66">
      <w:pPr>
        <w:spacing w:before="75" w:after="75"/>
        <w:ind w:firstLine="480" w:firstLineChars="200"/>
        <w:jc w:val="left"/>
        <w:rPr>
          <w:rFonts w:ascii="宋体" w:hAnsi="宋体" w:cs="楷体"/>
          <w:kern w:val="0"/>
        </w:rPr>
      </w:pPr>
      <w:r>
        <w:rPr>
          <w:rFonts w:hint="eastAsia" w:ascii="宋体" w:hAnsi="宋体" w:cs="楷体"/>
          <w:kern w:val="0"/>
        </w:rPr>
        <w:t>承包人高处作业未按要求佩戴安全带的，临边、洞口防护、警戒措施不到位的，作业区域下方未设置安全警示区域或未采取防坠落安全防护措施的；</w:t>
      </w:r>
    </w:p>
    <w:p w14:paraId="04202D12">
      <w:pPr>
        <w:spacing w:before="75" w:after="75"/>
        <w:ind w:firstLine="480" w:firstLineChars="200"/>
        <w:jc w:val="left"/>
        <w:rPr>
          <w:rFonts w:ascii="宋体" w:hAnsi="宋体" w:cs="楷体"/>
          <w:kern w:val="0"/>
        </w:rPr>
      </w:pPr>
      <w:r>
        <w:rPr>
          <w:rFonts w:hint="eastAsia" w:ascii="宋体" w:hAnsi="宋体" w:cs="楷体"/>
          <w:kern w:val="0"/>
        </w:rPr>
        <w:t>承包人吊装作业中特种作业人员（起重机械操作人员、起重指挥人员、司索人员等）无证上岗的，吊装过程无警戒、设备超载超限、监护不到位、指挥不到位的；</w:t>
      </w:r>
    </w:p>
    <w:p w14:paraId="387568CD">
      <w:pPr>
        <w:spacing w:before="75" w:after="75"/>
        <w:ind w:firstLine="480" w:firstLineChars="200"/>
        <w:jc w:val="left"/>
        <w:rPr>
          <w:rFonts w:ascii="宋体" w:hAnsi="宋体" w:cs="楷体"/>
          <w:kern w:val="0"/>
        </w:rPr>
      </w:pPr>
      <w:r>
        <w:rPr>
          <w:rFonts w:hint="eastAsia" w:ascii="宋体" w:hAnsi="宋体" w:cs="楷体"/>
          <w:kern w:val="0"/>
        </w:rPr>
        <w:t>承包人未落实项目部文明施工管理规定，未设置“七牌一图一栏”，未对施工现场进行连续围挡，安全警示标志标牌设置不到位，人员劳保配备不满足要求，未按规定足量配备消防设施、设备，违规占用应急消防通道，场地施工、生活垃圾未及时清运，物料、设备乱堆乱放的。</w:t>
      </w:r>
    </w:p>
    <w:p w14:paraId="5FA8F528">
      <w:pPr>
        <w:spacing w:before="75" w:after="75"/>
        <w:ind w:firstLine="480" w:firstLineChars="200"/>
        <w:jc w:val="left"/>
        <w:rPr>
          <w:rFonts w:ascii="宋体" w:hAnsi="宋体" w:cs="楷体"/>
          <w:kern w:val="0"/>
        </w:rPr>
      </w:pPr>
      <w:r>
        <w:rPr>
          <w:rFonts w:hint="eastAsia" w:ascii="宋体" w:hAnsi="宋体" w:cs="楷体"/>
          <w:kern w:val="0"/>
        </w:rPr>
        <w:t>承包人按照要求为作业人员配备合格适用的个体防护用品。</w:t>
      </w:r>
    </w:p>
    <w:p w14:paraId="4ED4923D">
      <w:pPr>
        <w:spacing w:before="75" w:after="75"/>
        <w:ind w:firstLine="480" w:firstLineChars="200"/>
        <w:jc w:val="left"/>
        <w:rPr>
          <w:rFonts w:ascii="宋体" w:hAnsi="宋体" w:cs="楷体"/>
          <w:kern w:val="0"/>
        </w:rPr>
      </w:pPr>
      <w:r>
        <w:rPr>
          <w:rFonts w:ascii="宋体" w:hAnsi="宋体" w:cs="楷体"/>
          <w:kern w:val="0"/>
        </w:rPr>
        <w:t>4)以上违章违规行为，如屡犯不改，再加倍扣款，或强令中止作业整改、或中止合同。</w:t>
      </w:r>
    </w:p>
    <w:p w14:paraId="433FE80E">
      <w:pPr>
        <w:spacing w:before="75" w:after="75"/>
        <w:ind w:firstLine="480" w:firstLineChars="200"/>
        <w:jc w:val="left"/>
        <w:rPr>
          <w:rFonts w:ascii="宋体" w:hAnsi="宋体" w:cs="楷体"/>
          <w:kern w:val="0"/>
        </w:rPr>
      </w:pPr>
      <w:r>
        <w:rPr>
          <w:rFonts w:ascii="宋体" w:hAnsi="宋体" w:cs="楷体"/>
          <w:kern w:val="0"/>
        </w:rPr>
        <w:t>5)对违犯本协议发生停止作业整改等处理行为，所引起工期延时等情况，承包人承担全部责任和经济损失。</w:t>
      </w:r>
    </w:p>
    <w:p w14:paraId="73E754A4">
      <w:pPr>
        <w:spacing w:before="75" w:after="75"/>
        <w:ind w:firstLine="480" w:firstLineChars="200"/>
        <w:jc w:val="left"/>
        <w:rPr>
          <w:rFonts w:ascii="宋体" w:hAnsi="宋体" w:cs="楷体"/>
          <w:kern w:val="0"/>
        </w:rPr>
      </w:pPr>
      <w:r>
        <w:rPr>
          <w:rFonts w:hint="eastAsia" w:ascii="宋体" w:hAnsi="宋体" w:cs="楷体"/>
          <w:kern w:val="0"/>
        </w:rPr>
        <w:t>八、承包人企业负责人、安全部门负责人、项目经理需在年月日前取得中石化培训合格证，若未取得，由此引起的损失由承包人负责。</w:t>
      </w:r>
    </w:p>
    <w:p w14:paraId="02E0B4BF">
      <w:pPr>
        <w:spacing w:before="75" w:after="75"/>
        <w:ind w:firstLine="480" w:firstLineChars="200"/>
        <w:jc w:val="left"/>
        <w:rPr>
          <w:rFonts w:ascii="宋体" w:hAnsi="宋体" w:cs="楷体"/>
          <w:kern w:val="0"/>
        </w:rPr>
      </w:pPr>
      <w:r>
        <w:rPr>
          <w:rFonts w:hint="eastAsia" w:ascii="宋体" w:hAnsi="宋体" w:cs="楷体"/>
          <w:kern w:val="0"/>
        </w:rPr>
        <w:t>九、本协议未尽事宜，按有关规定执行。如有争议，按照合同约定条款执行。</w:t>
      </w:r>
    </w:p>
    <w:p w14:paraId="3E39B2D9">
      <w:pPr>
        <w:spacing w:before="75" w:after="75"/>
        <w:ind w:firstLine="480" w:firstLineChars="200"/>
        <w:jc w:val="left"/>
        <w:rPr>
          <w:rFonts w:ascii="宋体" w:hAnsi="宋体" w:cs="楷体"/>
          <w:kern w:val="0"/>
        </w:rPr>
      </w:pPr>
      <w:r>
        <w:rPr>
          <w:rFonts w:hint="eastAsia" w:ascii="宋体" w:hAnsi="宋体" w:cs="楷体"/>
          <w:kern w:val="0"/>
        </w:rPr>
        <w:t>十、本协议书一式六份，发包人、承包人各持三份。</w:t>
      </w:r>
    </w:p>
    <w:p w14:paraId="7219E763">
      <w:pPr>
        <w:spacing w:before="75" w:after="75"/>
        <w:ind w:firstLine="480" w:firstLineChars="200"/>
        <w:jc w:val="left"/>
        <w:rPr>
          <w:rFonts w:ascii="宋体" w:hAnsi="宋体" w:cs="楷体"/>
          <w:kern w:val="0"/>
        </w:rPr>
      </w:pPr>
      <w:r>
        <w:rPr>
          <w:rFonts w:hint="eastAsia" w:ascii="宋体" w:hAnsi="宋体" w:cs="楷体"/>
          <w:kern w:val="0"/>
        </w:rPr>
        <w:t>十一、本协议自发包人、承包人双方代表签字后生效。</w:t>
      </w:r>
    </w:p>
    <w:p w14:paraId="43B2AB64">
      <w:pPr>
        <w:spacing w:before="75" w:after="75"/>
        <w:jc w:val="left"/>
        <w:rPr>
          <w:rFonts w:ascii="宋体" w:hAnsi="宋体" w:cs="楷体"/>
          <w:kern w:val="0"/>
        </w:rPr>
      </w:pPr>
    </w:p>
    <w:p w14:paraId="22952709">
      <w:pPr>
        <w:spacing w:before="75" w:after="75"/>
        <w:jc w:val="left"/>
        <w:rPr>
          <w:rFonts w:ascii="宋体" w:hAnsi="宋体" w:cs="楷体"/>
          <w:kern w:val="0"/>
        </w:rPr>
      </w:pPr>
      <w:r>
        <w:rPr>
          <w:rFonts w:hint="eastAsia" w:ascii="宋体" w:hAnsi="宋体" w:cs="楷体"/>
          <w:kern w:val="0"/>
        </w:rPr>
        <w:t>发包人：（盖章）</w:t>
      </w:r>
      <w:r>
        <w:rPr>
          <w:rFonts w:ascii="宋体" w:hAnsi="宋体" w:cs="楷体"/>
          <w:kern w:val="0"/>
        </w:rPr>
        <w:t xml:space="preserve">                </w:t>
      </w:r>
    </w:p>
    <w:p w14:paraId="4A361AD1">
      <w:pPr>
        <w:spacing w:before="75" w:after="75"/>
        <w:jc w:val="left"/>
        <w:rPr>
          <w:rFonts w:ascii="宋体" w:hAnsi="宋体" w:cs="楷体"/>
          <w:kern w:val="0"/>
        </w:rPr>
      </w:pPr>
      <w:r>
        <w:rPr>
          <w:rFonts w:hint="eastAsia" w:ascii="宋体" w:hAnsi="宋体" w:cs="楷体"/>
          <w:kern w:val="0"/>
        </w:rPr>
        <w:t>负责人／委托代理人：</w:t>
      </w:r>
      <w:r>
        <w:rPr>
          <w:rFonts w:hint="eastAsia" w:ascii="宋体" w:hAnsi="宋体" w:cs="楷体"/>
          <w:kern w:val="0"/>
          <w:u w:val="single"/>
        </w:rPr>
        <w:t>　　　　</w:t>
      </w:r>
      <w:r>
        <w:rPr>
          <w:rFonts w:ascii="宋体" w:hAnsi="宋体" w:cs="楷体"/>
          <w:kern w:val="0"/>
          <w:u w:val="single"/>
        </w:rPr>
        <w:t xml:space="preserve">  </w:t>
      </w:r>
      <w:r>
        <w:rPr>
          <w:rFonts w:hint="eastAsia" w:ascii="宋体" w:hAnsi="宋体" w:cs="楷体"/>
          <w:kern w:val="0"/>
          <w:u w:val="single"/>
        </w:rPr>
        <w:t>　　　　</w:t>
      </w:r>
      <w:r>
        <w:rPr>
          <w:rFonts w:ascii="宋体" w:hAnsi="宋体" w:cs="楷体"/>
          <w:kern w:val="0"/>
          <w:u w:val="single"/>
        </w:rPr>
        <w:t xml:space="preserve">      </w:t>
      </w:r>
      <w:r>
        <w:rPr>
          <w:rFonts w:hint="eastAsia" w:ascii="宋体" w:hAnsi="宋体" w:cs="楷体"/>
          <w:kern w:val="0"/>
        </w:rPr>
        <w:t>（签名）　</w:t>
      </w:r>
    </w:p>
    <w:p w14:paraId="23E68985">
      <w:pPr>
        <w:spacing w:before="75" w:after="75"/>
        <w:jc w:val="left"/>
        <w:rPr>
          <w:rFonts w:ascii="宋体" w:hAnsi="宋体" w:cs="楷体"/>
          <w:kern w:val="0"/>
        </w:rPr>
      </w:pPr>
      <w:r>
        <w:rPr>
          <w:rFonts w:hint="eastAsia" w:ascii="宋体" w:hAnsi="宋体" w:cs="楷体"/>
          <w:kern w:val="0"/>
        </w:rPr>
        <w:t>年</w:t>
      </w:r>
      <w:r>
        <w:rPr>
          <w:rFonts w:ascii="宋体" w:hAnsi="宋体" w:cs="楷体"/>
          <w:kern w:val="0"/>
        </w:rPr>
        <w:t xml:space="preserve">  </w:t>
      </w:r>
      <w:r>
        <w:rPr>
          <w:rFonts w:hint="eastAsia" w:ascii="宋体" w:hAnsi="宋体" w:cs="楷体"/>
          <w:kern w:val="0"/>
        </w:rPr>
        <w:t>月</w:t>
      </w:r>
      <w:r>
        <w:rPr>
          <w:rFonts w:ascii="宋体" w:hAnsi="宋体" w:cs="楷体"/>
          <w:kern w:val="0"/>
        </w:rPr>
        <w:t xml:space="preserve">  </w:t>
      </w:r>
      <w:r>
        <w:rPr>
          <w:rFonts w:hint="eastAsia" w:ascii="宋体" w:hAnsi="宋体" w:cs="楷体"/>
          <w:kern w:val="0"/>
        </w:rPr>
        <w:t>日</w:t>
      </w:r>
    </w:p>
    <w:p w14:paraId="2EF9569F">
      <w:pPr>
        <w:spacing w:before="75" w:after="75"/>
        <w:jc w:val="left"/>
        <w:rPr>
          <w:rFonts w:ascii="宋体" w:hAnsi="宋体" w:cs="楷体"/>
          <w:kern w:val="0"/>
        </w:rPr>
      </w:pPr>
    </w:p>
    <w:p w14:paraId="7C31CC03">
      <w:pPr>
        <w:spacing w:before="75" w:after="75"/>
        <w:jc w:val="left"/>
        <w:rPr>
          <w:rFonts w:ascii="宋体" w:hAnsi="宋体" w:cs="楷体"/>
          <w:kern w:val="0"/>
        </w:rPr>
      </w:pPr>
      <w:r>
        <w:rPr>
          <w:rFonts w:hint="eastAsia" w:ascii="宋体" w:hAnsi="宋体" w:cs="楷体"/>
          <w:kern w:val="0"/>
        </w:rPr>
        <w:t>承包人：（盖章）</w:t>
      </w:r>
      <w:r>
        <w:rPr>
          <w:rFonts w:ascii="宋体" w:hAnsi="宋体" w:cs="楷体"/>
          <w:kern w:val="0"/>
        </w:rPr>
        <w:t xml:space="preserve">                </w:t>
      </w:r>
    </w:p>
    <w:p w14:paraId="2DDD3C1D">
      <w:pPr>
        <w:spacing w:before="75" w:after="75"/>
        <w:jc w:val="left"/>
        <w:rPr>
          <w:rFonts w:ascii="宋体" w:hAnsi="宋体" w:cs="楷体"/>
          <w:kern w:val="0"/>
        </w:rPr>
      </w:pPr>
      <w:r>
        <w:rPr>
          <w:rFonts w:hint="eastAsia" w:ascii="宋体" w:hAnsi="宋体" w:cs="楷体"/>
          <w:kern w:val="0"/>
        </w:rPr>
        <w:t>负责人／委托代理人：</w:t>
      </w:r>
      <w:r>
        <w:rPr>
          <w:rFonts w:hint="eastAsia" w:ascii="宋体" w:hAnsi="宋体" w:cs="楷体"/>
          <w:kern w:val="0"/>
          <w:u w:val="single"/>
        </w:rPr>
        <w:t>　　　　</w:t>
      </w:r>
      <w:r>
        <w:rPr>
          <w:rFonts w:ascii="宋体" w:hAnsi="宋体" w:cs="楷体"/>
          <w:kern w:val="0"/>
          <w:u w:val="single"/>
        </w:rPr>
        <w:t xml:space="preserve">  </w:t>
      </w:r>
      <w:r>
        <w:rPr>
          <w:rFonts w:hint="eastAsia" w:ascii="宋体" w:hAnsi="宋体" w:cs="楷体"/>
          <w:kern w:val="0"/>
          <w:u w:val="single"/>
        </w:rPr>
        <w:t xml:space="preserve">　　　        </w:t>
      </w:r>
      <w:r>
        <w:rPr>
          <w:rFonts w:hint="eastAsia" w:ascii="宋体" w:hAnsi="宋体" w:cs="楷体"/>
          <w:kern w:val="0"/>
        </w:rPr>
        <w:t>（签名）</w:t>
      </w:r>
    </w:p>
    <w:p w14:paraId="10350125">
      <w:pPr>
        <w:spacing w:before="75" w:after="75"/>
        <w:jc w:val="left"/>
        <w:rPr>
          <w:rFonts w:ascii="宋体" w:hAnsi="宋体" w:cs="楷体"/>
          <w:kern w:val="0"/>
        </w:rPr>
      </w:pPr>
      <w:r>
        <w:rPr>
          <w:rFonts w:hint="eastAsia" w:ascii="宋体" w:hAnsi="宋体" w:cs="楷体"/>
          <w:kern w:val="0"/>
        </w:rPr>
        <w:t>年</w:t>
      </w:r>
      <w:r>
        <w:rPr>
          <w:rFonts w:ascii="宋体" w:hAnsi="宋体" w:cs="楷体"/>
          <w:kern w:val="0"/>
        </w:rPr>
        <w:t xml:space="preserve">  </w:t>
      </w:r>
      <w:r>
        <w:rPr>
          <w:rFonts w:hint="eastAsia" w:ascii="宋体" w:hAnsi="宋体" w:cs="楷体"/>
          <w:kern w:val="0"/>
        </w:rPr>
        <w:t>月</w:t>
      </w:r>
      <w:r>
        <w:rPr>
          <w:rFonts w:ascii="宋体" w:hAnsi="宋体" w:cs="楷体"/>
          <w:kern w:val="0"/>
        </w:rPr>
        <w:t xml:space="preserve">  </w:t>
      </w:r>
      <w:r>
        <w:rPr>
          <w:rFonts w:hint="eastAsia" w:ascii="宋体" w:hAnsi="宋体" w:cs="楷体"/>
          <w:kern w:val="0"/>
        </w:rPr>
        <w:t>日</w:t>
      </w:r>
    </w:p>
    <w:p w14:paraId="3CA284A7">
      <w:pPr>
        <w:spacing w:before="75" w:after="75"/>
        <w:jc w:val="left"/>
        <w:rPr>
          <w:rFonts w:ascii="宋体" w:hAnsi="宋体" w:cs="楷体"/>
          <w:kern w:val="0"/>
        </w:rPr>
      </w:pPr>
    </w:p>
    <w:p w14:paraId="2AAECC6C">
      <w:pPr>
        <w:spacing w:before="75" w:after="75"/>
        <w:jc w:val="left"/>
        <w:rPr>
          <w:rFonts w:ascii="宋体" w:hAnsi="宋体" w:cs="楷体"/>
          <w:kern w:val="0"/>
        </w:rPr>
      </w:pPr>
    </w:p>
    <w:p w14:paraId="3A5A7438">
      <w:pPr>
        <w:spacing w:before="75" w:after="75"/>
        <w:jc w:val="left"/>
        <w:rPr>
          <w:rFonts w:ascii="宋体" w:hAnsi="宋体" w:cs="楷体"/>
          <w:kern w:val="0"/>
        </w:rPr>
      </w:pPr>
    </w:p>
    <w:p w14:paraId="26516BB7">
      <w:pPr>
        <w:spacing w:before="75" w:after="75"/>
        <w:jc w:val="left"/>
        <w:rPr>
          <w:rFonts w:ascii="宋体" w:hAnsi="宋体" w:cs="楷体"/>
          <w:kern w:val="0"/>
        </w:rPr>
      </w:pPr>
      <w:r>
        <w:rPr>
          <w:rFonts w:ascii="宋体" w:hAnsi="宋体" w:cs="楷体"/>
          <w:kern w:val="0"/>
        </w:rPr>
        <w:t> </w:t>
      </w:r>
    </w:p>
    <w:p w14:paraId="6E5C7032">
      <w:pPr>
        <w:jc w:val="left"/>
        <w:rPr>
          <w:rFonts w:ascii="宋体" w:hAnsi="宋体" w:cs="Arial"/>
        </w:rPr>
      </w:pPr>
      <w:r>
        <w:rPr>
          <w:rFonts w:ascii="宋体" w:hAnsi="宋体" w:cs="Arial"/>
        </w:rPr>
        <w:br w:type="page"/>
      </w:r>
      <w:r>
        <w:rPr>
          <w:rFonts w:hint="eastAsia" w:ascii="宋体" w:hAnsi="宋体" w:cs="Arial"/>
        </w:rPr>
        <w:t>附件</w:t>
      </w:r>
      <w:r>
        <w:rPr>
          <w:rFonts w:ascii="宋体" w:hAnsi="宋体" w:cs="Arial"/>
        </w:rPr>
        <w:t>10：</w:t>
      </w:r>
      <w:bookmarkEnd w:id="958"/>
      <w:r>
        <w:rPr>
          <w:rFonts w:hint="eastAsia" w:ascii="宋体" w:hAnsi="宋体" w:cs="Arial"/>
        </w:rPr>
        <w:t>履约保函</w:t>
      </w:r>
      <w:bookmarkEnd w:id="959"/>
    </w:p>
    <w:p w14:paraId="6A5E5FB7">
      <w:pPr>
        <w:snapToGrid w:val="0"/>
        <w:spacing w:after="360" w:afterLines="150"/>
        <w:jc w:val="center"/>
        <w:rPr>
          <w:rFonts w:ascii="宋体" w:hAnsi="宋体" w:cs="Arial"/>
          <w:b/>
          <w:sz w:val="30"/>
          <w:szCs w:val="30"/>
        </w:rPr>
      </w:pPr>
    </w:p>
    <w:p w14:paraId="04473280">
      <w:pPr>
        <w:snapToGrid w:val="0"/>
        <w:spacing w:after="360" w:afterLines="150"/>
        <w:jc w:val="center"/>
        <w:rPr>
          <w:rFonts w:ascii="宋体" w:hAnsi="宋体" w:cs="Arial"/>
          <w:b/>
          <w:sz w:val="30"/>
          <w:szCs w:val="30"/>
        </w:rPr>
      </w:pPr>
      <w:r>
        <w:rPr>
          <w:rFonts w:ascii="宋体" w:hAnsi="宋体" w:cs="Arial"/>
          <w:b/>
          <w:sz w:val="30"/>
          <w:szCs w:val="30"/>
        </w:rPr>
        <w:t>履约保函</w:t>
      </w:r>
    </w:p>
    <w:p w14:paraId="34B0ABC7">
      <w:pPr>
        <w:snapToGrid w:val="0"/>
        <w:rPr>
          <w:rFonts w:ascii="宋体" w:hAnsi="宋体"/>
          <w:u w:val="single"/>
        </w:rPr>
      </w:pPr>
      <w:r>
        <w:rPr>
          <w:rFonts w:ascii="宋体" w:hAnsi="宋体"/>
        </w:rPr>
        <w:t>致：</w:t>
      </w:r>
      <w:r>
        <w:rPr>
          <w:rFonts w:hint="eastAsia" w:ascii="宋体" w:hAnsi="宋体"/>
        </w:rPr>
        <w:t>（发包人名称）</w:t>
      </w:r>
    </w:p>
    <w:p w14:paraId="3BD82CEA">
      <w:pPr>
        <w:snapToGrid w:val="0"/>
        <w:ind w:firstLine="480" w:firstLineChars="200"/>
        <w:jc w:val="left"/>
        <w:rPr>
          <w:rFonts w:ascii="宋体" w:hAnsi="宋体"/>
        </w:rPr>
      </w:pPr>
      <w:r>
        <w:rPr>
          <w:rFonts w:ascii="宋体" w:hAnsi="宋体"/>
        </w:rPr>
        <w:t>鉴于</w:t>
      </w:r>
      <w:r>
        <w:rPr>
          <w:rFonts w:hint="eastAsia" w:ascii="宋体" w:hAnsi="宋体"/>
        </w:rPr>
        <w:t>（成交人名称）（以下称“承包人”）</w:t>
      </w:r>
      <w:r>
        <w:rPr>
          <w:rFonts w:ascii="宋体" w:hAnsi="宋体"/>
        </w:rPr>
        <w:t>和贵方于</w:t>
      </w:r>
      <w:r>
        <w:rPr>
          <w:rFonts w:ascii="宋体" w:hAnsi="宋体" w:cs="Arial"/>
        </w:rPr>
        <w:t>xxxx年xx月xx日</w:t>
      </w:r>
      <w:r>
        <w:rPr>
          <w:rFonts w:ascii="宋体" w:hAnsi="宋体"/>
        </w:rPr>
        <w:t>签订了</w:t>
      </w:r>
      <w:r>
        <w:rPr>
          <w:rFonts w:hint="eastAsia" w:ascii="宋体" w:hAnsi="宋体"/>
          <w:u w:val="single"/>
        </w:rPr>
        <w:t>广澳高速中山服务区西区加油站重建项</w:t>
      </w:r>
      <w:r>
        <w:rPr>
          <w:rFonts w:hint="eastAsia" w:ascii="宋体" w:hAnsi="宋体"/>
          <w:highlight w:val="none"/>
          <w:u w:val="single"/>
        </w:rPr>
        <w:t>目土建工程</w:t>
      </w:r>
      <w:r>
        <w:rPr>
          <w:rFonts w:hint="eastAsia" w:ascii="宋体" w:hAnsi="宋体"/>
        </w:rPr>
        <w:t>（工程名称）施工合同，</w:t>
      </w:r>
      <w:r>
        <w:rPr>
          <w:rFonts w:ascii="宋体" w:hAnsi="宋体"/>
        </w:rPr>
        <w:t>承担履行该</w:t>
      </w:r>
      <w:r>
        <w:rPr>
          <w:rFonts w:hint="eastAsia" w:ascii="宋体" w:hAnsi="宋体"/>
        </w:rPr>
        <w:t>合同</w:t>
      </w:r>
      <w:r>
        <w:rPr>
          <w:rFonts w:ascii="宋体" w:hAnsi="宋体"/>
        </w:rPr>
        <w:t>规定的全部义务，以及上述</w:t>
      </w:r>
      <w:r>
        <w:rPr>
          <w:rFonts w:hint="eastAsia" w:ascii="宋体" w:hAnsi="宋体"/>
        </w:rPr>
        <w:t>合同</w:t>
      </w:r>
      <w:r>
        <w:rPr>
          <w:rFonts w:ascii="宋体" w:hAnsi="宋体"/>
        </w:rPr>
        <w:t>中要求</w:t>
      </w:r>
      <w:r>
        <w:rPr>
          <w:rFonts w:hint="eastAsia" w:ascii="宋体" w:hAnsi="宋体"/>
        </w:rPr>
        <w:t>承包人</w:t>
      </w:r>
      <w:r>
        <w:rPr>
          <w:rFonts w:ascii="宋体" w:hAnsi="宋体"/>
        </w:rPr>
        <w:t>提交银行出据的下述金额的保函，作为</w:t>
      </w:r>
      <w:r>
        <w:rPr>
          <w:rFonts w:hint="eastAsia" w:ascii="宋体" w:hAnsi="宋体"/>
        </w:rPr>
        <w:t>承包人</w:t>
      </w:r>
      <w:r>
        <w:rPr>
          <w:rFonts w:ascii="宋体" w:hAnsi="宋体"/>
        </w:rPr>
        <w:t>履行本</w:t>
      </w:r>
      <w:r>
        <w:rPr>
          <w:rFonts w:hint="eastAsia" w:ascii="宋体" w:hAnsi="宋体"/>
        </w:rPr>
        <w:t>合同</w:t>
      </w:r>
      <w:r>
        <w:rPr>
          <w:rFonts w:ascii="宋体" w:hAnsi="宋体"/>
        </w:rPr>
        <w:t>的保证金，本银行同意为承包商出具此项保函。</w:t>
      </w:r>
    </w:p>
    <w:p w14:paraId="17443898">
      <w:pPr>
        <w:snapToGrid w:val="0"/>
        <w:ind w:firstLine="480" w:firstLineChars="200"/>
        <w:rPr>
          <w:rFonts w:ascii="宋体" w:hAnsi="宋体"/>
        </w:rPr>
      </w:pPr>
      <w:r>
        <w:rPr>
          <w:rFonts w:ascii="宋体" w:hAnsi="宋体"/>
        </w:rPr>
        <w:t>本银行作为该</w:t>
      </w:r>
      <w:r>
        <w:rPr>
          <w:rFonts w:hint="eastAsia" w:ascii="宋体" w:hAnsi="宋体"/>
        </w:rPr>
        <w:t>合同</w:t>
      </w:r>
      <w:r>
        <w:rPr>
          <w:rFonts w:ascii="宋体" w:hAnsi="宋体"/>
        </w:rPr>
        <w:t>的担保人，代表</w:t>
      </w:r>
      <w:r>
        <w:rPr>
          <w:rFonts w:hint="eastAsia" w:ascii="宋体" w:hAnsi="宋体"/>
        </w:rPr>
        <w:t>承包人</w:t>
      </w:r>
      <w:r>
        <w:rPr>
          <w:rFonts w:ascii="宋体" w:hAnsi="宋体"/>
        </w:rPr>
        <w:t>承担着向贵方支付人民币</w:t>
      </w:r>
      <w:r>
        <w:rPr>
          <w:rFonts w:hint="eastAsia" w:ascii="宋体" w:hAnsi="宋体"/>
        </w:rPr>
        <w:t>（</w:t>
      </w:r>
      <w:r>
        <w:rPr>
          <w:rFonts w:ascii="宋体" w:hAnsi="宋体"/>
        </w:rPr>
        <w:t>大写</w:t>
      </w:r>
      <w:r>
        <w:rPr>
          <w:rFonts w:hint="eastAsia" w:ascii="宋体" w:hAnsi="宋体"/>
        </w:rPr>
        <w:t>）</w:t>
      </w:r>
      <w:r>
        <w:rPr>
          <w:rFonts w:ascii="宋体" w:hAnsi="宋体"/>
        </w:rPr>
        <w:t>xxx万元</w:t>
      </w:r>
      <w:r>
        <w:rPr>
          <w:rFonts w:hint="eastAsia" w:ascii="宋体" w:hAnsi="宋体"/>
        </w:rPr>
        <w:t>（¥</w:t>
      </w:r>
      <w:r>
        <w:rPr>
          <w:rFonts w:ascii="宋体" w:hAnsi="宋体"/>
        </w:rPr>
        <w:t>xxxxxxx）的责任。当</w:t>
      </w:r>
      <w:r>
        <w:rPr>
          <w:rFonts w:hint="eastAsia" w:ascii="宋体" w:hAnsi="宋体"/>
        </w:rPr>
        <w:t>承包人</w:t>
      </w:r>
      <w:r>
        <w:rPr>
          <w:rFonts w:ascii="宋体" w:hAnsi="宋体"/>
        </w:rPr>
        <w:t>在履行合同中，由于违约造成贵方经济损失，贵方以书面文件提出要求得到上述金额内的任何付款时，本银行即</w:t>
      </w:r>
      <w:r>
        <w:rPr>
          <w:rFonts w:hint="eastAsia" w:ascii="宋体" w:hAnsi="宋体"/>
        </w:rPr>
        <w:t>无条件且不可撤销地</w:t>
      </w:r>
      <w:r>
        <w:rPr>
          <w:rFonts w:ascii="宋体" w:hAnsi="宋体"/>
        </w:rPr>
        <w:t>给予支付，不挑剔、不争辩，也不要求贵方出据证明或说明背景或理由。</w:t>
      </w:r>
    </w:p>
    <w:p w14:paraId="0AB4ED19">
      <w:pPr>
        <w:snapToGrid w:val="0"/>
        <w:ind w:firstLine="480" w:firstLineChars="200"/>
        <w:rPr>
          <w:rFonts w:ascii="宋体" w:hAnsi="宋体"/>
        </w:rPr>
      </w:pPr>
      <w:r>
        <w:rPr>
          <w:rFonts w:ascii="宋体" w:hAnsi="宋体"/>
        </w:rPr>
        <w:t>本银行放弃贵方应先向</w:t>
      </w:r>
      <w:r>
        <w:rPr>
          <w:rFonts w:hint="eastAsia" w:ascii="宋体" w:hAnsi="宋体"/>
        </w:rPr>
        <w:t>承包人</w:t>
      </w:r>
      <w:r>
        <w:rPr>
          <w:rFonts w:ascii="宋体" w:hAnsi="宋体"/>
        </w:rPr>
        <w:t>要求赔偿上述金额然后再向本银行提出要求的权利。</w:t>
      </w:r>
    </w:p>
    <w:p w14:paraId="24712D9E">
      <w:pPr>
        <w:snapToGrid w:val="0"/>
        <w:ind w:firstLine="480" w:firstLineChars="200"/>
        <w:rPr>
          <w:rFonts w:ascii="宋体" w:hAnsi="宋体"/>
        </w:rPr>
      </w:pPr>
      <w:r>
        <w:rPr>
          <w:rFonts w:ascii="宋体" w:hAnsi="宋体"/>
        </w:rPr>
        <w:t>本银行进一步同意贵方与</w:t>
      </w:r>
      <w:r>
        <w:rPr>
          <w:rFonts w:hint="eastAsia" w:ascii="宋体" w:hAnsi="宋体"/>
        </w:rPr>
        <w:t>承包人</w:t>
      </w:r>
      <w:r>
        <w:rPr>
          <w:rFonts w:ascii="宋体" w:hAnsi="宋体"/>
        </w:rPr>
        <w:t>之间的</w:t>
      </w:r>
      <w:r>
        <w:rPr>
          <w:rFonts w:hint="eastAsia" w:ascii="宋体" w:hAnsi="宋体"/>
        </w:rPr>
        <w:t>合同</w:t>
      </w:r>
      <w:r>
        <w:rPr>
          <w:rFonts w:ascii="宋体" w:hAnsi="宋体"/>
        </w:rPr>
        <w:t>条件，</w:t>
      </w:r>
      <w:r>
        <w:rPr>
          <w:rFonts w:hint="eastAsia" w:ascii="宋体" w:hAnsi="宋体"/>
        </w:rPr>
        <w:t>合同</w:t>
      </w:r>
      <w:r>
        <w:rPr>
          <w:rFonts w:ascii="宋体" w:hAnsi="宋体"/>
        </w:rPr>
        <w:t>项下的内容或</w:t>
      </w:r>
      <w:r>
        <w:rPr>
          <w:rFonts w:hint="eastAsia" w:ascii="宋体" w:hAnsi="宋体"/>
        </w:rPr>
        <w:t>合同</w:t>
      </w:r>
      <w:r>
        <w:rPr>
          <w:rFonts w:ascii="宋体" w:hAnsi="宋体"/>
        </w:rPr>
        <w:t>发生变化、补充或修改后，本银行承担保函的责任也不变，有关上述变化、补充和修改也无须通知本银行。</w:t>
      </w:r>
    </w:p>
    <w:p w14:paraId="225C1346">
      <w:pPr>
        <w:snapToGrid w:val="0"/>
        <w:ind w:firstLine="480" w:firstLineChars="200"/>
        <w:rPr>
          <w:rFonts w:ascii="宋体" w:hAnsi="宋体"/>
        </w:rPr>
      </w:pPr>
      <w:r>
        <w:rPr>
          <w:rFonts w:ascii="宋体" w:hAnsi="宋体"/>
        </w:rPr>
        <w:t>本保函在上述</w:t>
      </w:r>
      <w:r>
        <w:rPr>
          <w:rFonts w:hint="eastAsia" w:ascii="宋体" w:hAnsi="宋体"/>
        </w:rPr>
        <w:t>合同</w:t>
      </w:r>
      <w:r>
        <w:rPr>
          <w:rFonts w:ascii="宋体" w:hAnsi="宋体"/>
        </w:rPr>
        <w:t>规定的期限内一直有效。</w:t>
      </w:r>
    </w:p>
    <w:p w14:paraId="1CCB1F0E">
      <w:pPr>
        <w:snapToGrid w:val="0"/>
        <w:ind w:left="1200" w:leftChars="500"/>
        <w:rPr>
          <w:rFonts w:ascii="宋体" w:hAnsi="宋体"/>
        </w:rPr>
      </w:pPr>
    </w:p>
    <w:p w14:paraId="03374EB0">
      <w:pPr>
        <w:snapToGrid w:val="0"/>
        <w:ind w:left="1200" w:leftChars="500"/>
        <w:rPr>
          <w:rFonts w:ascii="宋体" w:hAnsi="宋体"/>
        </w:rPr>
      </w:pPr>
    </w:p>
    <w:p w14:paraId="018CE6F4">
      <w:pPr>
        <w:snapToGrid w:val="0"/>
        <w:ind w:left="1200" w:leftChars="500"/>
        <w:rPr>
          <w:rFonts w:ascii="宋体" w:hAnsi="宋体"/>
        </w:rPr>
      </w:pPr>
    </w:p>
    <w:p w14:paraId="557F4A95">
      <w:pPr>
        <w:snapToGrid w:val="0"/>
        <w:ind w:left="2160" w:leftChars="900"/>
        <w:jc w:val="right"/>
        <w:rPr>
          <w:rFonts w:ascii="宋体" w:hAnsi="宋体"/>
        </w:rPr>
      </w:pPr>
      <w:r>
        <w:rPr>
          <w:rFonts w:ascii="宋体" w:hAnsi="宋体"/>
        </w:rPr>
        <w:t>银行名称：（</w:t>
      </w:r>
      <w:r>
        <w:rPr>
          <w:rFonts w:hint="eastAsia" w:ascii="宋体" w:hAnsi="宋体"/>
        </w:rPr>
        <w:t>单位名称打印并</w:t>
      </w:r>
      <w:r>
        <w:rPr>
          <w:rFonts w:ascii="宋体" w:hAnsi="宋体"/>
        </w:rPr>
        <w:t>盖章）</w:t>
      </w:r>
    </w:p>
    <w:p w14:paraId="67FFF8F7">
      <w:pPr>
        <w:snapToGrid w:val="0"/>
        <w:ind w:left="2160" w:leftChars="900"/>
        <w:jc w:val="right"/>
        <w:rPr>
          <w:rFonts w:ascii="宋体" w:hAnsi="宋体"/>
        </w:rPr>
      </w:pPr>
      <w:r>
        <w:rPr>
          <w:rFonts w:ascii="宋体" w:hAnsi="宋体"/>
        </w:rPr>
        <w:t>法定代表人：（签字</w:t>
      </w:r>
      <w:r>
        <w:rPr>
          <w:rFonts w:hint="eastAsia" w:ascii="宋体" w:hAnsi="宋体"/>
        </w:rPr>
        <w:t>和</w:t>
      </w:r>
      <w:r>
        <w:rPr>
          <w:rFonts w:ascii="宋体" w:hAnsi="宋体"/>
        </w:rPr>
        <w:t>盖章）</w:t>
      </w:r>
    </w:p>
    <w:p w14:paraId="404092C1">
      <w:pPr>
        <w:snapToGrid w:val="0"/>
        <w:ind w:firstLine="6000" w:firstLineChars="2500"/>
        <w:rPr>
          <w:rFonts w:ascii="宋体" w:hAnsi="宋体"/>
        </w:rPr>
      </w:pPr>
      <w:r>
        <w:rPr>
          <w:rFonts w:ascii="宋体" w:hAnsi="宋体"/>
        </w:rPr>
        <w:t>银行地址：xxxxxxxx</w:t>
      </w:r>
    </w:p>
    <w:p w14:paraId="2267BA91">
      <w:pPr>
        <w:snapToGrid w:val="0"/>
        <w:ind w:firstLine="6000" w:firstLineChars="2500"/>
        <w:rPr>
          <w:rFonts w:ascii="宋体" w:hAnsi="宋体"/>
        </w:rPr>
      </w:pPr>
      <w:r>
        <w:rPr>
          <w:rFonts w:ascii="宋体" w:hAnsi="宋体"/>
        </w:rPr>
        <w:t>邮政编码：xxxxxxxx</w:t>
      </w:r>
    </w:p>
    <w:p w14:paraId="50659847">
      <w:pPr>
        <w:snapToGrid w:val="0"/>
        <w:ind w:firstLine="6000" w:firstLineChars="2500"/>
        <w:rPr>
          <w:rFonts w:ascii="宋体" w:hAnsi="宋体"/>
        </w:rPr>
      </w:pPr>
      <w:r>
        <w:rPr>
          <w:rFonts w:ascii="宋体" w:hAnsi="宋体"/>
        </w:rPr>
        <w:t>电    话：xxxxxxxx</w:t>
      </w:r>
    </w:p>
    <w:p w14:paraId="006CC233">
      <w:pPr>
        <w:snapToGrid w:val="0"/>
        <w:ind w:left="2160" w:leftChars="900" w:right="480" w:firstLine="3840" w:firstLineChars="1600"/>
        <w:rPr>
          <w:rFonts w:ascii="宋体" w:hAnsi="宋体"/>
        </w:rPr>
      </w:pPr>
      <w:r>
        <w:rPr>
          <w:rFonts w:ascii="宋体" w:hAnsi="宋体"/>
        </w:rPr>
        <w:t>日期：xxxx年xx月xx 日</w:t>
      </w:r>
    </w:p>
    <w:p w14:paraId="692D9CD4">
      <w:pPr>
        <w:spacing w:after="240" w:afterLines="100"/>
        <w:outlineLvl w:val="1"/>
        <w:rPr>
          <w:rFonts w:ascii="宋体" w:hAnsi="宋体" w:cs="Arial"/>
          <w:b/>
          <w:bCs/>
          <w:kern w:val="0"/>
          <w:szCs w:val="32"/>
        </w:rPr>
      </w:pPr>
      <w:r>
        <w:rPr>
          <w:rFonts w:ascii="宋体" w:hAnsi="宋体" w:cs="Arial"/>
          <w:b/>
          <w:bCs/>
          <w:kern w:val="0"/>
          <w:szCs w:val="32"/>
        </w:rPr>
        <w:br w:type="page"/>
      </w:r>
      <w:bookmarkStart w:id="960" w:name="_Toc410986409"/>
      <w:bookmarkStart w:id="961" w:name="_Toc439160067"/>
    </w:p>
    <w:p w14:paraId="750BC5C9">
      <w:pPr>
        <w:outlineLvl w:val="1"/>
        <w:rPr>
          <w:rFonts w:ascii="宋体" w:hAnsi="宋体" w:cs="Arial"/>
        </w:rPr>
      </w:pPr>
      <w:bookmarkStart w:id="962" w:name="_Toc27766"/>
      <w:r>
        <w:rPr>
          <w:rFonts w:hint="eastAsia" w:ascii="宋体" w:hAnsi="宋体" w:cs="Arial"/>
        </w:rPr>
        <w:t>附件</w:t>
      </w:r>
      <w:r>
        <w:rPr>
          <w:rFonts w:ascii="宋体" w:hAnsi="宋体" w:cs="Arial"/>
        </w:rPr>
        <w:t>11-1：</w:t>
      </w:r>
      <w:bookmarkEnd w:id="960"/>
      <w:r>
        <w:rPr>
          <w:rFonts w:hint="eastAsia" w:ascii="宋体" w:hAnsi="宋体" w:cs="Arial"/>
        </w:rPr>
        <w:t>承包人法定代表人身份证明书</w:t>
      </w:r>
      <w:bookmarkEnd w:id="961"/>
      <w:bookmarkEnd w:id="962"/>
    </w:p>
    <w:p w14:paraId="03DA0FEA">
      <w:pPr>
        <w:autoSpaceDE w:val="0"/>
        <w:autoSpaceDN w:val="0"/>
        <w:snapToGrid w:val="0"/>
        <w:spacing w:after="360" w:afterLines="150"/>
        <w:jc w:val="center"/>
        <w:rPr>
          <w:rFonts w:ascii="宋体" w:hAnsi="宋体"/>
          <w:b/>
          <w:bCs/>
          <w:sz w:val="30"/>
          <w:szCs w:val="30"/>
        </w:rPr>
      </w:pPr>
    </w:p>
    <w:p w14:paraId="51DA2942">
      <w:pPr>
        <w:autoSpaceDE w:val="0"/>
        <w:autoSpaceDN w:val="0"/>
        <w:snapToGrid w:val="0"/>
        <w:spacing w:after="360" w:afterLines="150"/>
        <w:jc w:val="center"/>
        <w:rPr>
          <w:rFonts w:ascii="宋体" w:hAnsi="宋体"/>
          <w:b/>
          <w:bCs/>
          <w:sz w:val="30"/>
          <w:szCs w:val="30"/>
        </w:rPr>
      </w:pPr>
      <w:r>
        <w:rPr>
          <w:rFonts w:hint="eastAsia" w:ascii="宋体" w:hAnsi="宋体"/>
          <w:b/>
          <w:bCs/>
          <w:sz w:val="30"/>
          <w:szCs w:val="30"/>
        </w:rPr>
        <w:t>承包人法定代表人身份证明书</w:t>
      </w:r>
    </w:p>
    <w:p w14:paraId="6291B3E7">
      <w:pPr>
        <w:topLinePunct/>
        <w:snapToGrid w:val="0"/>
        <w:spacing w:line="480" w:lineRule="auto"/>
        <w:ind w:firstLine="960" w:firstLineChars="400"/>
        <w:rPr>
          <w:rFonts w:ascii="宋体" w:hAnsi="宋体"/>
          <w:u w:val="single"/>
        </w:rPr>
      </w:pPr>
      <w:r>
        <w:rPr>
          <w:rFonts w:hint="eastAsia" w:ascii="宋体" w:hAnsi="宋体"/>
        </w:rPr>
        <w:t>单位名称：</w:t>
      </w:r>
      <w:r>
        <w:rPr>
          <w:rFonts w:hint="eastAsia" w:ascii="宋体" w:hAnsi="宋体"/>
          <w:u w:val="single"/>
        </w:rPr>
        <w:t xml:space="preserve">                </w:t>
      </w:r>
    </w:p>
    <w:p w14:paraId="363F1C66">
      <w:pPr>
        <w:topLinePunct/>
        <w:snapToGrid w:val="0"/>
        <w:spacing w:line="480" w:lineRule="auto"/>
        <w:ind w:firstLine="960" w:firstLineChars="400"/>
        <w:rPr>
          <w:rFonts w:ascii="宋体" w:hAnsi="宋体"/>
          <w:u w:val="single"/>
        </w:rPr>
      </w:pPr>
      <w:r>
        <w:rPr>
          <w:rFonts w:hint="eastAsia" w:ascii="宋体" w:hAnsi="宋体"/>
        </w:rPr>
        <w:t>单位性质：</w:t>
      </w:r>
      <w:r>
        <w:rPr>
          <w:rFonts w:hint="eastAsia" w:ascii="宋体" w:hAnsi="宋体"/>
          <w:u w:val="single"/>
        </w:rPr>
        <w:t xml:space="preserve">                </w:t>
      </w:r>
    </w:p>
    <w:p w14:paraId="39DAE4B7">
      <w:pPr>
        <w:topLinePunct/>
        <w:snapToGrid w:val="0"/>
        <w:spacing w:line="480" w:lineRule="auto"/>
        <w:ind w:firstLine="960" w:firstLineChars="400"/>
        <w:rPr>
          <w:rFonts w:ascii="宋体" w:hAnsi="宋体"/>
          <w:u w:val="single"/>
        </w:rPr>
      </w:pPr>
      <w:r>
        <w:rPr>
          <w:rFonts w:hint="eastAsia" w:ascii="宋体" w:hAnsi="宋体"/>
        </w:rPr>
        <w:t>地址：</w:t>
      </w:r>
      <w:r>
        <w:rPr>
          <w:rFonts w:hint="eastAsia" w:ascii="宋体" w:hAnsi="宋体"/>
          <w:u w:val="single"/>
        </w:rPr>
        <w:t xml:space="preserve">                    </w:t>
      </w:r>
    </w:p>
    <w:p w14:paraId="02CA4B33">
      <w:pPr>
        <w:topLinePunct/>
        <w:snapToGrid w:val="0"/>
        <w:spacing w:line="480" w:lineRule="auto"/>
        <w:ind w:firstLine="960" w:firstLineChars="400"/>
        <w:rPr>
          <w:rFonts w:ascii="宋体" w:hAnsi="宋体"/>
        </w:rPr>
      </w:pPr>
      <w:r>
        <w:rPr>
          <w:rFonts w:hint="eastAsia" w:ascii="宋体" w:hAnsi="宋体"/>
        </w:rPr>
        <w:t>成立时间：</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4B4E68BC">
      <w:pPr>
        <w:topLinePunct/>
        <w:snapToGrid w:val="0"/>
        <w:spacing w:line="480" w:lineRule="auto"/>
        <w:ind w:firstLine="969" w:firstLineChars="404"/>
        <w:rPr>
          <w:rFonts w:ascii="宋体" w:hAnsi="宋体"/>
          <w:u w:val="single"/>
        </w:rPr>
      </w:pPr>
      <w:r>
        <w:rPr>
          <w:rFonts w:hint="eastAsia" w:ascii="宋体" w:hAnsi="宋体"/>
        </w:rPr>
        <w:t>经营期限：</w:t>
      </w:r>
      <w:r>
        <w:rPr>
          <w:rFonts w:hint="eastAsia" w:ascii="宋体" w:hAnsi="宋体"/>
          <w:u w:val="single"/>
        </w:rPr>
        <w:t xml:space="preserve">           </w:t>
      </w:r>
      <w:r>
        <w:rPr>
          <w:rFonts w:ascii="宋体" w:hAnsi="宋体"/>
          <w:u w:val="single"/>
        </w:rPr>
        <w:tab/>
      </w:r>
    </w:p>
    <w:p w14:paraId="7D863CEF">
      <w:pPr>
        <w:topLinePunct/>
        <w:snapToGrid w:val="0"/>
        <w:spacing w:line="480" w:lineRule="auto"/>
        <w:ind w:firstLine="969" w:firstLineChars="404"/>
        <w:rPr>
          <w:rFonts w:ascii="宋体" w:hAnsi="宋体"/>
        </w:rPr>
      </w:pPr>
      <w:r>
        <w:rPr>
          <w:rFonts w:hint="eastAsia" w:ascii="宋体" w:hAnsi="宋体"/>
        </w:rPr>
        <w:t>姓名：</w:t>
      </w:r>
      <w:r>
        <w:rPr>
          <w:rFonts w:hint="eastAsia" w:ascii="宋体" w:hAnsi="宋体"/>
          <w:u w:val="single"/>
        </w:rPr>
        <w:t xml:space="preserve">        </w:t>
      </w:r>
      <w:r>
        <w:rPr>
          <w:rFonts w:ascii="宋体" w:hAnsi="宋体"/>
        </w:rPr>
        <w:t xml:space="preserve"> 身份证号：</w:t>
      </w:r>
      <w:r>
        <w:rPr>
          <w:rFonts w:hint="eastAsia" w:ascii="宋体" w:hAnsi="宋体"/>
          <w:u w:val="single"/>
        </w:rPr>
        <w:t xml:space="preserve">           </w:t>
      </w:r>
      <w:r>
        <w:rPr>
          <w:rFonts w:hint="eastAsia" w:ascii="宋体" w:hAnsi="宋体"/>
        </w:rPr>
        <w:t>系我公司的法定代表人。</w:t>
      </w:r>
    </w:p>
    <w:p w14:paraId="7EF93135">
      <w:pPr>
        <w:topLinePunct/>
        <w:snapToGrid w:val="0"/>
        <w:ind w:firstLine="610"/>
        <w:rPr>
          <w:rFonts w:ascii="宋体" w:hAnsi="宋体"/>
        </w:rPr>
      </w:pPr>
    </w:p>
    <w:p w14:paraId="55C739BB">
      <w:pPr>
        <w:topLinePunct/>
        <w:snapToGrid w:val="0"/>
        <w:ind w:firstLine="610"/>
        <w:rPr>
          <w:rFonts w:ascii="宋体" w:hAnsi="宋体"/>
        </w:rPr>
      </w:pPr>
      <w:r>
        <w:rPr>
          <w:rFonts w:hint="eastAsia" w:ascii="宋体" w:hAnsi="宋体"/>
        </w:rPr>
        <w:t>特此证明。</w:t>
      </w:r>
    </w:p>
    <w:p w14:paraId="2D358314">
      <w:pPr>
        <w:topLinePunct/>
        <w:snapToGrid w:val="0"/>
        <w:ind w:firstLine="610"/>
        <w:rPr>
          <w:rFonts w:ascii="宋体" w:hAnsi="宋体"/>
        </w:rPr>
      </w:pPr>
    </w:p>
    <w:p w14:paraId="4249162D">
      <w:pPr>
        <w:topLinePunct/>
        <w:snapToGrid w:val="0"/>
        <w:ind w:firstLine="610"/>
        <w:rPr>
          <w:rFonts w:ascii="宋体" w:hAnsi="宋体"/>
        </w:rPr>
      </w:pPr>
    </w:p>
    <w:p w14:paraId="688C7EF0">
      <w:pPr>
        <w:topLinePunct/>
        <w:snapToGrid w:val="0"/>
        <w:ind w:firstLine="610"/>
        <w:rPr>
          <w:rFonts w:ascii="宋体" w:hAnsi="宋体"/>
        </w:rPr>
      </w:pPr>
    </w:p>
    <w:p w14:paraId="330583F3">
      <w:pPr>
        <w:snapToGrid w:val="0"/>
        <w:jc w:val="right"/>
        <w:rPr>
          <w:rFonts w:ascii="宋体" w:hAnsi="宋体"/>
        </w:rPr>
      </w:pPr>
      <w:r>
        <w:rPr>
          <w:rFonts w:hint="eastAsia" w:ascii="宋体" w:hAnsi="宋体"/>
        </w:rPr>
        <w:t>承包</w:t>
      </w:r>
      <w:r>
        <w:rPr>
          <w:rFonts w:ascii="宋体" w:hAnsi="宋体"/>
        </w:rPr>
        <w:t>人</w:t>
      </w:r>
      <w:r>
        <w:rPr>
          <w:rFonts w:hint="eastAsia" w:ascii="宋体" w:hAnsi="宋体"/>
        </w:rPr>
        <w:t>：</w:t>
      </w:r>
      <w:r>
        <w:rPr>
          <w:rFonts w:ascii="宋体" w:hAnsi="宋体"/>
          <w:u w:val="single"/>
        </w:rPr>
        <w:t>（盖法人单位章）</w:t>
      </w:r>
    </w:p>
    <w:p w14:paraId="35F40F49">
      <w:pPr>
        <w:snapToGrid w:val="0"/>
        <w:ind w:firstLine="480" w:firstLineChars="200"/>
        <w:jc w:val="right"/>
        <w:rPr>
          <w:rFonts w:ascii="宋体" w:hAnsi="宋体"/>
          <w:kern w:val="0"/>
        </w:rPr>
      </w:pPr>
      <w:r>
        <w:rPr>
          <w:rFonts w:ascii="宋体" w:hAnsi="宋体"/>
          <w:kern w:val="0"/>
        </w:rPr>
        <w:t>年</w:t>
      </w:r>
      <w:r>
        <w:rPr>
          <w:rFonts w:hint="eastAsia" w:ascii="宋体" w:hAnsi="宋体"/>
          <w:kern w:val="0"/>
        </w:rPr>
        <w:t xml:space="preserve">    </w:t>
      </w:r>
      <w:r>
        <w:rPr>
          <w:rFonts w:ascii="宋体" w:hAnsi="宋体"/>
          <w:kern w:val="0"/>
        </w:rPr>
        <w:t>月</w:t>
      </w:r>
      <w:r>
        <w:rPr>
          <w:rFonts w:hint="eastAsia" w:ascii="宋体" w:hAnsi="宋体"/>
          <w:kern w:val="0"/>
        </w:rPr>
        <w:t xml:space="preserve">    </w:t>
      </w:r>
      <w:r>
        <w:rPr>
          <w:rFonts w:ascii="宋体" w:hAnsi="宋体"/>
          <w:kern w:val="0"/>
        </w:rPr>
        <w:t>日</w:t>
      </w:r>
    </w:p>
    <w:p w14:paraId="2747132C">
      <w:pPr>
        <w:snapToGrid w:val="0"/>
        <w:jc w:val="right"/>
        <w:rPr>
          <w:rFonts w:ascii="宋体" w:hAnsi="宋体"/>
        </w:rPr>
      </w:pPr>
    </w:p>
    <w:p w14:paraId="0D32B754">
      <w:pPr>
        <w:tabs>
          <w:tab w:val="left" w:pos="720"/>
          <w:tab w:val="left" w:pos="900"/>
        </w:tabs>
        <w:topLinePunct/>
        <w:snapToGrid w:val="0"/>
        <w:ind w:firstLine="480" w:firstLineChars="200"/>
        <w:rPr>
          <w:rFonts w:ascii="宋体" w:hAnsi="宋体"/>
        </w:rPr>
      </w:pPr>
      <w:r>
        <w:rPr>
          <w:rFonts w:hint="eastAsia" w:ascii="宋体" w:hAnsi="宋体"/>
        </w:rPr>
        <w:t>附：法定代表人身份证复印件</w:t>
      </w:r>
    </w:p>
    <w:p w14:paraId="6ED9F9E0">
      <w:pPr>
        <w:tabs>
          <w:tab w:val="left" w:pos="720"/>
          <w:tab w:val="left" w:pos="900"/>
        </w:tabs>
        <w:topLinePunct/>
        <w:snapToGrid w:val="0"/>
        <w:rPr>
          <w:rFonts w:ascii="宋体" w:hAnsi="宋体"/>
        </w:rPr>
      </w:pPr>
      <w:r>
        <w:rPr>
          <w:rFonts w:ascii="宋体" w:hAnsi="宋体"/>
        </w:rPr>
        <mc:AlternateContent>
          <mc:Choice Requires="wps">
            <w:drawing>
              <wp:anchor distT="0" distB="0" distL="0" distR="0" simplePos="0" relativeHeight="251659264" behindDoc="0" locked="0" layoutInCell="1" allowOverlap="1">
                <wp:simplePos x="0" y="0"/>
                <wp:positionH relativeFrom="column">
                  <wp:posOffset>3033395</wp:posOffset>
                </wp:positionH>
                <wp:positionV relativeFrom="paragraph">
                  <wp:posOffset>110490</wp:posOffset>
                </wp:positionV>
                <wp:extent cx="2771775" cy="1933575"/>
                <wp:effectExtent l="4445" t="4445" r="5080" b="5080"/>
                <wp:wrapNone/>
                <wp:docPr id="1026" name="矩形 20"/>
                <wp:cNvGraphicFramePr/>
                <a:graphic xmlns:a="http://schemas.openxmlformats.org/drawingml/2006/main">
                  <a:graphicData uri="http://schemas.microsoft.com/office/word/2010/wordprocessingShape">
                    <wps:wsp>
                      <wps:cNvSpPr/>
                      <wps:spPr>
                        <a:xfrm>
                          <a:off x="0" y="0"/>
                          <a:ext cx="2771775" cy="19335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53E17">
                            <w:pPr>
                              <w:jc w:val="center"/>
                            </w:pPr>
                          </w:p>
                          <w:p w14:paraId="623FBF6F">
                            <w:pPr>
                              <w:jc w:val="center"/>
                            </w:pPr>
                          </w:p>
                          <w:p w14:paraId="5E5736FC">
                            <w:pPr>
                              <w:jc w:val="center"/>
                            </w:pPr>
                          </w:p>
                          <w:p w14:paraId="243BD7EB">
                            <w:pPr>
                              <w:jc w:val="center"/>
                            </w:pPr>
                            <w:r>
                              <w:rPr>
                                <w:rFonts w:hint="eastAsia"/>
                              </w:rPr>
                              <w:t>法定代表人身份证背面</w:t>
                            </w:r>
                          </w:p>
                        </w:txbxContent>
                      </wps:txbx>
                      <wps:bodyPr upright="1"/>
                    </wps:wsp>
                  </a:graphicData>
                </a:graphic>
              </wp:anchor>
            </w:drawing>
          </mc:Choice>
          <mc:Fallback>
            <w:pict>
              <v:rect id="矩形 20" o:spid="_x0000_s1026" o:spt="1" style="position:absolute;left:0pt;margin-left:238.85pt;margin-top:8.7pt;height:152.25pt;width:218.25pt;z-index:251659264;mso-width-relative:page;mso-height-relative:page;" fillcolor="#FFFFFF" filled="t" stroked="t" coordsize="21600,21600" o:gfxdata="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1HYCK2AAAAAoBAAAPAAAAAAAAAAEAIAAAACIAAABkcnMv&#10;ZG93bnJldi54bWxQSwECFAAUAAAACACHTuJADg6ThAMCAAAuBAAADgAAAAAAAAABACAAAAAnAQAA&#10;ZHJzL2Uyb0RvYy54bWxQSwUGAAAAAAYABgBZAQAAnAUAAAAA&#10;">
                <v:fill on="t" focussize="0,0"/>
                <v:stroke color="#000000" joinstyle="miter"/>
                <v:imagedata o:title=""/>
                <o:lock v:ext="edit" aspectratio="f"/>
                <v:textbox>
                  <w:txbxContent>
                    <w:p w14:paraId="65D53E17">
                      <w:pPr>
                        <w:jc w:val="center"/>
                      </w:pPr>
                    </w:p>
                    <w:p w14:paraId="623FBF6F">
                      <w:pPr>
                        <w:jc w:val="center"/>
                      </w:pPr>
                    </w:p>
                    <w:p w14:paraId="5E5736FC">
                      <w:pPr>
                        <w:jc w:val="center"/>
                      </w:pPr>
                    </w:p>
                    <w:p w14:paraId="243BD7EB">
                      <w:pPr>
                        <w:jc w:val="center"/>
                      </w:pPr>
                      <w:r>
                        <w:rPr>
                          <w:rFonts w:hint="eastAsia"/>
                        </w:rPr>
                        <w:t>法定代表人身份证背面</w:t>
                      </w:r>
                    </w:p>
                  </w:txbxContent>
                </v:textbox>
              </v:rect>
            </w:pict>
          </mc:Fallback>
        </mc:AlternateContent>
      </w:r>
      <w:r>
        <w:rPr>
          <w:rFonts w:ascii="宋体" w:hAnsi="宋体"/>
        </w:rPr>
        <mc:AlternateContent>
          <mc:Choice Requires="wps">
            <w:drawing>
              <wp:anchor distT="0" distB="0" distL="0" distR="0" simplePos="0" relativeHeight="251660288" behindDoc="0" locked="0" layoutInCell="1" allowOverlap="1">
                <wp:simplePos x="0" y="0"/>
                <wp:positionH relativeFrom="column">
                  <wp:posOffset>4445</wp:posOffset>
                </wp:positionH>
                <wp:positionV relativeFrom="paragraph">
                  <wp:posOffset>110490</wp:posOffset>
                </wp:positionV>
                <wp:extent cx="2771775" cy="1933575"/>
                <wp:effectExtent l="4445" t="4445" r="5080" b="5080"/>
                <wp:wrapNone/>
                <wp:docPr id="1027" name="矩形 21"/>
                <wp:cNvGraphicFramePr/>
                <a:graphic xmlns:a="http://schemas.openxmlformats.org/drawingml/2006/main">
                  <a:graphicData uri="http://schemas.microsoft.com/office/word/2010/wordprocessingShape">
                    <wps:wsp>
                      <wps:cNvSpPr/>
                      <wps:spPr>
                        <a:xfrm>
                          <a:off x="0" y="0"/>
                          <a:ext cx="2771775" cy="19335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03387B">
                            <w:pPr>
                              <w:jc w:val="center"/>
                            </w:pPr>
                          </w:p>
                          <w:p w14:paraId="49B4BEBE">
                            <w:pPr>
                              <w:jc w:val="center"/>
                            </w:pPr>
                          </w:p>
                          <w:p w14:paraId="77C4E582">
                            <w:pPr>
                              <w:jc w:val="center"/>
                            </w:pPr>
                          </w:p>
                          <w:p w14:paraId="7267A47C">
                            <w:pPr>
                              <w:jc w:val="center"/>
                            </w:pPr>
                            <w:r>
                              <w:rPr>
                                <w:rFonts w:hint="eastAsia"/>
                              </w:rPr>
                              <w:t>法定代表人身份证正面</w:t>
                            </w:r>
                          </w:p>
                        </w:txbxContent>
                      </wps:txbx>
                      <wps:bodyPr upright="1"/>
                    </wps:wsp>
                  </a:graphicData>
                </a:graphic>
              </wp:anchor>
            </w:drawing>
          </mc:Choice>
          <mc:Fallback>
            <w:pict>
              <v:rect id="矩形 21" o:spid="_x0000_s1026" o:spt="1" style="position:absolute;left:0pt;margin-left:0.35pt;margin-top:8.7pt;height:152.25pt;width:218.25pt;z-index:251660288;mso-width-relative:page;mso-height-relative:page;" fillcolor="#FFFFFF" filled="t" stroked="t" coordsize="21600,21600" o:gfxdata="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1T89tUAAAAHAQAADwAAAAAAAAABACAAAAAiAAAAZHJzL2Rv&#10;d25yZXYueG1sUEsBAhQAFAAAAAgAh07iQF3olKIEAgAALgQAAA4AAAAAAAAAAQAgAAAAJAEAAGRy&#10;cy9lMm9Eb2MueG1sUEsFBgAAAAAGAAYAWQEAAJoFAAAAAA==&#10;">
                <v:fill on="t" focussize="0,0"/>
                <v:stroke color="#000000" joinstyle="miter"/>
                <v:imagedata o:title=""/>
                <o:lock v:ext="edit" aspectratio="f"/>
                <v:textbox>
                  <w:txbxContent>
                    <w:p w14:paraId="4303387B">
                      <w:pPr>
                        <w:jc w:val="center"/>
                      </w:pPr>
                    </w:p>
                    <w:p w14:paraId="49B4BEBE">
                      <w:pPr>
                        <w:jc w:val="center"/>
                      </w:pPr>
                    </w:p>
                    <w:p w14:paraId="77C4E582">
                      <w:pPr>
                        <w:jc w:val="center"/>
                      </w:pPr>
                    </w:p>
                    <w:p w14:paraId="7267A47C">
                      <w:pPr>
                        <w:jc w:val="center"/>
                      </w:pPr>
                      <w:r>
                        <w:rPr>
                          <w:rFonts w:hint="eastAsia"/>
                        </w:rPr>
                        <w:t>法定代表人身份证正面</w:t>
                      </w:r>
                    </w:p>
                  </w:txbxContent>
                </v:textbox>
              </v:rect>
            </w:pict>
          </mc:Fallback>
        </mc:AlternateContent>
      </w:r>
    </w:p>
    <w:p w14:paraId="5C18E624">
      <w:pPr>
        <w:tabs>
          <w:tab w:val="left" w:pos="720"/>
          <w:tab w:val="left" w:pos="900"/>
        </w:tabs>
        <w:topLinePunct/>
        <w:snapToGrid w:val="0"/>
        <w:rPr>
          <w:rFonts w:ascii="宋体" w:hAnsi="宋体"/>
        </w:rPr>
      </w:pPr>
    </w:p>
    <w:p w14:paraId="7C9C1361">
      <w:pPr>
        <w:tabs>
          <w:tab w:val="left" w:pos="720"/>
          <w:tab w:val="left" w:pos="900"/>
        </w:tabs>
        <w:topLinePunct/>
        <w:snapToGrid w:val="0"/>
        <w:rPr>
          <w:rFonts w:ascii="宋体" w:hAnsi="宋体"/>
        </w:rPr>
      </w:pPr>
    </w:p>
    <w:p w14:paraId="0D7ADCA6">
      <w:pPr>
        <w:tabs>
          <w:tab w:val="left" w:pos="720"/>
          <w:tab w:val="left" w:pos="900"/>
        </w:tabs>
        <w:topLinePunct/>
        <w:snapToGrid w:val="0"/>
        <w:rPr>
          <w:rFonts w:ascii="宋体" w:hAnsi="宋体"/>
        </w:rPr>
      </w:pPr>
    </w:p>
    <w:p w14:paraId="22F2CE7C">
      <w:pPr>
        <w:tabs>
          <w:tab w:val="left" w:pos="720"/>
          <w:tab w:val="left" w:pos="900"/>
        </w:tabs>
        <w:topLinePunct/>
        <w:snapToGrid w:val="0"/>
        <w:rPr>
          <w:rFonts w:ascii="宋体" w:hAnsi="宋体"/>
        </w:rPr>
      </w:pPr>
    </w:p>
    <w:p w14:paraId="42461686">
      <w:pPr>
        <w:tabs>
          <w:tab w:val="left" w:pos="720"/>
          <w:tab w:val="left" w:pos="900"/>
        </w:tabs>
        <w:topLinePunct/>
        <w:snapToGrid w:val="0"/>
        <w:rPr>
          <w:rFonts w:ascii="宋体" w:hAnsi="宋体"/>
        </w:rPr>
      </w:pPr>
    </w:p>
    <w:p w14:paraId="6A4B72A2">
      <w:pPr>
        <w:tabs>
          <w:tab w:val="left" w:pos="720"/>
          <w:tab w:val="left" w:pos="900"/>
        </w:tabs>
        <w:topLinePunct/>
        <w:snapToGrid w:val="0"/>
        <w:rPr>
          <w:rFonts w:ascii="宋体" w:hAnsi="宋体"/>
        </w:rPr>
      </w:pPr>
    </w:p>
    <w:p w14:paraId="5468E82C">
      <w:pPr>
        <w:rPr>
          <w:rFonts w:ascii="宋体" w:hAnsi="宋体" w:cs="Arial"/>
        </w:rPr>
      </w:pPr>
      <w:bookmarkStart w:id="963" w:name="_Toc410986410"/>
      <w:bookmarkStart w:id="964" w:name="_Toc439160068"/>
      <w:r>
        <w:rPr>
          <w:rFonts w:ascii="宋体" w:hAnsi="宋体" w:cs="Arial"/>
        </w:rPr>
        <w:br w:type="page"/>
      </w:r>
    </w:p>
    <w:p w14:paraId="63AD85D6">
      <w:pPr>
        <w:outlineLvl w:val="1"/>
        <w:rPr>
          <w:rFonts w:ascii="宋体" w:hAnsi="宋体" w:cs="Arial"/>
        </w:rPr>
      </w:pPr>
      <w:bookmarkStart w:id="965" w:name="_Toc26444"/>
      <w:r>
        <w:rPr>
          <w:rFonts w:hint="eastAsia" w:ascii="宋体" w:hAnsi="宋体" w:cs="Arial"/>
        </w:rPr>
        <w:t>附件</w:t>
      </w:r>
      <w:r>
        <w:rPr>
          <w:rFonts w:ascii="宋体" w:hAnsi="宋体" w:cs="Arial"/>
        </w:rPr>
        <w:t>11-2：</w:t>
      </w:r>
      <w:bookmarkEnd w:id="963"/>
      <w:r>
        <w:rPr>
          <w:rFonts w:hint="eastAsia" w:ascii="宋体" w:hAnsi="宋体" w:cs="Arial"/>
        </w:rPr>
        <w:t>承包人法定代表人授权委托书</w:t>
      </w:r>
      <w:bookmarkEnd w:id="964"/>
      <w:bookmarkEnd w:id="965"/>
    </w:p>
    <w:p w14:paraId="6CCD79F9">
      <w:pPr>
        <w:rPr>
          <w:rFonts w:ascii="宋体" w:hAnsi="宋体" w:cs="Arial"/>
        </w:rPr>
      </w:pPr>
    </w:p>
    <w:p w14:paraId="3D06CA36">
      <w:pPr>
        <w:autoSpaceDE w:val="0"/>
        <w:autoSpaceDN w:val="0"/>
        <w:snapToGrid w:val="0"/>
        <w:spacing w:after="360" w:afterLines="150"/>
        <w:jc w:val="center"/>
        <w:rPr>
          <w:rFonts w:ascii="宋体" w:hAnsi="宋体"/>
          <w:b/>
          <w:bCs/>
          <w:sz w:val="30"/>
          <w:szCs w:val="30"/>
        </w:rPr>
      </w:pPr>
      <w:r>
        <w:rPr>
          <w:rFonts w:hint="eastAsia" w:ascii="宋体" w:hAnsi="宋体"/>
          <w:b/>
          <w:bCs/>
          <w:sz w:val="30"/>
          <w:szCs w:val="30"/>
        </w:rPr>
        <w:t>承包人法定代表人授权委托书</w:t>
      </w:r>
    </w:p>
    <w:p w14:paraId="160EED23">
      <w:pPr>
        <w:ind w:firstLine="480" w:firstLineChars="200"/>
        <w:rPr>
          <w:rFonts w:ascii="宋体" w:hAnsi="宋体"/>
        </w:rPr>
      </w:pPr>
      <w:r>
        <w:rPr>
          <w:rFonts w:hint="eastAsia" w:ascii="宋体" w:hAnsi="宋体"/>
        </w:rPr>
        <w:t>本人系的法定代表人，现委托为我方代理人。代理人根据授权，以我方名义处理</w:t>
      </w:r>
      <w:r>
        <w:rPr>
          <w:rFonts w:hint="eastAsia" w:ascii="宋体" w:hAnsi="宋体"/>
          <w:u w:val="single"/>
        </w:rPr>
        <w:t>广澳高速中山服务区西区加油站重建项</w:t>
      </w:r>
      <w:r>
        <w:rPr>
          <w:rFonts w:hint="eastAsia" w:ascii="宋体" w:hAnsi="宋体"/>
          <w:highlight w:val="none"/>
          <w:u w:val="single"/>
        </w:rPr>
        <w:t>目土建工程</w:t>
      </w:r>
      <w:r>
        <w:rPr>
          <w:rFonts w:hint="eastAsia" w:ascii="宋体" w:hAnsi="宋体"/>
          <w:highlight w:val="none"/>
        </w:rPr>
        <w:t>（</w:t>
      </w:r>
      <w:r>
        <w:rPr>
          <w:rFonts w:hint="eastAsia" w:ascii="宋体" w:hAnsi="宋体"/>
        </w:rPr>
        <w:t>项目名称）的以下事宜，其法律后果由我方承担。</w:t>
      </w:r>
    </w:p>
    <w:p w14:paraId="3081A6B8">
      <w:pPr>
        <w:ind w:firstLine="480" w:firstLineChars="200"/>
        <w:rPr>
          <w:rFonts w:ascii="宋体" w:hAnsi="宋体"/>
        </w:rPr>
      </w:pPr>
      <w:r>
        <w:rPr>
          <w:rFonts w:hint="eastAsia" w:ascii="宋体" w:hAnsi="宋体"/>
        </w:rPr>
        <w:t>（</w:t>
      </w:r>
      <w:r>
        <w:rPr>
          <w:rFonts w:ascii="宋体" w:hAnsi="宋体"/>
        </w:rPr>
        <w:t>1）进行合同谈判；</w:t>
      </w:r>
    </w:p>
    <w:p w14:paraId="0135F6C6">
      <w:pPr>
        <w:ind w:firstLine="480" w:firstLineChars="200"/>
        <w:rPr>
          <w:rFonts w:ascii="宋体" w:hAnsi="宋体"/>
        </w:rPr>
      </w:pPr>
      <w:r>
        <w:rPr>
          <w:rFonts w:hint="eastAsia" w:ascii="宋体" w:hAnsi="宋体"/>
        </w:rPr>
        <w:t>（</w:t>
      </w:r>
      <w:r>
        <w:rPr>
          <w:rFonts w:ascii="宋体" w:hAnsi="宋体"/>
        </w:rPr>
        <w:t>2）签署合同和相关法律文件。</w:t>
      </w:r>
    </w:p>
    <w:p w14:paraId="32C74EA2">
      <w:pPr>
        <w:snapToGrid w:val="0"/>
        <w:ind w:right="50" w:firstLine="480" w:firstLineChars="200"/>
        <w:rPr>
          <w:rFonts w:ascii="宋体" w:hAnsi="宋体"/>
        </w:rPr>
      </w:pPr>
      <w:r>
        <w:rPr>
          <w:rFonts w:ascii="宋体" w:hAnsi="宋体"/>
        </w:rPr>
        <w:t>委托期限：</w:t>
      </w:r>
      <w:r>
        <w:rPr>
          <w:rFonts w:hint="eastAsia" w:ascii="宋体" w:hAnsi="宋体"/>
        </w:rPr>
        <w:t>。</w:t>
      </w:r>
    </w:p>
    <w:p w14:paraId="7FDEB766">
      <w:pPr>
        <w:snapToGrid w:val="0"/>
        <w:ind w:right="50" w:firstLine="480" w:firstLineChars="200"/>
        <w:rPr>
          <w:rFonts w:ascii="宋体" w:hAnsi="宋体"/>
        </w:rPr>
      </w:pPr>
      <w:r>
        <w:rPr>
          <w:rFonts w:hint="eastAsia" w:ascii="宋体" w:hAnsi="宋体"/>
        </w:rPr>
        <w:t>代理人无转委托权。</w:t>
      </w:r>
    </w:p>
    <w:p w14:paraId="70663BEF">
      <w:pPr>
        <w:snapToGrid w:val="0"/>
        <w:ind w:right="50" w:firstLine="480" w:firstLineChars="200"/>
        <w:rPr>
          <w:rFonts w:ascii="宋体" w:hAnsi="宋体"/>
        </w:rPr>
      </w:pPr>
    </w:p>
    <w:p w14:paraId="1FC8D6F5">
      <w:pPr>
        <w:snapToGrid w:val="0"/>
        <w:ind w:right="50" w:firstLine="480" w:firstLineChars="200"/>
        <w:rPr>
          <w:rFonts w:ascii="宋体" w:hAnsi="宋体"/>
        </w:rPr>
      </w:pPr>
    </w:p>
    <w:p w14:paraId="1B3CCE56">
      <w:pPr>
        <w:snapToGrid w:val="0"/>
        <w:ind w:right="50" w:firstLine="480" w:firstLineChars="200"/>
        <w:rPr>
          <w:rFonts w:ascii="宋体" w:hAnsi="宋体"/>
        </w:rPr>
      </w:pPr>
    </w:p>
    <w:p w14:paraId="0B6CECFF">
      <w:pPr>
        <w:snapToGrid w:val="0"/>
        <w:ind w:right="51" w:firstLine="5103"/>
        <w:jc w:val="right"/>
        <w:rPr>
          <w:rFonts w:ascii="宋体" w:hAnsi="宋体"/>
        </w:rPr>
      </w:pPr>
      <w:r>
        <w:rPr>
          <w:rFonts w:hint="eastAsia" w:ascii="宋体" w:hAnsi="宋体"/>
        </w:rPr>
        <w:t>承包人：</w:t>
      </w:r>
      <w:r>
        <w:rPr>
          <w:rFonts w:ascii="宋体" w:hAnsi="宋体"/>
        </w:rPr>
        <w:t xml:space="preserve">    （盖法人单位章）</w:t>
      </w:r>
    </w:p>
    <w:p w14:paraId="3D7EE07F">
      <w:pPr>
        <w:snapToGrid w:val="0"/>
        <w:ind w:right="51" w:firstLine="5103"/>
        <w:jc w:val="right"/>
        <w:rPr>
          <w:rFonts w:ascii="宋体" w:hAnsi="宋体"/>
        </w:rPr>
      </w:pPr>
      <w:r>
        <w:rPr>
          <w:rFonts w:hint="eastAsia" w:ascii="宋体" w:hAnsi="宋体"/>
        </w:rPr>
        <w:t>法定代表人：</w:t>
      </w:r>
      <w:r>
        <w:rPr>
          <w:rFonts w:ascii="宋体" w:hAnsi="宋体"/>
        </w:rPr>
        <w:t xml:space="preserve">        （</w:t>
      </w:r>
      <w:r>
        <w:rPr>
          <w:rFonts w:hint="eastAsia" w:ascii="宋体" w:hAnsi="宋体"/>
        </w:rPr>
        <w:t>签字）</w:t>
      </w:r>
    </w:p>
    <w:p w14:paraId="370281A6">
      <w:pPr>
        <w:snapToGrid w:val="0"/>
        <w:ind w:right="51" w:firstLine="5700" w:firstLineChars="2375"/>
        <w:rPr>
          <w:rFonts w:ascii="宋体" w:hAnsi="宋体"/>
        </w:rPr>
      </w:pPr>
      <w:r>
        <w:rPr>
          <w:rFonts w:hint="eastAsia" w:ascii="宋体" w:hAnsi="宋体"/>
        </w:rPr>
        <w:t>身份证号码：</w:t>
      </w:r>
    </w:p>
    <w:p w14:paraId="6BCC2262">
      <w:pPr>
        <w:snapToGrid w:val="0"/>
        <w:ind w:right="51" w:firstLine="5103"/>
        <w:jc w:val="right"/>
        <w:rPr>
          <w:rFonts w:ascii="宋体" w:hAnsi="宋体"/>
        </w:rPr>
      </w:pPr>
      <w:r>
        <w:rPr>
          <w:rFonts w:hint="eastAsia" w:ascii="宋体" w:hAnsi="宋体"/>
        </w:rPr>
        <w:t>委托代理人：</w:t>
      </w:r>
      <w:r>
        <w:rPr>
          <w:rFonts w:ascii="宋体" w:hAnsi="宋体"/>
        </w:rPr>
        <w:t xml:space="preserve">        （</w:t>
      </w:r>
      <w:r>
        <w:rPr>
          <w:rFonts w:hint="eastAsia" w:ascii="宋体" w:hAnsi="宋体"/>
        </w:rPr>
        <w:t>签字）</w:t>
      </w:r>
    </w:p>
    <w:p w14:paraId="12B40F67">
      <w:pPr>
        <w:snapToGrid w:val="0"/>
        <w:ind w:right="51" w:firstLine="5700" w:firstLineChars="2375"/>
        <w:rPr>
          <w:rFonts w:ascii="宋体" w:hAnsi="宋体"/>
          <w:u w:val="single"/>
        </w:rPr>
      </w:pPr>
      <w:r>
        <w:rPr>
          <w:rFonts w:hint="eastAsia" w:ascii="宋体" w:hAnsi="宋体"/>
        </w:rPr>
        <w:t>身份证号码：</w:t>
      </w:r>
    </w:p>
    <w:p w14:paraId="02F171CF">
      <w:pPr>
        <w:snapToGrid w:val="0"/>
        <w:ind w:firstLine="480" w:firstLineChars="200"/>
        <w:jc w:val="right"/>
        <w:rPr>
          <w:rFonts w:ascii="宋体" w:hAnsi="宋体"/>
          <w:kern w:val="0"/>
        </w:rPr>
      </w:pPr>
      <w:r>
        <w:rPr>
          <w:rFonts w:ascii="宋体" w:hAnsi="宋体"/>
          <w:kern w:val="0"/>
        </w:rPr>
        <w:t xml:space="preserve"> 年   </w:t>
      </w:r>
      <w:r>
        <w:rPr>
          <w:rFonts w:hint="eastAsia" w:ascii="宋体" w:hAnsi="宋体"/>
          <w:kern w:val="0"/>
        </w:rPr>
        <w:t>月</w:t>
      </w:r>
      <w:r>
        <w:rPr>
          <w:rFonts w:ascii="宋体" w:hAnsi="宋体"/>
          <w:kern w:val="0"/>
        </w:rPr>
        <w:t xml:space="preserve">   日</w:t>
      </w:r>
    </w:p>
    <w:p w14:paraId="090D5E7F">
      <w:pPr>
        <w:topLinePunct/>
        <w:snapToGrid w:val="0"/>
        <w:ind w:firstLine="480" w:firstLineChars="200"/>
        <w:jc w:val="left"/>
        <w:rPr>
          <w:rFonts w:ascii="宋体" w:hAnsi="宋体"/>
        </w:rPr>
      </w:pPr>
      <w:r>
        <w:rPr>
          <w:rFonts w:hint="eastAsia" w:ascii="宋体" w:hAnsi="宋体"/>
        </w:rPr>
        <w:t>附：委托代理人身份证复印件</w:t>
      </w:r>
    </w:p>
    <w:p w14:paraId="29738E5F">
      <w:pPr>
        <w:topLinePunct/>
        <w:snapToGrid w:val="0"/>
        <w:jc w:val="left"/>
        <w:rPr>
          <w:rFonts w:ascii="宋体" w:hAnsi="宋体"/>
        </w:rPr>
      </w:pPr>
      <w:r>
        <w:rPr>
          <w:rFonts w:ascii="宋体" w:hAnsi="宋体"/>
        </w:rPr>
        <mc:AlternateContent>
          <mc:Choice Requires="wps">
            <w:drawing>
              <wp:anchor distT="0" distB="0" distL="0" distR="0" simplePos="0" relativeHeight="251661312" behindDoc="0" locked="0" layoutInCell="1" allowOverlap="1">
                <wp:simplePos x="0" y="0"/>
                <wp:positionH relativeFrom="column">
                  <wp:posOffset>2928620</wp:posOffset>
                </wp:positionH>
                <wp:positionV relativeFrom="paragraph">
                  <wp:posOffset>75565</wp:posOffset>
                </wp:positionV>
                <wp:extent cx="2771775" cy="1933575"/>
                <wp:effectExtent l="4445" t="4445" r="5080" b="5080"/>
                <wp:wrapNone/>
                <wp:docPr id="1028" name="矩形 24"/>
                <wp:cNvGraphicFramePr/>
                <a:graphic xmlns:a="http://schemas.openxmlformats.org/drawingml/2006/main">
                  <a:graphicData uri="http://schemas.microsoft.com/office/word/2010/wordprocessingShape">
                    <wps:wsp>
                      <wps:cNvSpPr/>
                      <wps:spPr>
                        <a:xfrm>
                          <a:off x="0" y="0"/>
                          <a:ext cx="2771775" cy="19335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A70AAA">
                            <w:pPr>
                              <w:jc w:val="center"/>
                            </w:pPr>
                          </w:p>
                          <w:p w14:paraId="65985728">
                            <w:pPr>
                              <w:jc w:val="center"/>
                            </w:pPr>
                          </w:p>
                          <w:p w14:paraId="64140945">
                            <w:pPr>
                              <w:jc w:val="center"/>
                            </w:pPr>
                          </w:p>
                          <w:p w14:paraId="15F8EE15">
                            <w:pPr>
                              <w:jc w:val="center"/>
                            </w:pPr>
                            <w:r>
                              <w:rPr>
                                <w:rFonts w:hint="eastAsia"/>
                              </w:rPr>
                              <w:t>委托代理人身份证背面</w:t>
                            </w:r>
                          </w:p>
                        </w:txbxContent>
                      </wps:txbx>
                      <wps:bodyPr upright="1"/>
                    </wps:wsp>
                  </a:graphicData>
                </a:graphic>
              </wp:anchor>
            </w:drawing>
          </mc:Choice>
          <mc:Fallback>
            <w:pict>
              <v:rect id="矩形 24" o:spid="_x0000_s1026" o:spt="1" style="position:absolute;left:0pt;margin-left:230.6pt;margin-top:5.95pt;height:152.25pt;width:218.25pt;z-index:251661312;mso-width-relative:page;mso-height-relative:page;" fillcolor="#FFFFFF" filled="t" stroked="t" coordsize="21600,21600" o:gfxdata="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gY/6NgAAAAKAQAADwAAAAAAAAABACAAAAAiAAAA&#10;ZHJzL2Rvd25yZXYueG1sUEsBAhQAFAAAAAgAh07iQDYM2aYHAgAALgQAAA4AAAAAAAAAAQAgAAAA&#10;JwEAAGRycy9lMm9Eb2MueG1sUEsFBgAAAAAGAAYAWQEAAKAFAAAAAA==&#10;">
                <v:fill on="t" focussize="0,0"/>
                <v:stroke color="#000000" joinstyle="miter"/>
                <v:imagedata o:title=""/>
                <o:lock v:ext="edit" aspectratio="f"/>
                <v:textbox>
                  <w:txbxContent>
                    <w:p w14:paraId="2EA70AAA">
                      <w:pPr>
                        <w:jc w:val="center"/>
                      </w:pPr>
                    </w:p>
                    <w:p w14:paraId="65985728">
                      <w:pPr>
                        <w:jc w:val="center"/>
                      </w:pPr>
                    </w:p>
                    <w:p w14:paraId="64140945">
                      <w:pPr>
                        <w:jc w:val="center"/>
                      </w:pPr>
                    </w:p>
                    <w:p w14:paraId="15F8EE15">
                      <w:pPr>
                        <w:jc w:val="center"/>
                      </w:pPr>
                      <w:r>
                        <w:rPr>
                          <w:rFonts w:hint="eastAsia"/>
                        </w:rPr>
                        <w:t>委托代理人身份证背面</w:t>
                      </w:r>
                    </w:p>
                  </w:txbxContent>
                </v:textbox>
              </v:rect>
            </w:pict>
          </mc:Fallback>
        </mc:AlternateContent>
      </w:r>
      <w:r>
        <w:rPr>
          <w:rFonts w:ascii="宋体" w:hAnsi="宋体"/>
        </w:rPr>
        <mc:AlternateContent>
          <mc:Choice Requires="wps">
            <w:drawing>
              <wp:anchor distT="0" distB="0" distL="0" distR="0" simplePos="0" relativeHeight="251661312" behindDoc="0" locked="0" layoutInCell="1" allowOverlap="1">
                <wp:simplePos x="0" y="0"/>
                <wp:positionH relativeFrom="column">
                  <wp:posOffset>4445</wp:posOffset>
                </wp:positionH>
                <wp:positionV relativeFrom="paragraph">
                  <wp:posOffset>75565</wp:posOffset>
                </wp:positionV>
                <wp:extent cx="2771775" cy="1933575"/>
                <wp:effectExtent l="4445" t="4445" r="5080" b="5080"/>
                <wp:wrapNone/>
                <wp:docPr id="1029" name="矩形 7"/>
                <wp:cNvGraphicFramePr/>
                <a:graphic xmlns:a="http://schemas.openxmlformats.org/drawingml/2006/main">
                  <a:graphicData uri="http://schemas.microsoft.com/office/word/2010/wordprocessingShape">
                    <wps:wsp>
                      <wps:cNvSpPr/>
                      <wps:spPr>
                        <a:xfrm>
                          <a:off x="0" y="0"/>
                          <a:ext cx="2771775" cy="19335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3C9E9B">
                            <w:pPr>
                              <w:jc w:val="center"/>
                            </w:pPr>
                          </w:p>
                          <w:p w14:paraId="579407B0">
                            <w:pPr>
                              <w:jc w:val="center"/>
                            </w:pPr>
                          </w:p>
                          <w:p w14:paraId="6D655B22">
                            <w:pPr>
                              <w:jc w:val="center"/>
                            </w:pPr>
                          </w:p>
                          <w:p w14:paraId="4B7AE954">
                            <w:pPr>
                              <w:jc w:val="center"/>
                            </w:pPr>
                            <w:r>
                              <w:rPr>
                                <w:rFonts w:hint="eastAsia"/>
                              </w:rPr>
                              <w:t>委托代理人身份证正面</w:t>
                            </w:r>
                          </w:p>
                        </w:txbxContent>
                      </wps:txbx>
                      <wps:bodyPr upright="1"/>
                    </wps:wsp>
                  </a:graphicData>
                </a:graphic>
              </wp:anchor>
            </w:drawing>
          </mc:Choice>
          <mc:Fallback>
            <w:pict>
              <v:rect id="矩形 7" o:spid="_x0000_s1026" o:spt="1" style="position:absolute;left:0pt;margin-left:0.35pt;margin-top:5.95pt;height:152.25pt;width:218.25pt;z-index:251661312;mso-width-relative:page;mso-height-relative:page;" fillcolor="#FFFFFF" filled="t" stroked="t" coordsize="21600,21600" o:gfxdata="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AxY8tUAAAAHAQAADwAAAAAAAAABACAAAAAiAAAAZHJzL2Rv&#10;d25yZXYueG1sUEsBAhQAFAAAAAgAh07iQD9/w20EAgAALQQAAA4AAAAAAAAAAQAgAAAAJAEAAGRy&#10;cy9lMm9Eb2MueG1sUEsFBgAAAAAGAAYAWQEAAJoFAAAAAA==&#10;">
                <v:fill on="t" focussize="0,0"/>
                <v:stroke color="#000000" joinstyle="miter"/>
                <v:imagedata o:title=""/>
                <o:lock v:ext="edit" aspectratio="f"/>
                <v:textbox>
                  <w:txbxContent>
                    <w:p w14:paraId="583C9E9B">
                      <w:pPr>
                        <w:jc w:val="center"/>
                      </w:pPr>
                    </w:p>
                    <w:p w14:paraId="579407B0">
                      <w:pPr>
                        <w:jc w:val="center"/>
                      </w:pPr>
                    </w:p>
                    <w:p w14:paraId="6D655B22">
                      <w:pPr>
                        <w:jc w:val="center"/>
                      </w:pPr>
                    </w:p>
                    <w:p w14:paraId="4B7AE954">
                      <w:pPr>
                        <w:jc w:val="center"/>
                      </w:pPr>
                      <w:r>
                        <w:rPr>
                          <w:rFonts w:hint="eastAsia"/>
                        </w:rPr>
                        <w:t>委托代理人身份证正面</w:t>
                      </w:r>
                    </w:p>
                  </w:txbxContent>
                </v:textbox>
              </v:rect>
            </w:pict>
          </mc:Fallback>
        </mc:AlternateContent>
      </w:r>
    </w:p>
    <w:p w14:paraId="23E99AA7">
      <w:pPr>
        <w:snapToGrid w:val="0"/>
        <w:ind w:right="51" w:firstLine="482"/>
        <w:rPr>
          <w:rFonts w:ascii="宋体" w:hAnsi="宋体"/>
        </w:rPr>
      </w:pPr>
    </w:p>
    <w:p w14:paraId="59A8FA98">
      <w:pPr>
        <w:snapToGrid w:val="0"/>
        <w:rPr>
          <w:rFonts w:ascii="宋体" w:hAnsi="宋体"/>
        </w:rPr>
      </w:pPr>
    </w:p>
    <w:p w14:paraId="18B0979E">
      <w:pPr>
        <w:snapToGrid w:val="0"/>
        <w:rPr>
          <w:rFonts w:ascii="宋体" w:hAnsi="宋体"/>
        </w:rPr>
      </w:pPr>
    </w:p>
    <w:p w14:paraId="2152F22C">
      <w:pPr>
        <w:snapToGrid w:val="0"/>
        <w:rPr>
          <w:rFonts w:ascii="宋体" w:hAnsi="宋体"/>
        </w:rPr>
      </w:pPr>
    </w:p>
    <w:p w14:paraId="0D3623A2">
      <w:pPr>
        <w:snapToGrid w:val="0"/>
        <w:spacing w:line="276" w:lineRule="auto"/>
        <w:rPr>
          <w:rFonts w:ascii="宋体" w:hAnsi="宋体"/>
        </w:rPr>
      </w:pPr>
    </w:p>
    <w:p w14:paraId="1B6BCEA9">
      <w:pPr>
        <w:snapToGrid w:val="0"/>
        <w:rPr>
          <w:rFonts w:ascii="宋体" w:hAnsi="宋体"/>
        </w:rPr>
      </w:pPr>
    </w:p>
    <w:p w14:paraId="014A499A">
      <w:pPr>
        <w:snapToGrid w:val="0"/>
        <w:rPr>
          <w:rFonts w:ascii="宋体" w:hAnsi="宋体"/>
        </w:rPr>
      </w:pPr>
    </w:p>
    <w:p w14:paraId="358BBB76">
      <w:pPr>
        <w:adjustRightInd w:val="0"/>
        <w:snapToGrid w:val="0"/>
        <w:spacing w:line="276" w:lineRule="auto"/>
        <w:ind w:right="2400" w:rightChars="1000"/>
        <w:rPr>
          <w:rFonts w:ascii="宋体" w:hAnsi="宋体"/>
        </w:rPr>
        <w:sectPr>
          <w:headerReference r:id="rId16" w:type="first"/>
          <w:headerReference r:id="rId14" w:type="default"/>
          <w:headerReference r:id="rId15" w:type="even"/>
          <w:pgSz w:w="11906" w:h="16838"/>
          <w:pgMar w:top="1418" w:right="1418" w:bottom="1418" w:left="1418" w:header="851" w:footer="992" w:gutter="0"/>
          <w:cols w:space="720" w:num="1"/>
        </w:sectPr>
      </w:pPr>
    </w:p>
    <w:p w14:paraId="38B896E2">
      <w:pPr>
        <w:outlineLvl w:val="1"/>
        <w:rPr>
          <w:rFonts w:ascii="宋体" w:hAnsi="宋体" w:cs="Arial"/>
          <w:highlight w:val="none"/>
        </w:rPr>
      </w:pPr>
      <w:bookmarkStart w:id="966" w:name="_Toc18217"/>
      <w:r>
        <w:rPr>
          <w:rFonts w:hint="eastAsia" w:ascii="宋体" w:hAnsi="宋体" w:cs="Arial"/>
          <w:highlight w:val="none"/>
        </w:rPr>
        <w:t>附件</w:t>
      </w:r>
      <w:r>
        <w:rPr>
          <w:rFonts w:ascii="宋体" w:hAnsi="宋体" w:cs="Arial"/>
          <w:highlight w:val="none"/>
        </w:rPr>
        <w:t>12：《承包商安全监督管理</w:t>
      </w:r>
      <w:r>
        <w:rPr>
          <w:rFonts w:hint="eastAsia" w:ascii="宋体" w:hAnsi="宋体" w:cs="Arial"/>
          <w:highlight w:val="none"/>
        </w:rPr>
        <w:t>要求</w:t>
      </w:r>
      <w:r>
        <w:rPr>
          <w:rFonts w:ascii="宋体" w:hAnsi="宋体" w:cs="Arial"/>
          <w:highlight w:val="none"/>
        </w:rPr>
        <w:t>》</w:t>
      </w:r>
      <w:bookmarkEnd w:id="966"/>
    </w:p>
    <w:p w14:paraId="0DDEE437">
      <w:pPr>
        <w:jc w:val="center"/>
        <w:rPr>
          <w:rFonts w:ascii="宋体" w:hAnsi="宋体"/>
          <w:sz w:val="30"/>
          <w:szCs w:val="30"/>
        </w:rPr>
      </w:pPr>
    </w:p>
    <w:p w14:paraId="65E93B04">
      <w:pPr>
        <w:jc w:val="center"/>
        <w:rPr>
          <w:rFonts w:ascii="宋体" w:hAnsi="宋体"/>
          <w:b/>
          <w:bCs/>
          <w:sz w:val="30"/>
          <w:szCs w:val="30"/>
        </w:rPr>
      </w:pPr>
      <w:r>
        <w:rPr>
          <w:rFonts w:hint="eastAsia" w:ascii="宋体" w:hAnsi="宋体"/>
          <w:b/>
          <w:bCs/>
          <w:sz w:val="30"/>
          <w:szCs w:val="30"/>
        </w:rPr>
        <w:t>《承包商安全监督管理要求》</w:t>
      </w:r>
    </w:p>
    <w:p w14:paraId="78E05A7A">
      <w:pPr>
        <w:ind w:firstLine="480" w:firstLineChars="200"/>
        <w:rPr>
          <w:rFonts w:ascii="宋体" w:hAnsi="宋体"/>
        </w:rPr>
      </w:pPr>
      <w:bookmarkStart w:id="967" w:name="_Toc514167098"/>
      <w:bookmarkStart w:id="968" w:name="_Toc511126660"/>
      <w:bookmarkStart w:id="969" w:name="_Toc511143041"/>
      <w:r>
        <w:rPr>
          <w:rFonts w:hint="eastAsia" w:ascii="宋体" w:hAnsi="宋体"/>
        </w:rPr>
        <w:t>1</w:t>
      </w:r>
      <w:r>
        <w:rPr>
          <w:rFonts w:ascii="宋体" w:hAnsi="宋体"/>
        </w:rPr>
        <w:t>内容界定</w:t>
      </w:r>
      <w:bookmarkEnd w:id="967"/>
      <w:bookmarkEnd w:id="968"/>
      <w:bookmarkEnd w:id="969"/>
    </w:p>
    <w:p w14:paraId="2B252AD9">
      <w:pPr>
        <w:ind w:firstLine="480" w:firstLineChars="200"/>
        <w:rPr>
          <w:rFonts w:ascii="宋体" w:hAnsi="宋体"/>
        </w:rPr>
      </w:pPr>
      <w:r>
        <w:rPr>
          <w:rFonts w:ascii="宋体" w:hAnsi="宋体"/>
        </w:rPr>
        <w:t>1.</w:t>
      </w:r>
      <w:r>
        <w:rPr>
          <w:rFonts w:hint="eastAsia" w:ascii="宋体" w:hAnsi="宋体"/>
        </w:rPr>
        <w:t>1本要求</w:t>
      </w:r>
      <w:r>
        <w:rPr>
          <w:rFonts w:ascii="宋体" w:hAnsi="宋体"/>
        </w:rPr>
        <w:t>所称承包商是指承担新（改、扩）建工程建设、检维修作业、石油工程技术服务的单位，包括工程总承包、施工总承包、分包以及勘察、设计、施工、监理、检测监测等单位。</w:t>
      </w:r>
    </w:p>
    <w:p w14:paraId="218C672D">
      <w:pPr>
        <w:ind w:firstLine="480" w:firstLineChars="200"/>
        <w:rPr>
          <w:rFonts w:ascii="宋体" w:hAnsi="宋体"/>
        </w:rPr>
      </w:pPr>
      <w:r>
        <w:rPr>
          <w:rFonts w:ascii="宋体" w:hAnsi="宋体"/>
        </w:rPr>
        <w:t>1.2</w:t>
      </w:r>
      <w:r>
        <w:rPr>
          <w:rFonts w:hint="eastAsia" w:ascii="宋体" w:hAnsi="宋体"/>
        </w:rPr>
        <w:t>本要求</w:t>
      </w:r>
      <w:r>
        <w:rPr>
          <w:rFonts w:ascii="宋体" w:hAnsi="宋体"/>
        </w:rPr>
        <w:t>明确了承包商安全资质审查、竞标过程安全管理、合同签订过程安全管理、分包过程安全管理、开工前安全管理、现场施工安全管理、特殊作业安全监督管理、检查与监督考核等要求。</w:t>
      </w:r>
    </w:p>
    <w:p w14:paraId="738B68DD">
      <w:pPr>
        <w:ind w:firstLine="480" w:firstLineChars="200"/>
        <w:rPr>
          <w:rFonts w:ascii="宋体" w:hAnsi="宋体"/>
        </w:rPr>
      </w:pPr>
      <w:bookmarkStart w:id="970" w:name="_Toc511126661"/>
      <w:bookmarkStart w:id="971" w:name="_Toc511143042"/>
      <w:bookmarkStart w:id="972" w:name="_Toc514167099"/>
      <w:r>
        <w:rPr>
          <w:rFonts w:ascii="宋体" w:hAnsi="宋体"/>
        </w:rPr>
        <w:t>1.3管理原则</w:t>
      </w:r>
      <w:bookmarkEnd w:id="970"/>
      <w:bookmarkEnd w:id="971"/>
      <w:bookmarkEnd w:id="972"/>
    </w:p>
    <w:p w14:paraId="026D6725">
      <w:pPr>
        <w:ind w:firstLine="480" w:firstLineChars="200"/>
        <w:rPr>
          <w:rFonts w:ascii="宋体" w:hAnsi="宋体"/>
        </w:rPr>
      </w:pPr>
      <w:r>
        <w:rPr>
          <w:rFonts w:hint="eastAsia" w:ascii="宋体" w:hAnsi="宋体"/>
        </w:rPr>
        <w:t>承包商安全监督管理工作遵循“谁发包谁负责”、“谁用工谁负责”、“谁的属地谁负责”的原则。</w:t>
      </w:r>
    </w:p>
    <w:p w14:paraId="0A95EE59">
      <w:pPr>
        <w:ind w:firstLine="480" w:firstLineChars="200"/>
        <w:rPr>
          <w:rFonts w:ascii="宋体" w:hAnsi="宋体"/>
        </w:rPr>
      </w:pPr>
      <w:r>
        <w:rPr>
          <w:rFonts w:ascii="宋体" w:hAnsi="宋体"/>
        </w:rPr>
        <w:t>2组织管理与职责</w:t>
      </w:r>
    </w:p>
    <w:p w14:paraId="38E7B1A5">
      <w:pPr>
        <w:ind w:firstLine="480" w:firstLineChars="200"/>
        <w:rPr>
          <w:rFonts w:ascii="宋体" w:hAnsi="宋体"/>
        </w:rPr>
      </w:pPr>
      <w:r>
        <w:rPr>
          <w:rFonts w:ascii="宋体" w:hAnsi="宋体"/>
        </w:rPr>
        <w:t>2.1企业工程管理、设备管理等职能部门职责</w:t>
      </w:r>
    </w:p>
    <w:p w14:paraId="4C1282D9">
      <w:pPr>
        <w:ind w:firstLine="480" w:firstLineChars="200"/>
        <w:rPr>
          <w:rFonts w:ascii="宋体" w:hAnsi="宋体"/>
        </w:rPr>
      </w:pPr>
      <w:r>
        <w:rPr>
          <w:rFonts w:ascii="宋体" w:hAnsi="宋体"/>
        </w:rPr>
        <w:t>2.1.1企业工程管理、设备管理等职能部门（以下统称项目主管部门）是业务范围内承包商的专业安全管理部门，对项目承担专业安全监管的主体责任。</w:t>
      </w:r>
    </w:p>
    <w:p w14:paraId="2BE9EE3A">
      <w:pPr>
        <w:ind w:firstLine="480" w:firstLineChars="200"/>
        <w:rPr>
          <w:rFonts w:ascii="宋体" w:hAnsi="宋体"/>
        </w:rPr>
      </w:pPr>
      <w:r>
        <w:rPr>
          <w:rFonts w:ascii="宋体" w:hAnsi="宋体"/>
        </w:rPr>
        <w:t>2.1.2组织业务范围内承包商的安全资质、能力的审查。</w:t>
      </w:r>
    </w:p>
    <w:p w14:paraId="0ACCA3C7">
      <w:pPr>
        <w:ind w:firstLine="480" w:firstLineChars="200"/>
        <w:rPr>
          <w:rFonts w:ascii="宋体" w:hAnsi="宋体"/>
        </w:rPr>
      </w:pPr>
      <w:r>
        <w:rPr>
          <w:rFonts w:ascii="宋体" w:hAnsi="宋体"/>
        </w:rPr>
        <w:t>2.1.3组织采购文件中安全保证措施要求的编制。</w:t>
      </w:r>
    </w:p>
    <w:p w14:paraId="6B52D9BC">
      <w:pPr>
        <w:ind w:firstLine="480" w:firstLineChars="200"/>
        <w:rPr>
          <w:rFonts w:ascii="宋体" w:hAnsi="宋体"/>
        </w:rPr>
      </w:pPr>
      <w:r>
        <w:rPr>
          <w:rFonts w:ascii="宋体" w:hAnsi="宋体"/>
        </w:rPr>
        <w:t>2.1.4组织签订安全生产管理协议。</w:t>
      </w:r>
    </w:p>
    <w:p w14:paraId="0CBA1492">
      <w:pPr>
        <w:ind w:firstLine="480" w:firstLineChars="200"/>
        <w:rPr>
          <w:rFonts w:ascii="宋体" w:hAnsi="宋体"/>
        </w:rPr>
      </w:pPr>
      <w:r>
        <w:rPr>
          <w:rFonts w:ascii="宋体" w:hAnsi="宋体"/>
        </w:rPr>
        <w:t>2.1.5组织监理审查承包商施工组织设计中的安全技术措施（以下简称安全技术措施）、危险性较大的分部分项工程中的专项施工方案（以下简称专项施工方案）。</w:t>
      </w:r>
    </w:p>
    <w:p w14:paraId="7FE33058">
      <w:pPr>
        <w:ind w:firstLine="480" w:firstLineChars="200"/>
        <w:rPr>
          <w:rFonts w:ascii="宋体" w:hAnsi="宋体"/>
        </w:rPr>
      </w:pPr>
      <w:r>
        <w:rPr>
          <w:rFonts w:ascii="宋体" w:hAnsi="宋体"/>
        </w:rPr>
        <w:t>2.1.6组织监理对重大设计变更、工期调整等重要影响因素进行论证和评估，制定相应的安全保障措施。</w:t>
      </w:r>
    </w:p>
    <w:p w14:paraId="045EE310">
      <w:pPr>
        <w:ind w:firstLine="480" w:firstLineChars="200"/>
        <w:rPr>
          <w:rFonts w:ascii="宋体" w:hAnsi="宋体"/>
        </w:rPr>
      </w:pPr>
      <w:r>
        <w:rPr>
          <w:rFonts w:ascii="宋体" w:hAnsi="宋体"/>
        </w:rPr>
        <w:t>2.1.7组织监理对承包商特种作业人员和特种设备作业人员、工程需要的其他人员的业务技能进行现场考评。</w:t>
      </w:r>
    </w:p>
    <w:p w14:paraId="1C6C58FE">
      <w:pPr>
        <w:ind w:firstLine="480" w:firstLineChars="200"/>
        <w:rPr>
          <w:rFonts w:ascii="宋体" w:hAnsi="宋体"/>
        </w:rPr>
      </w:pPr>
      <w:r>
        <w:rPr>
          <w:rFonts w:ascii="宋体" w:hAnsi="宋体"/>
        </w:rPr>
        <w:t>2.1.8负责落实项目安全防护措施费用的使用，做到专款专用。</w:t>
      </w:r>
    </w:p>
    <w:p w14:paraId="6FB40FDB">
      <w:pPr>
        <w:ind w:firstLine="480" w:firstLineChars="200"/>
        <w:rPr>
          <w:rFonts w:ascii="宋体" w:hAnsi="宋体"/>
        </w:rPr>
      </w:pPr>
      <w:r>
        <w:rPr>
          <w:rFonts w:ascii="宋体" w:hAnsi="宋体"/>
        </w:rPr>
        <w:t>2.1.9负责按照计划进度组织施工。</w:t>
      </w:r>
    </w:p>
    <w:p w14:paraId="14132C2B">
      <w:pPr>
        <w:ind w:firstLine="480" w:firstLineChars="200"/>
        <w:rPr>
          <w:rFonts w:ascii="宋体" w:hAnsi="宋体"/>
        </w:rPr>
      </w:pPr>
      <w:r>
        <w:rPr>
          <w:rFonts w:ascii="宋体" w:hAnsi="宋体"/>
        </w:rPr>
        <w:t>2.1.10负责施工现场的日常安全监督管理。</w:t>
      </w:r>
    </w:p>
    <w:p w14:paraId="5CCCC44F">
      <w:pPr>
        <w:ind w:firstLine="480" w:firstLineChars="200"/>
        <w:rPr>
          <w:rFonts w:ascii="宋体" w:hAnsi="宋体"/>
        </w:rPr>
      </w:pPr>
      <w:r>
        <w:rPr>
          <w:rFonts w:ascii="宋体" w:hAnsi="宋体"/>
        </w:rPr>
        <w:t>2.1.11组织对承包商编制的施工现场生产安全事故应急预案进行评审，组织承包商开展应急演练。</w:t>
      </w:r>
    </w:p>
    <w:p w14:paraId="6F8B94A0">
      <w:pPr>
        <w:ind w:firstLine="480" w:firstLineChars="200"/>
        <w:rPr>
          <w:rFonts w:ascii="宋体" w:hAnsi="宋体"/>
        </w:rPr>
      </w:pPr>
      <w:r>
        <w:rPr>
          <w:rFonts w:ascii="宋体" w:hAnsi="宋体"/>
        </w:rPr>
        <w:t>2.1.12参与承包商生产安全事故的调查、处理。</w:t>
      </w:r>
    </w:p>
    <w:p w14:paraId="60690FC3">
      <w:pPr>
        <w:ind w:firstLine="480" w:firstLineChars="200"/>
        <w:rPr>
          <w:rFonts w:ascii="宋体" w:hAnsi="宋体"/>
        </w:rPr>
      </w:pPr>
      <w:r>
        <w:rPr>
          <w:rFonts w:ascii="宋体" w:hAnsi="宋体"/>
        </w:rPr>
        <w:t>2.1.13负责将承包商安全绩效纳入综合考核。</w:t>
      </w:r>
    </w:p>
    <w:p w14:paraId="6F7F87B2">
      <w:pPr>
        <w:ind w:firstLine="480" w:firstLineChars="200"/>
        <w:rPr>
          <w:rFonts w:ascii="宋体" w:hAnsi="宋体"/>
        </w:rPr>
      </w:pPr>
      <w:r>
        <w:rPr>
          <w:rFonts w:ascii="宋体" w:hAnsi="宋体"/>
        </w:rPr>
        <w:t>2.2企业安全管理部门职责</w:t>
      </w:r>
    </w:p>
    <w:p w14:paraId="6806A531">
      <w:pPr>
        <w:ind w:firstLine="480" w:firstLineChars="200"/>
        <w:rPr>
          <w:rFonts w:ascii="宋体" w:hAnsi="宋体"/>
        </w:rPr>
      </w:pPr>
      <w:r>
        <w:rPr>
          <w:rFonts w:ascii="宋体" w:hAnsi="宋体"/>
        </w:rPr>
        <w:t>2.2.1企业安全管理部门是承包商安全监督归口管理部门，</w:t>
      </w:r>
    </w:p>
    <w:p w14:paraId="4286A4CD">
      <w:pPr>
        <w:ind w:firstLine="480" w:firstLineChars="200"/>
        <w:rPr>
          <w:rFonts w:ascii="宋体" w:hAnsi="宋体"/>
        </w:rPr>
      </w:pPr>
      <w:r>
        <w:rPr>
          <w:rFonts w:hint="eastAsia" w:ascii="宋体" w:hAnsi="宋体"/>
        </w:rPr>
        <w:t>应设置承包商安全监督管理专（兼）职岗位。</w:t>
      </w:r>
    </w:p>
    <w:p w14:paraId="7C8151D9">
      <w:pPr>
        <w:ind w:firstLine="480" w:firstLineChars="200"/>
        <w:rPr>
          <w:rFonts w:ascii="宋体" w:hAnsi="宋体"/>
        </w:rPr>
      </w:pPr>
      <w:r>
        <w:rPr>
          <w:rFonts w:ascii="宋体" w:hAnsi="宋体"/>
        </w:rPr>
        <w:t>2.2.2负责制定本企业承包商安全监督管理制度,并监督检查落实情况。</w:t>
      </w:r>
    </w:p>
    <w:p w14:paraId="037AF52F">
      <w:pPr>
        <w:ind w:firstLine="480" w:firstLineChars="200"/>
        <w:rPr>
          <w:rFonts w:ascii="宋体" w:hAnsi="宋体"/>
        </w:rPr>
      </w:pPr>
      <w:r>
        <w:rPr>
          <w:rFonts w:ascii="宋体" w:hAnsi="宋体"/>
        </w:rPr>
        <w:t>2.2.3参加承包商安全资质审查。</w:t>
      </w:r>
    </w:p>
    <w:p w14:paraId="1559F5DA">
      <w:pPr>
        <w:ind w:firstLine="480" w:firstLineChars="200"/>
        <w:rPr>
          <w:rFonts w:ascii="宋体" w:hAnsi="宋体"/>
        </w:rPr>
      </w:pPr>
      <w:r>
        <w:rPr>
          <w:rFonts w:ascii="宋体" w:hAnsi="宋体"/>
        </w:rPr>
        <w:t>2.2.4参加项目安全技术措施或专项施工方案的审查。</w:t>
      </w:r>
    </w:p>
    <w:p w14:paraId="6CA4A5BB">
      <w:pPr>
        <w:ind w:firstLine="480" w:firstLineChars="200"/>
        <w:rPr>
          <w:rFonts w:ascii="宋体" w:hAnsi="宋体"/>
        </w:rPr>
      </w:pPr>
      <w:r>
        <w:rPr>
          <w:rFonts w:ascii="宋体" w:hAnsi="宋体"/>
        </w:rPr>
        <w:t>2.2.5采购文件和合同会审时，负责审核安全保证措施和安全生产管理协议。</w:t>
      </w:r>
    </w:p>
    <w:p w14:paraId="150D54CD">
      <w:pPr>
        <w:ind w:firstLine="480" w:firstLineChars="200"/>
        <w:rPr>
          <w:rFonts w:ascii="宋体" w:hAnsi="宋体"/>
        </w:rPr>
      </w:pPr>
      <w:r>
        <w:rPr>
          <w:rFonts w:ascii="宋体" w:hAnsi="宋体"/>
        </w:rPr>
        <w:t>2.2.6参与承包商安全防护措施费用和脚手架费用拨付的会签。</w:t>
      </w:r>
    </w:p>
    <w:p w14:paraId="1652B0F4">
      <w:pPr>
        <w:ind w:firstLine="480" w:firstLineChars="200"/>
        <w:rPr>
          <w:rFonts w:ascii="宋体" w:hAnsi="宋体"/>
        </w:rPr>
      </w:pPr>
      <w:r>
        <w:rPr>
          <w:rFonts w:ascii="宋体" w:hAnsi="宋体"/>
        </w:rPr>
        <w:t>2.2.7参与重大设计变更、工期调整等重要影响因素的论证和评估。</w:t>
      </w:r>
    </w:p>
    <w:p w14:paraId="21577869">
      <w:pPr>
        <w:ind w:firstLine="480" w:firstLineChars="200"/>
        <w:rPr>
          <w:rFonts w:ascii="宋体" w:hAnsi="宋体"/>
        </w:rPr>
      </w:pPr>
      <w:r>
        <w:rPr>
          <w:rFonts w:ascii="宋体" w:hAnsi="宋体"/>
        </w:rPr>
        <w:t>2.2.8组织承包商员工入厂（场）安全教育、管理人员专项安全培训考核。</w:t>
      </w:r>
    </w:p>
    <w:p w14:paraId="2EF2FE54">
      <w:pPr>
        <w:ind w:firstLine="480" w:firstLineChars="200"/>
        <w:rPr>
          <w:rFonts w:ascii="宋体" w:hAnsi="宋体"/>
        </w:rPr>
      </w:pPr>
      <w:r>
        <w:rPr>
          <w:rFonts w:ascii="宋体" w:hAnsi="宋体"/>
        </w:rPr>
        <w:t>2.2.9负责特殊作业许可申请人、签发人、监护人、接收人的资格培训和认定。</w:t>
      </w:r>
    </w:p>
    <w:p w14:paraId="63B8A783">
      <w:pPr>
        <w:ind w:firstLine="480" w:firstLineChars="200"/>
        <w:rPr>
          <w:rFonts w:ascii="宋体" w:hAnsi="宋体"/>
        </w:rPr>
      </w:pPr>
      <w:r>
        <w:rPr>
          <w:rFonts w:ascii="宋体" w:hAnsi="宋体"/>
        </w:rPr>
        <w:t>2.2.10参加承包商生产安全事故应急预案的评审，指导承包商开展应急演练。</w:t>
      </w:r>
    </w:p>
    <w:p w14:paraId="08878212">
      <w:pPr>
        <w:ind w:firstLine="480" w:firstLineChars="200"/>
        <w:rPr>
          <w:rFonts w:ascii="宋体" w:hAnsi="宋体"/>
        </w:rPr>
      </w:pPr>
      <w:r>
        <w:rPr>
          <w:rFonts w:ascii="宋体" w:hAnsi="宋体"/>
        </w:rPr>
        <w:t>2.2.11组织承包商生产安全事故的调查与处理。</w:t>
      </w:r>
    </w:p>
    <w:p w14:paraId="678130D8">
      <w:pPr>
        <w:ind w:firstLine="480" w:firstLineChars="200"/>
        <w:rPr>
          <w:rFonts w:ascii="宋体" w:hAnsi="宋体"/>
        </w:rPr>
      </w:pPr>
      <w:r>
        <w:rPr>
          <w:rFonts w:ascii="宋体" w:hAnsi="宋体"/>
        </w:rPr>
        <w:t>2.2.12组织安全督查大队，按程序与要求对施工现场开展全方位安全督查工作。</w:t>
      </w:r>
    </w:p>
    <w:p w14:paraId="5877DDBE">
      <w:pPr>
        <w:ind w:firstLine="480" w:firstLineChars="200"/>
        <w:rPr>
          <w:rFonts w:ascii="宋体" w:hAnsi="宋体"/>
        </w:rPr>
      </w:pPr>
      <w:r>
        <w:rPr>
          <w:rFonts w:ascii="宋体" w:hAnsi="宋体"/>
        </w:rPr>
        <w:t>2.2.13负责对承包商进行安全绩效考核。</w:t>
      </w:r>
    </w:p>
    <w:p w14:paraId="51E4E6D7">
      <w:pPr>
        <w:ind w:firstLine="480" w:firstLineChars="200"/>
        <w:rPr>
          <w:rFonts w:ascii="宋体" w:hAnsi="宋体"/>
        </w:rPr>
      </w:pPr>
      <w:r>
        <w:rPr>
          <w:rFonts w:ascii="宋体" w:hAnsi="宋体"/>
        </w:rPr>
        <w:t>2.3项目监理单位职责</w:t>
      </w:r>
    </w:p>
    <w:p w14:paraId="19E24DC2">
      <w:pPr>
        <w:ind w:firstLine="480" w:firstLineChars="200"/>
        <w:rPr>
          <w:rFonts w:ascii="宋体" w:hAnsi="宋体"/>
        </w:rPr>
      </w:pPr>
      <w:r>
        <w:rPr>
          <w:rFonts w:ascii="宋体" w:hAnsi="宋体"/>
        </w:rPr>
        <w:t>2.3.1负责对所承担工程监理工作进行全过程的安全监督，履行监理职责。</w:t>
      </w:r>
    </w:p>
    <w:p w14:paraId="5DDB5499">
      <w:pPr>
        <w:ind w:firstLine="480" w:firstLineChars="200"/>
        <w:rPr>
          <w:rFonts w:ascii="宋体" w:hAnsi="宋体"/>
        </w:rPr>
      </w:pPr>
      <w:r>
        <w:rPr>
          <w:rFonts w:ascii="宋体" w:hAnsi="宋体"/>
        </w:rPr>
        <w:t>2.3.2根据建设项目规模、施工阶段及安全管理风险度,配备总监理工程师、总监理工程师安全代表，按比例配足资质、专业背景、管理经验符合要求的专业监理工程师，将安全管理责任落实到人。</w:t>
      </w:r>
    </w:p>
    <w:p w14:paraId="6B95055B">
      <w:pPr>
        <w:ind w:firstLine="480" w:firstLineChars="200"/>
        <w:rPr>
          <w:rFonts w:ascii="宋体" w:hAnsi="宋体"/>
        </w:rPr>
      </w:pPr>
      <w:r>
        <w:rPr>
          <w:rFonts w:ascii="宋体" w:hAnsi="宋体"/>
        </w:rPr>
        <w:t>2.3.3负责编制安全监理计划，明确安全监理的范围、内容、方法和措施等内容，并报建设单位批准。</w:t>
      </w:r>
    </w:p>
    <w:p w14:paraId="215EE368">
      <w:pPr>
        <w:ind w:firstLine="480" w:firstLineChars="200"/>
        <w:rPr>
          <w:rFonts w:ascii="宋体" w:hAnsi="宋体"/>
        </w:rPr>
      </w:pPr>
      <w:r>
        <w:rPr>
          <w:rFonts w:ascii="宋体" w:hAnsi="宋体"/>
        </w:rPr>
        <w:t>2.3.4组织安全技术措施、专项施工方案的审查，进行重大危险源和环境因素分析，编制项目安全旁站计划并实施。</w:t>
      </w:r>
    </w:p>
    <w:p w14:paraId="7B839F03">
      <w:pPr>
        <w:ind w:firstLine="480" w:firstLineChars="200"/>
        <w:rPr>
          <w:rFonts w:ascii="宋体" w:hAnsi="宋体"/>
        </w:rPr>
      </w:pPr>
      <w:r>
        <w:rPr>
          <w:rFonts w:ascii="宋体" w:hAnsi="宋体"/>
        </w:rPr>
        <w:t>2.3.5负责对承包商进场机具设备进行检查、验收。</w:t>
      </w:r>
    </w:p>
    <w:p w14:paraId="04E4003E">
      <w:pPr>
        <w:ind w:firstLine="480" w:firstLineChars="200"/>
        <w:rPr>
          <w:rFonts w:ascii="宋体" w:hAnsi="宋体"/>
        </w:rPr>
      </w:pPr>
      <w:r>
        <w:rPr>
          <w:rFonts w:ascii="宋体" w:hAnsi="宋体"/>
        </w:rPr>
        <w:t>2.3.6监督检查施工过程中各项安全技术措施、安全管理措施的落实。未实施工程监理的项目，其职责由建设单位项目管理部履行。</w:t>
      </w:r>
    </w:p>
    <w:p w14:paraId="18DC93C5">
      <w:pPr>
        <w:ind w:firstLine="480" w:firstLineChars="200"/>
        <w:rPr>
          <w:rFonts w:ascii="宋体" w:hAnsi="宋体"/>
        </w:rPr>
      </w:pPr>
      <w:r>
        <w:rPr>
          <w:rFonts w:ascii="宋体" w:hAnsi="宋体"/>
        </w:rPr>
        <w:t>2.4大型建设项目或安全要求高、风险大的特殊工程项目应成立项目管理部，在其内部设置专门的安全管理机构，配备与工程规模、技术要求相适应的专职安全管理人员，明确各部门、岗位的安全职责。未成立专门项目管理部的项目，其职责由建设单位项目主管部门承担。</w:t>
      </w:r>
    </w:p>
    <w:p w14:paraId="431CC37C">
      <w:pPr>
        <w:ind w:firstLine="480" w:firstLineChars="200"/>
        <w:rPr>
          <w:rFonts w:ascii="宋体" w:hAnsi="宋体"/>
        </w:rPr>
      </w:pPr>
      <w:r>
        <w:rPr>
          <w:rFonts w:ascii="宋体" w:hAnsi="宋体"/>
        </w:rPr>
        <w:t>3管理内容及要求</w:t>
      </w:r>
    </w:p>
    <w:p w14:paraId="22AC7A15">
      <w:pPr>
        <w:ind w:firstLine="480" w:firstLineChars="200"/>
        <w:rPr>
          <w:rFonts w:ascii="宋体" w:hAnsi="宋体"/>
        </w:rPr>
      </w:pPr>
      <w:r>
        <w:rPr>
          <w:rFonts w:ascii="宋体" w:hAnsi="宋体"/>
        </w:rPr>
        <w:t>3.1总体要求</w:t>
      </w:r>
    </w:p>
    <w:p w14:paraId="20054CC1">
      <w:pPr>
        <w:ind w:firstLine="480" w:firstLineChars="200"/>
        <w:rPr>
          <w:rFonts w:ascii="宋体" w:hAnsi="宋体"/>
        </w:rPr>
      </w:pPr>
      <w:r>
        <w:rPr>
          <w:rFonts w:ascii="宋体" w:hAnsi="宋体"/>
        </w:rPr>
        <w:t>3.1.1建设单位须将承包商纳入本单位HSE管理，实行“统一标准、统一管理、统一要求、统一考核”。定期召开承包商安全会议，开展承包商安全检查，督促整改发现的问题。</w:t>
      </w:r>
    </w:p>
    <w:p w14:paraId="3E829523">
      <w:pPr>
        <w:ind w:firstLine="480" w:firstLineChars="200"/>
        <w:rPr>
          <w:rFonts w:ascii="宋体" w:hAnsi="宋体"/>
        </w:rPr>
      </w:pPr>
      <w:r>
        <w:rPr>
          <w:rFonts w:ascii="宋体" w:hAnsi="宋体"/>
        </w:rPr>
        <w:t>3.1.2实行总承包的项目，总承包单位须将分包单位纳入统一管理，不得以包代管、包而不管。</w:t>
      </w:r>
    </w:p>
    <w:p w14:paraId="7CC07F22">
      <w:pPr>
        <w:ind w:firstLine="480" w:firstLineChars="200"/>
        <w:rPr>
          <w:rFonts w:ascii="宋体" w:hAnsi="宋体"/>
        </w:rPr>
      </w:pPr>
      <w:r>
        <w:rPr>
          <w:rFonts w:ascii="宋体" w:hAnsi="宋体"/>
        </w:rPr>
        <w:t>3.1.3要科学设定项目的合理工期，任何单位不得擅自压缩合同约定的工期，如压缩工期，应按重大变更实施管理。因不可抗力或发包人（业主）原因影响工期的，应按照合同约定执行。如工期确需调整或优化，建设单位应组织专家对安全的影响或带来相关的风险进行论证和评估，制定相应的施工组织措施和安全保障措施，由项目负责人签发后执行。</w:t>
      </w:r>
    </w:p>
    <w:p w14:paraId="7E34FF82">
      <w:pPr>
        <w:ind w:firstLine="480" w:firstLineChars="200"/>
        <w:rPr>
          <w:rFonts w:ascii="宋体" w:hAnsi="宋体"/>
        </w:rPr>
      </w:pPr>
      <w:bookmarkStart w:id="973" w:name="_Toc511126662"/>
      <w:bookmarkStart w:id="974" w:name="_Toc511143043"/>
      <w:bookmarkStart w:id="975" w:name="_Toc514167100"/>
      <w:r>
        <w:rPr>
          <w:rFonts w:ascii="宋体" w:hAnsi="宋体"/>
        </w:rPr>
        <w:t>3.2安全资质审查</w:t>
      </w:r>
      <w:bookmarkEnd w:id="973"/>
      <w:bookmarkEnd w:id="974"/>
      <w:bookmarkEnd w:id="975"/>
    </w:p>
    <w:p w14:paraId="6D0531C4">
      <w:pPr>
        <w:ind w:firstLine="480" w:firstLineChars="200"/>
        <w:rPr>
          <w:rFonts w:ascii="宋体" w:hAnsi="宋体"/>
        </w:rPr>
      </w:pPr>
      <w:r>
        <w:rPr>
          <w:rFonts w:ascii="宋体" w:hAnsi="宋体"/>
        </w:rPr>
        <w:t>3.2.1竞标前，项目主管部门应审查采购文件中承包商的施工、安装资质等级及安全资质要求，确保与承担的施工项目相适应，工作业绩能满足项目的需要。</w:t>
      </w:r>
    </w:p>
    <w:p w14:paraId="14FC93BB">
      <w:pPr>
        <w:ind w:firstLine="480" w:firstLineChars="200"/>
        <w:rPr>
          <w:rFonts w:ascii="宋体" w:hAnsi="宋体"/>
        </w:rPr>
      </w:pPr>
      <w:r>
        <w:rPr>
          <w:rFonts w:ascii="宋体" w:hAnsi="宋体"/>
        </w:rPr>
        <w:t>3.2.2承包商安全资质审查的内容包括但不限于：</w:t>
      </w:r>
    </w:p>
    <w:p w14:paraId="047BA5B2">
      <w:pPr>
        <w:ind w:firstLine="480" w:firstLineChars="200"/>
        <w:rPr>
          <w:rFonts w:ascii="宋体" w:hAnsi="宋体"/>
        </w:rPr>
      </w:pPr>
      <w:r>
        <w:rPr>
          <w:rFonts w:ascii="宋体" w:hAnsi="宋体"/>
        </w:rPr>
        <w:t>3.2.2.1政府部门颁发的安全生产许可证情况。</w:t>
      </w:r>
    </w:p>
    <w:p w14:paraId="4338DFA5">
      <w:pPr>
        <w:ind w:firstLine="480" w:firstLineChars="200"/>
        <w:rPr>
          <w:rFonts w:ascii="宋体" w:hAnsi="宋体"/>
        </w:rPr>
      </w:pPr>
      <w:r>
        <w:rPr>
          <w:rFonts w:ascii="宋体" w:hAnsi="宋体"/>
        </w:rPr>
        <w:t>3.2.2.2HSE管理体系或安全管理体系、安全生产标准化的建立及运行情况。</w:t>
      </w:r>
    </w:p>
    <w:p w14:paraId="3879AFC4">
      <w:pPr>
        <w:ind w:left="360" w:leftChars="150"/>
        <w:rPr>
          <w:rFonts w:ascii="宋体" w:hAnsi="宋体"/>
        </w:rPr>
      </w:pPr>
      <w:bookmarkStart w:id="976" w:name="_Toc511143044"/>
      <w:bookmarkStart w:id="977" w:name="_Toc514167101"/>
      <w:bookmarkStart w:id="978" w:name="_Toc511126663"/>
      <w:r>
        <w:rPr>
          <w:rFonts w:ascii="宋体" w:hAnsi="宋体"/>
        </w:rPr>
        <w:t>3.2.2.3主要负责人、项目负责人、专职安全生产管理人员</w:t>
      </w:r>
      <w:bookmarkEnd w:id="976"/>
      <w:bookmarkEnd w:id="977"/>
      <w:bookmarkEnd w:id="978"/>
    </w:p>
    <w:p w14:paraId="2DECC503">
      <w:pPr>
        <w:ind w:firstLine="480" w:firstLineChars="200"/>
        <w:rPr>
          <w:rFonts w:ascii="宋体" w:hAnsi="宋体"/>
        </w:rPr>
      </w:pPr>
      <w:r>
        <w:rPr>
          <w:rFonts w:hint="eastAsia" w:ascii="宋体" w:hAnsi="宋体"/>
        </w:rPr>
        <w:t>取得政府部门颁发的安全生产考核合格证书情况，特种作业人员和特种设备作业人员持证情况。</w:t>
      </w:r>
    </w:p>
    <w:p w14:paraId="501D9907">
      <w:pPr>
        <w:ind w:firstLine="480" w:firstLineChars="200"/>
        <w:rPr>
          <w:rFonts w:ascii="宋体" w:hAnsi="宋体"/>
        </w:rPr>
      </w:pPr>
      <w:r>
        <w:rPr>
          <w:rFonts w:ascii="宋体" w:hAnsi="宋体"/>
        </w:rPr>
        <w:t>3.2.2.4</w:t>
      </w:r>
      <w:r>
        <w:rPr>
          <w:rFonts w:hint="eastAsia" w:ascii="宋体" w:hAnsi="宋体"/>
        </w:rPr>
        <w:t>近三年的安全业绩情况</w:t>
      </w:r>
      <w:r>
        <w:rPr>
          <w:rFonts w:ascii="宋体" w:hAnsi="宋体"/>
        </w:rPr>
        <w:t>(</w:t>
      </w:r>
      <w:r>
        <w:rPr>
          <w:rFonts w:hint="eastAsia" w:ascii="宋体" w:hAnsi="宋体"/>
        </w:rPr>
        <w:t>主要包括安全事故率、损失工时率、总伤害率及事故简要描述等</w:t>
      </w:r>
      <w:r>
        <w:rPr>
          <w:rFonts w:ascii="宋体" w:hAnsi="宋体"/>
        </w:rPr>
        <w:t>)</w:t>
      </w:r>
      <w:r>
        <w:rPr>
          <w:rFonts w:hint="eastAsia" w:ascii="宋体" w:hAnsi="宋体"/>
        </w:rPr>
        <w:t>。</w:t>
      </w:r>
    </w:p>
    <w:p w14:paraId="67F83CEF">
      <w:pPr>
        <w:ind w:firstLine="480" w:firstLineChars="200"/>
        <w:rPr>
          <w:rFonts w:ascii="宋体" w:hAnsi="宋体"/>
        </w:rPr>
      </w:pPr>
      <w:r>
        <w:rPr>
          <w:rFonts w:ascii="宋体" w:hAnsi="宋体"/>
        </w:rPr>
        <w:t>3.2.3总承包单位负责分包商施工资质和安全资质审查，并报建设单位批准或备案。</w:t>
      </w:r>
    </w:p>
    <w:p w14:paraId="7954C354">
      <w:pPr>
        <w:ind w:firstLine="480" w:firstLineChars="200"/>
        <w:rPr>
          <w:rFonts w:ascii="宋体" w:hAnsi="宋体"/>
        </w:rPr>
      </w:pPr>
      <w:r>
        <w:rPr>
          <w:rFonts w:ascii="宋体" w:hAnsi="宋体"/>
        </w:rPr>
        <w:t>3.3竞标过程安全管理</w:t>
      </w:r>
    </w:p>
    <w:p w14:paraId="081F8586">
      <w:pPr>
        <w:ind w:firstLine="480" w:firstLineChars="200"/>
        <w:rPr>
          <w:rFonts w:ascii="宋体" w:hAnsi="宋体"/>
        </w:rPr>
      </w:pPr>
      <w:r>
        <w:rPr>
          <w:rFonts w:ascii="宋体" w:hAnsi="宋体"/>
        </w:rPr>
        <w:t>3.3.1采购文件中应明确提出安全保证措施的要求。</w:t>
      </w:r>
    </w:p>
    <w:p w14:paraId="4FA782A7">
      <w:pPr>
        <w:ind w:firstLine="480" w:firstLineChars="200"/>
        <w:rPr>
          <w:rFonts w:ascii="宋体" w:hAnsi="宋体"/>
        </w:rPr>
      </w:pPr>
      <w:r>
        <w:rPr>
          <w:rFonts w:ascii="宋体" w:hAnsi="宋体"/>
        </w:rPr>
        <w:t>3.3.2采购文件中应明确提出工程分包控制措施的要求。</w:t>
      </w:r>
    </w:p>
    <w:p w14:paraId="5F2B01E2">
      <w:pPr>
        <w:ind w:firstLine="480" w:firstLineChars="200"/>
        <w:rPr>
          <w:rFonts w:ascii="宋体" w:hAnsi="宋体"/>
        </w:rPr>
      </w:pPr>
      <w:r>
        <w:rPr>
          <w:rFonts w:ascii="宋体" w:hAnsi="宋体"/>
        </w:rPr>
        <w:t>3.3.3采购文件中应明确提出特殊作业及危险性较大的施工现场必须配备安全视频监控设施的要求，安全防护措施费用单列、专款专用的要求。</w:t>
      </w:r>
    </w:p>
    <w:p w14:paraId="3DF26F5A">
      <w:pPr>
        <w:ind w:firstLine="480" w:firstLineChars="200"/>
        <w:rPr>
          <w:rFonts w:ascii="宋体" w:hAnsi="宋体"/>
        </w:rPr>
      </w:pPr>
      <w:r>
        <w:rPr>
          <w:rFonts w:ascii="宋体" w:hAnsi="宋体"/>
        </w:rPr>
        <w:t>3.3.4采购文件中应明确提出对施工过程中存在的危害因素进行风险分析，制定安全措施和应急预案的要求。</w:t>
      </w:r>
    </w:p>
    <w:p w14:paraId="00C75565">
      <w:pPr>
        <w:ind w:firstLine="480" w:firstLineChars="200"/>
        <w:rPr>
          <w:rFonts w:ascii="宋体" w:hAnsi="宋体"/>
        </w:rPr>
      </w:pPr>
      <w:r>
        <w:rPr>
          <w:rFonts w:ascii="宋体" w:hAnsi="宋体"/>
        </w:rPr>
        <w:t>3.3.5采购文件中应明确提出现场管理人员、特种作业人员的配备要求。</w:t>
      </w:r>
    </w:p>
    <w:p w14:paraId="7FCA6419">
      <w:pPr>
        <w:ind w:firstLine="480" w:firstLineChars="200"/>
        <w:rPr>
          <w:rFonts w:ascii="宋体" w:hAnsi="宋体"/>
        </w:rPr>
      </w:pPr>
      <w:r>
        <w:rPr>
          <w:rFonts w:ascii="宋体" w:hAnsi="宋体"/>
        </w:rPr>
        <w:t>3.3.6技术标中的安全保证措施内容所占分值不得低于技术标总分值的25%，安全风险较大的工程（改建、大修、检维修工程、探井、预探井、边生产边施工项目等）应提高比例。</w:t>
      </w:r>
    </w:p>
    <w:p w14:paraId="5865BD75">
      <w:pPr>
        <w:ind w:firstLine="480" w:firstLineChars="200"/>
        <w:rPr>
          <w:rFonts w:ascii="宋体" w:hAnsi="宋体"/>
        </w:rPr>
      </w:pPr>
      <w:bookmarkStart w:id="979" w:name="_Toc511126664"/>
      <w:bookmarkStart w:id="980" w:name="_Toc511143045"/>
      <w:bookmarkStart w:id="981" w:name="_Toc514167102"/>
      <w:r>
        <w:rPr>
          <w:rFonts w:ascii="宋体" w:hAnsi="宋体"/>
        </w:rPr>
        <w:t>3.4合同签订过程安全管理</w:t>
      </w:r>
      <w:bookmarkEnd w:id="979"/>
      <w:bookmarkEnd w:id="980"/>
      <w:bookmarkEnd w:id="981"/>
    </w:p>
    <w:p w14:paraId="6CE947AA">
      <w:pPr>
        <w:ind w:firstLine="480" w:firstLineChars="200"/>
        <w:rPr>
          <w:rFonts w:ascii="宋体" w:hAnsi="宋体"/>
        </w:rPr>
      </w:pPr>
      <w:r>
        <w:rPr>
          <w:rFonts w:ascii="宋体" w:hAnsi="宋体"/>
        </w:rPr>
        <w:t>3.4.1合同中应约定：开工前，承包商必须根据工程项目安全施工的需要，对参加项目的所有员工进行安全培训，并将培训和考试记录报送建设单位备查。</w:t>
      </w:r>
    </w:p>
    <w:p w14:paraId="4CAE5B2C">
      <w:pPr>
        <w:ind w:firstLine="480" w:firstLineChars="200"/>
        <w:rPr>
          <w:rFonts w:ascii="宋体" w:hAnsi="宋体"/>
        </w:rPr>
      </w:pPr>
      <w:r>
        <w:rPr>
          <w:rFonts w:ascii="宋体" w:hAnsi="宋体"/>
        </w:rPr>
        <w:t>3.4.2合同中应明确对参与施工人员工种及技能的要求，主要施工机具设备的种类、规格、性能要求，以及分包项目内容与管理的要求。</w:t>
      </w:r>
    </w:p>
    <w:p w14:paraId="1A2E6FF5">
      <w:pPr>
        <w:ind w:firstLine="480" w:firstLineChars="200"/>
        <w:rPr>
          <w:rFonts w:ascii="宋体" w:hAnsi="宋体"/>
        </w:rPr>
      </w:pPr>
      <w:r>
        <w:rPr>
          <w:rFonts w:ascii="宋体" w:hAnsi="宋体"/>
        </w:rPr>
        <w:t>3.4.3合同中应明确参与项目建设的项目负责人、安全负责人、质量负责人、施工负责人名单，不得擅自更换。明确特种作业人员和关键工种人员的资格要求、报审程序，进场前报项目主管部门审查。</w:t>
      </w:r>
    </w:p>
    <w:p w14:paraId="60AB65C0">
      <w:pPr>
        <w:ind w:firstLine="480" w:firstLineChars="200"/>
        <w:rPr>
          <w:rFonts w:ascii="宋体" w:hAnsi="宋体"/>
        </w:rPr>
      </w:pPr>
      <w:r>
        <w:rPr>
          <w:rFonts w:ascii="宋体" w:hAnsi="宋体"/>
        </w:rPr>
        <w:t>3.4.4合同中应根据当地建筑市场或本企业项目管理的能力，明确脚手架工程和大型特殊设备吊装工程的管理或分包的方式。</w:t>
      </w:r>
    </w:p>
    <w:p w14:paraId="304C2FB4">
      <w:pPr>
        <w:ind w:firstLine="480" w:firstLineChars="200"/>
        <w:rPr>
          <w:rFonts w:ascii="宋体" w:hAnsi="宋体"/>
        </w:rPr>
      </w:pPr>
      <w:r>
        <w:rPr>
          <w:rFonts w:ascii="宋体" w:hAnsi="宋体"/>
        </w:rPr>
        <w:t>3.4.5合同中应明确安全防护措施和脚手架计费标准及费用使用审批方式，确保专款专用。</w:t>
      </w:r>
    </w:p>
    <w:p w14:paraId="4A2B21C3">
      <w:pPr>
        <w:ind w:firstLine="480" w:firstLineChars="200"/>
        <w:rPr>
          <w:rFonts w:ascii="宋体" w:hAnsi="宋体"/>
        </w:rPr>
      </w:pPr>
      <w:r>
        <w:rPr>
          <w:rFonts w:ascii="宋体" w:hAnsi="宋体"/>
        </w:rPr>
        <w:t>3.4.6合同中应约定：开工前，承包商必须提交项目现场的危险性较大的分部分项和超过一定规模的危险性较大的分部分项工程清单。</w:t>
      </w:r>
    </w:p>
    <w:p w14:paraId="3DEAE7E8">
      <w:pPr>
        <w:ind w:firstLine="480" w:firstLineChars="200"/>
        <w:rPr>
          <w:rFonts w:ascii="宋体" w:hAnsi="宋体"/>
        </w:rPr>
      </w:pPr>
      <w:r>
        <w:rPr>
          <w:rFonts w:ascii="宋体" w:hAnsi="宋体"/>
        </w:rPr>
        <w:t>3.4.7签订工程合同时应同时签订安全生产管理协议，将其作为合同附件。</w:t>
      </w:r>
    </w:p>
    <w:p w14:paraId="455E11FE">
      <w:pPr>
        <w:ind w:firstLine="480" w:firstLineChars="200"/>
        <w:rPr>
          <w:rFonts w:ascii="宋体" w:hAnsi="宋体"/>
        </w:rPr>
      </w:pPr>
      <w:bookmarkStart w:id="982" w:name="_Toc511126665"/>
      <w:bookmarkStart w:id="983" w:name="_Toc514167103"/>
      <w:bookmarkStart w:id="984" w:name="_Toc511143046"/>
      <w:r>
        <w:rPr>
          <w:rFonts w:ascii="宋体" w:hAnsi="宋体"/>
        </w:rPr>
        <w:t>3.5分包过程安全管理</w:t>
      </w:r>
      <w:bookmarkEnd w:id="982"/>
      <w:bookmarkEnd w:id="983"/>
      <w:bookmarkEnd w:id="984"/>
    </w:p>
    <w:p w14:paraId="3CD4E73B">
      <w:pPr>
        <w:ind w:firstLine="480" w:firstLineChars="200"/>
        <w:rPr>
          <w:rFonts w:ascii="宋体" w:hAnsi="宋体"/>
        </w:rPr>
      </w:pPr>
      <w:r>
        <w:rPr>
          <w:rFonts w:ascii="宋体" w:hAnsi="宋体"/>
        </w:rPr>
        <w:t>3.5.1实施分包的工程，安全责任不能分包。总承包商、分包商应按照分包合同中的安全管理要求实施管理，若变更安全管理职责、界面，应重新签订分包合同。</w:t>
      </w:r>
    </w:p>
    <w:p w14:paraId="7A59C612">
      <w:pPr>
        <w:ind w:firstLine="480" w:firstLineChars="200"/>
        <w:rPr>
          <w:rFonts w:ascii="宋体" w:hAnsi="宋体"/>
        </w:rPr>
      </w:pPr>
      <w:r>
        <w:rPr>
          <w:rFonts w:ascii="宋体" w:hAnsi="宋体"/>
        </w:rPr>
        <w:t>3.5.2禁止项目转包、违法违规分包。</w:t>
      </w:r>
    </w:p>
    <w:p w14:paraId="3A61704D">
      <w:pPr>
        <w:ind w:firstLine="480" w:firstLineChars="200"/>
        <w:rPr>
          <w:rFonts w:ascii="宋体" w:hAnsi="宋体"/>
        </w:rPr>
      </w:pPr>
      <w:r>
        <w:rPr>
          <w:rFonts w:ascii="宋体" w:hAnsi="宋体"/>
        </w:rPr>
        <w:t>3.5.3总承包商与分包商签订工程合同时，应按照本</w:t>
      </w:r>
      <w:r>
        <w:rPr>
          <w:rFonts w:hint="eastAsia" w:ascii="宋体" w:hAnsi="宋体"/>
        </w:rPr>
        <w:t>要求</w:t>
      </w:r>
      <w:r>
        <w:rPr>
          <w:rFonts w:ascii="宋体" w:hAnsi="宋体"/>
        </w:rPr>
        <w:t>第3.4条规定进行，并报送建设单位备查。</w:t>
      </w:r>
    </w:p>
    <w:p w14:paraId="54459223">
      <w:pPr>
        <w:ind w:firstLine="480" w:firstLineChars="200"/>
        <w:rPr>
          <w:rFonts w:ascii="宋体" w:hAnsi="宋体"/>
        </w:rPr>
      </w:pPr>
      <w:r>
        <w:rPr>
          <w:rFonts w:ascii="宋体" w:hAnsi="宋体"/>
        </w:rPr>
        <w:t>3.5.4施工总承包单位进行专业分包时，不得扣减脚手架费用和安全防护措施费用；总包单位对脚手架工程单独分包时，不得以管理费名义扣减任何费用。</w:t>
      </w:r>
    </w:p>
    <w:p w14:paraId="43432BF6">
      <w:pPr>
        <w:ind w:firstLine="480" w:firstLineChars="200"/>
        <w:rPr>
          <w:rFonts w:ascii="宋体" w:hAnsi="宋体"/>
        </w:rPr>
      </w:pPr>
      <w:r>
        <w:rPr>
          <w:rFonts w:ascii="宋体" w:hAnsi="宋体"/>
        </w:rPr>
        <w:t>3.5.5劳务分包</w:t>
      </w:r>
    </w:p>
    <w:p w14:paraId="31232268">
      <w:pPr>
        <w:ind w:firstLine="480" w:firstLineChars="200"/>
        <w:rPr>
          <w:rFonts w:ascii="宋体" w:hAnsi="宋体"/>
        </w:rPr>
      </w:pPr>
      <w:r>
        <w:rPr>
          <w:rFonts w:ascii="宋体" w:hAnsi="宋体"/>
        </w:rPr>
        <w:t>3.5.5.1不得以劳务分包的名义进行专业分包。</w:t>
      </w:r>
    </w:p>
    <w:p w14:paraId="59FD1FAA">
      <w:pPr>
        <w:ind w:firstLine="480" w:firstLineChars="200"/>
        <w:rPr>
          <w:rFonts w:ascii="宋体" w:hAnsi="宋体"/>
        </w:rPr>
      </w:pPr>
      <w:r>
        <w:rPr>
          <w:rFonts w:ascii="宋体" w:hAnsi="宋体"/>
        </w:rPr>
        <w:t>3.5.5.2进行劳务分包时，施工现场管理机构应由劳务分包的发包单位组建，技术文件由发包单位负责编制，安全劳动保护用品等均应由发包单位负责提供。</w:t>
      </w:r>
    </w:p>
    <w:p w14:paraId="1F8E85CC">
      <w:pPr>
        <w:ind w:firstLine="480" w:firstLineChars="200"/>
        <w:rPr>
          <w:rFonts w:ascii="宋体" w:hAnsi="宋体"/>
        </w:rPr>
      </w:pPr>
      <w:r>
        <w:rPr>
          <w:rFonts w:ascii="宋体" w:hAnsi="宋体"/>
        </w:rPr>
        <w:t>3.5.5.3劳务人员应有相应的资质，业务技能与从事的施工项目相适应。</w:t>
      </w:r>
    </w:p>
    <w:p w14:paraId="04EB80A6">
      <w:pPr>
        <w:ind w:firstLine="480" w:firstLineChars="200"/>
        <w:rPr>
          <w:rFonts w:ascii="宋体" w:hAnsi="宋体"/>
        </w:rPr>
      </w:pPr>
      <w:r>
        <w:rPr>
          <w:rFonts w:ascii="宋体" w:hAnsi="宋体"/>
        </w:rPr>
        <w:t>3.5.5.4劳务分包项目中的关键工种应杜绝临时零星用工。</w:t>
      </w:r>
    </w:p>
    <w:p w14:paraId="6DA4030B">
      <w:pPr>
        <w:ind w:firstLine="480" w:firstLineChars="200"/>
        <w:rPr>
          <w:rFonts w:ascii="宋体" w:hAnsi="宋体"/>
        </w:rPr>
      </w:pPr>
      <w:r>
        <w:rPr>
          <w:rFonts w:ascii="宋体" w:hAnsi="宋体"/>
        </w:rPr>
        <w:t>3.5.5.5发包单位应对劳务人员中的特种作业人员、特种设备作业人员工程需要的其他人员进行业务技能的培训、考评，完善班组建设，并报送建设单位备查。</w:t>
      </w:r>
    </w:p>
    <w:p w14:paraId="34254AC8">
      <w:pPr>
        <w:ind w:firstLine="480" w:firstLineChars="200"/>
        <w:rPr>
          <w:rFonts w:ascii="宋体" w:hAnsi="宋体"/>
        </w:rPr>
      </w:pPr>
      <w:r>
        <w:rPr>
          <w:rFonts w:ascii="宋体" w:hAnsi="宋体"/>
        </w:rPr>
        <w:t>3.5.5.6分包单位应对劳务人员的身份证复印件、特种作业操作证、特种设备作业人员证或上岗证复印件进行建档保存，并报送建设单位备查。</w:t>
      </w:r>
    </w:p>
    <w:p w14:paraId="2D8E7998">
      <w:pPr>
        <w:ind w:firstLine="480" w:firstLineChars="200"/>
        <w:rPr>
          <w:rFonts w:ascii="宋体" w:hAnsi="宋体"/>
        </w:rPr>
      </w:pPr>
      <w:r>
        <w:rPr>
          <w:rFonts w:ascii="宋体" w:hAnsi="宋体"/>
        </w:rPr>
        <w:t>3.6开工前安全管理</w:t>
      </w:r>
    </w:p>
    <w:p w14:paraId="22C08923">
      <w:pPr>
        <w:ind w:firstLine="480" w:firstLineChars="200"/>
        <w:rPr>
          <w:rFonts w:ascii="宋体" w:hAnsi="宋体"/>
        </w:rPr>
      </w:pPr>
      <w:r>
        <w:rPr>
          <w:rFonts w:ascii="宋体" w:hAnsi="宋体"/>
        </w:rPr>
        <w:t>3.6.1人员要求</w:t>
      </w:r>
    </w:p>
    <w:p w14:paraId="7F02B7BC">
      <w:pPr>
        <w:ind w:firstLine="480" w:firstLineChars="200"/>
        <w:rPr>
          <w:rFonts w:ascii="宋体" w:hAnsi="宋体"/>
        </w:rPr>
      </w:pPr>
      <w:r>
        <w:rPr>
          <w:rFonts w:ascii="宋体" w:hAnsi="宋体"/>
        </w:rPr>
        <w:t>3.6.1.1参加项目的承包商所有人员应有（职业）健康体检合格证明，无从事作业所涉及的工作禁忌症，现场施工人员的年龄不应超过法定退休年龄，从事高空作业及特种作业的人员年龄不宜超过50周岁，女性不宜超过45周岁。</w:t>
      </w:r>
    </w:p>
    <w:p w14:paraId="32B3EE99">
      <w:pPr>
        <w:ind w:firstLine="480" w:firstLineChars="200"/>
        <w:rPr>
          <w:rFonts w:ascii="宋体" w:hAnsi="宋体"/>
        </w:rPr>
      </w:pPr>
      <w:r>
        <w:rPr>
          <w:rFonts w:ascii="宋体" w:hAnsi="宋体"/>
        </w:rPr>
        <w:t>3.6.1.2参加项目的所有人员已经过当地公安系统进行身份信息采集、比对，防止非法人员进入现场。</w:t>
      </w:r>
    </w:p>
    <w:p w14:paraId="2CD3E79C">
      <w:pPr>
        <w:ind w:firstLine="480" w:firstLineChars="200"/>
        <w:rPr>
          <w:rFonts w:ascii="宋体" w:hAnsi="宋体"/>
        </w:rPr>
      </w:pPr>
      <w:bookmarkStart w:id="985" w:name="_Toc511143047"/>
      <w:bookmarkStart w:id="986" w:name="_Toc514167104"/>
      <w:bookmarkStart w:id="987" w:name="_Toc511126666"/>
      <w:r>
        <w:rPr>
          <w:rFonts w:ascii="宋体" w:hAnsi="宋体"/>
        </w:rPr>
        <w:t>3.6.2培训要求</w:t>
      </w:r>
      <w:bookmarkEnd w:id="985"/>
      <w:bookmarkEnd w:id="986"/>
      <w:bookmarkEnd w:id="987"/>
    </w:p>
    <w:p w14:paraId="2F1261CC">
      <w:pPr>
        <w:ind w:firstLine="480" w:firstLineChars="200"/>
        <w:rPr>
          <w:rFonts w:ascii="宋体" w:hAnsi="宋体"/>
        </w:rPr>
      </w:pPr>
      <w:r>
        <w:rPr>
          <w:rFonts w:ascii="宋体" w:hAnsi="宋体"/>
        </w:rPr>
        <w:t>3.6.2.1承包商已对参加项目的所有人员进行了安全培训，特种作业人员、特种设备作业人员持有政府部门颁发的“特种作业操作证”、“特征设备作业人员证”，并已经建设单位考评、验证。</w:t>
      </w:r>
    </w:p>
    <w:p w14:paraId="0894D156">
      <w:pPr>
        <w:ind w:firstLine="480" w:firstLineChars="200"/>
        <w:rPr>
          <w:rFonts w:ascii="宋体" w:hAnsi="宋体"/>
        </w:rPr>
      </w:pPr>
      <w:r>
        <w:rPr>
          <w:rFonts w:ascii="宋体" w:hAnsi="宋体"/>
        </w:rPr>
        <w:t>3.6.2.2建设单位应对承包商项目管理人员（项目负责人、项目安全管理人员、现场技术负责人）进行专项安全培训，考核合格后方可开工。</w:t>
      </w:r>
    </w:p>
    <w:p w14:paraId="1B700A51">
      <w:pPr>
        <w:ind w:firstLine="480" w:firstLineChars="200"/>
        <w:rPr>
          <w:rFonts w:ascii="宋体" w:hAnsi="宋体"/>
        </w:rPr>
      </w:pPr>
      <w:r>
        <w:rPr>
          <w:rFonts w:ascii="宋体" w:hAnsi="宋体"/>
        </w:rPr>
        <w:t>3.6.2.3建设单位应对承包商参加项目的所有人员进行入厂（场）前的安全教育，考核合格后发给“临时出入证”。</w:t>
      </w:r>
    </w:p>
    <w:p w14:paraId="5E7C23FA">
      <w:pPr>
        <w:ind w:firstLine="480" w:firstLineChars="200"/>
        <w:rPr>
          <w:rFonts w:ascii="宋体" w:hAnsi="宋体"/>
        </w:rPr>
      </w:pPr>
      <w:bookmarkStart w:id="988" w:name="_Toc511143048"/>
      <w:bookmarkStart w:id="989" w:name="_Toc514167105"/>
      <w:bookmarkStart w:id="990" w:name="_Toc511126667"/>
      <w:r>
        <w:rPr>
          <w:rFonts w:ascii="宋体" w:hAnsi="宋体"/>
        </w:rPr>
        <w:t>3.6.3安全交底</w:t>
      </w:r>
      <w:bookmarkEnd w:id="988"/>
      <w:bookmarkEnd w:id="989"/>
      <w:bookmarkEnd w:id="990"/>
    </w:p>
    <w:p w14:paraId="186DED8E">
      <w:pPr>
        <w:ind w:firstLine="480" w:firstLineChars="200"/>
        <w:rPr>
          <w:rFonts w:ascii="宋体" w:hAnsi="宋体"/>
        </w:rPr>
      </w:pPr>
      <w:r>
        <w:rPr>
          <w:rFonts w:ascii="宋体" w:hAnsi="宋体"/>
        </w:rPr>
        <w:t>3.6.3.1安全技术措施或专项施工方案已经过监理单位审查、建设单位批准。</w:t>
      </w:r>
    </w:p>
    <w:p w14:paraId="031F36E4">
      <w:pPr>
        <w:ind w:firstLine="480" w:firstLineChars="200"/>
        <w:rPr>
          <w:rFonts w:ascii="宋体" w:hAnsi="宋体"/>
        </w:rPr>
      </w:pPr>
      <w:r>
        <w:rPr>
          <w:rFonts w:ascii="宋体" w:hAnsi="宋体"/>
        </w:rPr>
        <w:t>3.6.3.2建设单位现场技术人员已向施工单位负责项目管理的技术人员进行安全技术交底，施工单位技术人员已对有关安全施工的技术要求向施工作业班组、施工人员作出详细说明，并由双方签字确认。</w:t>
      </w:r>
    </w:p>
    <w:p w14:paraId="0F79FF7E">
      <w:pPr>
        <w:ind w:firstLine="480" w:firstLineChars="200"/>
        <w:rPr>
          <w:rFonts w:ascii="宋体" w:hAnsi="宋体"/>
        </w:rPr>
      </w:pPr>
      <w:r>
        <w:rPr>
          <w:rFonts w:ascii="宋体" w:hAnsi="宋体"/>
        </w:rPr>
        <w:t>3.6.4现场确认</w:t>
      </w:r>
    </w:p>
    <w:p w14:paraId="2DE5B805">
      <w:pPr>
        <w:ind w:firstLine="480" w:firstLineChars="200"/>
        <w:rPr>
          <w:rFonts w:ascii="宋体" w:hAnsi="宋体"/>
        </w:rPr>
      </w:pPr>
      <w:r>
        <w:rPr>
          <w:rFonts w:ascii="宋体" w:hAnsi="宋体"/>
        </w:rPr>
        <w:t>3.6.4.1进场机具设备已由监理单位检查、验收确认。</w:t>
      </w:r>
    </w:p>
    <w:p w14:paraId="7CACF379">
      <w:pPr>
        <w:ind w:firstLine="480" w:firstLineChars="200"/>
        <w:rPr>
          <w:rFonts w:ascii="宋体" w:hAnsi="宋体"/>
        </w:rPr>
      </w:pPr>
      <w:r>
        <w:rPr>
          <w:rFonts w:ascii="宋体" w:hAnsi="宋体"/>
        </w:rPr>
        <w:t>3.6.4.2现场的临时设施已按要求建设到位并经项目管理部检查、验收确认。</w:t>
      </w:r>
    </w:p>
    <w:p w14:paraId="300CD450">
      <w:pPr>
        <w:ind w:firstLine="480" w:firstLineChars="200"/>
        <w:rPr>
          <w:rFonts w:ascii="宋体" w:hAnsi="宋体"/>
        </w:rPr>
      </w:pPr>
      <w:r>
        <w:rPr>
          <w:rFonts w:ascii="宋体" w:hAnsi="宋体"/>
        </w:rPr>
        <w:t>3.6.4.3现场安全标准化工地建设工作符合合同的约定。</w:t>
      </w:r>
    </w:p>
    <w:p w14:paraId="002FEE86">
      <w:pPr>
        <w:ind w:firstLine="480" w:firstLineChars="200"/>
        <w:rPr>
          <w:rFonts w:ascii="宋体" w:hAnsi="宋体"/>
        </w:rPr>
      </w:pPr>
      <w:r>
        <w:rPr>
          <w:rFonts w:ascii="宋体" w:hAnsi="宋体"/>
        </w:rPr>
        <w:t>3.6.4.4自然灾害敏感区域施工的，已制定预防自然灾害安全措施。</w:t>
      </w:r>
    </w:p>
    <w:p w14:paraId="059CBA12">
      <w:pPr>
        <w:ind w:firstLine="480" w:firstLineChars="200"/>
        <w:rPr>
          <w:rFonts w:ascii="宋体" w:hAnsi="宋体"/>
        </w:rPr>
      </w:pPr>
      <w:r>
        <w:rPr>
          <w:rFonts w:ascii="宋体" w:hAnsi="宋体"/>
        </w:rPr>
        <w:t>3.6.4.5施工现场已设置安全风险及职业危害告知牌，公布项目存在的安全风险及职业危害因素、防护措施。施工现场的危险部位已按要求设置各种警示标识。</w:t>
      </w:r>
    </w:p>
    <w:p w14:paraId="2D873BC5">
      <w:pPr>
        <w:ind w:firstLine="480" w:firstLineChars="200"/>
        <w:rPr>
          <w:rFonts w:ascii="宋体" w:hAnsi="宋体"/>
        </w:rPr>
      </w:pPr>
      <w:bookmarkStart w:id="991" w:name="_Toc514167106"/>
      <w:bookmarkStart w:id="992" w:name="_Toc511126668"/>
      <w:bookmarkStart w:id="993" w:name="_Toc511143049"/>
      <w:r>
        <w:rPr>
          <w:rFonts w:ascii="宋体" w:hAnsi="宋体"/>
        </w:rPr>
        <w:t>3.6.5开工手续办理</w:t>
      </w:r>
      <w:bookmarkEnd w:id="991"/>
      <w:bookmarkEnd w:id="992"/>
      <w:bookmarkEnd w:id="993"/>
    </w:p>
    <w:p w14:paraId="2880DC61">
      <w:pPr>
        <w:ind w:firstLine="480" w:firstLineChars="200"/>
        <w:rPr>
          <w:rFonts w:ascii="宋体" w:hAnsi="宋体"/>
        </w:rPr>
      </w:pPr>
      <w:r>
        <w:rPr>
          <w:rFonts w:hint="eastAsia" w:ascii="宋体" w:hAnsi="宋体"/>
        </w:rPr>
        <w:t>建设单位、监理单位、施工单位对作业现场共同进行检查，确认已具备安全作业条件后，方可办理开工手续。</w:t>
      </w:r>
    </w:p>
    <w:p w14:paraId="4F3DD068">
      <w:pPr>
        <w:ind w:firstLine="480" w:firstLineChars="200"/>
        <w:rPr>
          <w:rFonts w:ascii="宋体" w:hAnsi="宋体"/>
        </w:rPr>
      </w:pPr>
      <w:bookmarkStart w:id="994" w:name="_Toc511126669"/>
      <w:bookmarkStart w:id="995" w:name="_Toc511143050"/>
      <w:bookmarkStart w:id="996" w:name="_Toc514167107"/>
      <w:r>
        <w:rPr>
          <w:rFonts w:ascii="宋体" w:hAnsi="宋体"/>
        </w:rPr>
        <w:t>3.7现场施工安全管理</w:t>
      </w:r>
      <w:bookmarkEnd w:id="994"/>
      <w:bookmarkEnd w:id="995"/>
      <w:bookmarkEnd w:id="996"/>
    </w:p>
    <w:p w14:paraId="4EBEE612">
      <w:pPr>
        <w:ind w:firstLine="480" w:firstLineChars="200"/>
        <w:rPr>
          <w:rFonts w:ascii="宋体" w:hAnsi="宋体"/>
        </w:rPr>
      </w:pPr>
      <w:r>
        <w:rPr>
          <w:rFonts w:ascii="宋体" w:hAnsi="宋体"/>
        </w:rPr>
        <w:t>3.7.1施工现场应实行封闭管理，所有人员和车辆进出现场大门必须持有有效证件。长输管道建设等施工现场无法做到封闭化管理的，应设置警示带，划定警戒区，杜绝闲杂人员和车辆的进出。</w:t>
      </w:r>
    </w:p>
    <w:p w14:paraId="05ED5CE5">
      <w:pPr>
        <w:ind w:firstLine="480" w:firstLineChars="200"/>
        <w:rPr>
          <w:rFonts w:ascii="宋体" w:hAnsi="宋体"/>
        </w:rPr>
      </w:pPr>
      <w:r>
        <w:rPr>
          <w:rFonts w:ascii="宋体" w:hAnsi="宋体"/>
        </w:rPr>
        <w:t>3.7.2施工人员进入生产运行、工程建设现场，应穿戴符合相关安全要求的劳动防护用品。</w:t>
      </w:r>
    </w:p>
    <w:p w14:paraId="6C080908">
      <w:pPr>
        <w:ind w:firstLine="480" w:firstLineChars="200"/>
        <w:rPr>
          <w:rFonts w:ascii="宋体" w:hAnsi="宋体"/>
        </w:rPr>
      </w:pPr>
      <w:r>
        <w:rPr>
          <w:rFonts w:ascii="宋体" w:hAnsi="宋体"/>
        </w:rPr>
        <w:t>3.7.3施工人员进入生产区施工作业，只能在规定的作业区域进行施工活动，不得擅动建设单位的设备设施，未经许可不得擅自进入其他区域和场所。</w:t>
      </w:r>
    </w:p>
    <w:p w14:paraId="06B7D45D">
      <w:pPr>
        <w:ind w:firstLine="480" w:firstLineChars="200"/>
        <w:rPr>
          <w:rFonts w:ascii="宋体" w:hAnsi="宋体"/>
        </w:rPr>
      </w:pPr>
      <w:r>
        <w:rPr>
          <w:rFonts w:ascii="宋体" w:hAnsi="宋体"/>
        </w:rPr>
        <w:t>3.7.4两个及以上承包商在同一作业区域内作业、可能危及对方生产安全的，项目主管部门应明确工作边界，协调承包商之间签订安全管理协议，明确各自的安全生产管理职责和应当采取的安全措施，并指定专职安全生产管理人员进行安全检查与协调。</w:t>
      </w:r>
    </w:p>
    <w:p w14:paraId="26BE9319">
      <w:pPr>
        <w:ind w:firstLine="480" w:firstLineChars="200"/>
        <w:rPr>
          <w:rFonts w:ascii="宋体" w:hAnsi="宋体"/>
        </w:rPr>
      </w:pPr>
      <w:r>
        <w:rPr>
          <w:rFonts w:ascii="宋体" w:hAnsi="宋体"/>
        </w:rPr>
        <w:t>3.7.5边生产、边施工作业应开展安全风险分析，制定严格的作业程序和安全措施。</w:t>
      </w:r>
    </w:p>
    <w:p w14:paraId="2FF72487">
      <w:pPr>
        <w:ind w:firstLine="480" w:firstLineChars="200"/>
        <w:rPr>
          <w:rFonts w:ascii="宋体" w:hAnsi="宋体"/>
        </w:rPr>
      </w:pPr>
      <w:r>
        <w:rPr>
          <w:rFonts w:ascii="宋体" w:hAnsi="宋体"/>
        </w:rPr>
        <w:t>3.7.6安装、拆卸施工起重机械及脚手架等设施，必须编制专项施工方案，经监理单位审查、建设单位批准后严格按照方案执行，经检验合格后办理验收手续。</w:t>
      </w:r>
    </w:p>
    <w:p w14:paraId="4066863E">
      <w:pPr>
        <w:ind w:firstLine="480" w:firstLineChars="200"/>
        <w:rPr>
          <w:rFonts w:ascii="宋体" w:hAnsi="宋体"/>
        </w:rPr>
      </w:pPr>
      <w:r>
        <w:rPr>
          <w:rFonts w:ascii="宋体" w:hAnsi="宋体"/>
        </w:rPr>
        <w:t>3.7.7施工过程中，应定期核查承包商项目经理、安全管理人员、现场技术负责人、特种作业人员、特种设备作业人员和关键工种人员是否与响应文件中承诺的人员相一致，并检查持证情况。当发现无证上岗时，应立即清出施工现场。</w:t>
      </w:r>
    </w:p>
    <w:p w14:paraId="06A493B9">
      <w:pPr>
        <w:ind w:firstLine="480" w:firstLineChars="200"/>
        <w:rPr>
          <w:rFonts w:ascii="宋体" w:hAnsi="宋体"/>
        </w:rPr>
      </w:pPr>
      <w:r>
        <w:rPr>
          <w:rFonts w:ascii="宋体" w:hAnsi="宋体"/>
        </w:rPr>
        <w:t>3.7.8安全督查大队对承包商施工现场实施全覆盖、全天候安全督查。</w:t>
      </w:r>
    </w:p>
    <w:p w14:paraId="35287F2B">
      <w:pPr>
        <w:ind w:firstLine="480" w:firstLineChars="200"/>
        <w:rPr>
          <w:rFonts w:ascii="宋体" w:hAnsi="宋体"/>
        </w:rPr>
      </w:pPr>
      <w:r>
        <w:rPr>
          <w:rFonts w:ascii="宋体" w:hAnsi="宋体"/>
        </w:rPr>
        <w:t>3.7.9特殊作业以及重要的、危险性较大的施工现场必须实施全程视频监控。</w:t>
      </w:r>
    </w:p>
    <w:p w14:paraId="0B237143">
      <w:pPr>
        <w:ind w:firstLine="480" w:firstLineChars="200"/>
        <w:rPr>
          <w:rFonts w:ascii="宋体" w:hAnsi="宋体"/>
        </w:rPr>
      </w:pPr>
      <w:r>
        <w:rPr>
          <w:rFonts w:ascii="宋体" w:hAnsi="宋体"/>
        </w:rPr>
        <w:t>3.7.10鼓励重点工程建设及大检修项目实施“第三方安全</w:t>
      </w:r>
    </w:p>
    <w:p w14:paraId="54913668">
      <w:pPr>
        <w:ind w:firstLine="480" w:firstLineChars="200"/>
        <w:rPr>
          <w:rFonts w:ascii="宋体" w:hAnsi="宋体"/>
        </w:rPr>
      </w:pPr>
      <w:r>
        <w:rPr>
          <w:rFonts w:hint="eastAsia" w:ascii="宋体" w:hAnsi="宋体"/>
        </w:rPr>
        <w:t>监督服务”。</w:t>
      </w:r>
    </w:p>
    <w:p w14:paraId="3A54AD24">
      <w:pPr>
        <w:ind w:firstLine="480" w:firstLineChars="200"/>
        <w:rPr>
          <w:rFonts w:ascii="宋体" w:hAnsi="宋体"/>
        </w:rPr>
      </w:pPr>
      <w:r>
        <w:rPr>
          <w:rFonts w:ascii="宋体" w:hAnsi="宋体"/>
        </w:rPr>
        <w:t>3.7.11推行安全行为指数做法，对作业行为进行量化管理。</w:t>
      </w:r>
    </w:p>
    <w:p w14:paraId="5C1D6E57">
      <w:pPr>
        <w:ind w:firstLine="480" w:firstLineChars="200"/>
        <w:rPr>
          <w:rFonts w:ascii="宋体" w:hAnsi="宋体"/>
        </w:rPr>
      </w:pPr>
      <w:r>
        <w:rPr>
          <w:rFonts w:ascii="宋体" w:hAnsi="宋体"/>
        </w:rPr>
        <w:t>3.7.12建设单位应与承包商建立信息沟通机制、安全例会机制，及时通报安全信息、协调解决施工过程中的安全问题。建立应急联动机制，定期开展联合应急演练。</w:t>
      </w:r>
    </w:p>
    <w:p w14:paraId="48CE2456">
      <w:pPr>
        <w:ind w:left="360" w:leftChars="150"/>
        <w:rPr>
          <w:rFonts w:ascii="宋体" w:hAnsi="宋体"/>
        </w:rPr>
      </w:pPr>
      <w:bookmarkStart w:id="997" w:name="_Toc511126670"/>
      <w:bookmarkStart w:id="998" w:name="_Toc511143051"/>
      <w:bookmarkStart w:id="999" w:name="_Toc514167108"/>
      <w:r>
        <w:rPr>
          <w:rFonts w:ascii="宋体" w:hAnsi="宋体"/>
        </w:rPr>
        <w:t>3.8特殊作业安全监督管理</w:t>
      </w:r>
      <w:bookmarkEnd w:id="997"/>
      <w:bookmarkEnd w:id="998"/>
      <w:bookmarkEnd w:id="999"/>
    </w:p>
    <w:p w14:paraId="0C615578">
      <w:pPr>
        <w:ind w:firstLine="480" w:firstLineChars="200"/>
        <w:rPr>
          <w:rFonts w:ascii="宋体" w:hAnsi="宋体"/>
        </w:rPr>
      </w:pPr>
      <w:r>
        <w:rPr>
          <w:rFonts w:ascii="宋体" w:hAnsi="宋体"/>
        </w:rPr>
        <w:t>3.8.1对用火、进入受限空间、高处作业等特殊作业必须强化作业许可申请人、签发人、接收人（施工单位的现场负责人或安全负责人、技术负责人）、监护人的责任落实，强化风险分析和安全措施的落实确认。</w:t>
      </w:r>
    </w:p>
    <w:p w14:paraId="5EDB835F">
      <w:pPr>
        <w:ind w:firstLine="480" w:firstLineChars="200"/>
        <w:rPr>
          <w:rFonts w:ascii="宋体" w:hAnsi="宋体"/>
        </w:rPr>
      </w:pPr>
      <w:r>
        <w:rPr>
          <w:rFonts w:ascii="宋体" w:hAnsi="宋体"/>
        </w:rPr>
        <w:t>3.8.2施工作业过程中，签发人、接收人对作业全面负责，双方的监护人应在现场全程值守。</w:t>
      </w:r>
    </w:p>
    <w:p w14:paraId="337BB133">
      <w:pPr>
        <w:ind w:firstLine="480" w:firstLineChars="200"/>
        <w:rPr>
          <w:rFonts w:ascii="宋体" w:hAnsi="宋体"/>
        </w:rPr>
      </w:pPr>
      <w:r>
        <w:rPr>
          <w:rFonts w:ascii="宋体" w:hAnsi="宋体"/>
        </w:rPr>
        <w:t>3.8.3申请人、签发人、接收人、监护人必须经过建设单位安全管理部门组织的作业许可管理培训，取得合格证书。</w:t>
      </w:r>
    </w:p>
    <w:p w14:paraId="6F03582F">
      <w:pPr>
        <w:ind w:firstLine="480" w:firstLineChars="200"/>
        <w:rPr>
          <w:rFonts w:ascii="宋体" w:hAnsi="宋体"/>
        </w:rPr>
      </w:pPr>
      <w:r>
        <w:rPr>
          <w:rFonts w:ascii="宋体" w:hAnsi="宋体"/>
        </w:rPr>
        <w:t>3.8.4开票前，签发人必须会同申请人、接收人针对现场和作业过程中可能存在的危害因素运用JSA等方法进行风险分析，制定相应的作业程序及安全措施。</w:t>
      </w:r>
    </w:p>
    <w:p w14:paraId="24203A67">
      <w:pPr>
        <w:ind w:firstLine="480" w:firstLineChars="200"/>
        <w:rPr>
          <w:rFonts w:ascii="宋体" w:hAnsi="宋体"/>
        </w:rPr>
      </w:pPr>
      <w:r>
        <w:rPr>
          <w:rFonts w:ascii="宋体" w:hAnsi="宋体"/>
        </w:rPr>
        <w:t>3.8.5施工前，签发人会同承包商的现场负责人及有关专业技术人员、监护人，对现场作业的设备、设施进行现场检查，对作业内容、可能存在的风险以及施工作业环境进行交底，对许可证列出的有关安全措施逐条确认后，现场签发作业许可证。</w:t>
      </w:r>
    </w:p>
    <w:p w14:paraId="1DDAEE6B">
      <w:pPr>
        <w:ind w:firstLine="480" w:firstLineChars="200"/>
        <w:rPr>
          <w:rFonts w:ascii="宋体" w:hAnsi="宋体"/>
        </w:rPr>
      </w:pPr>
      <w:r>
        <w:rPr>
          <w:rFonts w:ascii="宋体" w:hAnsi="宋体"/>
        </w:rPr>
        <w:t>3.8.6开始作业前、施工完毕后，应及时报告生产调度（运行）部门。</w:t>
      </w:r>
    </w:p>
    <w:p w14:paraId="735BEEF6">
      <w:pPr>
        <w:ind w:firstLine="480" w:firstLineChars="200"/>
        <w:rPr>
          <w:rFonts w:ascii="宋体" w:hAnsi="宋体"/>
        </w:rPr>
      </w:pPr>
      <w:r>
        <w:rPr>
          <w:rFonts w:ascii="宋体" w:hAnsi="宋体"/>
        </w:rPr>
        <w:t>3.8.7作业完毕，经签发人现场检查，确认无遗留安全隐患后，办理作业票关闭手续。</w:t>
      </w:r>
    </w:p>
    <w:p w14:paraId="1C6967CA">
      <w:pPr>
        <w:ind w:firstLine="480" w:firstLineChars="200"/>
        <w:rPr>
          <w:rFonts w:ascii="宋体" w:hAnsi="宋体"/>
        </w:rPr>
      </w:pPr>
      <w:r>
        <w:rPr>
          <w:rFonts w:ascii="宋体" w:hAnsi="宋体"/>
        </w:rPr>
        <w:t>3.8.8非常规作业要开展风险分析，风险大的作业要参照特殊作业管理规定执行。</w:t>
      </w:r>
    </w:p>
    <w:p w14:paraId="48CD57FD">
      <w:pPr>
        <w:ind w:firstLine="480" w:firstLineChars="200"/>
        <w:rPr>
          <w:rFonts w:ascii="宋体" w:hAnsi="宋体"/>
        </w:rPr>
      </w:pPr>
      <w:r>
        <w:rPr>
          <w:rFonts w:ascii="宋体" w:hAnsi="宋体"/>
        </w:rPr>
        <w:t>3.8.9鼓励实施电子作业票。</w:t>
      </w:r>
    </w:p>
    <w:p w14:paraId="643F3446">
      <w:pPr>
        <w:ind w:firstLine="480" w:firstLineChars="200"/>
        <w:rPr>
          <w:rFonts w:ascii="宋体" w:hAnsi="宋体"/>
        </w:rPr>
      </w:pPr>
      <w:r>
        <w:rPr>
          <w:rFonts w:ascii="宋体" w:hAnsi="宋体"/>
        </w:rPr>
        <w:t>4检查与监督考核</w:t>
      </w:r>
    </w:p>
    <w:p w14:paraId="585C0F79">
      <w:pPr>
        <w:ind w:firstLine="480" w:firstLineChars="200"/>
        <w:rPr>
          <w:rFonts w:ascii="宋体" w:hAnsi="宋体"/>
        </w:rPr>
      </w:pPr>
      <w:r>
        <w:rPr>
          <w:rFonts w:ascii="宋体" w:hAnsi="宋体"/>
        </w:rPr>
        <w:t>4.1检查</w:t>
      </w:r>
    </w:p>
    <w:p w14:paraId="33930AE9">
      <w:pPr>
        <w:ind w:firstLine="480" w:firstLineChars="200"/>
        <w:rPr>
          <w:rFonts w:ascii="宋体" w:hAnsi="宋体"/>
        </w:rPr>
      </w:pPr>
      <w:r>
        <w:rPr>
          <w:rFonts w:ascii="宋体" w:hAnsi="宋体"/>
        </w:rPr>
        <w:t>4.1.1建设单位、监理单位和施工单位应建立安全检查制度，定期或不定期地对施工现场开展安全检查。</w:t>
      </w:r>
    </w:p>
    <w:p w14:paraId="66A9FDB9">
      <w:pPr>
        <w:ind w:firstLine="480" w:firstLineChars="200"/>
        <w:rPr>
          <w:rFonts w:ascii="宋体" w:hAnsi="宋体"/>
        </w:rPr>
      </w:pPr>
      <w:r>
        <w:rPr>
          <w:rFonts w:ascii="宋体" w:hAnsi="宋体"/>
        </w:rPr>
        <w:t>4.1.2承包商的上级单位必须制定安全检查方案，定期或不定期地对所承包工程项目的施工现场开展安全检查，并将检查和整改封闭结果报建设单位备案。</w:t>
      </w:r>
    </w:p>
    <w:p w14:paraId="3624EB6D">
      <w:pPr>
        <w:ind w:firstLine="480" w:firstLineChars="200"/>
        <w:rPr>
          <w:rFonts w:ascii="宋体" w:hAnsi="宋体"/>
        </w:rPr>
      </w:pPr>
      <w:r>
        <w:rPr>
          <w:rFonts w:ascii="宋体" w:hAnsi="宋体"/>
        </w:rPr>
        <w:t>4.1.3项目管理部应定期组织监理单位、总承包商单位，开展联合安全检查。</w:t>
      </w:r>
    </w:p>
    <w:p w14:paraId="6E7CE2AA">
      <w:pPr>
        <w:ind w:firstLine="480" w:firstLineChars="200"/>
        <w:rPr>
          <w:rFonts w:ascii="宋体" w:hAnsi="宋体"/>
        </w:rPr>
      </w:pPr>
      <w:r>
        <w:rPr>
          <w:rFonts w:ascii="宋体" w:hAnsi="宋体"/>
        </w:rPr>
        <w:t>4.1.4对发现的隐患，应及时下达“隐患整改通知单”，并跟踪整改情况。发现存在事故隐患无法保证安全的或者危及员工生命安全的紧急情况时，应当责令停止作业或者停工。</w:t>
      </w:r>
    </w:p>
    <w:p w14:paraId="3FA4E006">
      <w:pPr>
        <w:ind w:firstLine="480" w:firstLineChars="200"/>
        <w:rPr>
          <w:rFonts w:ascii="宋体" w:hAnsi="宋体"/>
        </w:rPr>
      </w:pPr>
      <w:r>
        <w:rPr>
          <w:rFonts w:ascii="宋体" w:hAnsi="宋体"/>
        </w:rPr>
        <w:t>4.1.5承包商员工在施工现场存在严重违章行为的，由建设单位项目管理部门按照有关规定清出施工现场，并收回“临时出入证”。</w:t>
      </w:r>
    </w:p>
    <w:p w14:paraId="6C4F84BA">
      <w:pPr>
        <w:ind w:firstLine="480" w:firstLineChars="200"/>
        <w:rPr>
          <w:rFonts w:ascii="宋体" w:hAnsi="宋体"/>
        </w:rPr>
      </w:pPr>
      <w:bookmarkStart w:id="1000" w:name="_Toc511143052"/>
      <w:bookmarkStart w:id="1001" w:name="_Toc514167109"/>
      <w:bookmarkStart w:id="1002" w:name="_Toc511126671"/>
      <w:r>
        <w:rPr>
          <w:rFonts w:ascii="宋体" w:hAnsi="宋体"/>
        </w:rPr>
        <w:t>4.2考核</w:t>
      </w:r>
      <w:bookmarkEnd w:id="1000"/>
      <w:bookmarkEnd w:id="1001"/>
      <w:bookmarkEnd w:id="1002"/>
    </w:p>
    <w:p w14:paraId="42B62916">
      <w:pPr>
        <w:ind w:firstLine="480" w:firstLineChars="200"/>
        <w:rPr>
          <w:rFonts w:ascii="宋体" w:hAnsi="宋体"/>
        </w:rPr>
      </w:pPr>
      <w:r>
        <w:rPr>
          <w:rFonts w:ascii="宋体" w:hAnsi="宋体"/>
        </w:rPr>
        <w:t>4.2.1承包商在合同履行过程中出现违规行为或者发生人为破坏案（事）件、群体性治安（维稳）事件的，按照或参照</w:t>
      </w:r>
      <w:r>
        <w:rPr>
          <w:rFonts w:hint="eastAsia" w:ascii="宋体" w:hAnsi="宋体"/>
        </w:rPr>
        <w:t>法律法规</w:t>
      </w:r>
      <w:r>
        <w:rPr>
          <w:rFonts w:ascii="宋体" w:hAnsi="宋体"/>
        </w:rPr>
        <w:t>有关规定执行。</w:t>
      </w:r>
    </w:p>
    <w:p w14:paraId="0BA5651A">
      <w:pPr>
        <w:ind w:firstLine="480" w:firstLineChars="200"/>
        <w:rPr>
          <w:rFonts w:ascii="宋体" w:hAnsi="宋体"/>
        </w:rPr>
      </w:pPr>
      <w:r>
        <w:rPr>
          <w:rFonts w:ascii="宋体" w:hAnsi="宋体"/>
        </w:rPr>
        <w:t>4.2.2建设单位应根据工程特点，制定承包商安全考核办法，建立违规处罚、清退机制。</w:t>
      </w:r>
    </w:p>
    <w:p w14:paraId="7B9ED2A9">
      <w:pPr>
        <w:ind w:firstLine="480" w:firstLineChars="200"/>
        <w:rPr>
          <w:rFonts w:ascii="宋体" w:hAnsi="宋体"/>
        </w:rPr>
      </w:pPr>
      <w:r>
        <w:rPr>
          <w:rFonts w:ascii="宋体" w:hAnsi="宋体"/>
        </w:rPr>
        <w:t>5附则</w:t>
      </w:r>
    </w:p>
    <w:p w14:paraId="5692B343">
      <w:pPr>
        <w:ind w:firstLine="480" w:firstLineChars="200"/>
        <w:rPr>
          <w:rFonts w:ascii="宋体" w:hAnsi="宋体"/>
        </w:rPr>
      </w:pPr>
      <w:r>
        <w:rPr>
          <w:rFonts w:ascii="宋体" w:hAnsi="宋体"/>
        </w:rPr>
        <w:t>5.1各企业应结合本单位实际，制定承包商安全管理实施细则。</w:t>
      </w:r>
    </w:p>
    <w:p w14:paraId="64874A47">
      <w:pPr>
        <w:ind w:firstLine="480" w:firstLineChars="200"/>
        <w:rPr>
          <w:sz w:val="32"/>
          <w:szCs w:val="32"/>
        </w:rPr>
      </w:pPr>
      <w:r>
        <w:rPr>
          <w:rFonts w:ascii="宋体" w:hAnsi="宋体"/>
        </w:rPr>
        <w:t>5.2临时性、设备维护保养、设备保洁等零散维修作业的承包商安全监督管理，参照本</w:t>
      </w:r>
      <w:r>
        <w:rPr>
          <w:rFonts w:hint="eastAsia" w:ascii="宋体" w:hAnsi="宋体"/>
        </w:rPr>
        <w:t>要求</w:t>
      </w:r>
      <w:r>
        <w:rPr>
          <w:rFonts w:ascii="宋体" w:hAnsi="宋体"/>
        </w:rPr>
        <w:t>执行。</w:t>
      </w:r>
      <w:r>
        <w:rPr>
          <w:rFonts w:hint="eastAsia"/>
          <w:sz w:val="32"/>
          <w:szCs w:val="32"/>
        </w:rPr>
        <w:br w:type="page"/>
      </w:r>
    </w:p>
    <w:p w14:paraId="2DD5C5A9">
      <w:pPr>
        <w:pStyle w:val="6"/>
      </w:pPr>
      <w:r>
        <w:rPr>
          <w:rFonts w:hint="eastAsia" w:ascii="宋体" w:hAnsi="宋体" w:cs="Arial"/>
          <w:sz w:val="24"/>
          <w:szCs w:val="24"/>
        </w:rPr>
        <w:t>附件13</w:t>
      </w:r>
      <w:r>
        <w:rPr>
          <w:rFonts w:ascii="宋体" w:hAnsi="宋体" w:cs="Arial"/>
          <w:sz w:val="24"/>
          <w:szCs w:val="24"/>
        </w:rPr>
        <w:t>：</w:t>
      </w:r>
      <w:r>
        <w:rPr>
          <w:rFonts w:hint="eastAsia" w:ascii="宋体" w:hAnsi="宋体" w:cs="Arial"/>
          <w:sz w:val="24"/>
          <w:szCs w:val="24"/>
        </w:rPr>
        <w:t>不进行保理业务承诺函</w:t>
      </w:r>
    </w:p>
    <w:p w14:paraId="32C9A1B1">
      <w:pPr>
        <w:rPr>
          <w:rFonts w:ascii="宋体" w:hAnsi="宋体"/>
        </w:rPr>
      </w:pPr>
    </w:p>
    <w:p w14:paraId="0D86E8B3">
      <w:pPr>
        <w:spacing w:before="120" w:beforeLines="50" w:after="120" w:afterLines="50"/>
        <w:jc w:val="center"/>
        <w:rPr>
          <w:b/>
          <w:sz w:val="44"/>
          <w:szCs w:val="44"/>
        </w:rPr>
      </w:pPr>
      <w:r>
        <w:rPr>
          <w:rFonts w:hint="eastAsia"/>
          <w:b/>
          <w:sz w:val="44"/>
          <w:szCs w:val="44"/>
        </w:rPr>
        <w:t>承诺函</w:t>
      </w:r>
    </w:p>
    <w:p w14:paraId="70CF8280">
      <w:pPr>
        <w:rPr>
          <w:b/>
          <w:sz w:val="28"/>
          <w:szCs w:val="28"/>
        </w:rPr>
      </w:pPr>
      <w:r>
        <w:rPr>
          <w:rFonts w:hint="eastAsia"/>
          <w:b/>
          <w:sz w:val="28"/>
          <w:szCs w:val="28"/>
        </w:rPr>
        <w:t xml:space="preserve">致：广东中粤通油品经营有限公司  </w:t>
      </w:r>
    </w:p>
    <w:p w14:paraId="7D77BF7C">
      <w:pPr>
        <w:ind w:firstLine="480" w:firstLineChars="200"/>
      </w:pPr>
      <w:r>
        <w:rPr>
          <w:rFonts w:hint="eastAsia"/>
        </w:rPr>
        <w:t>本公司与贵公司于（      ）年（  ）月（   ）日签署了《                    》（编号：                       ，以下简称合同），根据合同第九条约定，本公司特向贵公司承诺如下：</w:t>
      </w:r>
    </w:p>
    <w:p w14:paraId="0FBF762D">
      <w:pPr>
        <w:ind w:firstLine="480" w:firstLineChars="200"/>
      </w:pPr>
      <w:r>
        <w:rPr>
          <w:rFonts w:hint="eastAsia"/>
        </w:rPr>
        <w:t>1、未经贵公司书面许可，本公司不得利用合同开展质押或其他融资业务；不得就合同项下发生应收账款业务向其他第三方机构或个人办理应收账款保理业务；不得将合同权利义务全部或部分进行转让。</w:t>
      </w:r>
    </w:p>
    <w:p w14:paraId="40BCCF46">
      <w:pPr>
        <w:ind w:firstLine="480" w:firstLineChars="200"/>
      </w:pPr>
      <w:r>
        <w:rPr>
          <w:rFonts w:hint="eastAsia"/>
        </w:rPr>
        <w:t>2、贵公司对于合同项下发票和应收账款金额等信息的确认不具有特殊认可的效力。</w:t>
      </w:r>
    </w:p>
    <w:p w14:paraId="66DFB34E">
      <w:pPr>
        <w:ind w:firstLine="480" w:firstLineChars="200"/>
      </w:pPr>
      <w:r>
        <w:rPr>
          <w:rFonts w:hint="eastAsia"/>
        </w:rPr>
        <w:t>3、本公司承诺不利用合同开展任何违法违规的活动。</w:t>
      </w:r>
    </w:p>
    <w:p w14:paraId="60D361FD">
      <w:pPr>
        <w:ind w:firstLine="480" w:firstLineChars="200"/>
      </w:pPr>
      <w:r>
        <w:rPr>
          <w:rFonts w:hint="eastAsia"/>
        </w:rPr>
        <w:t>4、本公司承诺不论何时，本公司均不得以任何形式以贵公司的名义开展保理、质押融资等相关业务。</w:t>
      </w:r>
    </w:p>
    <w:p w14:paraId="4403715B">
      <w:pPr>
        <w:ind w:firstLine="480" w:firstLineChars="200"/>
      </w:pPr>
      <w:r>
        <w:rPr>
          <w:rFonts w:hint="eastAsia"/>
        </w:rPr>
        <w:t>5、本公司承诺不实施任何假造贵公司印签、合同文本、《收货确认函》、《对账单》等物料的行为。</w:t>
      </w:r>
    </w:p>
    <w:p w14:paraId="3EDEDFC6">
      <w:pPr>
        <w:ind w:firstLine="480" w:firstLineChars="200"/>
      </w:pPr>
      <w:r>
        <w:rPr>
          <w:rFonts w:hint="eastAsia"/>
        </w:rPr>
        <w:t>6、如违反上述承诺，贵公司有权将本公司违反承诺的行为纳入贵公司对供应商的信用评价体系中予以考察。</w:t>
      </w:r>
    </w:p>
    <w:p w14:paraId="3BB150EE">
      <w:pPr>
        <w:ind w:firstLine="480" w:firstLineChars="200"/>
      </w:pPr>
      <w:r>
        <w:rPr>
          <w:rFonts w:hint="eastAsia"/>
        </w:rPr>
        <w:t>7、如违反上述承诺，本公司自愿无条件赔偿贵公司的经济损失，贵公司有权采取包括但不限于解除合同、取消供应商资格、追究本公司及相关责任人员法律责任的措施。</w:t>
      </w:r>
    </w:p>
    <w:p w14:paraId="24963424">
      <w:pPr>
        <w:ind w:firstLine="480" w:firstLineChars="200"/>
      </w:pPr>
      <w:r>
        <w:rPr>
          <w:rFonts w:hint="eastAsia"/>
        </w:rPr>
        <w:t>8、前述承诺永久有效。</w:t>
      </w:r>
    </w:p>
    <w:p w14:paraId="427D3015">
      <w:r>
        <w:rPr>
          <w:rFonts w:hint="eastAsia"/>
        </w:rPr>
        <w:t xml:space="preserve">    特此承诺！</w:t>
      </w:r>
    </w:p>
    <w:p w14:paraId="46A94616">
      <w:pPr>
        <w:ind w:firstLine="4080" w:firstLineChars="1700"/>
      </w:pPr>
    </w:p>
    <w:p w14:paraId="0F7AF2E9">
      <w:pPr>
        <w:ind w:firstLine="4080" w:firstLineChars="1700"/>
      </w:pPr>
    </w:p>
    <w:p w14:paraId="487F99F6">
      <w:pPr>
        <w:ind w:firstLine="4080" w:firstLineChars="1700"/>
      </w:pPr>
    </w:p>
    <w:p w14:paraId="49718F7C">
      <w:pPr>
        <w:ind w:firstLine="4080" w:firstLineChars="1700"/>
      </w:pPr>
      <w:r>
        <w:rPr>
          <w:rFonts w:hint="eastAsia"/>
        </w:rPr>
        <w:t>承诺人（盖章）：</w:t>
      </w:r>
    </w:p>
    <w:p w14:paraId="1FA43620">
      <w:pPr>
        <w:ind w:firstLine="4080" w:firstLineChars="1700"/>
      </w:pPr>
      <w:r>
        <w:rPr>
          <w:rFonts w:hint="eastAsia"/>
        </w:rPr>
        <w:t>法定代表人（签字）：</w:t>
      </w:r>
    </w:p>
    <w:p w14:paraId="197AD3D5">
      <w:pPr>
        <w:widowControl/>
        <w:ind w:firstLine="5760" w:firstLineChars="2400"/>
        <w:sectPr>
          <w:headerReference r:id="rId17" w:type="default"/>
          <w:pgSz w:w="11906" w:h="16838"/>
          <w:pgMar w:top="1440" w:right="1080" w:bottom="1440" w:left="1080" w:header="851" w:footer="992" w:gutter="0"/>
          <w:cols w:space="720" w:num="1"/>
        </w:sectPr>
      </w:pPr>
      <w:r>
        <w:rPr>
          <w:rFonts w:hint="eastAsia"/>
        </w:rPr>
        <w:t xml:space="preserve">202   </w:t>
      </w:r>
      <w:r>
        <w:t>年</w:t>
      </w:r>
      <w:r>
        <w:rPr>
          <w:rFonts w:hint="eastAsia"/>
        </w:rPr>
        <w:t xml:space="preserve">  </w:t>
      </w:r>
      <w:r>
        <w:t>月</w:t>
      </w:r>
      <w:r>
        <w:rPr>
          <w:rFonts w:hint="eastAsia"/>
        </w:rPr>
        <w:t xml:space="preserve">  </w:t>
      </w:r>
      <w:r>
        <w:t>日</w:t>
      </w:r>
    </w:p>
    <w:p w14:paraId="5096E19A">
      <w:pPr>
        <w:widowControl/>
        <w:rPr>
          <w:rFonts w:ascii="宋体" w:hAnsi="宋体" w:cs="Arial"/>
        </w:rPr>
      </w:pPr>
      <w:r>
        <w:rPr>
          <w:rFonts w:hint="eastAsia" w:ascii="宋体" w:hAnsi="宋体" w:cs="Arial"/>
        </w:rPr>
        <w:t>附件14</w:t>
      </w:r>
      <w:r>
        <w:rPr>
          <w:rFonts w:ascii="宋体" w:hAnsi="宋体" w:cs="Arial"/>
        </w:rPr>
        <w:t>：</w:t>
      </w:r>
      <w:r>
        <w:rPr>
          <w:rFonts w:hint="eastAsia" w:ascii="宋体" w:hAnsi="宋体" w:cs="Arial"/>
        </w:rPr>
        <w:t>安全施工承诺函</w:t>
      </w:r>
    </w:p>
    <w:p w14:paraId="3AF821E9">
      <w:pPr>
        <w:widowControl/>
        <w:rPr>
          <w:rFonts w:ascii="宋体" w:hAnsi="宋体" w:cs="Arial"/>
        </w:rPr>
      </w:pPr>
    </w:p>
    <w:p w14:paraId="25DF9D2A">
      <w:pPr>
        <w:spacing w:line="480" w:lineRule="exact"/>
        <w:jc w:val="center"/>
        <w:rPr>
          <w:rFonts w:ascii="方正小标宋简体" w:hAnsi="方正小标宋简体" w:eastAsia="方正小标宋简体" w:cs="宋体"/>
          <w:color w:val="000000"/>
          <w:kern w:val="0"/>
          <w:sz w:val="40"/>
          <w:szCs w:val="40"/>
        </w:rPr>
      </w:pPr>
      <w:r>
        <w:rPr>
          <w:rFonts w:hint="eastAsia" w:ascii="方正小标宋简体" w:hAnsi="方正小标宋简体" w:eastAsia="方正小标宋简体" w:cs="宋体"/>
          <w:color w:val="000000"/>
          <w:kern w:val="0"/>
          <w:sz w:val="40"/>
          <w:szCs w:val="40"/>
        </w:rPr>
        <w:t>承诺函</w:t>
      </w:r>
    </w:p>
    <w:p w14:paraId="72985737">
      <w:pPr>
        <w:spacing w:line="480" w:lineRule="exact"/>
        <w:ind w:firstLine="566"/>
        <w:rPr>
          <w:rFonts w:ascii="宋体" w:hAnsi="宋体" w:cs="宋体"/>
          <w:color w:val="000000"/>
          <w:kern w:val="0"/>
        </w:rPr>
      </w:pPr>
      <w:r>
        <w:rPr>
          <w:rFonts w:hint="eastAsia" w:ascii="宋体" w:hAnsi="宋体" w:cs="宋体"/>
          <w:color w:val="000000"/>
          <w:kern w:val="0"/>
        </w:rPr>
        <w:t>我单位与贵公司（广东中粤通油品经营有限公司）已于_____年____月____日签订了《XX项目合同》（合同编号：______________________），为进一步确保施工过程安全，现我公司对上述合同补充如下承诺：</w:t>
      </w:r>
    </w:p>
    <w:p w14:paraId="266E50B7">
      <w:pPr>
        <w:spacing w:line="480" w:lineRule="exact"/>
        <w:ind w:firstLine="566"/>
      </w:pPr>
      <w:r>
        <w:rPr>
          <w:rFonts w:hint="eastAsia" w:ascii="宋体" w:hAnsi="宋体" w:cs="宋体"/>
          <w:color w:val="000000"/>
          <w:kern w:val="0"/>
        </w:rPr>
        <w:t>我单位承诺，在施工过程中若发生下列违章（违规）、严重违章（严重违规）等施工行为的，同意贵公司对我单位按表内约定金额进行处罚。</w:t>
      </w:r>
    </w:p>
    <w:p w14:paraId="042713D1">
      <w:pPr>
        <w:spacing w:line="480" w:lineRule="exact"/>
        <w:ind w:firstLine="480" w:firstLineChars="200"/>
      </w:pPr>
      <w:r>
        <w:drawing>
          <wp:anchor distT="0" distB="0" distL="114300" distR="114300" simplePos="0" relativeHeight="251662336" behindDoc="0" locked="0" layoutInCell="1" allowOverlap="1">
            <wp:simplePos x="0" y="0"/>
            <wp:positionH relativeFrom="column">
              <wp:posOffset>83820</wp:posOffset>
            </wp:positionH>
            <wp:positionV relativeFrom="paragraph">
              <wp:posOffset>51435</wp:posOffset>
            </wp:positionV>
            <wp:extent cx="5004435" cy="6414135"/>
            <wp:effectExtent l="0" t="0" r="9525"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004435" cy="6414135"/>
                    </a:xfrm>
                    <a:prstGeom prst="rect">
                      <a:avLst/>
                    </a:prstGeom>
                    <a:noFill/>
                    <a:ln>
                      <a:noFill/>
                    </a:ln>
                  </pic:spPr>
                </pic:pic>
              </a:graphicData>
            </a:graphic>
          </wp:anchor>
        </w:drawing>
      </w:r>
    </w:p>
    <w:p w14:paraId="06C12D19">
      <w:pPr>
        <w:spacing w:line="480" w:lineRule="exact"/>
        <w:ind w:firstLine="480" w:firstLineChars="200"/>
      </w:pPr>
    </w:p>
    <w:p w14:paraId="0D59B5B8">
      <w:pPr>
        <w:spacing w:line="480" w:lineRule="exact"/>
        <w:ind w:firstLine="480" w:firstLineChars="200"/>
      </w:pPr>
    </w:p>
    <w:p w14:paraId="058C1D00">
      <w:pPr>
        <w:spacing w:line="480" w:lineRule="exact"/>
        <w:ind w:firstLine="480" w:firstLineChars="200"/>
      </w:pPr>
    </w:p>
    <w:p w14:paraId="11F088C3">
      <w:pPr>
        <w:spacing w:line="480" w:lineRule="exact"/>
        <w:ind w:firstLine="480" w:firstLineChars="200"/>
      </w:pPr>
    </w:p>
    <w:p w14:paraId="198D39C9">
      <w:pPr>
        <w:spacing w:line="480" w:lineRule="exact"/>
        <w:ind w:firstLine="480" w:firstLineChars="200"/>
      </w:pPr>
    </w:p>
    <w:p w14:paraId="3957FDDB">
      <w:pPr>
        <w:spacing w:line="480" w:lineRule="exact"/>
        <w:ind w:firstLine="480" w:firstLineChars="200"/>
      </w:pPr>
    </w:p>
    <w:p w14:paraId="680774DF">
      <w:pPr>
        <w:spacing w:line="480" w:lineRule="exact"/>
        <w:ind w:firstLine="480" w:firstLineChars="200"/>
      </w:pPr>
    </w:p>
    <w:p w14:paraId="6E8BB087">
      <w:pPr>
        <w:spacing w:line="480" w:lineRule="exact"/>
        <w:ind w:firstLine="480" w:firstLineChars="200"/>
      </w:pPr>
    </w:p>
    <w:p w14:paraId="1754D32A">
      <w:pPr>
        <w:spacing w:line="480" w:lineRule="exact"/>
        <w:ind w:firstLine="480" w:firstLineChars="200"/>
      </w:pPr>
    </w:p>
    <w:p w14:paraId="325AE6A4">
      <w:pPr>
        <w:spacing w:line="480" w:lineRule="exact"/>
        <w:ind w:firstLine="480" w:firstLineChars="200"/>
      </w:pPr>
    </w:p>
    <w:p w14:paraId="4AAD0600">
      <w:pPr>
        <w:spacing w:line="480" w:lineRule="exact"/>
        <w:ind w:firstLine="480" w:firstLineChars="200"/>
      </w:pPr>
    </w:p>
    <w:p w14:paraId="5B1698F6">
      <w:pPr>
        <w:spacing w:line="480" w:lineRule="exact"/>
        <w:ind w:firstLine="480" w:firstLineChars="200"/>
      </w:pPr>
    </w:p>
    <w:p w14:paraId="63557D3E">
      <w:pPr>
        <w:spacing w:line="480" w:lineRule="exact"/>
        <w:ind w:firstLine="480" w:firstLineChars="200"/>
      </w:pPr>
    </w:p>
    <w:p w14:paraId="09789963">
      <w:pPr>
        <w:spacing w:line="480" w:lineRule="exact"/>
        <w:ind w:firstLine="480" w:firstLineChars="200"/>
      </w:pPr>
    </w:p>
    <w:p w14:paraId="790E5828">
      <w:pPr>
        <w:spacing w:line="480" w:lineRule="exact"/>
        <w:ind w:firstLine="480" w:firstLineChars="200"/>
      </w:pPr>
    </w:p>
    <w:p w14:paraId="7096E110">
      <w:pPr>
        <w:spacing w:line="480" w:lineRule="exact"/>
        <w:ind w:firstLine="480" w:firstLineChars="200"/>
      </w:pPr>
    </w:p>
    <w:p w14:paraId="02DB41F6">
      <w:pPr>
        <w:spacing w:line="480" w:lineRule="exact"/>
        <w:ind w:firstLine="480" w:firstLineChars="200"/>
      </w:pPr>
    </w:p>
    <w:p w14:paraId="0C7930EF">
      <w:pPr>
        <w:spacing w:line="480" w:lineRule="exact"/>
        <w:ind w:firstLine="480" w:firstLineChars="200"/>
      </w:pPr>
    </w:p>
    <w:p w14:paraId="45060D76">
      <w:pPr>
        <w:spacing w:line="480" w:lineRule="exact"/>
        <w:ind w:firstLine="480" w:firstLineChars="200"/>
      </w:pPr>
    </w:p>
    <w:p w14:paraId="30F6513F">
      <w:pPr>
        <w:spacing w:line="480" w:lineRule="exact"/>
        <w:ind w:firstLine="480" w:firstLineChars="200"/>
      </w:pPr>
    </w:p>
    <w:p w14:paraId="1CA721FF">
      <w:pPr>
        <w:spacing w:line="480" w:lineRule="exact"/>
        <w:ind w:firstLine="480" w:firstLineChars="200"/>
      </w:pPr>
    </w:p>
    <w:p w14:paraId="7C0070DB">
      <w:pPr>
        <w:spacing w:line="480" w:lineRule="exact"/>
        <w:ind w:firstLine="480" w:firstLineChars="200"/>
      </w:pPr>
      <w:r>
        <w:rPr>
          <w:rFonts w:hint="eastAsia"/>
        </w:rPr>
        <w:t>我单位将继续严格规范项目实施人员行为，加强内部培训，确保按贵公司制度执行相关安全操作，确保现场施工安全，继续促进双方友好合作。</w:t>
      </w:r>
    </w:p>
    <w:p w14:paraId="2D6C5405">
      <w:pPr>
        <w:spacing w:line="480" w:lineRule="exact"/>
        <w:ind w:firstLine="480" w:firstLineChars="200"/>
        <w:rPr>
          <w:rFonts w:ascii="宋体" w:hAnsi="宋体"/>
        </w:rPr>
      </w:pPr>
      <w:r>
        <w:rPr>
          <w:rFonts w:hint="eastAsia" w:ascii="宋体" w:hAnsi="宋体"/>
        </w:rPr>
        <w:t>特此承诺。</w:t>
      </w:r>
    </w:p>
    <w:p w14:paraId="364E92A2">
      <w:pPr>
        <w:spacing w:line="480" w:lineRule="exact"/>
        <w:ind w:firstLine="480" w:firstLineChars="200"/>
        <w:rPr>
          <w:rFonts w:ascii="宋体" w:hAnsi="宋体"/>
        </w:rPr>
      </w:pPr>
    </w:p>
    <w:p w14:paraId="021D2447">
      <w:pPr>
        <w:spacing w:line="480" w:lineRule="exact"/>
        <w:ind w:firstLine="480" w:firstLineChars="200"/>
        <w:rPr>
          <w:rFonts w:ascii="宋体" w:hAnsi="宋体"/>
        </w:rPr>
      </w:pPr>
      <w:r>
        <w:rPr>
          <w:rFonts w:hint="eastAsia" w:ascii="宋体" w:hAnsi="宋体"/>
        </w:rPr>
        <w:t xml:space="preserve">                               单位名称（盖章）：</w:t>
      </w:r>
    </w:p>
    <w:p w14:paraId="13D28DB1">
      <w:pPr>
        <w:spacing w:line="480" w:lineRule="exact"/>
        <w:ind w:firstLine="480" w:firstLineChars="200"/>
        <w:rPr>
          <w:rFonts w:ascii="宋体" w:hAnsi="宋体"/>
        </w:rPr>
      </w:pPr>
      <w:r>
        <w:rPr>
          <w:rFonts w:hint="eastAsia" w:ascii="宋体" w:hAnsi="宋体"/>
        </w:rPr>
        <w:t xml:space="preserve">                               日期：</w:t>
      </w:r>
    </w:p>
    <w:p w14:paraId="60C67776"/>
    <w:p w14:paraId="1659AD04">
      <w:pPr>
        <w:widowControl/>
        <w:rPr>
          <w:rFonts w:ascii="宋体" w:hAnsi="宋体" w:cs="Arial"/>
        </w:rPr>
        <w:sectPr>
          <w:pgSz w:w="11906" w:h="16838"/>
          <w:pgMar w:top="1440" w:right="1080" w:bottom="1440" w:left="1080" w:header="851" w:footer="992" w:gutter="0"/>
          <w:cols w:space="720" w:num="1"/>
        </w:sectPr>
      </w:pPr>
    </w:p>
    <w:p w14:paraId="2D547248">
      <w:pPr>
        <w:pStyle w:val="4"/>
        <w:spacing w:before="0" w:after="0" w:line="276" w:lineRule="auto"/>
        <w:ind w:left="2760" w:leftChars="1150" w:right="2760" w:rightChars="1150"/>
        <w:rPr>
          <w:bCs w:val="0"/>
        </w:rPr>
      </w:pPr>
    </w:p>
    <w:p w14:paraId="4AA25901">
      <w:pPr>
        <w:pStyle w:val="4"/>
        <w:spacing w:before="0" w:after="0" w:line="276" w:lineRule="auto"/>
        <w:ind w:left="2760" w:leftChars="1150" w:right="2760" w:rightChars="1150"/>
        <w:rPr>
          <w:bCs w:val="0"/>
        </w:rPr>
      </w:pPr>
    </w:p>
    <w:p w14:paraId="78E9BB9F">
      <w:pPr>
        <w:pStyle w:val="4"/>
        <w:spacing w:before="0" w:after="0" w:line="276" w:lineRule="auto"/>
        <w:ind w:left="2760" w:leftChars="1150" w:right="2760" w:rightChars="1150"/>
        <w:rPr>
          <w:bCs w:val="0"/>
        </w:rPr>
      </w:pPr>
    </w:p>
    <w:p w14:paraId="2E7D2A83">
      <w:pPr>
        <w:pStyle w:val="4"/>
        <w:spacing w:before="0" w:after="0" w:line="276" w:lineRule="auto"/>
        <w:ind w:left="2760" w:leftChars="1150" w:right="2760" w:rightChars="1150"/>
        <w:rPr>
          <w:bCs w:val="0"/>
        </w:rPr>
      </w:pPr>
    </w:p>
    <w:p w14:paraId="3B085952">
      <w:pPr>
        <w:pStyle w:val="4"/>
        <w:spacing w:before="0" w:after="0" w:line="276" w:lineRule="auto"/>
        <w:ind w:left="2760" w:leftChars="1150" w:right="2760" w:rightChars="1150"/>
        <w:rPr>
          <w:bCs w:val="0"/>
        </w:rPr>
      </w:pPr>
    </w:p>
    <w:p w14:paraId="51F99B2E">
      <w:pPr>
        <w:pStyle w:val="4"/>
        <w:spacing w:before="0" w:after="0" w:line="276" w:lineRule="auto"/>
        <w:ind w:left="2760" w:leftChars="1150" w:right="2760" w:rightChars="1150"/>
        <w:rPr>
          <w:bCs w:val="0"/>
        </w:rPr>
      </w:pPr>
    </w:p>
    <w:p w14:paraId="0026D06D">
      <w:pPr>
        <w:pStyle w:val="4"/>
        <w:spacing w:before="0" w:after="0" w:line="276" w:lineRule="auto"/>
        <w:ind w:left="2760" w:leftChars="1150" w:right="2760" w:rightChars="1150"/>
        <w:rPr>
          <w:bCs w:val="0"/>
        </w:rPr>
      </w:pPr>
    </w:p>
    <w:p w14:paraId="5AFA63EE">
      <w:pPr>
        <w:pStyle w:val="4"/>
        <w:spacing w:before="0" w:after="0" w:line="276" w:lineRule="auto"/>
        <w:ind w:left="2760" w:leftChars="1150" w:right="2760" w:rightChars="1150"/>
        <w:rPr>
          <w:bCs w:val="0"/>
        </w:rPr>
      </w:pPr>
    </w:p>
    <w:p w14:paraId="3EA11BCD">
      <w:pPr>
        <w:pStyle w:val="4"/>
        <w:spacing w:before="0" w:after="0" w:line="276" w:lineRule="auto"/>
        <w:ind w:left="2760" w:leftChars="1150" w:right="2760" w:rightChars="1150"/>
        <w:rPr>
          <w:bCs w:val="0"/>
        </w:rPr>
      </w:pPr>
    </w:p>
    <w:p w14:paraId="73E4AD5B">
      <w:pPr>
        <w:ind w:left="-10" w:firstLine="10"/>
        <w:jc w:val="center"/>
        <w:outlineLvl w:val="0"/>
        <w:rPr>
          <w:b/>
          <w:bCs/>
          <w:sz w:val="44"/>
          <w:szCs w:val="44"/>
        </w:rPr>
      </w:pPr>
      <w:bookmarkStart w:id="1003" w:name="_Toc4081"/>
      <w:r>
        <w:rPr>
          <w:rFonts w:hint="eastAsia"/>
          <w:b/>
          <w:bCs/>
          <w:sz w:val="44"/>
          <w:szCs w:val="44"/>
        </w:rPr>
        <w:t>第六章</w:t>
      </w:r>
      <w:bookmarkEnd w:id="303"/>
      <w:r>
        <w:rPr>
          <w:rFonts w:hint="eastAsia"/>
          <w:b/>
          <w:bCs/>
          <w:sz w:val="44"/>
          <w:szCs w:val="44"/>
        </w:rPr>
        <w:t xml:space="preserve"> 技术规格及要求</w:t>
      </w:r>
      <w:bookmarkEnd w:id="1003"/>
    </w:p>
    <w:p w14:paraId="58EC964F">
      <w:pPr>
        <w:pStyle w:val="5"/>
        <w:adjustRightInd w:val="0"/>
        <w:snapToGrid w:val="0"/>
        <w:rPr>
          <w:rFonts w:hAnsi="宋体"/>
          <w:szCs w:val="24"/>
        </w:rPr>
      </w:pPr>
      <w:r>
        <w:rPr>
          <w:sz w:val="32"/>
        </w:rPr>
        <w:br w:type="page"/>
      </w:r>
      <w:bookmarkStart w:id="1004" w:name="_Toc12133"/>
      <w:bookmarkStart w:id="1005" w:name="_Toc4437"/>
      <w:bookmarkStart w:id="1006" w:name="_Toc26881"/>
      <w:bookmarkStart w:id="1007" w:name="_Toc4303"/>
      <w:r>
        <w:rPr>
          <w:rFonts w:hint="eastAsia" w:hAnsi="宋体"/>
          <w:szCs w:val="24"/>
        </w:rPr>
        <w:t>1.招标人提供的条件</w:t>
      </w:r>
    </w:p>
    <w:p w14:paraId="2E3B2F9C">
      <w:pPr>
        <w:snapToGrid w:val="0"/>
        <w:ind w:firstLine="480" w:firstLineChars="200"/>
        <w:rPr>
          <w:rFonts w:ascii="宋体" w:hAnsi="宋体"/>
        </w:rPr>
      </w:pPr>
      <w:r>
        <w:rPr>
          <w:rFonts w:hint="eastAsia" w:ascii="宋体" w:hAnsi="宋体"/>
        </w:rPr>
        <w:t>1.1施工现场、施工条件和基础资料的提供：见第五章“合同条款及格式”相关条款。</w:t>
      </w:r>
      <w:r>
        <w:rPr>
          <w:rFonts w:ascii="宋体" w:hAnsi="宋体"/>
        </w:rPr>
        <w:t xml:space="preserve"> </w:t>
      </w:r>
    </w:p>
    <w:p w14:paraId="35BD60B5">
      <w:pPr>
        <w:pStyle w:val="5"/>
        <w:adjustRightInd w:val="0"/>
        <w:snapToGrid w:val="0"/>
        <w:rPr>
          <w:rFonts w:hAnsi="宋体"/>
          <w:szCs w:val="24"/>
        </w:rPr>
      </w:pPr>
      <w:bookmarkStart w:id="1008" w:name="_Toc511143058"/>
      <w:bookmarkStart w:id="1009" w:name="_Toc61515062"/>
      <w:r>
        <w:rPr>
          <w:rFonts w:hint="eastAsia" w:hAnsi="宋体"/>
          <w:szCs w:val="24"/>
        </w:rPr>
        <w:t>2</w:t>
      </w:r>
      <w:r>
        <w:rPr>
          <w:rFonts w:hAnsi="宋体"/>
          <w:szCs w:val="24"/>
        </w:rPr>
        <w:t>.</w:t>
      </w:r>
      <w:r>
        <w:rPr>
          <w:rFonts w:hint="eastAsia" w:hAnsi="宋体"/>
          <w:szCs w:val="24"/>
        </w:rPr>
        <w:t>工作界面</w:t>
      </w:r>
      <w:bookmarkEnd w:id="1008"/>
      <w:bookmarkEnd w:id="1009"/>
    </w:p>
    <w:p w14:paraId="577B6793">
      <w:pPr>
        <w:snapToGrid w:val="0"/>
        <w:ind w:firstLine="480" w:firstLineChars="200"/>
        <w:rPr>
          <w:rFonts w:ascii="宋体" w:hAnsi="宋体"/>
          <w:szCs w:val="18"/>
        </w:rPr>
      </w:pPr>
      <w:bookmarkStart w:id="1010" w:name="_Toc439160073"/>
      <w:bookmarkStart w:id="1011" w:name="_Toc511143059"/>
      <w:r>
        <w:rPr>
          <w:rFonts w:hint="eastAsia" w:ascii="宋体" w:hAnsi="宋体"/>
        </w:rPr>
        <w:t>投标人与发包人直接发包的其他工程施工承包人的工作界面：见第五章“合同条款及格式”相关条款。</w:t>
      </w:r>
    </w:p>
    <w:p w14:paraId="22C24DE3">
      <w:pPr>
        <w:pStyle w:val="5"/>
        <w:adjustRightInd w:val="0"/>
        <w:snapToGrid w:val="0"/>
        <w:rPr>
          <w:rFonts w:hAnsi="宋体"/>
          <w:szCs w:val="24"/>
        </w:rPr>
      </w:pPr>
      <w:bookmarkStart w:id="1012" w:name="_Toc61515063"/>
      <w:r>
        <w:rPr>
          <w:rFonts w:hint="eastAsia" w:hAnsi="宋体"/>
          <w:szCs w:val="24"/>
        </w:rPr>
        <w:t>3</w:t>
      </w:r>
      <w:r>
        <w:rPr>
          <w:rFonts w:hAnsi="宋体"/>
          <w:szCs w:val="24"/>
        </w:rPr>
        <w:t>.</w:t>
      </w:r>
      <w:r>
        <w:rPr>
          <w:rFonts w:hint="eastAsia" w:hAnsi="宋体"/>
          <w:szCs w:val="24"/>
        </w:rPr>
        <w:t>工程目标</w:t>
      </w:r>
      <w:bookmarkEnd w:id="1010"/>
      <w:bookmarkEnd w:id="1011"/>
      <w:bookmarkEnd w:id="1012"/>
    </w:p>
    <w:p w14:paraId="1E9DA19E">
      <w:pPr>
        <w:snapToGrid w:val="0"/>
        <w:ind w:left="480" w:leftChars="200"/>
        <w:rPr>
          <w:rFonts w:ascii="宋体" w:hAnsi="宋体"/>
          <w:szCs w:val="18"/>
        </w:rPr>
      </w:pPr>
      <w:bookmarkStart w:id="1013" w:name="_Toc514167129"/>
      <w:bookmarkStart w:id="1014" w:name="_Toc511143060"/>
      <w:r>
        <w:rPr>
          <w:rFonts w:hint="eastAsia" w:ascii="宋体" w:hAnsi="宋体"/>
        </w:rPr>
        <w:t xml:space="preserve">3.1 </w:t>
      </w:r>
      <w:bookmarkEnd w:id="1013"/>
      <w:bookmarkEnd w:id="1014"/>
      <w:r>
        <w:rPr>
          <w:rFonts w:hint="eastAsia" w:ascii="宋体" w:hAnsi="宋体"/>
        </w:rPr>
        <w:t>HSSE管理目标：零伤害、零污染、零事故</w:t>
      </w:r>
      <w:r>
        <w:rPr>
          <w:rFonts w:hint="eastAsia" w:ascii="宋体" w:hAnsi="宋体"/>
          <w:szCs w:val="18"/>
        </w:rPr>
        <w:t>。</w:t>
      </w:r>
    </w:p>
    <w:p w14:paraId="7D62F25B">
      <w:pPr>
        <w:snapToGrid w:val="0"/>
        <w:ind w:left="480" w:leftChars="200"/>
        <w:rPr>
          <w:rFonts w:ascii="宋体" w:hAnsi="宋体"/>
        </w:rPr>
      </w:pPr>
      <w:bookmarkStart w:id="1015" w:name="_Toc511143061"/>
      <w:bookmarkStart w:id="1016" w:name="_Toc514167130"/>
      <w:r>
        <w:rPr>
          <w:rFonts w:hint="eastAsia" w:ascii="宋体" w:hAnsi="宋体"/>
        </w:rPr>
        <w:t xml:space="preserve">3.2 </w:t>
      </w:r>
      <w:bookmarkEnd w:id="1015"/>
      <w:bookmarkEnd w:id="1016"/>
      <w:r>
        <w:rPr>
          <w:rFonts w:hint="eastAsia" w:ascii="宋体" w:hAnsi="宋体"/>
        </w:rPr>
        <w:t>工程质量：</w:t>
      </w:r>
      <w:r>
        <w:rPr>
          <w:rFonts w:ascii="宋体" w:hAnsi="宋体"/>
        </w:rPr>
        <w:t>合格</w:t>
      </w:r>
      <w:r>
        <w:rPr>
          <w:rFonts w:hint="eastAsia" w:ascii="宋体" w:hAnsi="宋体"/>
        </w:rPr>
        <w:t>。</w:t>
      </w:r>
    </w:p>
    <w:p w14:paraId="145D2B56">
      <w:pPr>
        <w:pStyle w:val="5"/>
        <w:adjustRightInd w:val="0"/>
        <w:snapToGrid w:val="0"/>
        <w:rPr>
          <w:rFonts w:hAnsi="宋体"/>
          <w:szCs w:val="24"/>
        </w:rPr>
      </w:pPr>
      <w:bookmarkStart w:id="1017" w:name="_Toc511143063"/>
      <w:bookmarkStart w:id="1018" w:name="_Toc439160074"/>
      <w:bookmarkStart w:id="1019" w:name="_Toc61515064"/>
      <w:r>
        <w:rPr>
          <w:rFonts w:hint="eastAsia" w:hAnsi="宋体"/>
          <w:szCs w:val="24"/>
        </w:rPr>
        <w:t>4</w:t>
      </w:r>
      <w:r>
        <w:rPr>
          <w:rFonts w:hAnsi="宋体"/>
          <w:szCs w:val="24"/>
        </w:rPr>
        <w:t>.</w:t>
      </w:r>
      <w:r>
        <w:rPr>
          <w:rFonts w:hint="eastAsia" w:hAnsi="宋体"/>
          <w:szCs w:val="24"/>
        </w:rPr>
        <w:t>工程项目管理</w:t>
      </w:r>
      <w:bookmarkEnd w:id="1017"/>
      <w:bookmarkEnd w:id="1018"/>
      <w:bookmarkEnd w:id="1019"/>
    </w:p>
    <w:p w14:paraId="05B59CC8">
      <w:pPr>
        <w:snapToGrid w:val="0"/>
        <w:ind w:firstLine="480" w:firstLineChars="200"/>
        <w:rPr>
          <w:rFonts w:ascii="宋体" w:hAnsi="宋体"/>
          <w:szCs w:val="18"/>
        </w:rPr>
      </w:pPr>
      <w:r>
        <w:rPr>
          <w:rFonts w:hint="eastAsia" w:ascii="宋体" w:hAnsi="宋体"/>
          <w:szCs w:val="18"/>
        </w:rPr>
        <w:t>承包人应按规范标准的要求，建立覆盖工程施工、试运行全过程的项目管理体系，并进行控制，确保项目和服务质量。</w:t>
      </w:r>
    </w:p>
    <w:p w14:paraId="1A35E2E7">
      <w:pPr>
        <w:snapToGrid w:val="0"/>
        <w:ind w:left="480" w:leftChars="200"/>
        <w:rPr>
          <w:rFonts w:ascii="宋体" w:hAnsi="宋体"/>
          <w:b/>
          <w:bCs/>
        </w:rPr>
      </w:pPr>
      <w:bookmarkStart w:id="1020" w:name="_Toc511143064"/>
      <w:bookmarkStart w:id="1021" w:name="_Toc514167133"/>
      <w:r>
        <w:rPr>
          <w:rFonts w:hint="eastAsia" w:ascii="宋体" w:hAnsi="宋体"/>
          <w:b/>
          <w:bCs/>
        </w:rPr>
        <w:t>4.1 项目管理机构</w:t>
      </w:r>
      <w:bookmarkEnd w:id="1020"/>
      <w:bookmarkEnd w:id="1021"/>
    </w:p>
    <w:p w14:paraId="3830376E">
      <w:pPr>
        <w:snapToGrid w:val="0"/>
        <w:ind w:firstLine="480" w:firstLineChars="200"/>
        <w:rPr>
          <w:rFonts w:ascii="宋体" w:hAnsi="宋体"/>
          <w:szCs w:val="18"/>
        </w:rPr>
      </w:pPr>
      <w:r>
        <w:rPr>
          <w:rFonts w:hint="eastAsia" w:ascii="宋体" w:hAnsi="宋体"/>
          <w:szCs w:val="18"/>
        </w:rPr>
        <w:t>承包人应建立与工程施工总承包项目相适应的项目管理组织，行使项目管理职能。明确其拟派的施工项目组织机构及主要人员，并提供：项目管理组织机构和人员配置情况，关键人员及特殊工种人员的相关资格证书。</w:t>
      </w:r>
    </w:p>
    <w:p w14:paraId="4B68B306">
      <w:pPr>
        <w:snapToGrid w:val="0"/>
        <w:ind w:firstLine="482" w:firstLineChars="200"/>
        <w:rPr>
          <w:rFonts w:ascii="宋体" w:hAnsi="宋体"/>
          <w:b/>
          <w:bCs/>
        </w:rPr>
      </w:pPr>
      <w:r>
        <w:rPr>
          <w:rFonts w:hint="eastAsia" w:ascii="宋体" w:hAnsi="宋体"/>
          <w:b/>
          <w:bCs/>
        </w:rPr>
        <w:t>4.2工程物资采购及管理</w:t>
      </w:r>
    </w:p>
    <w:p w14:paraId="17CC9F00">
      <w:pPr>
        <w:snapToGrid w:val="0"/>
        <w:ind w:firstLine="480" w:firstLineChars="200"/>
        <w:rPr>
          <w:rFonts w:ascii="宋体" w:hAnsi="宋体"/>
        </w:rPr>
      </w:pPr>
      <w:r>
        <w:rPr>
          <w:rFonts w:hint="eastAsia" w:ascii="宋体" w:hAnsi="宋体"/>
        </w:rPr>
        <w:t>4.2.1承包人应对项目采购工作进行项目采购策划，并编制项目采购计划，报发包人审查，批准后实施。</w:t>
      </w:r>
    </w:p>
    <w:p w14:paraId="3136E6A3">
      <w:pPr>
        <w:snapToGrid w:val="0"/>
        <w:ind w:firstLine="480" w:firstLineChars="200"/>
        <w:rPr>
          <w:rFonts w:ascii="宋体" w:hAnsi="宋体"/>
        </w:rPr>
      </w:pPr>
      <w:r>
        <w:rPr>
          <w:rFonts w:hint="eastAsia" w:ascii="宋体" w:hAnsi="宋体"/>
        </w:rPr>
        <w:t>4.2.2承包人应对供应方进行评价，合理选择材料设备和构配件的供应方，并根据采购计划订立采购合同。</w:t>
      </w:r>
    </w:p>
    <w:p w14:paraId="526AC360">
      <w:pPr>
        <w:snapToGrid w:val="0"/>
        <w:ind w:firstLine="480" w:firstLineChars="200"/>
        <w:rPr>
          <w:rFonts w:ascii="宋体" w:hAnsi="宋体"/>
        </w:rPr>
      </w:pPr>
      <w:r>
        <w:rPr>
          <w:rFonts w:hint="eastAsia" w:ascii="宋体" w:hAnsi="宋体"/>
        </w:rPr>
        <w:t>4.2.3承包人应对材料、设备、构配件进行验收，验收的过程、记录和标示应符合国家、行业及发包人的有关规定。未经验收的材料、设备、构配件不得用于工程施工。</w:t>
      </w:r>
    </w:p>
    <w:p w14:paraId="7A7A9BF2">
      <w:pPr>
        <w:snapToGrid w:val="0"/>
        <w:ind w:firstLine="480" w:firstLineChars="200"/>
        <w:rPr>
          <w:rFonts w:ascii="宋体" w:hAnsi="宋体"/>
        </w:rPr>
      </w:pPr>
      <w:r>
        <w:rPr>
          <w:rFonts w:hint="eastAsia" w:ascii="宋体" w:hAnsi="宋体"/>
        </w:rPr>
        <w:t>4.2.4承包人应明确材料、设备、构配件的现场管理要求，并按要求进行适宜的搬运、贮存、保管、防护和标识。</w:t>
      </w:r>
    </w:p>
    <w:p w14:paraId="135AFC25">
      <w:pPr>
        <w:snapToGrid w:val="0"/>
        <w:ind w:firstLine="480" w:firstLineChars="200"/>
        <w:rPr>
          <w:rFonts w:ascii="宋体" w:hAnsi="宋体"/>
        </w:rPr>
      </w:pPr>
      <w:r>
        <w:rPr>
          <w:rFonts w:hint="eastAsia" w:ascii="宋体" w:hAnsi="宋体"/>
        </w:rPr>
        <w:t>4.2.5承包人应按照有关规定和标准对发包人提供的材料、设备和构配件进行验收，在验收、施工安装、使用过程中出现的问题，作好记录并及时向发包人报告，按照规定处理。</w:t>
      </w:r>
    </w:p>
    <w:p w14:paraId="0AFA15AB">
      <w:pPr>
        <w:snapToGrid w:val="0"/>
        <w:ind w:firstLine="482" w:firstLineChars="200"/>
        <w:rPr>
          <w:rFonts w:ascii="宋体" w:hAnsi="宋体"/>
        </w:rPr>
      </w:pPr>
      <w:r>
        <w:rPr>
          <w:rFonts w:ascii="宋体" w:hAnsi="宋体"/>
          <w:b/>
          <w:bCs/>
        </w:rPr>
        <w:t>4.3施工过程管理</w:t>
      </w:r>
    </w:p>
    <w:p w14:paraId="5CA290F4">
      <w:pPr>
        <w:snapToGrid w:val="0"/>
        <w:ind w:firstLine="480" w:firstLineChars="200"/>
        <w:rPr>
          <w:rFonts w:ascii="宋体" w:hAnsi="宋体"/>
          <w:szCs w:val="18"/>
        </w:rPr>
      </w:pPr>
      <w:r>
        <w:rPr>
          <w:rFonts w:hint="eastAsia" w:ascii="宋体" w:hAnsi="宋体"/>
          <w:szCs w:val="18"/>
        </w:rPr>
        <w:t>4.3.1在施工前，发包人应组织设计交底、</w:t>
      </w:r>
      <w:r>
        <w:rPr>
          <w:rFonts w:ascii="宋体" w:hAnsi="宋体"/>
          <w:szCs w:val="18"/>
        </w:rPr>
        <w:t>施工图</w:t>
      </w:r>
      <w:r>
        <w:rPr>
          <w:rFonts w:hint="eastAsia" w:ascii="宋体" w:hAnsi="宋体"/>
          <w:szCs w:val="18"/>
        </w:rPr>
        <w:t>设计或详细工程设计</w:t>
      </w:r>
      <w:r>
        <w:rPr>
          <w:rFonts w:ascii="宋体" w:hAnsi="宋体"/>
          <w:szCs w:val="18"/>
        </w:rPr>
        <w:t>审查、</w:t>
      </w:r>
      <w:r>
        <w:rPr>
          <w:rFonts w:hint="eastAsia" w:ascii="宋体" w:hAnsi="宋体"/>
          <w:szCs w:val="18"/>
        </w:rPr>
        <w:t>培训等，说明设计意图，解释设计文件，明确设计对施工的技术、质量、安全和标准等要求。</w:t>
      </w:r>
    </w:p>
    <w:p w14:paraId="16EE6516">
      <w:pPr>
        <w:snapToGrid w:val="0"/>
        <w:ind w:firstLine="480" w:firstLineChars="200"/>
        <w:rPr>
          <w:rFonts w:ascii="宋体" w:hAnsi="宋体"/>
          <w:szCs w:val="18"/>
        </w:rPr>
      </w:pPr>
      <w:r>
        <w:rPr>
          <w:rFonts w:hint="eastAsia" w:ascii="宋体" w:hAnsi="宋体"/>
          <w:szCs w:val="18"/>
        </w:rPr>
        <w:t>4.3.2承包人</w:t>
      </w:r>
      <w:r>
        <w:rPr>
          <w:rFonts w:ascii="宋体" w:hAnsi="宋体"/>
          <w:szCs w:val="18"/>
        </w:rPr>
        <w:t>应制定</w:t>
      </w:r>
      <w:r>
        <w:rPr>
          <w:rFonts w:hint="eastAsia" w:ascii="宋体" w:hAnsi="宋体"/>
          <w:szCs w:val="18"/>
        </w:rPr>
        <w:t>施工质量计划/施工组织</w:t>
      </w:r>
      <w:r>
        <w:rPr>
          <w:rFonts w:ascii="宋体" w:hAnsi="宋体"/>
          <w:szCs w:val="18"/>
        </w:rPr>
        <w:t>设计</w:t>
      </w:r>
      <w:r>
        <w:rPr>
          <w:rFonts w:hint="eastAsia" w:ascii="宋体" w:hAnsi="宋体"/>
          <w:szCs w:val="18"/>
        </w:rPr>
        <w:t>，明确施工质量标准和控制目标。</w:t>
      </w:r>
    </w:p>
    <w:p w14:paraId="21C73775">
      <w:pPr>
        <w:snapToGrid w:val="0"/>
        <w:ind w:firstLine="480" w:firstLineChars="200"/>
        <w:rPr>
          <w:szCs w:val="20"/>
        </w:rPr>
      </w:pPr>
      <w:r>
        <w:rPr>
          <w:rFonts w:hint="eastAsia" w:ascii="宋体" w:hAnsi="宋体"/>
          <w:szCs w:val="18"/>
        </w:rPr>
        <w:t>4.3.3对施工所需的人员、施工机具设施、</w:t>
      </w:r>
      <w:r>
        <w:rPr>
          <w:szCs w:val="20"/>
        </w:rPr>
        <w:t>检测设备进行</w:t>
      </w:r>
      <w:r>
        <w:rPr>
          <w:rFonts w:hint="eastAsia"/>
          <w:szCs w:val="20"/>
        </w:rPr>
        <w:t>确认，</w:t>
      </w:r>
      <w:r>
        <w:rPr>
          <w:szCs w:val="20"/>
        </w:rPr>
        <w:t>按规定向监理方或发包人进行报审、报验。</w:t>
      </w:r>
    </w:p>
    <w:p w14:paraId="569F52BA">
      <w:pPr>
        <w:snapToGrid w:val="0"/>
        <w:ind w:firstLine="480" w:firstLineChars="200"/>
        <w:rPr>
          <w:rFonts w:ascii="宋体" w:hAnsi="宋体"/>
          <w:szCs w:val="18"/>
        </w:rPr>
      </w:pPr>
      <w:r>
        <w:rPr>
          <w:rFonts w:hint="eastAsia" w:ascii="宋体" w:hAnsi="宋体"/>
          <w:szCs w:val="18"/>
        </w:rPr>
        <w:t>4.3.4</w:t>
      </w:r>
      <w:r>
        <w:rPr>
          <w:szCs w:val="20"/>
        </w:rPr>
        <w:t>确认项目施工已具备开工条件，按规定提出开工申请，经</w:t>
      </w:r>
      <w:r>
        <w:rPr>
          <w:rFonts w:hint="eastAsia" w:ascii="宋体" w:hAnsi="宋体"/>
          <w:szCs w:val="21"/>
        </w:rPr>
        <w:t>发包人/监理人</w:t>
      </w:r>
      <w:r>
        <w:rPr>
          <w:szCs w:val="20"/>
        </w:rPr>
        <w:t>批准后方可开工。</w:t>
      </w:r>
    </w:p>
    <w:p w14:paraId="1868CFA3">
      <w:pPr>
        <w:snapToGrid w:val="0"/>
        <w:ind w:firstLine="480" w:firstLineChars="200"/>
        <w:rPr>
          <w:rFonts w:ascii="宋体" w:hAnsi="宋体"/>
          <w:szCs w:val="18"/>
        </w:rPr>
      </w:pPr>
      <w:r>
        <w:rPr>
          <w:rFonts w:hint="eastAsia" w:ascii="宋体" w:hAnsi="宋体"/>
          <w:szCs w:val="18"/>
        </w:rPr>
        <w:t>4.3.5承包人应确保施工作业过程中</w:t>
      </w:r>
      <w:r>
        <w:rPr>
          <w:rFonts w:ascii="宋体" w:hAnsi="宋体"/>
          <w:szCs w:val="18"/>
        </w:rPr>
        <w:t>正确使用</w:t>
      </w:r>
      <w:r>
        <w:rPr>
          <w:rFonts w:hint="eastAsia" w:ascii="宋体" w:hAnsi="宋体"/>
          <w:szCs w:val="18"/>
        </w:rPr>
        <w:t>设计</w:t>
      </w:r>
      <w:r>
        <w:rPr>
          <w:rFonts w:ascii="宋体" w:hAnsi="宋体"/>
          <w:szCs w:val="18"/>
        </w:rPr>
        <w:t>图纸、设计文件</w:t>
      </w:r>
      <w:r>
        <w:rPr>
          <w:rFonts w:hint="eastAsia" w:ascii="宋体" w:hAnsi="宋体"/>
          <w:szCs w:val="18"/>
        </w:rPr>
        <w:t>、</w:t>
      </w:r>
      <w:r>
        <w:rPr>
          <w:rFonts w:ascii="宋体" w:hAnsi="宋体"/>
          <w:szCs w:val="18"/>
        </w:rPr>
        <w:t>验收标准</w:t>
      </w:r>
      <w:r>
        <w:rPr>
          <w:rFonts w:hint="eastAsia" w:ascii="宋体" w:hAnsi="宋体"/>
          <w:szCs w:val="18"/>
        </w:rPr>
        <w:t>、</w:t>
      </w:r>
      <w:r>
        <w:rPr>
          <w:rFonts w:ascii="宋体" w:hAnsi="宋体"/>
          <w:szCs w:val="18"/>
        </w:rPr>
        <w:t>适用的施工工艺标准</w:t>
      </w:r>
      <w:r>
        <w:rPr>
          <w:rFonts w:hint="eastAsia" w:ascii="宋体" w:hAnsi="宋体"/>
          <w:szCs w:val="18"/>
        </w:rPr>
        <w:t>和</w:t>
      </w:r>
      <w:r>
        <w:rPr>
          <w:rFonts w:ascii="宋体" w:hAnsi="宋体"/>
          <w:szCs w:val="18"/>
        </w:rPr>
        <w:t>作业指导书</w:t>
      </w:r>
      <w:r>
        <w:rPr>
          <w:rFonts w:hint="eastAsia" w:ascii="宋体" w:hAnsi="宋体"/>
          <w:szCs w:val="18"/>
        </w:rPr>
        <w:t>等施工作业指导性文件，对</w:t>
      </w:r>
      <w:r>
        <w:rPr>
          <w:rFonts w:ascii="宋体" w:hAnsi="宋体"/>
          <w:szCs w:val="18"/>
        </w:rPr>
        <w:t>施工过程质量进行控制</w:t>
      </w:r>
      <w:r>
        <w:rPr>
          <w:rFonts w:hint="eastAsia" w:ascii="宋体" w:hAnsi="宋体"/>
          <w:szCs w:val="18"/>
        </w:rPr>
        <w:t>，并对特殊过程和关键工序的识别与质量控制。</w:t>
      </w:r>
    </w:p>
    <w:p w14:paraId="5F77D23F">
      <w:pPr>
        <w:snapToGrid w:val="0"/>
        <w:ind w:firstLine="480" w:firstLineChars="200"/>
        <w:rPr>
          <w:szCs w:val="20"/>
        </w:rPr>
      </w:pPr>
      <w:r>
        <w:rPr>
          <w:rFonts w:hint="eastAsia" w:ascii="宋体" w:hAnsi="宋体"/>
          <w:szCs w:val="18"/>
        </w:rPr>
        <w:t>4.3.6承包人应按发包人对交工技术文件的要求规定对项目实施过程中形成的技术文件（质量记录）进行收集、标识、保存、整理和移交。</w:t>
      </w:r>
    </w:p>
    <w:p w14:paraId="6D64A9F8">
      <w:pPr>
        <w:snapToGrid w:val="0"/>
        <w:ind w:firstLine="480" w:firstLineChars="200"/>
        <w:rPr>
          <w:rFonts w:ascii="宋体" w:hAnsi="宋体"/>
          <w:szCs w:val="18"/>
        </w:rPr>
      </w:pPr>
      <w:r>
        <w:rPr>
          <w:rFonts w:hint="eastAsia" w:ascii="宋体" w:hAnsi="宋体"/>
          <w:szCs w:val="18"/>
        </w:rPr>
        <w:t>4.3.7按规定组织或参加工程质量验收。</w:t>
      </w:r>
    </w:p>
    <w:p w14:paraId="5EF0ED44">
      <w:pPr>
        <w:snapToGrid w:val="0"/>
        <w:ind w:firstLine="480" w:firstLineChars="200"/>
        <w:rPr>
          <w:rFonts w:ascii="宋体" w:hAnsi="宋体"/>
          <w:szCs w:val="18"/>
        </w:rPr>
      </w:pPr>
      <w:r>
        <w:rPr>
          <w:rFonts w:hint="eastAsia" w:ascii="宋体" w:hAnsi="宋体"/>
          <w:szCs w:val="18"/>
        </w:rPr>
        <w:t>4.3.8施工过程中发生质量事故，应按有关规定进行处理。</w:t>
      </w:r>
    </w:p>
    <w:p w14:paraId="0E73FFCC">
      <w:pPr>
        <w:snapToGrid w:val="0"/>
        <w:ind w:firstLine="482" w:firstLineChars="200"/>
        <w:rPr>
          <w:rFonts w:ascii="宋体" w:hAnsi="宋体"/>
          <w:b/>
          <w:bCs/>
        </w:rPr>
      </w:pPr>
      <w:r>
        <w:rPr>
          <w:rFonts w:hint="eastAsia" w:ascii="宋体" w:hAnsi="宋体"/>
          <w:b/>
          <w:bCs/>
        </w:rPr>
        <w:t>4.4进度控制</w:t>
      </w:r>
    </w:p>
    <w:p w14:paraId="0C941D1D">
      <w:pPr>
        <w:snapToGrid w:val="0"/>
        <w:ind w:firstLine="480" w:firstLineChars="200"/>
        <w:rPr>
          <w:rFonts w:ascii="宋体" w:hAnsi="宋体"/>
          <w:szCs w:val="18"/>
        </w:rPr>
      </w:pPr>
      <w:r>
        <w:rPr>
          <w:rFonts w:hint="eastAsia" w:ascii="宋体" w:hAnsi="宋体"/>
          <w:szCs w:val="18"/>
        </w:rPr>
        <w:t>4.4.1项目实施过程中，项目控制人员应对进度实施情况进行跟踪、数据采集，并应根据进度计划，优化资源配置，采用检查、比较、分析和纠偏等方法和措施，对计划进行动态控制，将进度控制在项目批准的进度计划以内。</w:t>
      </w:r>
    </w:p>
    <w:p w14:paraId="5BFECAE7">
      <w:pPr>
        <w:snapToGrid w:val="0"/>
        <w:ind w:firstLine="480" w:firstLineChars="200"/>
        <w:rPr>
          <w:rFonts w:ascii="宋体" w:hAnsi="宋体"/>
          <w:szCs w:val="18"/>
        </w:rPr>
      </w:pPr>
      <w:r>
        <w:rPr>
          <w:rFonts w:hint="eastAsia" w:ascii="宋体" w:hAnsi="宋体"/>
          <w:szCs w:val="18"/>
        </w:rPr>
        <w:t>4.4.2 对工程项目进度执行情况进行跟踪和检测，发现进度偏差，分析偏差产生的原因及对项目进度目标的影响程度，对可能的进度延迟进行预警，提出纠偏建议，采取适当的措施，使进度控制在允许的偏差范围内。</w:t>
      </w:r>
    </w:p>
    <w:p w14:paraId="1B1C179D">
      <w:pPr>
        <w:snapToGrid w:val="0"/>
        <w:ind w:firstLine="480" w:firstLineChars="200"/>
        <w:rPr>
          <w:rFonts w:ascii="宋体" w:hAnsi="宋体"/>
          <w:szCs w:val="18"/>
        </w:rPr>
      </w:pPr>
      <w:r>
        <w:rPr>
          <w:rFonts w:hint="eastAsia" w:ascii="宋体" w:hAnsi="宋体"/>
          <w:szCs w:val="18"/>
        </w:rPr>
        <w:t>4.4.3</w:t>
      </w:r>
      <w:r>
        <w:rPr>
          <w:rFonts w:ascii="宋体" w:hAnsi="宋体"/>
          <w:szCs w:val="18"/>
        </w:rPr>
        <w:t xml:space="preserve"> </w:t>
      </w:r>
      <w:r>
        <w:rPr>
          <w:rFonts w:hint="eastAsia" w:ascii="宋体" w:hAnsi="宋体"/>
          <w:szCs w:val="18"/>
        </w:rPr>
        <w:t>承包人应定期发布项目进度执行报告。</w:t>
      </w:r>
    </w:p>
    <w:p w14:paraId="7B98CB2A">
      <w:pPr>
        <w:snapToGrid w:val="0"/>
        <w:ind w:firstLine="480" w:firstLineChars="200"/>
        <w:rPr>
          <w:rFonts w:ascii="宋体" w:hAnsi="宋体"/>
          <w:szCs w:val="18"/>
        </w:rPr>
      </w:pPr>
      <w:r>
        <w:rPr>
          <w:rFonts w:hint="eastAsia" w:ascii="宋体" w:hAnsi="宋体"/>
          <w:szCs w:val="18"/>
        </w:rPr>
        <w:t>4.4.4</w:t>
      </w:r>
      <w:r>
        <w:rPr>
          <w:rFonts w:hint="eastAsia" w:ascii="宋体" w:hAnsi="宋体"/>
        </w:rPr>
        <w:t>承包人</w:t>
      </w:r>
      <w:r>
        <w:rPr>
          <w:rFonts w:hint="eastAsia" w:ascii="宋体" w:hAnsi="宋体"/>
          <w:szCs w:val="18"/>
        </w:rPr>
        <w:t>应按合同变更程序进行计划工期的变更管理，根据合同变更的内容和对计划工期、费用的要求，预测计划工期的变更对质量、安全、职业健康和环境保护等的影响，并实施和控制。</w:t>
      </w:r>
    </w:p>
    <w:p w14:paraId="04D8568E">
      <w:pPr>
        <w:snapToGrid w:val="0"/>
        <w:ind w:firstLine="480" w:firstLineChars="200"/>
        <w:rPr>
          <w:rFonts w:ascii="宋体" w:hAnsi="宋体"/>
          <w:szCs w:val="18"/>
        </w:rPr>
      </w:pPr>
      <w:r>
        <w:rPr>
          <w:rFonts w:hint="eastAsia" w:ascii="宋体" w:hAnsi="宋体"/>
          <w:szCs w:val="18"/>
        </w:rPr>
        <w:t xml:space="preserve">4.4.5 </w:t>
      </w:r>
      <w:r>
        <w:rPr>
          <w:rFonts w:hint="eastAsia" w:ascii="宋体" w:hAnsi="宋体"/>
        </w:rPr>
        <w:t>承包人</w:t>
      </w:r>
      <w:r>
        <w:rPr>
          <w:rFonts w:ascii="宋体" w:hAnsi="宋体"/>
          <w:szCs w:val="18"/>
        </w:rPr>
        <w:t>应</w:t>
      </w:r>
      <w:r>
        <w:rPr>
          <w:rFonts w:hint="eastAsia" w:ascii="宋体" w:hAnsi="宋体"/>
          <w:szCs w:val="18"/>
        </w:rPr>
        <w:t>制定项目进度变更</w:t>
      </w:r>
      <w:r>
        <w:rPr>
          <w:rFonts w:ascii="宋体" w:hAnsi="宋体"/>
          <w:szCs w:val="18"/>
        </w:rPr>
        <w:t>管理</w:t>
      </w:r>
      <w:r>
        <w:rPr>
          <w:rFonts w:hint="eastAsia" w:ascii="宋体" w:hAnsi="宋体"/>
          <w:szCs w:val="18"/>
        </w:rPr>
        <w:t>规定</w:t>
      </w:r>
      <w:r>
        <w:rPr>
          <w:rFonts w:ascii="宋体" w:hAnsi="宋体"/>
          <w:szCs w:val="18"/>
        </w:rPr>
        <w:t>，</w:t>
      </w:r>
      <w:r>
        <w:rPr>
          <w:rFonts w:hint="eastAsia" w:ascii="宋体" w:hAnsi="宋体"/>
          <w:szCs w:val="18"/>
        </w:rPr>
        <w:t>当项目活动进度拖延时，分析进度的推迟是否影响计划工期，项目经理做出是否修改计划工期的决定，当修改后的计划工期大于合同工期时，应报发包人确认。</w:t>
      </w:r>
    </w:p>
    <w:p w14:paraId="23B6931C">
      <w:pPr>
        <w:snapToGrid w:val="0"/>
        <w:ind w:firstLine="480" w:firstLineChars="200"/>
        <w:rPr>
          <w:rFonts w:ascii="宋体" w:hAnsi="宋体"/>
          <w:szCs w:val="18"/>
        </w:rPr>
      </w:pPr>
      <w:r>
        <w:rPr>
          <w:rFonts w:hint="eastAsia" w:ascii="宋体" w:hAnsi="宋体"/>
          <w:szCs w:val="18"/>
        </w:rPr>
        <w:t>4.4.6施工进度控制</w:t>
      </w:r>
    </w:p>
    <w:p w14:paraId="6C0138D1">
      <w:pPr>
        <w:snapToGrid w:val="0"/>
        <w:ind w:firstLine="480" w:firstLineChars="200"/>
        <w:rPr>
          <w:rFonts w:ascii="宋体" w:hAnsi="宋体"/>
          <w:szCs w:val="18"/>
        </w:rPr>
      </w:pPr>
      <w:r>
        <w:rPr>
          <w:rFonts w:hint="eastAsia" w:ascii="宋体" w:hAnsi="宋体"/>
          <w:szCs w:val="18"/>
        </w:rPr>
        <w:t>（1）承包人</w:t>
      </w:r>
      <w:r>
        <w:rPr>
          <w:rFonts w:ascii="宋体" w:hAnsi="宋体"/>
          <w:szCs w:val="18"/>
        </w:rPr>
        <w:t>应</w:t>
      </w:r>
      <w:r>
        <w:rPr>
          <w:rFonts w:hint="eastAsia" w:ascii="宋体" w:hAnsi="宋体"/>
          <w:szCs w:val="18"/>
        </w:rPr>
        <w:t>编制</w:t>
      </w:r>
      <w:r>
        <w:rPr>
          <w:rFonts w:ascii="宋体" w:hAnsi="宋体"/>
          <w:szCs w:val="18"/>
        </w:rPr>
        <w:t>施工进度计划</w:t>
      </w:r>
      <w:r>
        <w:rPr>
          <w:rFonts w:hint="eastAsia" w:ascii="宋体" w:hAnsi="宋体"/>
          <w:szCs w:val="18"/>
        </w:rPr>
        <w:t>应</w:t>
      </w:r>
      <w:r>
        <w:rPr>
          <w:rFonts w:ascii="宋体" w:hAnsi="宋体"/>
          <w:szCs w:val="18"/>
        </w:rPr>
        <w:t>确定进度控制目标</w:t>
      </w:r>
      <w:r>
        <w:rPr>
          <w:rFonts w:hint="eastAsia" w:ascii="宋体" w:hAnsi="宋体"/>
          <w:szCs w:val="18"/>
        </w:rPr>
        <w:t>、</w:t>
      </w:r>
      <w:r>
        <w:rPr>
          <w:rFonts w:ascii="宋体" w:hAnsi="宋体"/>
          <w:szCs w:val="18"/>
        </w:rPr>
        <w:t>各</w:t>
      </w:r>
      <w:r>
        <w:rPr>
          <w:rFonts w:hint="eastAsia" w:ascii="宋体" w:hAnsi="宋体"/>
          <w:szCs w:val="18"/>
        </w:rPr>
        <w:t>单项、</w:t>
      </w:r>
      <w:r>
        <w:rPr>
          <w:rFonts w:ascii="宋体" w:hAnsi="宋体"/>
          <w:szCs w:val="18"/>
        </w:rPr>
        <w:t>单位工程的施工期限和开</w:t>
      </w:r>
      <w:r>
        <w:rPr>
          <w:rFonts w:hint="eastAsia" w:ascii="宋体" w:hAnsi="宋体"/>
          <w:szCs w:val="18"/>
        </w:rPr>
        <w:t>工</w:t>
      </w:r>
      <w:r>
        <w:rPr>
          <w:rFonts w:ascii="宋体" w:hAnsi="宋体"/>
          <w:szCs w:val="18"/>
        </w:rPr>
        <w:t>、</w:t>
      </w:r>
      <w:r>
        <w:rPr>
          <w:rFonts w:hint="eastAsia" w:ascii="宋体" w:hAnsi="宋体"/>
          <w:szCs w:val="18"/>
        </w:rPr>
        <w:t>交</w:t>
      </w:r>
      <w:r>
        <w:rPr>
          <w:rFonts w:ascii="宋体" w:hAnsi="宋体"/>
          <w:szCs w:val="18"/>
        </w:rPr>
        <w:t>工日期</w:t>
      </w:r>
      <w:r>
        <w:rPr>
          <w:rFonts w:hint="eastAsia" w:ascii="宋体" w:hAnsi="宋体"/>
          <w:szCs w:val="18"/>
        </w:rPr>
        <w:t>。施工总进度计划应报发包人确认。</w:t>
      </w:r>
    </w:p>
    <w:p w14:paraId="04BE311F">
      <w:pPr>
        <w:snapToGrid w:val="0"/>
        <w:ind w:firstLine="480" w:firstLineChars="200"/>
        <w:rPr>
          <w:rFonts w:ascii="宋体" w:hAnsi="宋体"/>
          <w:szCs w:val="18"/>
        </w:rPr>
      </w:pPr>
      <w:r>
        <w:rPr>
          <w:rFonts w:hint="eastAsia" w:ascii="宋体" w:hAnsi="宋体"/>
          <w:szCs w:val="18"/>
        </w:rPr>
        <w:t>（2）对施工进度计划中的关键路线、资源配置等执行情况进行检查，并提出施工进展报告。</w:t>
      </w:r>
    </w:p>
    <w:p w14:paraId="1578FD74">
      <w:pPr>
        <w:snapToGrid w:val="0"/>
        <w:ind w:firstLine="480" w:firstLineChars="200"/>
        <w:rPr>
          <w:rFonts w:ascii="宋体" w:hAnsi="宋体"/>
          <w:szCs w:val="18"/>
        </w:rPr>
      </w:pPr>
      <w:r>
        <w:rPr>
          <w:rFonts w:hint="eastAsia" w:ascii="宋体" w:hAnsi="宋体"/>
          <w:szCs w:val="18"/>
        </w:rPr>
        <w:t>（3）施工进度计划调整时，承包人应按规定程序进行协调和确认，并保存相关记录。</w:t>
      </w:r>
    </w:p>
    <w:p w14:paraId="652AC91F">
      <w:pPr>
        <w:snapToGrid w:val="0"/>
        <w:ind w:left="480" w:leftChars="200"/>
        <w:rPr>
          <w:rFonts w:ascii="宋体" w:hAnsi="宋体"/>
          <w:b/>
          <w:bCs/>
        </w:rPr>
      </w:pPr>
      <w:r>
        <w:rPr>
          <w:rFonts w:ascii="宋体" w:hAnsi="宋体"/>
          <w:b/>
          <w:bCs/>
        </w:rPr>
        <w:t>4.5合同控制</w:t>
      </w:r>
    </w:p>
    <w:p w14:paraId="7E39DB74">
      <w:pPr>
        <w:snapToGrid w:val="0"/>
        <w:ind w:firstLine="480" w:firstLineChars="200"/>
        <w:rPr>
          <w:rFonts w:ascii="宋体" w:hAnsi="宋体"/>
          <w:szCs w:val="18"/>
        </w:rPr>
      </w:pPr>
      <w:r>
        <w:rPr>
          <w:rFonts w:hint="eastAsia" w:ascii="宋体" w:hAnsi="宋体"/>
          <w:szCs w:val="18"/>
        </w:rPr>
        <w:t>4.5.1总承包合同管理</w:t>
      </w:r>
    </w:p>
    <w:p w14:paraId="66875821">
      <w:pPr>
        <w:snapToGrid w:val="0"/>
        <w:ind w:firstLine="480" w:firstLineChars="200"/>
        <w:rPr>
          <w:rFonts w:ascii="宋体" w:hAnsi="宋体"/>
          <w:szCs w:val="18"/>
        </w:rPr>
      </w:pPr>
      <w:r>
        <w:rPr>
          <w:rFonts w:hint="eastAsia" w:ascii="宋体" w:hAnsi="宋体"/>
          <w:szCs w:val="18"/>
        </w:rPr>
        <w:t>（1）承包人应建立工程总承包合同管理程序，确定项目合同控制目标，制定实施计划和保证措施，检查、跟踪合同履行情况，对项目合同变更进行管理，对合同文件进行管理。</w:t>
      </w:r>
    </w:p>
    <w:p w14:paraId="7CB43DE1">
      <w:pPr>
        <w:snapToGrid w:val="0"/>
        <w:ind w:firstLine="480" w:firstLineChars="200"/>
        <w:rPr>
          <w:rFonts w:ascii="宋体" w:hAnsi="宋体"/>
          <w:szCs w:val="18"/>
        </w:rPr>
      </w:pPr>
      <w:r>
        <w:rPr>
          <w:rFonts w:hint="eastAsia" w:ascii="宋体" w:hAnsi="宋体"/>
          <w:szCs w:val="18"/>
        </w:rPr>
        <w:t>（2）承包人应依据合同约定的程序和规定进行合同文件管理，合同管理人员应对合同文件定义范围内的信息、记录、函件、证据、报告、合同变更、协议、会议纪要、签证单据、图纸资料、标准规范及相关法规等及时进行收集、整理和归档</w:t>
      </w:r>
    </w:p>
    <w:p w14:paraId="3C73D2C7">
      <w:pPr>
        <w:snapToGrid w:val="0"/>
        <w:ind w:firstLine="480" w:firstLineChars="200"/>
        <w:rPr>
          <w:rFonts w:ascii="宋体" w:hAnsi="宋体"/>
        </w:rPr>
      </w:pPr>
      <w:r>
        <w:rPr>
          <w:rFonts w:hint="eastAsia" w:ascii="宋体" w:hAnsi="宋体"/>
          <w:szCs w:val="18"/>
        </w:rPr>
        <w:t>（3）承包人合同管理人员应全过程跟踪检查合同履行情况，收集和整理合同信息，并按规定报告项目经理</w:t>
      </w:r>
      <w:r>
        <w:rPr>
          <w:rFonts w:hint="eastAsia" w:ascii="宋体" w:hAnsi="宋体"/>
        </w:rPr>
        <w:t>。</w:t>
      </w:r>
    </w:p>
    <w:p w14:paraId="57D1F3BD">
      <w:pPr>
        <w:snapToGrid w:val="0"/>
        <w:ind w:left="480" w:leftChars="200"/>
        <w:rPr>
          <w:rFonts w:ascii="宋体" w:hAnsi="宋体"/>
          <w:b/>
          <w:bCs/>
        </w:rPr>
      </w:pPr>
      <w:r>
        <w:rPr>
          <w:rFonts w:ascii="宋体" w:hAnsi="宋体"/>
          <w:b/>
          <w:bCs/>
        </w:rPr>
        <w:t>4.6成本控制</w:t>
      </w:r>
    </w:p>
    <w:p w14:paraId="377BBDA3">
      <w:pPr>
        <w:snapToGrid w:val="0"/>
        <w:ind w:firstLine="480" w:firstLineChars="200"/>
        <w:rPr>
          <w:rFonts w:ascii="宋体" w:hAnsi="宋体"/>
          <w:szCs w:val="18"/>
        </w:rPr>
      </w:pPr>
      <w:r>
        <w:rPr>
          <w:rFonts w:hint="eastAsia" w:ascii="宋体" w:hAnsi="宋体"/>
          <w:szCs w:val="18"/>
        </w:rPr>
        <w:t>4.6.1承包人应制定资金管理规章制度、金管理目标和计划，对项目实施过程中的资金流进行管理和控制。</w:t>
      </w:r>
    </w:p>
    <w:p w14:paraId="319890F5">
      <w:pPr>
        <w:snapToGrid w:val="0"/>
        <w:ind w:firstLine="480" w:firstLineChars="200"/>
        <w:rPr>
          <w:rFonts w:ascii="宋体" w:hAnsi="宋体"/>
          <w:szCs w:val="18"/>
        </w:rPr>
      </w:pPr>
      <w:r>
        <w:rPr>
          <w:rFonts w:hint="eastAsia" w:ascii="宋体" w:hAnsi="宋体"/>
          <w:szCs w:val="18"/>
        </w:rPr>
        <w:t>4.6.2承包人应依据合同约定向发包人申报工程款结算报告和相关资料，及时收取工程价款。</w:t>
      </w:r>
    </w:p>
    <w:p w14:paraId="13528C67">
      <w:pPr>
        <w:snapToGrid w:val="0"/>
        <w:ind w:left="480" w:leftChars="200"/>
        <w:rPr>
          <w:rFonts w:ascii="宋体" w:hAnsi="宋体"/>
          <w:szCs w:val="18"/>
        </w:rPr>
      </w:pPr>
      <w:bookmarkStart w:id="1022" w:name="_Toc514167134"/>
      <w:bookmarkStart w:id="1023" w:name="_Toc511143065"/>
      <w:r>
        <w:rPr>
          <w:rFonts w:hint="eastAsia" w:ascii="宋体" w:hAnsi="宋体"/>
          <w:b/>
          <w:bCs/>
        </w:rPr>
        <w:t>4.7 工程分包管理</w:t>
      </w:r>
      <w:bookmarkEnd w:id="1022"/>
      <w:bookmarkEnd w:id="1023"/>
    </w:p>
    <w:p w14:paraId="60C11F1D">
      <w:pPr>
        <w:snapToGrid w:val="0"/>
        <w:ind w:firstLine="480" w:firstLineChars="200"/>
      </w:pPr>
      <w:r>
        <w:rPr>
          <w:rFonts w:hint="eastAsia" w:ascii="宋体" w:hAnsi="宋体"/>
        </w:rPr>
        <w:t>本招标项目不允许分包，详见第五章“合同条款及格式”第三部分“专用合同条款”。</w:t>
      </w:r>
    </w:p>
    <w:p w14:paraId="3EB36A01">
      <w:pPr>
        <w:snapToGrid w:val="0"/>
        <w:ind w:firstLine="482" w:firstLineChars="200"/>
        <w:rPr>
          <w:rFonts w:ascii="宋体" w:hAnsi="宋体"/>
          <w:b/>
          <w:bCs/>
        </w:rPr>
      </w:pPr>
      <w:r>
        <w:rPr>
          <w:rFonts w:hint="eastAsia" w:ascii="宋体" w:hAnsi="宋体"/>
          <w:b/>
          <w:bCs/>
        </w:rPr>
        <w:t>4.8协调机制</w:t>
      </w:r>
    </w:p>
    <w:p w14:paraId="77596A22">
      <w:pPr>
        <w:snapToGrid w:val="0"/>
        <w:ind w:firstLine="480" w:firstLineChars="200"/>
        <w:rPr>
          <w:rFonts w:ascii="宋体" w:hAnsi="宋体"/>
          <w:szCs w:val="18"/>
        </w:rPr>
      </w:pPr>
      <w:r>
        <w:rPr>
          <w:rFonts w:hint="eastAsia" w:ascii="宋体" w:hAnsi="宋体"/>
          <w:szCs w:val="18"/>
        </w:rPr>
        <w:t>4.8.1沟通管理</w:t>
      </w:r>
    </w:p>
    <w:p w14:paraId="3BFC30AE">
      <w:pPr>
        <w:snapToGrid w:val="0"/>
        <w:ind w:firstLine="360" w:firstLineChars="150"/>
        <w:rPr>
          <w:rFonts w:ascii="宋体" w:hAnsi="宋体"/>
          <w:szCs w:val="18"/>
        </w:rPr>
      </w:pPr>
      <w:r>
        <w:rPr>
          <w:rFonts w:hint="eastAsia" w:ascii="宋体" w:hAnsi="宋体"/>
          <w:szCs w:val="18"/>
        </w:rPr>
        <w:t>（1）承包人应制定项目沟通管理计划，明确沟通的内容和方式，并根据项目实施过程中的情况变化进行调整。</w:t>
      </w:r>
    </w:p>
    <w:p w14:paraId="6FD0BF50">
      <w:pPr>
        <w:snapToGrid w:val="0"/>
        <w:ind w:firstLine="360" w:firstLineChars="150"/>
        <w:rPr>
          <w:rFonts w:ascii="宋体" w:hAnsi="宋体"/>
          <w:szCs w:val="18"/>
        </w:rPr>
      </w:pPr>
      <w:r>
        <w:rPr>
          <w:rFonts w:hint="eastAsia" w:ascii="宋体" w:hAnsi="宋体"/>
          <w:szCs w:val="18"/>
        </w:rPr>
        <w:t>（2）承包人应根据工程总承包项目的特点，以及项目相关方不同的需求和目标，采取有效的协调措施。</w:t>
      </w:r>
    </w:p>
    <w:p w14:paraId="420769C0">
      <w:pPr>
        <w:snapToGrid w:val="0"/>
        <w:ind w:left="480" w:leftChars="200"/>
        <w:rPr>
          <w:rFonts w:ascii="宋体" w:hAnsi="宋体"/>
          <w:szCs w:val="18"/>
        </w:rPr>
      </w:pPr>
      <w:bookmarkStart w:id="1024" w:name="_Toc511143066"/>
      <w:bookmarkStart w:id="1025" w:name="_Toc514167135"/>
      <w:bookmarkStart w:id="1026" w:name="_Toc420404338"/>
      <w:r>
        <w:rPr>
          <w:rFonts w:hint="eastAsia" w:ascii="宋体" w:hAnsi="宋体"/>
          <w:szCs w:val="18"/>
        </w:rPr>
        <w:t>4.8.2 信息管理</w:t>
      </w:r>
      <w:bookmarkEnd w:id="1024"/>
      <w:bookmarkEnd w:id="1025"/>
      <w:bookmarkEnd w:id="1026"/>
    </w:p>
    <w:p w14:paraId="5DC32E96">
      <w:pPr>
        <w:snapToGrid w:val="0"/>
        <w:ind w:firstLine="360" w:firstLineChars="150"/>
        <w:rPr>
          <w:rFonts w:ascii="宋体" w:hAnsi="宋体"/>
          <w:szCs w:val="18"/>
        </w:rPr>
      </w:pPr>
      <w:r>
        <w:rPr>
          <w:rFonts w:hint="eastAsia" w:ascii="宋体" w:hAnsi="宋体"/>
          <w:szCs w:val="18"/>
        </w:rPr>
        <w:t>（1）承包人应建立项目信息管理系统，实现数据的共享和流转，对信息进行分析和评估。</w:t>
      </w:r>
    </w:p>
    <w:p w14:paraId="790DBC6A">
      <w:pPr>
        <w:snapToGrid w:val="0"/>
        <w:ind w:firstLine="360" w:firstLineChars="150"/>
        <w:rPr>
          <w:rFonts w:ascii="宋体" w:hAnsi="宋体"/>
          <w:szCs w:val="18"/>
        </w:rPr>
      </w:pPr>
      <w:r>
        <w:rPr>
          <w:rFonts w:hint="eastAsia" w:ascii="宋体" w:hAnsi="宋体"/>
          <w:szCs w:val="18"/>
        </w:rPr>
        <w:t>（2）承包人应制定项目信息管理计划，明确信息管理的内容和方式。</w:t>
      </w:r>
    </w:p>
    <w:p w14:paraId="7480C461">
      <w:pPr>
        <w:snapToGrid w:val="0"/>
        <w:ind w:firstLine="360" w:firstLineChars="150"/>
        <w:rPr>
          <w:rFonts w:ascii="宋体" w:hAnsi="宋体"/>
          <w:szCs w:val="18"/>
        </w:rPr>
      </w:pPr>
      <w:r>
        <w:rPr>
          <w:rFonts w:hint="eastAsia" w:ascii="宋体" w:hAnsi="宋体"/>
          <w:szCs w:val="18"/>
        </w:rPr>
        <w:t>（3）承包人应制定收集、处理、分析、反馈和传递项目信息的管理规定，并监督执行。</w:t>
      </w:r>
    </w:p>
    <w:p w14:paraId="5EBA331D">
      <w:pPr>
        <w:snapToGrid w:val="0"/>
        <w:ind w:firstLine="360" w:firstLineChars="150"/>
        <w:rPr>
          <w:rFonts w:ascii="宋体" w:hAnsi="宋体"/>
          <w:szCs w:val="18"/>
        </w:rPr>
      </w:pPr>
      <w:r>
        <w:rPr>
          <w:rFonts w:hint="eastAsia" w:ascii="宋体" w:hAnsi="宋体"/>
          <w:szCs w:val="18"/>
        </w:rPr>
        <w:t>（4）承包人应依据合同约定和工程总承包企业有关规定，确定项目统一的信息结构、分类和编码规则。</w:t>
      </w:r>
    </w:p>
    <w:p w14:paraId="140540BE">
      <w:pPr>
        <w:snapToGrid w:val="0"/>
        <w:ind w:left="480" w:leftChars="200"/>
        <w:rPr>
          <w:rFonts w:ascii="宋体" w:hAnsi="宋体"/>
          <w:szCs w:val="18"/>
        </w:rPr>
      </w:pPr>
      <w:bookmarkStart w:id="1027" w:name="_Toc511143067"/>
      <w:bookmarkStart w:id="1028" w:name="_Toc514167136"/>
      <w:bookmarkStart w:id="1029" w:name="_Toc420404339"/>
      <w:r>
        <w:rPr>
          <w:rFonts w:hint="eastAsia" w:ascii="宋体" w:hAnsi="宋体"/>
          <w:szCs w:val="18"/>
        </w:rPr>
        <w:t>4.8.3文件管理</w:t>
      </w:r>
      <w:bookmarkEnd w:id="1027"/>
      <w:bookmarkEnd w:id="1028"/>
      <w:bookmarkEnd w:id="1029"/>
    </w:p>
    <w:p w14:paraId="7B1B0E78">
      <w:pPr>
        <w:snapToGrid w:val="0"/>
        <w:ind w:firstLine="480" w:firstLineChars="200"/>
        <w:rPr>
          <w:rFonts w:ascii="宋体" w:hAnsi="宋体"/>
          <w:szCs w:val="18"/>
        </w:rPr>
      </w:pPr>
      <w:r>
        <w:rPr>
          <w:rFonts w:hint="eastAsia" w:ascii="宋体" w:hAnsi="宋体"/>
          <w:szCs w:val="18"/>
        </w:rPr>
        <w:t>（1）项目文件和资料应随项目进度收集和处理，并按项目统一规定进行管理。</w:t>
      </w:r>
    </w:p>
    <w:p w14:paraId="6883FE8A">
      <w:pPr>
        <w:snapToGrid w:val="0"/>
        <w:ind w:firstLine="480" w:firstLineChars="200"/>
        <w:rPr>
          <w:rFonts w:ascii="宋体" w:hAnsi="宋体"/>
          <w:szCs w:val="18"/>
        </w:rPr>
      </w:pPr>
      <w:r>
        <w:rPr>
          <w:rFonts w:hint="eastAsia" w:ascii="宋体" w:hAnsi="宋体"/>
          <w:szCs w:val="18"/>
        </w:rPr>
        <w:t>（2）承包人应按档案管理标准和规定，将工程设计、采购、施工和试运行等阶段形成的文件和资料进行归档，档案资料应真实、有效和完整。</w:t>
      </w:r>
    </w:p>
    <w:p w14:paraId="6D9BF882">
      <w:pPr>
        <w:snapToGrid w:val="0"/>
        <w:ind w:left="480" w:leftChars="200"/>
        <w:rPr>
          <w:rFonts w:ascii="宋体" w:hAnsi="宋体"/>
          <w:szCs w:val="18"/>
        </w:rPr>
      </w:pPr>
      <w:bookmarkStart w:id="1030" w:name="_Toc511143068"/>
      <w:bookmarkStart w:id="1031" w:name="_Toc420404340"/>
      <w:bookmarkStart w:id="1032" w:name="_Toc514167137"/>
      <w:r>
        <w:rPr>
          <w:rFonts w:hint="eastAsia" w:ascii="宋体" w:hAnsi="宋体"/>
          <w:szCs w:val="18"/>
        </w:rPr>
        <w:t>4.8.4</w:t>
      </w:r>
      <w:r>
        <w:rPr>
          <w:rFonts w:ascii="宋体" w:hAnsi="宋体"/>
          <w:szCs w:val="18"/>
        </w:rPr>
        <w:t xml:space="preserve"> </w:t>
      </w:r>
      <w:r>
        <w:rPr>
          <w:rFonts w:hint="eastAsia" w:ascii="宋体" w:hAnsi="宋体"/>
          <w:szCs w:val="18"/>
        </w:rPr>
        <w:t>信息安全及保密</w:t>
      </w:r>
      <w:bookmarkEnd w:id="1030"/>
      <w:bookmarkEnd w:id="1031"/>
      <w:bookmarkEnd w:id="1032"/>
    </w:p>
    <w:p w14:paraId="0138ECDA">
      <w:pPr>
        <w:snapToGrid w:val="0"/>
        <w:ind w:firstLine="480" w:firstLineChars="200"/>
        <w:rPr>
          <w:rFonts w:ascii="宋体" w:hAnsi="宋体"/>
          <w:szCs w:val="18"/>
        </w:rPr>
      </w:pPr>
      <w:r>
        <w:rPr>
          <w:rFonts w:hint="eastAsia" w:ascii="宋体" w:hAnsi="宋体"/>
          <w:szCs w:val="18"/>
        </w:rPr>
        <w:t>（1）承包人应遵守国家、地方有关知识产权和信息安全的法律法规以及发包人有关规定，并符合合同要求。</w:t>
      </w:r>
    </w:p>
    <w:p w14:paraId="34B03F2A">
      <w:pPr>
        <w:snapToGrid w:val="0"/>
        <w:ind w:firstLine="480" w:firstLineChars="200"/>
        <w:rPr>
          <w:rFonts w:ascii="宋体" w:hAnsi="宋体"/>
          <w:szCs w:val="18"/>
        </w:rPr>
      </w:pPr>
      <w:r>
        <w:rPr>
          <w:rFonts w:hint="eastAsia" w:ascii="宋体" w:hAnsi="宋体"/>
          <w:szCs w:val="18"/>
        </w:rPr>
        <w:t>（2）承包人应根据发包人信息安全和保密有关规定，采取信息安全与保密措施，防止和处理在信息传递与处理过程中的失误与失密。</w:t>
      </w:r>
    </w:p>
    <w:p w14:paraId="672C1C66">
      <w:pPr>
        <w:snapToGrid w:val="0"/>
        <w:ind w:firstLine="480" w:firstLineChars="200"/>
        <w:rPr>
          <w:rFonts w:ascii="宋体" w:hAnsi="宋体"/>
          <w:szCs w:val="18"/>
        </w:rPr>
      </w:pPr>
      <w:r>
        <w:rPr>
          <w:rFonts w:hint="eastAsia" w:ascii="宋体" w:hAnsi="宋体"/>
          <w:szCs w:val="18"/>
        </w:rPr>
        <w:t>（3）承包人应根据发包人的信息备份和存档程序，以及系统瘫痪后的系统恢复程序，进行项目信息的备份和存档。</w:t>
      </w:r>
    </w:p>
    <w:p w14:paraId="6B32506B">
      <w:pPr>
        <w:snapToGrid w:val="0"/>
        <w:ind w:firstLine="480" w:firstLineChars="200"/>
        <w:rPr>
          <w:rFonts w:ascii="宋体" w:hAnsi="宋体"/>
          <w:szCs w:val="18"/>
        </w:rPr>
      </w:pPr>
      <w:bookmarkStart w:id="1033" w:name="_Toc514167138"/>
      <w:bookmarkStart w:id="1034" w:name="_Toc511143069"/>
      <w:r>
        <w:rPr>
          <w:rFonts w:hint="eastAsia" w:ascii="宋体" w:hAnsi="宋体"/>
          <w:szCs w:val="18"/>
        </w:rPr>
        <w:t>4.9风险管理要求</w:t>
      </w:r>
      <w:bookmarkEnd w:id="1033"/>
      <w:bookmarkEnd w:id="1034"/>
    </w:p>
    <w:p w14:paraId="7A7B393C">
      <w:pPr>
        <w:snapToGrid w:val="0"/>
        <w:ind w:firstLine="480" w:firstLineChars="200"/>
        <w:rPr>
          <w:rFonts w:ascii="宋体" w:hAnsi="宋体"/>
          <w:szCs w:val="18"/>
        </w:rPr>
      </w:pPr>
      <w:r>
        <w:rPr>
          <w:rFonts w:hint="eastAsia" w:ascii="宋体" w:hAnsi="宋体"/>
          <w:szCs w:val="18"/>
        </w:rPr>
        <w:t>4.9.1投标人应对风险工程进行风险辨识与评估，根据图纸内容进行风险等级划分。制定风险管理计划，建立与风险目标相适应的风险管理体系。</w:t>
      </w:r>
    </w:p>
    <w:p w14:paraId="30D483BB">
      <w:pPr>
        <w:snapToGrid w:val="0"/>
        <w:ind w:firstLine="480" w:firstLineChars="200"/>
        <w:rPr>
          <w:rFonts w:ascii="宋体" w:hAnsi="宋体"/>
          <w:szCs w:val="18"/>
        </w:rPr>
      </w:pPr>
      <w:r>
        <w:rPr>
          <w:rFonts w:hint="eastAsia" w:ascii="宋体" w:hAnsi="宋体"/>
          <w:szCs w:val="18"/>
        </w:rPr>
        <w:t>4.9.2投标人应对已标示的风险源提出针对性的、确实可行控制方案和措施。对建设过程中存在的环境风险、工程风险实行全过程管理。</w:t>
      </w:r>
    </w:p>
    <w:p w14:paraId="619146EA">
      <w:pPr>
        <w:ind w:firstLine="480" w:firstLineChars="200"/>
        <w:rPr>
          <w:rFonts w:ascii="宋体" w:hAnsi="宋体"/>
          <w:szCs w:val="18"/>
        </w:rPr>
      </w:pPr>
      <w:r>
        <w:rPr>
          <w:rFonts w:hint="eastAsia" w:ascii="宋体" w:hAnsi="宋体"/>
          <w:szCs w:val="18"/>
        </w:rPr>
        <w:t>4.9.3投标人在项目实施过程中，应对工程的各种风险进行管理，包括但不限于如下内容：</w:t>
      </w:r>
      <w:bookmarkStart w:id="1035" w:name="_Toc439160075"/>
      <w:bookmarkStart w:id="1036" w:name="_Toc511143070"/>
      <w:bookmarkStart w:id="1037" w:name="_Toc61515065"/>
      <w:r>
        <w:rPr>
          <w:rFonts w:hint="eastAsia" w:ascii="宋体" w:hAnsi="宋体"/>
          <w:szCs w:val="18"/>
        </w:rPr>
        <w:t>风险的分析、评估与应对方案、风险点的分类与监控、重大风险的管理方案、风险管理费用的落实与调整、有关风险管理的技术标准和规范的落实、风险的转移等。</w:t>
      </w:r>
    </w:p>
    <w:p w14:paraId="0A0E963F">
      <w:pPr>
        <w:rPr>
          <w:rFonts w:hAnsi="宋体"/>
        </w:rPr>
      </w:pPr>
      <w:r>
        <w:rPr>
          <w:rFonts w:hint="eastAsia" w:ascii="宋体" w:hAnsi="宋体"/>
          <w:b/>
          <w:bCs/>
        </w:rPr>
        <w:t>5.HSE管理及控制</w:t>
      </w:r>
      <w:bookmarkEnd w:id="1035"/>
      <w:bookmarkEnd w:id="1036"/>
      <w:bookmarkEnd w:id="1037"/>
    </w:p>
    <w:p w14:paraId="3788F4A8">
      <w:pPr>
        <w:snapToGrid w:val="0"/>
        <w:ind w:firstLine="482" w:firstLineChars="200"/>
        <w:rPr>
          <w:rFonts w:ascii="宋体" w:hAnsi="宋体"/>
          <w:b/>
          <w:bCs/>
        </w:rPr>
      </w:pPr>
      <w:r>
        <w:rPr>
          <w:rFonts w:hint="eastAsia" w:ascii="宋体" w:hAnsi="宋体"/>
          <w:b/>
          <w:bCs/>
        </w:rPr>
        <w:t>5.1一般规定</w:t>
      </w:r>
    </w:p>
    <w:p w14:paraId="09CC9D86">
      <w:pPr>
        <w:snapToGrid w:val="0"/>
        <w:ind w:firstLine="480" w:firstLineChars="200"/>
        <w:rPr>
          <w:rFonts w:ascii="宋体" w:hAnsi="宋体"/>
          <w:szCs w:val="18"/>
        </w:rPr>
      </w:pPr>
      <w:r>
        <w:rPr>
          <w:rFonts w:hint="eastAsia" w:ascii="宋体" w:hAnsi="宋体"/>
          <w:szCs w:val="18"/>
        </w:rPr>
        <w:t>承包人应遵守</w:t>
      </w:r>
      <w:r>
        <w:rPr>
          <w:rFonts w:ascii="宋体" w:hAnsi="宋体"/>
          <w:szCs w:val="18"/>
        </w:rPr>
        <w:t>相关安全职业健康</w:t>
      </w:r>
      <w:r>
        <w:rPr>
          <w:rFonts w:hint="eastAsia" w:ascii="宋体" w:hAnsi="宋体"/>
          <w:szCs w:val="18"/>
        </w:rPr>
        <w:t>方面</w:t>
      </w:r>
      <w:r>
        <w:rPr>
          <w:rFonts w:ascii="宋体" w:hAnsi="宋体"/>
          <w:szCs w:val="18"/>
        </w:rPr>
        <w:t>的</w:t>
      </w:r>
      <w:r>
        <w:rPr>
          <w:rFonts w:hint="eastAsia" w:ascii="宋体" w:hAnsi="宋体"/>
          <w:szCs w:val="18"/>
        </w:rPr>
        <w:t>法律、法规及国家</w:t>
      </w:r>
      <w:r>
        <w:rPr>
          <w:rFonts w:ascii="宋体" w:hAnsi="宋体"/>
          <w:szCs w:val="18"/>
        </w:rPr>
        <w:t>、行业、地方</w:t>
      </w:r>
      <w:r>
        <w:rPr>
          <w:rFonts w:hint="eastAsia" w:ascii="宋体" w:hAnsi="宋体"/>
          <w:szCs w:val="18"/>
        </w:rPr>
        <w:t>标准。</w:t>
      </w:r>
    </w:p>
    <w:p w14:paraId="51270B7B">
      <w:pPr>
        <w:snapToGrid w:val="0"/>
        <w:ind w:firstLine="480" w:firstLineChars="200"/>
        <w:rPr>
          <w:rFonts w:ascii="宋体" w:hAnsi="宋体"/>
          <w:szCs w:val="18"/>
        </w:rPr>
      </w:pPr>
      <w:r>
        <w:rPr>
          <w:rFonts w:hint="eastAsia" w:ascii="宋体" w:hAnsi="宋体"/>
          <w:szCs w:val="18"/>
        </w:rPr>
        <w:t>5.1.1承包人应按职业健康安全管理和环境管理体系要求，规范施工总承包项目的职业健康安全和环境管理。</w:t>
      </w:r>
    </w:p>
    <w:p w14:paraId="6C05C623">
      <w:pPr>
        <w:snapToGrid w:val="0"/>
        <w:ind w:firstLine="480" w:firstLineChars="200"/>
        <w:rPr>
          <w:rFonts w:ascii="宋体" w:hAnsi="宋体"/>
          <w:szCs w:val="18"/>
        </w:rPr>
      </w:pPr>
      <w:r>
        <w:rPr>
          <w:rFonts w:hint="eastAsia" w:ascii="宋体" w:hAnsi="宋体"/>
          <w:szCs w:val="18"/>
        </w:rPr>
        <w:t>5.1.2承包人应设置专职管理人员，在项目经理领导下，具体负责项目安全、职业健康与环境管理的组织与协调工作。</w:t>
      </w:r>
    </w:p>
    <w:p w14:paraId="2B93A085">
      <w:pPr>
        <w:snapToGrid w:val="0"/>
        <w:ind w:firstLine="480" w:firstLineChars="200"/>
        <w:rPr>
          <w:rFonts w:ascii="宋体" w:hAnsi="宋体"/>
          <w:szCs w:val="18"/>
        </w:rPr>
      </w:pPr>
      <w:r>
        <w:rPr>
          <w:rFonts w:hint="eastAsia" w:ascii="宋体" w:hAnsi="宋体"/>
          <w:szCs w:val="18"/>
        </w:rPr>
        <w:t>5.1.3开展危险源辩识和风险评价，制定安全管理计划，并进行控制。</w:t>
      </w:r>
    </w:p>
    <w:p w14:paraId="61594CE8">
      <w:pPr>
        <w:snapToGrid w:val="0"/>
        <w:ind w:firstLine="480" w:firstLineChars="200"/>
        <w:rPr>
          <w:rFonts w:ascii="宋体" w:hAnsi="宋体"/>
          <w:szCs w:val="18"/>
        </w:rPr>
      </w:pPr>
      <w:r>
        <w:rPr>
          <w:rFonts w:hint="eastAsia" w:ascii="宋体" w:hAnsi="宋体"/>
          <w:szCs w:val="18"/>
        </w:rPr>
        <w:t>5.1.4项目职业健康管理应按“预防为主、防治结合”的方针。开展职业健康危险源辩识和风险评价，制定职业健康管理计划，并进行控制。</w:t>
      </w:r>
    </w:p>
    <w:p w14:paraId="345E6641">
      <w:pPr>
        <w:snapToGrid w:val="0"/>
        <w:ind w:firstLine="480" w:firstLineChars="200"/>
        <w:rPr>
          <w:rFonts w:ascii="宋体" w:hAnsi="宋体"/>
          <w:szCs w:val="18"/>
        </w:rPr>
      </w:pPr>
      <w:r>
        <w:rPr>
          <w:rFonts w:hint="eastAsia" w:ascii="宋体" w:hAnsi="宋体"/>
          <w:szCs w:val="18"/>
        </w:rPr>
        <w:t>5.1.5项目环境保护应按“保护优先、预防为主、综合治理、公众参与、损害担责”的原则，根据建设项目环境影响评价文件和环境保护规划，开展环境因素辨识和评价，制定环境保护计划，并进行控制。</w:t>
      </w:r>
    </w:p>
    <w:p w14:paraId="25C30831">
      <w:pPr>
        <w:snapToGrid w:val="0"/>
        <w:ind w:firstLine="482" w:firstLineChars="200"/>
        <w:rPr>
          <w:rFonts w:ascii="宋体" w:hAnsi="宋体"/>
          <w:b/>
          <w:bCs/>
          <w:szCs w:val="18"/>
        </w:rPr>
      </w:pPr>
      <w:bookmarkStart w:id="1038" w:name="_Toc511143071"/>
      <w:bookmarkStart w:id="1039" w:name="_Toc514167140"/>
      <w:r>
        <w:rPr>
          <w:rFonts w:hint="eastAsia" w:ascii="宋体" w:hAnsi="宋体"/>
          <w:b/>
          <w:bCs/>
        </w:rPr>
        <w:t xml:space="preserve">5.2 </w:t>
      </w:r>
      <w:bookmarkEnd w:id="1038"/>
      <w:bookmarkEnd w:id="1039"/>
      <w:r>
        <w:rPr>
          <w:rFonts w:hint="eastAsia" w:ascii="宋体" w:hAnsi="宋体"/>
          <w:b/>
          <w:bCs/>
        </w:rPr>
        <w:t>HSSE方针：安全第一、环保优先、身心健康、严细恒实</w:t>
      </w:r>
      <w:r>
        <w:rPr>
          <w:rFonts w:hint="eastAsia" w:ascii="宋体" w:hAnsi="宋体"/>
          <w:b/>
          <w:bCs/>
          <w:szCs w:val="18"/>
        </w:rPr>
        <w:t>。</w:t>
      </w:r>
    </w:p>
    <w:p w14:paraId="0406776D">
      <w:pPr>
        <w:snapToGrid w:val="0"/>
        <w:ind w:firstLine="482" w:firstLineChars="200"/>
        <w:rPr>
          <w:rFonts w:ascii="宋体" w:hAnsi="宋体"/>
          <w:b/>
          <w:bCs/>
        </w:rPr>
      </w:pPr>
      <w:r>
        <w:rPr>
          <w:rFonts w:hint="eastAsia" w:ascii="宋体" w:hAnsi="宋体"/>
          <w:b/>
          <w:bCs/>
        </w:rPr>
        <w:t>5</w:t>
      </w:r>
      <w:r>
        <w:rPr>
          <w:rFonts w:ascii="宋体" w:hAnsi="宋体"/>
          <w:b/>
          <w:bCs/>
        </w:rPr>
        <w:t>.3安全职业健康管理</w:t>
      </w:r>
    </w:p>
    <w:p w14:paraId="0F9AEB7F">
      <w:pPr>
        <w:snapToGrid w:val="0"/>
        <w:ind w:firstLine="480" w:firstLineChars="200"/>
        <w:rPr>
          <w:rFonts w:ascii="宋体" w:hAnsi="宋体"/>
        </w:rPr>
      </w:pPr>
      <w:r>
        <w:rPr>
          <w:rFonts w:hint="eastAsia" w:ascii="宋体" w:hAnsi="宋体"/>
        </w:rPr>
        <w:t>5</w:t>
      </w:r>
      <w:r>
        <w:rPr>
          <w:rFonts w:ascii="宋体" w:hAnsi="宋体"/>
        </w:rPr>
        <w:t>.3.1承包人项目经理是项目安全职业健康的主要负责人。</w:t>
      </w:r>
    </w:p>
    <w:p w14:paraId="083E12B4">
      <w:pPr>
        <w:snapToGrid w:val="0"/>
        <w:ind w:firstLine="480" w:firstLineChars="200"/>
        <w:rPr>
          <w:rFonts w:ascii="宋体" w:hAnsi="宋体"/>
        </w:rPr>
      </w:pPr>
      <w:r>
        <w:rPr>
          <w:rFonts w:hint="eastAsia" w:ascii="宋体" w:hAnsi="宋体"/>
        </w:rPr>
        <w:t>5</w:t>
      </w:r>
      <w:r>
        <w:rPr>
          <w:rFonts w:ascii="宋体" w:hAnsi="宋体"/>
        </w:rPr>
        <w:t>.3.2承包人应根据的安全职业健康管理目标，制定施工项目安全职业健康管理计划、安全职业健康管理制度、安全职业健康技术措施，并按规定程序批准实施。</w:t>
      </w:r>
    </w:p>
    <w:p w14:paraId="67A67790">
      <w:pPr>
        <w:snapToGrid w:val="0"/>
        <w:ind w:firstLine="480" w:firstLineChars="200"/>
        <w:rPr>
          <w:rFonts w:ascii="宋体" w:hAnsi="宋体"/>
        </w:rPr>
      </w:pPr>
      <w:r>
        <w:rPr>
          <w:rFonts w:hint="eastAsia" w:ascii="宋体" w:hAnsi="宋体"/>
        </w:rPr>
        <w:t>5</w:t>
      </w:r>
      <w:r>
        <w:rPr>
          <w:rFonts w:ascii="宋体" w:hAnsi="宋体"/>
        </w:rPr>
        <w:t>.3.3承包人应对项目安全管理计划安全职业健康管理制度、安全职业健康技术措施的要求实施进行管理。</w:t>
      </w:r>
    </w:p>
    <w:p w14:paraId="174E89A5">
      <w:pPr>
        <w:snapToGrid w:val="0"/>
        <w:ind w:firstLine="480" w:firstLineChars="200"/>
        <w:rPr>
          <w:rFonts w:ascii="宋体" w:hAnsi="宋体"/>
        </w:rPr>
      </w:pPr>
      <w:r>
        <w:rPr>
          <w:rFonts w:hint="eastAsia" w:ascii="宋体" w:hAnsi="宋体"/>
        </w:rPr>
        <w:t>5</w:t>
      </w:r>
      <w:r>
        <w:rPr>
          <w:rFonts w:ascii="宋体" w:hAnsi="宋体"/>
        </w:rPr>
        <w:t>.3.4项目安全职业健康管理必须贯穿于工程设计、采购、施工和试运行各阶段。</w:t>
      </w:r>
    </w:p>
    <w:p w14:paraId="4EB1011A">
      <w:pPr>
        <w:snapToGrid w:val="0"/>
        <w:ind w:firstLine="480" w:firstLineChars="200"/>
        <w:rPr>
          <w:rFonts w:ascii="宋体" w:hAnsi="宋体"/>
        </w:rPr>
      </w:pPr>
      <w:r>
        <w:rPr>
          <w:rFonts w:ascii="宋体" w:hAnsi="宋体"/>
        </w:rPr>
        <w:t>（</w:t>
      </w:r>
      <w:r>
        <w:rPr>
          <w:rFonts w:hint="eastAsia" w:ascii="宋体" w:hAnsi="宋体"/>
        </w:rPr>
        <w:t>1</w:t>
      </w:r>
      <w:r>
        <w:rPr>
          <w:rFonts w:ascii="宋体" w:hAnsi="宋体"/>
        </w:rPr>
        <w:t>）采购应对设备、材料和防护用品进行安全职业健康控制。</w:t>
      </w:r>
    </w:p>
    <w:p w14:paraId="22385670">
      <w:pPr>
        <w:snapToGrid w:val="0"/>
        <w:ind w:firstLine="480" w:firstLineChars="200"/>
        <w:rPr>
          <w:rFonts w:ascii="宋体" w:hAnsi="宋体"/>
        </w:rPr>
      </w:pPr>
      <w:r>
        <w:rPr>
          <w:rFonts w:ascii="宋体" w:hAnsi="宋体"/>
        </w:rPr>
        <w:t>（</w:t>
      </w:r>
      <w:r>
        <w:rPr>
          <w:rFonts w:hint="eastAsia" w:ascii="宋体" w:hAnsi="宋体"/>
        </w:rPr>
        <w:t>2</w:t>
      </w:r>
      <w:r>
        <w:rPr>
          <w:rFonts w:ascii="宋体" w:hAnsi="宋体"/>
        </w:rPr>
        <w:t>）施工现场的安全管理：承包人进入施工现场作业，</w:t>
      </w:r>
      <w:r>
        <w:rPr>
          <w:rFonts w:hint="eastAsia" w:ascii="宋体" w:hAnsi="宋体"/>
        </w:rPr>
        <w:t>须</w:t>
      </w:r>
      <w:r>
        <w:rPr>
          <w:rFonts w:ascii="宋体" w:hAnsi="宋体"/>
        </w:rPr>
        <w:t>持有国家法律法规要求的资格证件，并执行</w:t>
      </w:r>
      <w:r>
        <w:rPr>
          <w:rFonts w:hint="eastAsia" w:ascii="宋体" w:hAnsi="宋体"/>
        </w:rPr>
        <w:t>《承包商安全监督管理要求》等</w:t>
      </w:r>
      <w:r>
        <w:rPr>
          <w:rFonts w:ascii="宋体" w:hAnsi="宋体"/>
        </w:rPr>
        <w:t>相关管理规定。</w:t>
      </w:r>
    </w:p>
    <w:p w14:paraId="666C0068">
      <w:pPr>
        <w:snapToGrid w:val="0"/>
        <w:ind w:firstLine="480" w:firstLineChars="200"/>
        <w:rPr>
          <w:rFonts w:ascii="宋体" w:hAnsi="宋体"/>
        </w:rPr>
      </w:pPr>
      <w:r>
        <w:rPr>
          <w:rFonts w:ascii="宋体" w:hAnsi="宋体"/>
        </w:rPr>
        <w:t>（</w:t>
      </w:r>
      <w:r>
        <w:rPr>
          <w:rFonts w:hint="eastAsia" w:ascii="宋体" w:hAnsi="宋体"/>
        </w:rPr>
        <w:t>3</w:t>
      </w:r>
      <w:r>
        <w:rPr>
          <w:rFonts w:ascii="宋体" w:hAnsi="宋体"/>
        </w:rPr>
        <w:t>）项目试运行前，应开展项目安全检查等工作。</w:t>
      </w:r>
    </w:p>
    <w:p w14:paraId="2A2E8375">
      <w:pPr>
        <w:snapToGrid w:val="0"/>
        <w:ind w:firstLine="480" w:firstLineChars="200"/>
        <w:rPr>
          <w:rFonts w:ascii="宋体" w:hAnsi="宋体"/>
        </w:rPr>
      </w:pPr>
      <w:r>
        <w:rPr>
          <w:rFonts w:hint="eastAsia" w:ascii="宋体" w:hAnsi="宋体"/>
        </w:rPr>
        <w:t>5</w:t>
      </w:r>
      <w:r>
        <w:rPr>
          <w:rFonts w:ascii="宋体" w:hAnsi="宋体"/>
        </w:rPr>
        <w:t>.3.5承包人应配合</w:t>
      </w:r>
      <w:r>
        <w:rPr>
          <w:rFonts w:hint="eastAsia" w:ascii="宋体" w:hAnsi="宋体"/>
        </w:rPr>
        <w:t>发包人</w:t>
      </w:r>
      <w:r>
        <w:rPr>
          <w:rFonts w:ascii="宋体" w:hAnsi="宋体"/>
        </w:rPr>
        <w:t>按规定向工程所在地的县级以上地方人民政府建设行政主管部门申报项目安全施工措施的有关文件。</w:t>
      </w:r>
    </w:p>
    <w:p w14:paraId="57E59336">
      <w:pPr>
        <w:snapToGrid w:val="0"/>
        <w:ind w:firstLine="480" w:firstLineChars="200"/>
        <w:rPr>
          <w:rFonts w:ascii="宋体" w:hAnsi="宋体"/>
        </w:rPr>
      </w:pPr>
      <w:r>
        <w:rPr>
          <w:rFonts w:hint="eastAsia" w:ascii="宋体" w:hAnsi="宋体"/>
        </w:rPr>
        <w:t>5</w:t>
      </w:r>
      <w:r>
        <w:rPr>
          <w:rFonts w:ascii="宋体" w:hAnsi="宋体"/>
        </w:rPr>
        <w:t>.3.6</w:t>
      </w:r>
      <w:r>
        <w:rPr>
          <w:rFonts w:hint="eastAsia" w:ascii="宋体" w:hAnsi="宋体"/>
        </w:rPr>
        <w:t xml:space="preserve"> </w:t>
      </w:r>
      <w:r>
        <w:rPr>
          <w:rFonts w:ascii="宋体" w:hAnsi="宋体"/>
        </w:rPr>
        <w:t>承包人应制定生产安全事故隐患排查治理制度，采取技术、管理措施，及时发现并消除事故隐患。应如实记录事故隐患排查治理情况，并向从业人员通报。</w:t>
      </w:r>
    </w:p>
    <w:p w14:paraId="0139B60D">
      <w:pPr>
        <w:snapToGrid w:val="0"/>
        <w:ind w:firstLine="480" w:firstLineChars="200"/>
        <w:rPr>
          <w:rFonts w:ascii="宋体" w:hAnsi="宋体"/>
        </w:rPr>
      </w:pPr>
      <w:r>
        <w:rPr>
          <w:rFonts w:hint="eastAsia" w:ascii="宋体" w:hAnsi="宋体"/>
        </w:rPr>
        <w:t>5</w:t>
      </w:r>
      <w:r>
        <w:rPr>
          <w:rFonts w:ascii="宋体" w:hAnsi="宋体"/>
        </w:rPr>
        <w:t>.3.</w:t>
      </w:r>
      <w:r>
        <w:rPr>
          <w:rFonts w:hint="eastAsia" w:ascii="宋体" w:hAnsi="宋体"/>
        </w:rPr>
        <w:t>7</w:t>
      </w:r>
      <w:r>
        <w:rPr>
          <w:rFonts w:ascii="宋体" w:hAnsi="宋体"/>
        </w:rPr>
        <w:t>当发生安全事故时，</w:t>
      </w:r>
      <w:r>
        <w:rPr>
          <w:rFonts w:hint="eastAsia" w:ascii="宋体" w:hAnsi="宋体"/>
        </w:rPr>
        <w:t>承包人</w:t>
      </w:r>
      <w:r>
        <w:rPr>
          <w:rFonts w:ascii="宋体" w:hAnsi="宋体"/>
        </w:rPr>
        <w:t>应立即启动应急预案，组织实施应急救援并按规定及时、如实报告。</w:t>
      </w:r>
    </w:p>
    <w:p w14:paraId="002A0025">
      <w:pPr>
        <w:snapToGrid w:val="0"/>
        <w:ind w:firstLine="482" w:firstLineChars="200"/>
        <w:rPr>
          <w:rFonts w:ascii="宋体" w:hAnsi="宋体"/>
          <w:b/>
          <w:bCs/>
        </w:rPr>
      </w:pPr>
      <w:bookmarkStart w:id="1040" w:name="_Toc511143072"/>
      <w:bookmarkStart w:id="1041" w:name="_Toc514167141"/>
      <w:r>
        <w:rPr>
          <w:rFonts w:hint="eastAsia" w:ascii="宋体" w:hAnsi="宋体"/>
          <w:b/>
          <w:bCs/>
        </w:rPr>
        <w:t>5</w:t>
      </w:r>
      <w:r>
        <w:rPr>
          <w:rFonts w:ascii="宋体" w:hAnsi="宋体"/>
          <w:b/>
          <w:bCs/>
        </w:rPr>
        <w:t>.4环境管理</w:t>
      </w:r>
      <w:bookmarkEnd w:id="1040"/>
      <w:bookmarkEnd w:id="1041"/>
    </w:p>
    <w:p w14:paraId="0D28AEFD">
      <w:pPr>
        <w:snapToGrid w:val="0"/>
        <w:ind w:firstLine="480" w:firstLineChars="200"/>
        <w:rPr>
          <w:rFonts w:ascii="宋体" w:hAnsi="宋体"/>
        </w:rPr>
      </w:pPr>
      <w:r>
        <w:rPr>
          <w:rFonts w:hint="eastAsia" w:ascii="宋体" w:hAnsi="宋体"/>
        </w:rPr>
        <w:t>5</w:t>
      </w:r>
      <w:r>
        <w:rPr>
          <w:rFonts w:ascii="宋体" w:hAnsi="宋体"/>
        </w:rPr>
        <w:t>.4.1承包人应根据批准的建设项目环境影响评价文件，编制用于指导项目实施过程的项目环境保护计划，并按规定程序批准实施。</w:t>
      </w:r>
    </w:p>
    <w:p w14:paraId="51FDAE11">
      <w:pPr>
        <w:snapToGrid w:val="0"/>
        <w:ind w:firstLine="480" w:firstLineChars="200"/>
        <w:rPr>
          <w:rFonts w:ascii="宋体" w:hAnsi="宋体"/>
        </w:rPr>
      </w:pPr>
      <w:r>
        <w:rPr>
          <w:rFonts w:hint="eastAsia" w:ascii="宋体" w:hAnsi="宋体"/>
        </w:rPr>
        <w:t>5</w:t>
      </w:r>
      <w:r>
        <w:rPr>
          <w:rFonts w:ascii="宋体" w:hAnsi="宋体"/>
        </w:rPr>
        <w:t>.4.2承包人应对项目环境保护计划的实施进行管理。</w:t>
      </w:r>
    </w:p>
    <w:p w14:paraId="58999CF8">
      <w:pPr>
        <w:snapToGrid w:val="0"/>
        <w:ind w:firstLine="480" w:firstLineChars="200"/>
        <w:rPr>
          <w:rFonts w:ascii="宋体" w:hAnsi="宋体"/>
        </w:rPr>
      </w:pPr>
      <w:r>
        <w:rPr>
          <w:rFonts w:hint="eastAsia" w:ascii="宋体" w:hAnsi="宋体"/>
        </w:rPr>
        <w:t>5</w:t>
      </w:r>
      <w:r>
        <w:rPr>
          <w:rFonts w:ascii="宋体" w:hAnsi="宋体"/>
        </w:rPr>
        <w:t>.4.3承包人应制定项目环境巡视检查和定期检查制度，对影响环境的因素应采取措施，记录并保存检查结果。</w:t>
      </w:r>
    </w:p>
    <w:p w14:paraId="2254D4F9">
      <w:pPr>
        <w:snapToGrid w:val="0"/>
        <w:ind w:firstLine="480" w:firstLineChars="200"/>
        <w:rPr>
          <w:rFonts w:ascii="宋体" w:hAnsi="宋体"/>
        </w:rPr>
      </w:pPr>
      <w:r>
        <w:rPr>
          <w:rFonts w:hint="eastAsia" w:ascii="宋体" w:hAnsi="宋体"/>
        </w:rPr>
        <w:t>5</w:t>
      </w:r>
      <w:r>
        <w:rPr>
          <w:rFonts w:ascii="宋体" w:hAnsi="宋体"/>
        </w:rPr>
        <w:t>.4.4承包人应建立环境管理不符合状况的处置和调查程序，明确有关职责和权限，实施纠正和预防措施。</w:t>
      </w:r>
    </w:p>
    <w:p w14:paraId="5681083D">
      <w:pPr>
        <w:pStyle w:val="5"/>
        <w:adjustRightInd w:val="0"/>
        <w:snapToGrid w:val="0"/>
        <w:rPr>
          <w:rFonts w:hAnsi="宋体"/>
          <w:szCs w:val="24"/>
        </w:rPr>
      </w:pPr>
      <w:bookmarkStart w:id="1042" w:name="_Toc511143073"/>
      <w:bookmarkStart w:id="1043" w:name="_Toc439160076"/>
      <w:bookmarkStart w:id="1044" w:name="_Toc61515066"/>
      <w:r>
        <w:rPr>
          <w:rFonts w:hint="eastAsia" w:hAnsi="宋体"/>
          <w:szCs w:val="24"/>
        </w:rPr>
        <w:t>6</w:t>
      </w:r>
      <w:r>
        <w:rPr>
          <w:rFonts w:hAnsi="宋体"/>
          <w:szCs w:val="24"/>
        </w:rPr>
        <w:t>.</w:t>
      </w:r>
      <w:r>
        <w:rPr>
          <w:rFonts w:hint="eastAsia" w:hAnsi="宋体"/>
          <w:szCs w:val="24"/>
        </w:rPr>
        <w:t>技术要求</w:t>
      </w:r>
      <w:bookmarkEnd w:id="1042"/>
      <w:bookmarkEnd w:id="1043"/>
      <w:bookmarkEnd w:id="1044"/>
    </w:p>
    <w:p w14:paraId="0B573F36">
      <w:pPr>
        <w:snapToGrid w:val="0"/>
        <w:ind w:firstLine="480" w:firstLineChars="200"/>
        <w:rPr>
          <w:rFonts w:ascii="宋体" w:hAnsi="宋体"/>
        </w:rPr>
      </w:pPr>
      <w:r>
        <w:rPr>
          <w:rFonts w:hint="eastAsia" w:ascii="宋体" w:hAnsi="宋体"/>
        </w:rPr>
        <w:t>6.1标准和规范</w:t>
      </w:r>
    </w:p>
    <w:p w14:paraId="7AA708B9">
      <w:pPr>
        <w:snapToGrid w:val="0"/>
        <w:ind w:firstLine="480" w:firstLineChars="200"/>
        <w:rPr>
          <w:rFonts w:ascii="宋体" w:hAnsi="宋体"/>
        </w:rPr>
      </w:pPr>
      <w:r>
        <w:rPr>
          <w:rFonts w:hint="eastAsia" w:ascii="宋体" w:hAnsi="宋体"/>
        </w:rPr>
        <w:t>承包人需遵循现行的国家、行业以及地方的法律、法规和规定，其工作必须符合国家、行业以及地方的标准规范等相关规定。</w:t>
      </w:r>
    </w:p>
    <w:p w14:paraId="7FFC665F">
      <w:pPr>
        <w:snapToGrid w:val="0"/>
        <w:ind w:firstLine="480" w:firstLineChars="200"/>
        <w:rPr>
          <w:rFonts w:ascii="宋体" w:hAnsi="宋体"/>
        </w:rPr>
      </w:pPr>
      <w:r>
        <w:rPr>
          <w:rFonts w:hint="eastAsia" w:ascii="宋体" w:hAnsi="宋体"/>
        </w:rPr>
        <w:t>6.2</w:t>
      </w:r>
      <w:r>
        <w:rPr>
          <w:rFonts w:ascii="宋体" w:hAnsi="宋体"/>
        </w:rPr>
        <w:t>材料和工程设备技术要求</w:t>
      </w:r>
    </w:p>
    <w:p w14:paraId="07E51170">
      <w:pPr>
        <w:snapToGrid w:val="0"/>
        <w:rPr>
          <w:rFonts w:ascii="宋体" w:hAnsi="宋体"/>
        </w:rPr>
      </w:pPr>
      <w:r>
        <w:rPr>
          <w:rFonts w:hint="eastAsia" w:ascii="宋体" w:hAnsi="宋体"/>
        </w:rPr>
        <w:t xml:space="preserve">    6</w:t>
      </w:r>
      <w:r>
        <w:rPr>
          <w:rFonts w:ascii="宋体" w:hAnsi="宋体"/>
        </w:rPr>
        <w:t>.</w:t>
      </w:r>
      <w:r>
        <w:rPr>
          <w:rFonts w:hint="eastAsia" w:ascii="宋体" w:hAnsi="宋体"/>
        </w:rPr>
        <w:t>2.1承包人自行施工范围内的部分</w:t>
      </w:r>
      <w:r>
        <w:rPr>
          <w:rFonts w:ascii="宋体" w:hAnsi="宋体"/>
        </w:rPr>
        <w:t>材料和工程设备技术要求</w:t>
      </w:r>
      <w:r>
        <w:rPr>
          <w:rFonts w:hint="eastAsia" w:ascii="宋体" w:hAnsi="宋体"/>
        </w:rPr>
        <w:t>：见本招标文件第五章“合同条款及格式”附件11《关于集团外承包人的物资采购要求》</w:t>
      </w:r>
    </w:p>
    <w:p w14:paraId="5E06328F">
      <w:pPr>
        <w:pStyle w:val="5"/>
        <w:adjustRightInd w:val="0"/>
        <w:snapToGrid w:val="0"/>
        <w:rPr>
          <w:rFonts w:hAnsi="宋体"/>
          <w:szCs w:val="24"/>
        </w:rPr>
      </w:pPr>
      <w:bookmarkStart w:id="1045" w:name="_Toc61515067"/>
      <w:bookmarkStart w:id="1046" w:name="_Toc511143076"/>
      <w:bookmarkStart w:id="1047" w:name="_Toc439160077"/>
      <w:r>
        <w:rPr>
          <w:rFonts w:hint="eastAsia" w:hAnsi="宋体"/>
          <w:szCs w:val="24"/>
        </w:rPr>
        <w:t>7.工程试车、交工验收和竣工验收</w:t>
      </w:r>
      <w:bookmarkEnd w:id="1045"/>
      <w:bookmarkEnd w:id="1046"/>
      <w:bookmarkEnd w:id="1047"/>
    </w:p>
    <w:p w14:paraId="3C2EA907">
      <w:pPr>
        <w:adjustRightInd w:val="0"/>
        <w:snapToGrid w:val="0"/>
        <w:jc w:val="left"/>
        <w:rPr>
          <w:sz w:val="32"/>
        </w:rPr>
        <w:sectPr>
          <w:pgSz w:w="11906" w:h="16838"/>
          <w:pgMar w:top="1440" w:right="1080" w:bottom="1440" w:left="1080" w:header="851" w:footer="992" w:gutter="0"/>
          <w:cols w:space="720" w:num="1"/>
        </w:sectPr>
      </w:pPr>
      <w:r>
        <w:rPr>
          <w:rFonts w:hint="eastAsia"/>
        </w:rPr>
        <w:t xml:space="preserve">   详见</w:t>
      </w:r>
      <w:r>
        <w:rPr>
          <w:rFonts w:hint="eastAsia" w:ascii="宋体" w:hAnsi="宋体"/>
        </w:rPr>
        <w:t>见第五章“合同条款及格式”相关条款。</w:t>
      </w:r>
    </w:p>
    <w:bookmarkEnd w:id="1004"/>
    <w:bookmarkEnd w:id="1005"/>
    <w:bookmarkEnd w:id="1006"/>
    <w:bookmarkEnd w:id="1007"/>
    <w:p w14:paraId="721599DC">
      <w:pPr>
        <w:pStyle w:val="4"/>
        <w:spacing w:before="0" w:after="0" w:line="276" w:lineRule="auto"/>
        <w:ind w:left="2760" w:leftChars="1150" w:right="2760" w:rightChars="1150"/>
        <w:rPr>
          <w:bCs w:val="0"/>
        </w:rPr>
      </w:pPr>
      <w:bookmarkStart w:id="1048" w:name="_Toc27218"/>
    </w:p>
    <w:p w14:paraId="4DCBD84D">
      <w:pPr>
        <w:pStyle w:val="4"/>
        <w:spacing w:before="0" w:after="0" w:line="276" w:lineRule="auto"/>
        <w:ind w:left="2760" w:leftChars="1150" w:right="2760" w:rightChars="1150"/>
        <w:rPr>
          <w:bCs w:val="0"/>
        </w:rPr>
      </w:pPr>
    </w:p>
    <w:p w14:paraId="71E128B2">
      <w:pPr>
        <w:pStyle w:val="4"/>
        <w:spacing w:before="0" w:after="0" w:line="276" w:lineRule="auto"/>
        <w:ind w:left="2760" w:leftChars="1150" w:right="2760" w:rightChars="1150"/>
        <w:rPr>
          <w:bCs w:val="0"/>
        </w:rPr>
      </w:pPr>
    </w:p>
    <w:p w14:paraId="75FFC190">
      <w:pPr>
        <w:pStyle w:val="4"/>
        <w:spacing w:before="0" w:after="0" w:line="276" w:lineRule="auto"/>
        <w:ind w:left="2760" w:leftChars="1150" w:right="2760" w:rightChars="1150"/>
        <w:rPr>
          <w:bCs w:val="0"/>
        </w:rPr>
      </w:pPr>
    </w:p>
    <w:p w14:paraId="0ACD4A79">
      <w:pPr>
        <w:pStyle w:val="4"/>
        <w:spacing w:before="0" w:after="0" w:line="276" w:lineRule="auto"/>
        <w:ind w:left="2760" w:leftChars="1150" w:right="2760" w:rightChars="1150"/>
        <w:rPr>
          <w:bCs w:val="0"/>
        </w:rPr>
      </w:pPr>
    </w:p>
    <w:p w14:paraId="624FCECE">
      <w:pPr>
        <w:pStyle w:val="4"/>
        <w:spacing w:before="0" w:after="0" w:line="276" w:lineRule="auto"/>
        <w:ind w:left="2760" w:leftChars="1150" w:right="2760" w:rightChars="1150"/>
        <w:rPr>
          <w:bCs w:val="0"/>
        </w:rPr>
      </w:pPr>
    </w:p>
    <w:p w14:paraId="0D76C6FC">
      <w:pPr>
        <w:pStyle w:val="4"/>
        <w:spacing w:before="0" w:after="0" w:line="276" w:lineRule="auto"/>
        <w:ind w:left="2760" w:leftChars="1150" w:right="2760" w:rightChars="1150"/>
        <w:rPr>
          <w:bCs w:val="0"/>
        </w:rPr>
      </w:pPr>
    </w:p>
    <w:p w14:paraId="5D6B40D4">
      <w:pPr>
        <w:pStyle w:val="4"/>
        <w:spacing w:before="0" w:after="0" w:line="276" w:lineRule="auto"/>
        <w:ind w:left="2760" w:leftChars="1150" w:right="2760" w:rightChars="1150"/>
        <w:rPr>
          <w:bCs w:val="0"/>
        </w:rPr>
      </w:pPr>
    </w:p>
    <w:p w14:paraId="5F0D3A93">
      <w:pPr>
        <w:pStyle w:val="4"/>
        <w:spacing w:before="0" w:after="0" w:line="276" w:lineRule="auto"/>
        <w:ind w:left="2760" w:leftChars="1150" w:right="2760" w:rightChars="1150"/>
        <w:rPr>
          <w:bCs w:val="0"/>
        </w:rPr>
      </w:pPr>
    </w:p>
    <w:p w14:paraId="19420934">
      <w:pPr>
        <w:jc w:val="center"/>
        <w:outlineLvl w:val="0"/>
        <w:rPr>
          <w:b/>
          <w:bCs/>
          <w:sz w:val="44"/>
          <w:szCs w:val="44"/>
        </w:rPr>
      </w:pPr>
      <w:bookmarkStart w:id="1049" w:name="_Toc9751"/>
      <w:r>
        <w:rPr>
          <w:b/>
          <w:bCs/>
          <w:sz w:val="44"/>
          <w:szCs w:val="44"/>
        </w:rPr>
        <w:t>第</w:t>
      </w:r>
      <w:r>
        <w:rPr>
          <w:rFonts w:hint="eastAsia"/>
          <w:b/>
          <w:bCs/>
          <w:sz w:val="44"/>
          <w:szCs w:val="44"/>
        </w:rPr>
        <w:t>七</w:t>
      </w:r>
      <w:r>
        <w:rPr>
          <w:b/>
          <w:bCs/>
          <w:sz w:val="44"/>
          <w:szCs w:val="44"/>
        </w:rPr>
        <w:t>章</w:t>
      </w:r>
      <w:r>
        <w:rPr>
          <w:rFonts w:hint="eastAsia"/>
          <w:b/>
          <w:bCs/>
          <w:sz w:val="44"/>
          <w:szCs w:val="44"/>
        </w:rPr>
        <w:t xml:space="preserve"> 投标文件格式</w:t>
      </w:r>
      <w:bookmarkEnd w:id="1048"/>
      <w:bookmarkEnd w:id="1049"/>
    </w:p>
    <w:p w14:paraId="1425E71F">
      <w:pPr>
        <w:rPr>
          <w:rFonts w:ascii="宋体" w:hAnsi="宋体"/>
          <w:sz w:val="36"/>
          <w:szCs w:val="36"/>
        </w:rPr>
      </w:pPr>
    </w:p>
    <w:p w14:paraId="73850AEA">
      <w:pPr>
        <w:snapToGrid w:val="0"/>
      </w:pPr>
    </w:p>
    <w:p w14:paraId="17F61B3F">
      <w:pPr>
        <w:snapToGrid w:val="0"/>
      </w:pPr>
    </w:p>
    <w:p w14:paraId="34A13965">
      <w:pPr>
        <w:snapToGrid w:val="0"/>
      </w:pPr>
    </w:p>
    <w:p w14:paraId="7F383321">
      <w:pPr>
        <w:pStyle w:val="5"/>
        <w:numPr>
          <w:ilvl w:val="0"/>
          <w:numId w:val="7"/>
        </w:numPr>
        <w:snapToGrid w:val="0"/>
        <w:spacing w:line="300" w:lineRule="auto"/>
      </w:pPr>
      <w:r>
        <w:br w:type="page"/>
      </w:r>
      <w:r>
        <w:rPr>
          <w:rFonts w:hint="eastAsia"/>
          <w:sz w:val="32"/>
        </w:rPr>
        <w:t>投标文件格式</w:t>
      </w:r>
    </w:p>
    <w:tbl>
      <w:tblPr>
        <w:tblStyle w:val="63"/>
        <w:tblW w:w="0" w:type="auto"/>
        <w:tblInd w:w="198" w:type="dxa"/>
        <w:tblLayout w:type="fixed"/>
        <w:tblCellMar>
          <w:top w:w="0" w:type="dxa"/>
          <w:left w:w="108" w:type="dxa"/>
          <w:bottom w:w="0" w:type="dxa"/>
          <w:right w:w="108" w:type="dxa"/>
        </w:tblCellMar>
      </w:tblPr>
      <w:tblGrid>
        <w:gridCol w:w="5537"/>
        <w:gridCol w:w="704"/>
        <w:gridCol w:w="3461"/>
      </w:tblGrid>
      <w:tr w14:paraId="658CB674">
        <w:tblPrEx>
          <w:tblCellMar>
            <w:top w:w="0" w:type="dxa"/>
            <w:left w:w="108" w:type="dxa"/>
            <w:bottom w:w="0" w:type="dxa"/>
            <w:right w:w="108" w:type="dxa"/>
          </w:tblCellMar>
        </w:tblPrEx>
        <w:trPr>
          <w:trHeight w:val="454" w:hRule="atLeast"/>
        </w:trPr>
        <w:tc>
          <w:tcPr>
            <w:tcW w:w="5537" w:type="dxa"/>
            <w:tcBorders>
              <w:top w:val="single" w:color="auto" w:sz="4" w:space="0"/>
              <w:left w:val="single" w:color="auto" w:sz="4" w:space="0"/>
              <w:bottom w:val="single" w:color="auto" w:sz="4" w:space="0"/>
              <w:right w:val="single" w:color="auto" w:sz="4" w:space="0"/>
            </w:tcBorders>
            <w:vAlign w:val="center"/>
          </w:tcPr>
          <w:p w14:paraId="66992ECC">
            <w:pPr>
              <w:pStyle w:val="5"/>
              <w:spacing w:line="300" w:lineRule="auto"/>
              <w:jc w:val="center"/>
              <w:rPr>
                <w:rFonts w:ascii="宋体" w:hAnsi="宋体" w:cs="宋体"/>
                <w:sz w:val="21"/>
                <w:szCs w:val="21"/>
              </w:rPr>
            </w:pPr>
            <w:r>
              <w:rPr>
                <w:rFonts w:ascii="宋体" w:hAnsi="宋体" w:cs="宋体"/>
                <w:sz w:val="21"/>
                <w:szCs w:val="21"/>
              </w:rPr>
              <w:t>投标文件</w:t>
            </w:r>
            <w:r>
              <w:rPr>
                <w:rFonts w:hint="eastAsia" w:ascii="宋体" w:hAnsi="宋体" w:cs="宋体"/>
                <w:sz w:val="21"/>
                <w:szCs w:val="21"/>
              </w:rPr>
              <w:t>目录</w:t>
            </w:r>
          </w:p>
        </w:tc>
        <w:tc>
          <w:tcPr>
            <w:tcW w:w="704" w:type="dxa"/>
            <w:tcBorders>
              <w:top w:val="single" w:color="auto" w:sz="4" w:space="0"/>
              <w:left w:val="nil"/>
              <w:bottom w:val="single" w:color="auto" w:sz="4" w:space="0"/>
              <w:right w:val="single" w:color="auto" w:sz="4" w:space="0"/>
            </w:tcBorders>
            <w:vAlign w:val="center"/>
          </w:tcPr>
          <w:p w14:paraId="73819864">
            <w:pPr>
              <w:pStyle w:val="5"/>
              <w:spacing w:line="300" w:lineRule="auto"/>
              <w:rPr>
                <w:rFonts w:ascii="宋体" w:hAnsi="宋体" w:cs="宋体"/>
                <w:sz w:val="21"/>
                <w:szCs w:val="21"/>
              </w:rPr>
            </w:pPr>
            <w:r>
              <w:rPr>
                <w:rFonts w:hint="eastAsia" w:ascii="宋体" w:hAnsi="宋体" w:cs="宋体"/>
                <w:sz w:val="21"/>
                <w:szCs w:val="21"/>
              </w:rPr>
              <w:t>对应页码</w:t>
            </w:r>
          </w:p>
        </w:tc>
        <w:tc>
          <w:tcPr>
            <w:tcW w:w="3461" w:type="dxa"/>
            <w:tcBorders>
              <w:top w:val="single" w:color="auto" w:sz="4" w:space="0"/>
              <w:left w:val="nil"/>
              <w:bottom w:val="single" w:color="auto" w:sz="4" w:space="0"/>
              <w:right w:val="single" w:color="auto" w:sz="4" w:space="0"/>
            </w:tcBorders>
            <w:vAlign w:val="center"/>
          </w:tcPr>
          <w:p w14:paraId="48CC5A24">
            <w:pPr>
              <w:pStyle w:val="5"/>
              <w:spacing w:line="300" w:lineRule="auto"/>
              <w:jc w:val="center"/>
              <w:rPr>
                <w:rFonts w:ascii="华文楷体" w:hAnsi="华文楷体" w:eastAsia="华文楷体" w:cs="宋体"/>
                <w:sz w:val="21"/>
                <w:szCs w:val="21"/>
              </w:rPr>
            </w:pPr>
            <w:r>
              <w:rPr>
                <w:rFonts w:hint="eastAsia" w:ascii="华文楷体" w:hAnsi="华文楷体" w:eastAsia="华文楷体" w:cs="宋体"/>
                <w:sz w:val="21"/>
                <w:szCs w:val="21"/>
              </w:rPr>
              <w:t>投标人投标</w:t>
            </w:r>
            <w:r>
              <w:rPr>
                <w:rFonts w:ascii="华文楷体" w:hAnsi="华文楷体" w:eastAsia="华文楷体" w:cs="宋体"/>
                <w:sz w:val="21"/>
                <w:szCs w:val="21"/>
              </w:rPr>
              <w:t>文件</w:t>
            </w:r>
            <w:r>
              <w:rPr>
                <w:rFonts w:hint="eastAsia" w:ascii="华文楷体" w:hAnsi="华文楷体" w:eastAsia="华文楷体" w:cs="宋体"/>
                <w:sz w:val="21"/>
                <w:szCs w:val="21"/>
              </w:rPr>
              <w:t>目录编制说明</w:t>
            </w:r>
          </w:p>
        </w:tc>
      </w:tr>
      <w:tr w14:paraId="3CB0D33B">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698998F0">
            <w:pPr>
              <w:widowControl/>
              <w:snapToGrid w:val="0"/>
              <w:spacing w:line="264" w:lineRule="auto"/>
              <w:jc w:val="left"/>
              <w:rPr>
                <w:rFonts w:ascii="宋体" w:hAnsi="宋体" w:cs="宋体"/>
                <w:b/>
                <w:bCs/>
                <w:kern w:val="0"/>
                <w:sz w:val="21"/>
                <w:szCs w:val="21"/>
              </w:rPr>
            </w:pPr>
            <w:r>
              <w:rPr>
                <w:rFonts w:hint="eastAsia" w:ascii="宋体" w:hAnsi="宋体" w:cs="宋体"/>
                <w:b/>
                <w:bCs/>
                <w:kern w:val="0"/>
                <w:sz w:val="21"/>
                <w:szCs w:val="21"/>
              </w:rPr>
              <w:t>第一部分：基本内容</w:t>
            </w:r>
          </w:p>
        </w:tc>
        <w:tc>
          <w:tcPr>
            <w:tcW w:w="704" w:type="dxa"/>
            <w:tcBorders>
              <w:top w:val="single" w:color="auto" w:sz="4" w:space="0"/>
              <w:left w:val="nil"/>
              <w:bottom w:val="single" w:color="auto" w:sz="4" w:space="0"/>
              <w:right w:val="single" w:color="auto" w:sz="4" w:space="0"/>
            </w:tcBorders>
            <w:vAlign w:val="center"/>
          </w:tcPr>
          <w:p w14:paraId="67BD7DE5">
            <w:pPr>
              <w:snapToGrid w:val="0"/>
              <w:spacing w:line="264" w:lineRule="auto"/>
              <w:jc w:val="left"/>
              <w:rPr>
                <w:rFonts w:ascii="宋体" w:hAnsi="宋体" w:cs="宋体"/>
                <w:b/>
                <w:bCs/>
                <w:kern w:val="0"/>
                <w:sz w:val="21"/>
                <w:szCs w:val="21"/>
              </w:rPr>
            </w:pPr>
          </w:p>
        </w:tc>
        <w:tc>
          <w:tcPr>
            <w:tcW w:w="3461" w:type="dxa"/>
            <w:tcBorders>
              <w:top w:val="nil"/>
              <w:left w:val="nil"/>
              <w:bottom w:val="single" w:color="auto" w:sz="4" w:space="0"/>
              <w:right w:val="single" w:color="auto" w:sz="4" w:space="0"/>
            </w:tcBorders>
            <w:vAlign w:val="center"/>
          </w:tcPr>
          <w:p w14:paraId="4D3651A7">
            <w:pPr>
              <w:widowControl/>
              <w:snapToGrid w:val="0"/>
              <w:spacing w:line="264" w:lineRule="auto"/>
              <w:jc w:val="center"/>
              <w:rPr>
                <w:rFonts w:ascii="华文楷体" w:hAnsi="华文楷体" w:eastAsia="华文楷体" w:cs="宋体"/>
                <w:kern w:val="0"/>
                <w:sz w:val="21"/>
                <w:szCs w:val="21"/>
              </w:rPr>
            </w:pPr>
            <w:r>
              <w:rPr>
                <w:rFonts w:hint="eastAsia" w:ascii="华文楷体" w:hAnsi="华文楷体" w:eastAsia="华文楷体" w:cs="宋体"/>
                <w:kern w:val="0"/>
                <w:sz w:val="21"/>
                <w:szCs w:val="21"/>
              </w:rPr>
              <w:t>投标人应</w:t>
            </w:r>
            <w:r>
              <w:rPr>
                <w:rFonts w:ascii="华文楷体" w:hAnsi="华文楷体" w:eastAsia="华文楷体" w:cs="宋体"/>
                <w:kern w:val="0"/>
                <w:sz w:val="21"/>
                <w:szCs w:val="21"/>
              </w:rPr>
              <w:t>编制</w:t>
            </w:r>
            <w:r>
              <w:rPr>
                <w:rFonts w:hint="eastAsia" w:ascii="华文楷体" w:hAnsi="华文楷体" w:eastAsia="华文楷体" w:cs="宋体"/>
                <w:kern w:val="0"/>
                <w:sz w:val="21"/>
                <w:szCs w:val="21"/>
              </w:rPr>
              <w:t>连续页码</w:t>
            </w:r>
          </w:p>
        </w:tc>
      </w:tr>
      <w:tr w14:paraId="667A6AAE">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75F298A6">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1.投标函及投标函附录</w:t>
            </w:r>
          </w:p>
        </w:tc>
        <w:tc>
          <w:tcPr>
            <w:tcW w:w="704" w:type="dxa"/>
            <w:tcBorders>
              <w:top w:val="single" w:color="auto" w:sz="4" w:space="0"/>
              <w:left w:val="nil"/>
              <w:bottom w:val="single" w:color="auto" w:sz="4" w:space="0"/>
              <w:right w:val="single" w:color="auto" w:sz="4" w:space="0"/>
            </w:tcBorders>
            <w:vAlign w:val="center"/>
          </w:tcPr>
          <w:p w14:paraId="5C8CD008">
            <w:pPr>
              <w:snapToGrid w:val="0"/>
              <w:spacing w:line="264" w:lineRule="auto"/>
              <w:jc w:val="left"/>
              <w:rPr>
                <w:rFonts w:ascii="宋体" w:hAnsi="宋体" w:cs="宋体"/>
                <w:b/>
                <w:bCs/>
                <w:kern w:val="0"/>
                <w:sz w:val="21"/>
                <w:szCs w:val="21"/>
              </w:rPr>
            </w:pPr>
          </w:p>
        </w:tc>
        <w:tc>
          <w:tcPr>
            <w:tcW w:w="3461" w:type="dxa"/>
            <w:tcBorders>
              <w:top w:val="nil"/>
              <w:left w:val="nil"/>
              <w:bottom w:val="single" w:color="auto" w:sz="4" w:space="0"/>
              <w:right w:val="single" w:color="auto" w:sz="4" w:space="0"/>
            </w:tcBorders>
            <w:vAlign w:val="center"/>
          </w:tcPr>
          <w:p w14:paraId="17654AEE">
            <w:pPr>
              <w:widowControl/>
              <w:snapToGrid w:val="0"/>
              <w:spacing w:line="264" w:lineRule="auto"/>
              <w:jc w:val="center"/>
              <w:rPr>
                <w:rFonts w:ascii="华文楷体" w:hAnsi="华文楷体" w:eastAsia="华文楷体" w:cs="宋体"/>
                <w:b/>
                <w:bCs/>
                <w:kern w:val="0"/>
                <w:sz w:val="21"/>
                <w:szCs w:val="21"/>
              </w:rPr>
            </w:pPr>
          </w:p>
        </w:tc>
      </w:tr>
      <w:tr w14:paraId="31486F46">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0195C938">
            <w:pPr>
              <w:widowControl/>
              <w:snapToGrid w:val="0"/>
              <w:spacing w:line="264" w:lineRule="auto"/>
              <w:jc w:val="left"/>
              <w:rPr>
                <w:rFonts w:ascii="宋体" w:hAnsi="宋体" w:cs="宋体"/>
                <w:kern w:val="0"/>
                <w:sz w:val="21"/>
                <w:szCs w:val="21"/>
              </w:rPr>
            </w:pPr>
            <w:r>
              <w:rPr>
                <w:rFonts w:ascii="宋体" w:hAnsi="宋体" w:cs="宋体"/>
                <w:sz w:val="21"/>
                <w:szCs w:val="21"/>
              </w:rPr>
              <w:t>2.法定代表人证明书及授权委托书</w:t>
            </w:r>
          </w:p>
        </w:tc>
        <w:tc>
          <w:tcPr>
            <w:tcW w:w="704" w:type="dxa"/>
            <w:tcBorders>
              <w:top w:val="single" w:color="auto" w:sz="4" w:space="0"/>
              <w:left w:val="nil"/>
              <w:bottom w:val="single" w:color="auto" w:sz="4" w:space="0"/>
              <w:right w:val="single" w:color="auto" w:sz="4" w:space="0"/>
            </w:tcBorders>
            <w:vAlign w:val="center"/>
          </w:tcPr>
          <w:p w14:paraId="662DB4AC">
            <w:pPr>
              <w:snapToGrid w:val="0"/>
              <w:spacing w:line="264" w:lineRule="auto"/>
              <w:jc w:val="left"/>
              <w:rPr>
                <w:rFonts w:ascii="宋体" w:hAnsi="宋体" w:cs="宋体"/>
                <w:b/>
                <w:bCs/>
                <w:kern w:val="0"/>
                <w:sz w:val="21"/>
                <w:szCs w:val="21"/>
              </w:rPr>
            </w:pPr>
          </w:p>
        </w:tc>
        <w:tc>
          <w:tcPr>
            <w:tcW w:w="3461" w:type="dxa"/>
            <w:tcBorders>
              <w:top w:val="nil"/>
              <w:left w:val="nil"/>
              <w:bottom w:val="single" w:color="auto" w:sz="4" w:space="0"/>
              <w:right w:val="single" w:color="auto" w:sz="4" w:space="0"/>
            </w:tcBorders>
            <w:vAlign w:val="center"/>
          </w:tcPr>
          <w:p w14:paraId="7C772789">
            <w:pPr>
              <w:widowControl/>
              <w:snapToGrid w:val="0"/>
              <w:spacing w:line="264" w:lineRule="auto"/>
              <w:jc w:val="left"/>
              <w:rPr>
                <w:rFonts w:ascii="华文楷体" w:hAnsi="华文楷体" w:eastAsia="华文楷体" w:cs="宋体"/>
                <w:kern w:val="0"/>
                <w:sz w:val="21"/>
                <w:szCs w:val="21"/>
              </w:rPr>
            </w:pPr>
          </w:p>
        </w:tc>
      </w:tr>
      <w:tr w14:paraId="1507A198">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4B03C1BA">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3</w:t>
            </w:r>
            <w:r>
              <w:rPr>
                <w:rFonts w:hint="eastAsia" w:ascii="宋体" w:hAnsi="宋体" w:cs="宋体"/>
                <w:kern w:val="0"/>
                <w:sz w:val="21"/>
                <w:szCs w:val="21"/>
                <w:lang w:val="zh-CN"/>
              </w:rPr>
              <w:t>.技术偏差表</w:t>
            </w:r>
          </w:p>
        </w:tc>
        <w:tc>
          <w:tcPr>
            <w:tcW w:w="704" w:type="dxa"/>
            <w:tcBorders>
              <w:top w:val="single" w:color="auto" w:sz="4" w:space="0"/>
              <w:left w:val="nil"/>
              <w:bottom w:val="single" w:color="auto" w:sz="4" w:space="0"/>
              <w:right w:val="single" w:color="auto" w:sz="4" w:space="0"/>
            </w:tcBorders>
            <w:vAlign w:val="center"/>
          </w:tcPr>
          <w:p w14:paraId="12F06C04">
            <w:pPr>
              <w:snapToGrid w:val="0"/>
              <w:spacing w:line="264" w:lineRule="auto"/>
              <w:jc w:val="left"/>
              <w:rPr>
                <w:rFonts w:ascii="宋体" w:hAnsi="宋体" w:cs="宋体"/>
                <w:b/>
                <w:bCs/>
                <w:kern w:val="0"/>
                <w:sz w:val="21"/>
                <w:szCs w:val="21"/>
              </w:rPr>
            </w:pPr>
          </w:p>
        </w:tc>
        <w:tc>
          <w:tcPr>
            <w:tcW w:w="3461" w:type="dxa"/>
            <w:tcBorders>
              <w:top w:val="nil"/>
              <w:left w:val="nil"/>
              <w:bottom w:val="single" w:color="auto" w:sz="4" w:space="0"/>
              <w:right w:val="single" w:color="auto" w:sz="4" w:space="0"/>
            </w:tcBorders>
            <w:vAlign w:val="center"/>
          </w:tcPr>
          <w:p w14:paraId="340B2CE3">
            <w:pPr>
              <w:widowControl/>
              <w:snapToGrid w:val="0"/>
              <w:spacing w:line="264" w:lineRule="auto"/>
              <w:jc w:val="left"/>
              <w:rPr>
                <w:rFonts w:ascii="华文楷体" w:hAnsi="华文楷体" w:eastAsia="华文楷体" w:cs="宋体"/>
                <w:kern w:val="0"/>
                <w:sz w:val="21"/>
                <w:szCs w:val="21"/>
              </w:rPr>
            </w:pPr>
          </w:p>
        </w:tc>
      </w:tr>
      <w:tr w14:paraId="7F811D28">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0A9701B8">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4</w:t>
            </w:r>
            <w:r>
              <w:rPr>
                <w:rFonts w:hint="eastAsia" w:ascii="宋体" w:hAnsi="宋体" w:cs="宋体"/>
                <w:kern w:val="0"/>
                <w:sz w:val="21"/>
                <w:szCs w:val="21"/>
                <w:lang w:val="zh-CN"/>
              </w:rPr>
              <w:t>.商务偏差表</w:t>
            </w:r>
          </w:p>
        </w:tc>
        <w:tc>
          <w:tcPr>
            <w:tcW w:w="704" w:type="dxa"/>
            <w:tcBorders>
              <w:top w:val="single" w:color="auto" w:sz="4" w:space="0"/>
              <w:left w:val="nil"/>
              <w:bottom w:val="single" w:color="auto" w:sz="4" w:space="0"/>
              <w:right w:val="single" w:color="auto" w:sz="4" w:space="0"/>
            </w:tcBorders>
            <w:vAlign w:val="center"/>
          </w:tcPr>
          <w:p w14:paraId="1F99297F">
            <w:pPr>
              <w:snapToGrid w:val="0"/>
              <w:spacing w:line="264" w:lineRule="auto"/>
              <w:jc w:val="left"/>
              <w:rPr>
                <w:rFonts w:ascii="宋体" w:hAnsi="宋体" w:cs="宋体"/>
                <w:b/>
                <w:bCs/>
                <w:kern w:val="0"/>
                <w:sz w:val="21"/>
                <w:szCs w:val="21"/>
              </w:rPr>
            </w:pPr>
          </w:p>
        </w:tc>
        <w:tc>
          <w:tcPr>
            <w:tcW w:w="3461" w:type="dxa"/>
            <w:tcBorders>
              <w:top w:val="nil"/>
              <w:left w:val="nil"/>
              <w:bottom w:val="single" w:color="auto" w:sz="4" w:space="0"/>
              <w:right w:val="single" w:color="auto" w:sz="4" w:space="0"/>
            </w:tcBorders>
            <w:vAlign w:val="center"/>
          </w:tcPr>
          <w:p w14:paraId="622918A4">
            <w:pPr>
              <w:widowControl/>
              <w:snapToGrid w:val="0"/>
              <w:spacing w:line="264" w:lineRule="auto"/>
              <w:jc w:val="left"/>
              <w:rPr>
                <w:rFonts w:ascii="华文楷体" w:hAnsi="华文楷体" w:eastAsia="华文楷体" w:cs="宋体"/>
                <w:kern w:val="0"/>
                <w:sz w:val="21"/>
                <w:szCs w:val="21"/>
              </w:rPr>
            </w:pPr>
          </w:p>
        </w:tc>
      </w:tr>
      <w:tr w14:paraId="29B8D8A6">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1462949F">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5</w:t>
            </w:r>
            <w:r>
              <w:rPr>
                <w:rFonts w:hint="eastAsia" w:ascii="宋体" w:hAnsi="宋体" w:cs="宋体"/>
                <w:kern w:val="0"/>
                <w:sz w:val="21"/>
                <w:szCs w:val="21"/>
                <w:lang w:val="zh-CN"/>
              </w:rPr>
              <w:t>.投标人承诺书</w:t>
            </w:r>
          </w:p>
        </w:tc>
        <w:tc>
          <w:tcPr>
            <w:tcW w:w="704" w:type="dxa"/>
            <w:tcBorders>
              <w:top w:val="single" w:color="auto" w:sz="4" w:space="0"/>
              <w:left w:val="nil"/>
              <w:bottom w:val="single" w:color="auto" w:sz="4" w:space="0"/>
              <w:right w:val="single" w:color="auto" w:sz="4" w:space="0"/>
            </w:tcBorders>
            <w:vAlign w:val="center"/>
          </w:tcPr>
          <w:p w14:paraId="273558E8">
            <w:pPr>
              <w:snapToGrid w:val="0"/>
              <w:spacing w:line="264" w:lineRule="auto"/>
              <w:jc w:val="left"/>
              <w:rPr>
                <w:rFonts w:ascii="宋体" w:hAnsi="宋体" w:cs="宋体"/>
                <w:b/>
                <w:bCs/>
                <w:kern w:val="0"/>
                <w:sz w:val="21"/>
                <w:szCs w:val="21"/>
              </w:rPr>
            </w:pPr>
          </w:p>
        </w:tc>
        <w:tc>
          <w:tcPr>
            <w:tcW w:w="3461" w:type="dxa"/>
            <w:tcBorders>
              <w:top w:val="nil"/>
              <w:left w:val="nil"/>
              <w:bottom w:val="single" w:color="auto" w:sz="4" w:space="0"/>
              <w:right w:val="single" w:color="auto" w:sz="4" w:space="0"/>
            </w:tcBorders>
            <w:vAlign w:val="center"/>
          </w:tcPr>
          <w:p w14:paraId="3CD5278A">
            <w:pPr>
              <w:widowControl/>
              <w:snapToGrid w:val="0"/>
              <w:spacing w:line="264" w:lineRule="auto"/>
              <w:jc w:val="left"/>
              <w:rPr>
                <w:rFonts w:ascii="华文楷体" w:hAnsi="华文楷体" w:eastAsia="华文楷体" w:cs="宋体"/>
                <w:kern w:val="0"/>
                <w:sz w:val="21"/>
                <w:szCs w:val="21"/>
              </w:rPr>
            </w:pPr>
          </w:p>
        </w:tc>
      </w:tr>
      <w:tr w14:paraId="03B926E5">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53DF615C">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6</w:t>
            </w:r>
            <w:r>
              <w:rPr>
                <w:rFonts w:hint="eastAsia" w:ascii="宋体" w:hAnsi="宋体" w:cs="宋体"/>
                <w:kern w:val="0"/>
                <w:sz w:val="21"/>
                <w:szCs w:val="21"/>
                <w:lang w:val="zh-CN"/>
              </w:rPr>
              <w:t>.投标人基本情况表</w:t>
            </w:r>
          </w:p>
        </w:tc>
        <w:tc>
          <w:tcPr>
            <w:tcW w:w="704" w:type="dxa"/>
            <w:tcBorders>
              <w:top w:val="single" w:color="auto" w:sz="4" w:space="0"/>
              <w:left w:val="nil"/>
              <w:bottom w:val="single" w:color="auto" w:sz="4" w:space="0"/>
              <w:right w:val="single" w:color="auto" w:sz="4" w:space="0"/>
            </w:tcBorders>
            <w:vAlign w:val="center"/>
          </w:tcPr>
          <w:p w14:paraId="17189D21">
            <w:pPr>
              <w:snapToGrid w:val="0"/>
              <w:spacing w:line="264" w:lineRule="auto"/>
              <w:jc w:val="left"/>
              <w:rPr>
                <w:rFonts w:ascii="宋体" w:hAnsi="宋体" w:cs="宋体"/>
                <w:b/>
                <w:bCs/>
                <w:kern w:val="0"/>
                <w:sz w:val="21"/>
                <w:szCs w:val="21"/>
              </w:rPr>
            </w:pPr>
          </w:p>
        </w:tc>
        <w:tc>
          <w:tcPr>
            <w:tcW w:w="3461" w:type="dxa"/>
            <w:tcBorders>
              <w:top w:val="nil"/>
              <w:left w:val="nil"/>
              <w:bottom w:val="single" w:color="auto" w:sz="4" w:space="0"/>
              <w:right w:val="single" w:color="auto" w:sz="4" w:space="0"/>
            </w:tcBorders>
            <w:vAlign w:val="center"/>
          </w:tcPr>
          <w:p w14:paraId="509E0E92">
            <w:pPr>
              <w:widowControl/>
              <w:snapToGrid w:val="0"/>
              <w:spacing w:line="264" w:lineRule="auto"/>
              <w:jc w:val="left"/>
              <w:rPr>
                <w:rFonts w:ascii="华文楷体" w:hAnsi="华文楷体" w:eastAsia="华文楷体" w:cs="宋体"/>
                <w:kern w:val="0"/>
                <w:sz w:val="21"/>
                <w:szCs w:val="21"/>
              </w:rPr>
            </w:pPr>
          </w:p>
        </w:tc>
      </w:tr>
      <w:tr w14:paraId="3D513ADE">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nil"/>
            </w:tcBorders>
            <w:vAlign w:val="center"/>
          </w:tcPr>
          <w:p w14:paraId="0930CBC6">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7.缴纳招标代理服务费承诺书</w:t>
            </w:r>
          </w:p>
        </w:tc>
        <w:tc>
          <w:tcPr>
            <w:tcW w:w="704" w:type="dxa"/>
            <w:tcBorders>
              <w:top w:val="single" w:color="auto" w:sz="4" w:space="0"/>
              <w:left w:val="single" w:color="auto" w:sz="4" w:space="0"/>
              <w:bottom w:val="single" w:color="auto" w:sz="4" w:space="0"/>
              <w:right w:val="single" w:color="auto" w:sz="4" w:space="0"/>
            </w:tcBorders>
            <w:vAlign w:val="center"/>
          </w:tcPr>
          <w:p w14:paraId="284B3D65">
            <w:pPr>
              <w:snapToGrid w:val="0"/>
              <w:spacing w:line="264" w:lineRule="auto"/>
              <w:jc w:val="left"/>
              <w:rPr>
                <w:rFonts w:ascii="宋体" w:hAnsi="宋体" w:cs="宋体"/>
                <w:b/>
                <w:bCs/>
                <w:kern w:val="0"/>
                <w:sz w:val="21"/>
                <w:szCs w:val="21"/>
              </w:rPr>
            </w:pPr>
          </w:p>
        </w:tc>
        <w:tc>
          <w:tcPr>
            <w:tcW w:w="3461" w:type="dxa"/>
            <w:tcBorders>
              <w:top w:val="nil"/>
              <w:left w:val="nil"/>
              <w:bottom w:val="single" w:color="auto" w:sz="4" w:space="0"/>
              <w:right w:val="single" w:color="auto" w:sz="4" w:space="0"/>
            </w:tcBorders>
            <w:vAlign w:val="center"/>
          </w:tcPr>
          <w:p w14:paraId="5E6253DA">
            <w:pPr>
              <w:widowControl/>
              <w:snapToGrid w:val="0"/>
              <w:spacing w:line="264" w:lineRule="auto"/>
              <w:jc w:val="left"/>
              <w:rPr>
                <w:rFonts w:ascii="华文楷体" w:hAnsi="华文楷体" w:eastAsia="华文楷体" w:cs="宋体"/>
                <w:b/>
                <w:bCs/>
                <w:kern w:val="0"/>
                <w:sz w:val="21"/>
                <w:szCs w:val="21"/>
              </w:rPr>
            </w:pPr>
          </w:p>
        </w:tc>
      </w:tr>
      <w:tr w14:paraId="034710E3">
        <w:tblPrEx>
          <w:tblCellMar>
            <w:top w:w="0" w:type="dxa"/>
            <w:left w:w="108" w:type="dxa"/>
            <w:bottom w:w="0" w:type="dxa"/>
            <w:right w:w="108" w:type="dxa"/>
          </w:tblCellMar>
        </w:tblPrEx>
        <w:trPr>
          <w:trHeight w:val="397" w:hRule="atLeast"/>
        </w:trPr>
        <w:tc>
          <w:tcPr>
            <w:tcW w:w="5537" w:type="dxa"/>
            <w:tcBorders>
              <w:top w:val="single" w:color="auto" w:sz="4" w:space="0"/>
              <w:left w:val="single" w:color="auto" w:sz="4" w:space="0"/>
              <w:bottom w:val="single" w:color="auto" w:sz="4" w:space="0"/>
              <w:right w:val="single" w:color="auto" w:sz="4" w:space="0"/>
            </w:tcBorders>
            <w:vAlign w:val="center"/>
          </w:tcPr>
          <w:p w14:paraId="64E147E8">
            <w:pPr>
              <w:widowControl/>
              <w:snapToGrid w:val="0"/>
              <w:spacing w:line="264" w:lineRule="auto"/>
              <w:jc w:val="left"/>
              <w:rPr>
                <w:rFonts w:ascii="宋体" w:hAnsi="宋体" w:cs="宋体"/>
                <w:b/>
                <w:bCs/>
                <w:kern w:val="0"/>
                <w:sz w:val="21"/>
                <w:szCs w:val="21"/>
              </w:rPr>
            </w:pPr>
            <w:r>
              <w:rPr>
                <w:rFonts w:hint="eastAsia" w:ascii="宋体" w:hAnsi="宋体" w:cs="宋体"/>
                <w:b/>
                <w:bCs/>
                <w:kern w:val="0"/>
                <w:sz w:val="21"/>
                <w:szCs w:val="21"/>
              </w:rPr>
              <w:t>第二部分：初步和详细评审条件证明材料扫描件</w:t>
            </w:r>
          </w:p>
        </w:tc>
        <w:tc>
          <w:tcPr>
            <w:tcW w:w="704" w:type="dxa"/>
            <w:tcBorders>
              <w:top w:val="single" w:color="auto" w:sz="4" w:space="0"/>
              <w:left w:val="single" w:color="auto" w:sz="4" w:space="0"/>
              <w:bottom w:val="single" w:color="auto" w:sz="4" w:space="0"/>
              <w:right w:val="single" w:color="auto" w:sz="4" w:space="0"/>
            </w:tcBorders>
            <w:vAlign w:val="center"/>
          </w:tcPr>
          <w:p w14:paraId="713F48B9">
            <w:pPr>
              <w:widowControl/>
              <w:snapToGrid w:val="0"/>
              <w:spacing w:line="264" w:lineRule="auto"/>
              <w:jc w:val="left"/>
              <w:rPr>
                <w:rFonts w:ascii="宋体" w:hAnsi="宋体" w:cs="宋体"/>
                <w:b/>
                <w:bCs/>
                <w:kern w:val="0"/>
                <w:sz w:val="21"/>
                <w:szCs w:val="21"/>
              </w:rPr>
            </w:pPr>
          </w:p>
        </w:tc>
        <w:tc>
          <w:tcPr>
            <w:tcW w:w="3461" w:type="dxa"/>
            <w:tcBorders>
              <w:top w:val="single" w:color="auto" w:sz="4" w:space="0"/>
              <w:left w:val="single" w:color="auto" w:sz="4" w:space="0"/>
              <w:bottom w:val="single" w:color="auto" w:sz="4" w:space="0"/>
              <w:right w:val="single" w:color="auto" w:sz="4" w:space="0"/>
            </w:tcBorders>
            <w:vAlign w:val="center"/>
          </w:tcPr>
          <w:p w14:paraId="3999CE76">
            <w:pPr>
              <w:widowControl/>
              <w:snapToGrid w:val="0"/>
              <w:spacing w:line="264" w:lineRule="auto"/>
              <w:rPr>
                <w:rFonts w:ascii="华文楷体" w:hAnsi="华文楷体" w:eastAsia="华文楷体" w:cs="宋体"/>
                <w:bCs/>
                <w:kern w:val="0"/>
                <w:sz w:val="21"/>
                <w:szCs w:val="21"/>
              </w:rPr>
            </w:pPr>
          </w:p>
        </w:tc>
      </w:tr>
      <w:tr w14:paraId="61C6EC2E">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2B4BDC3F">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1.营业执照等证书</w:t>
            </w:r>
          </w:p>
        </w:tc>
        <w:tc>
          <w:tcPr>
            <w:tcW w:w="704" w:type="dxa"/>
            <w:tcBorders>
              <w:top w:val="nil"/>
              <w:left w:val="nil"/>
              <w:bottom w:val="single" w:color="auto" w:sz="4" w:space="0"/>
              <w:right w:val="single" w:color="auto" w:sz="4" w:space="0"/>
            </w:tcBorders>
            <w:vAlign w:val="center"/>
          </w:tcPr>
          <w:p w14:paraId="13F6F720">
            <w:pPr>
              <w:widowControl/>
              <w:snapToGrid w:val="0"/>
              <w:spacing w:line="264" w:lineRule="auto"/>
              <w:jc w:val="left"/>
              <w:rPr>
                <w:rFonts w:ascii="宋体" w:hAnsi="宋体" w:cs="宋体"/>
                <w:bCs/>
                <w:kern w:val="0"/>
                <w:sz w:val="21"/>
                <w:szCs w:val="21"/>
              </w:rPr>
            </w:pPr>
          </w:p>
        </w:tc>
        <w:tc>
          <w:tcPr>
            <w:tcW w:w="3461" w:type="dxa"/>
            <w:vMerge w:val="restart"/>
            <w:tcBorders>
              <w:top w:val="single" w:color="auto" w:sz="4" w:space="0"/>
              <w:left w:val="single" w:color="auto" w:sz="4" w:space="0"/>
              <w:right w:val="single" w:color="auto" w:sz="4" w:space="0"/>
            </w:tcBorders>
            <w:vAlign w:val="center"/>
          </w:tcPr>
          <w:p w14:paraId="0C4EBCD8">
            <w:pPr>
              <w:widowControl/>
              <w:snapToGrid w:val="0"/>
              <w:spacing w:line="264" w:lineRule="auto"/>
              <w:rPr>
                <w:rFonts w:ascii="华文楷体" w:hAnsi="华文楷体" w:eastAsia="华文楷体" w:cs="宋体"/>
                <w:kern w:val="0"/>
                <w:sz w:val="21"/>
                <w:szCs w:val="21"/>
              </w:rPr>
            </w:pPr>
            <w:r>
              <w:rPr>
                <w:rFonts w:hint="eastAsia" w:ascii="华文楷体" w:hAnsi="华文楷体" w:eastAsia="华文楷体" w:cs="宋体"/>
                <w:kern w:val="0"/>
                <w:sz w:val="21"/>
                <w:szCs w:val="21"/>
              </w:rPr>
              <w:t>（1）按照第四章“评标办法”以下附件中明确的相关证照、业绩、相关证明及说明等内容，在招标文件本章目录基本框架内容的基础上，对投标文件目录内容进行修订、完善</w:t>
            </w:r>
          </w:p>
          <w:p w14:paraId="2D60532F">
            <w:pPr>
              <w:widowControl/>
              <w:snapToGrid w:val="0"/>
              <w:spacing w:line="264" w:lineRule="auto"/>
              <w:rPr>
                <w:rFonts w:ascii="华文楷体" w:hAnsi="华文楷体" w:eastAsia="华文楷体" w:cs="宋体"/>
                <w:kern w:val="0"/>
                <w:sz w:val="21"/>
                <w:szCs w:val="21"/>
              </w:rPr>
            </w:pPr>
            <w:r>
              <w:rPr>
                <w:rFonts w:hint="eastAsia" w:ascii="华文楷体" w:hAnsi="华文楷体" w:eastAsia="华文楷体" w:cs="宋体"/>
                <w:kern w:val="0"/>
                <w:sz w:val="21"/>
                <w:szCs w:val="21"/>
              </w:rPr>
              <w:t>①附件2-1“初步评审标准及记录表”“资格评审”“评审标准”</w:t>
            </w:r>
          </w:p>
          <w:p w14:paraId="5EAFBC01">
            <w:pPr>
              <w:widowControl/>
              <w:snapToGrid w:val="0"/>
              <w:spacing w:line="264" w:lineRule="auto"/>
              <w:rPr>
                <w:rFonts w:ascii="华文楷体" w:hAnsi="华文楷体" w:eastAsia="华文楷体" w:cs="宋体"/>
                <w:kern w:val="0"/>
                <w:sz w:val="21"/>
                <w:szCs w:val="21"/>
              </w:rPr>
            </w:pPr>
            <w:r>
              <w:rPr>
                <w:rFonts w:hint="eastAsia" w:ascii="华文楷体" w:hAnsi="华文楷体" w:eastAsia="华文楷体" w:cs="宋体"/>
                <w:kern w:val="0"/>
                <w:sz w:val="21"/>
                <w:szCs w:val="21"/>
              </w:rPr>
              <w:t>②附件3-1 “详细评审标准及计分表”“（二）综合部分”“评分项目”“评分标准”</w:t>
            </w:r>
          </w:p>
          <w:p w14:paraId="6680F249">
            <w:pPr>
              <w:widowControl/>
              <w:snapToGrid w:val="0"/>
              <w:spacing w:line="264" w:lineRule="auto"/>
              <w:rPr>
                <w:rFonts w:ascii="华文楷体" w:hAnsi="华文楷体" w:eastAsia="华文楷体" w:cs="宋体"/>
                <w:kern w:val="0"/>
                <w:sz w:val="21"/>
                <w:szCs w:val="21"/>
              </w:rPr>
            </w:pPr>
            <w:r>
              <w:rPr>
                <w:rFonts w:hint="eastAsia" w:ascii="华文楷体" w:hAnsi="华文楷体" w:eastAsia="华文楷体" w:cs="宋体"/>
                <w:kern w:val="0"/>
                <w:sz w:val="21"/>
                <w:szCs w:val="21"/>
              </w:rPr>
              <w:t>（2）投标人单位及个人项目业绩证明材料名称应标明为：xx合同、xx证明材料等</w:t>
            </w:r>
          </w:p>
        </w:tc>
      </w:tr>
      <w:tr w14:paraId="2EFA17F3">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571060FF">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（1）营业执照</w:t>
            </w:r>
          </w:p>
        </w:tc>
        <w:tc>
          <w:tcPr>
            <w:tcW w:w="704" w:type="dxa"/>
            <w:tcBorders>
              <w:top w:val="nil"/>
              <w:left w:val="nil"/>
              <w:bottom w:val="single" w:color="auto" w:sz="4" w:space="0"/>
              <w:right w:val="single" w:color="auto" w:sz="4" w:space="0"/>
            </w:tcBorders>
            <w:vAlign w:val="center"/>
          </w:tcPr>
          <w:p w14:paraId="758E620F">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6A7E09B">
            <w:pPr>
              <w:widowControl/>
              <w:snapToGrid w:val="0"/>
              <w:spacing w:line="264" w:lineRule="auto"/>
              <w:jc w:val="left"/>
              <w:rPr>
                <w:rFonts w:ascii="楷体" w:hAnsi="楷体" w:eastAsia="楷体" w:cs="宋体"/>
                <w:kern w:val="0"/>
                <w:sz w:val="21"/>
                <w:szCs w:val="21"/>
              </w:rPr>
            </w:pPr>
          </w:p>
        </w:tc>
      </w:tr>
      <w:tr w14:paraId="664E792F">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249C4625">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（2）企业资质等级证书</w:t>
            </w:r>
          </w:p>
        </w:tc>
        <w:tc>
          <w:tcPr>
            <w:tcW w:w="704" w:type="dxa"/>
            <w:tcBorders>
              <w:top w:val="nil"/>
              <w:left w:val="nil"/>
              <w:bottom w:val="single" w:color="auto" w:sz="4" w:space="0"/>
              <w:right w:val="single" w:color="auto" w:sz="4" w:space="0"/>
            </w:tcBorders>
            <w:vAlign w:val="center"/>
          </w:tcPr>
          <w:p w14:paraId="449AD306">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139DA471">
            <w:pPr>
              <w:widowControl/>
              <w:snapToGrid w:val="0"/>
              <w:spacing w:line="264" w:lineRule="auto"/>
              <w:jc w:val="left"/>
              <w:rPr>
                <w:rFonts w:ascii="楷体" w:hAnsi="楷体" w:eastAsia="楷体" w:cs="宋体"/>
                <w:kern w:val="0"/>
                <w:sz w:val="21"/>
                <w:szCs w:val="21"/>
              </w:rPr>
            </w:pPr>
          </w:p>
        </w:tc>
      </w:tr>
      <w:tr w14:paraId="37E89EB9">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nil"/>
            </w:tcBorders>
            <w:vAlign w:val="center"/>
          </w:tcPr>
          <w:p w14:paraId="3562405C">
            <w:pPr>
              <w:widowControl/>
              <w:snapToGrid w:val="0"/>
              <w:spacing w:line="264" w:lineRule="auto"/>
              <w:rPr>
                <w:rFonts w:ascii="宋体" w:hAnsi="宋体" w:cs="宋体"/>
                <w:kern w:val="0"/>
                <w:sz w:val="21"/>
                <w:szCs w:val="21"/>
              </w:rPr>
            </w:pPr>
            <w:r>
              <w:rPr>
                <w:rFonts w:hint="eastAsia" w:ascii="宋体" w:hAnsi="宋体" w:cs="宋体"/>
                <w:kern w:val="0"/>
                <w:sz w:val="21"/>
                <w:szCs w:val="21"/>
              </w:rPr>
              <w:t>（3）</w:t>
            </w:r>
            <w:r>
              <w:rPr>
                <w:rFonts w:ascii="宋体" w:hAnsi="宋体" w:cs="宋体"/>
                <w:sz w:val="21"/>
                <w:szCs w:val="21"/>
                <w:lang w:val="zh-CN"/>
              </w:rPr>
              <w:t>安全生产许可证书</w:t>
            </w:r>
          </w:p>
        </w:tc>
        <w:tc>
          <w:tcPr>
            <w:tcW w:w="704" w:type="dxa"/>
            <w:tcBorders>
              <w:top w:val="nil"/>
              <w:left w:val="single" w:color="auto" w:sz="4" w:space="0"/>
              <w:bottom w:val="single" w:color="auto" w:sz="4" w:space="0"/>
              <w:right w:val="single" w:color="auto" w:sz="4" w:space="0"/>
            </w:tcBorders>
            <w:vAlign w:val="center"/>
          </w:tcPr>
          <w:p w14:paraId="29DA142C">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0831D71">
            <w:pPr>
              <w:widowControl/>
              <w:snapToGrid w:val="0"/>
              <w:spacing w:line="264" w:lineRule="auto"/>
              <w:jc w:val="left"/>
              <w:rPr>
                <w:rFonts w:ascii="楷体" w:hAnsi="楷体" w:eastAsia="楷体" w:cs="宋体"/>
                <w:kern w:val="0"/>
                <w:sz w:val="21"/>
                <w:szCs w:val="21"/>
              </w:rPr>
            </w:pPr>
          </w:p>
        </w:tc>
      </w:tr>
      <w:tr w14:paraId="7D54B6BA">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nil"/>
            </w:tcBorders>
            <w:vAlign w:val="center"/>
          </w:tcPr>
          <w:p w14:paraId="39B16F30">
            <w:pPr>
              <w:widowControl/>
              <w:snapToGrid w:val="0"/>
              <w:spacing w:line="264" w:lineRule="auto"/>
              <w:rPr>
                <w:rFonts w:ascii="宋体" w:hAnsi="宋体" w:cs="宋体"/>
                <w:kern w:val="0"/>
                <w:sz w:val="21"/>
                <w:szCs w:val="21"/>
                <w:highlight w:val="none"/>
              </w:rPr>
            </w:pPr>
            <w:r>
              <w:rPr>
                <w:rFonts w:hint="eastAsia" w:ascii="宋体" w:hAnsi="宋体" w:cs="宋体"/>
                <w:kern w:val="0"/>
                <w:sz w:val="21"/>
                <w:szCs w:val="21"/>
                <w:highlight w:val="none"/>
              </w:rPr>
              <w:t>（4）质量管理、环境管理、职业健康安全管理体系认证证书</w:t>
            </w:r>
          </w:p>
        </w:tc>
        <w:tc>
          <w:tcPr>
            <w:tcW w:w="704" w:type="dxa"/>
            <w:tcBorders>
              <w:top w:val="nil"/>
              <w:left w:val="single" w:color="auto" w:sz="4" w:space="0"/>
              <w:bottom w:val="single" w:color="auto" w:sz="4" w:space="0"/>
              <w:right w:val="single" w:color="auto" w:sz="4" w:space="0"/>
            </w:tcBorders>
            <w:vAlign w:val="center"/>
          </w:tcPr>
          <w:p w14:paraId="7F870ECA">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57B03F29">
            <w:pPr>
              <w:widowControl/>
              <w:snapToGrid w:val="0"/>
              <w:spacing w:line="264" w:lineRule="auto"/>
              <w:jc w:val="left"/>
              <w:rPr>
                <w:rFonts w:ascii="楷体" w:hAnsi="楷体" w:eastAsia="楷体" w:cs="宋体"/>
                <w:kern w:val="0"/>
                <w:sz w:val="21"/>
                <w:szCs w:val="21"/>
              </w:rPr>
            </w:pPr>
          </w:p>
        </w:tc>
      </w:tr>
      <w:tr w14:paraId="67A7A276">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2F44EAB4">
            <w:pPr>
              <w:widowControl/>
              <w:snapToGrid w:val="0"/>
              <w:spacing w:line="264" w:lineRule="auto"/>
              <w:jc w:val="left"/>
              <w:rPr>
                <w:rFonts w:ascii="宋体" w:hAnsi="宋体" w:cs="宋体"/>
                <w:kern w:val="0"/>
                <w:sz w:val="21"/>
                <w:szCs w:val="21"/>
                <w:highlight w:val="none"/>
              </w:rPr>
            </w:pPr>
            <w:r>
              <w:rPr>
                <w:rFonts w:hint="eastAsia" w:ascii="宋体" w:hAnsi="宋体" w:cs="宋体"/>
                <w:kern w:val="0"/>
                <w:sz w:val="21"/>
                <w:szCs w:val="21"/>
                <w:highlight w:val="none"/>
              </w:rPr>
              <w:t>（5）投标人经审计的财务年报（2024年度）</w:t>
            </w:r>
            <w:r>
              <w:rPr>
                <w:rFonts w:hint="eastAsia" w:ascii="楷体" w:hAnsi="楷体" w:eastAsia="楷体" w:cs="楷体"/>
                <w:kern w:val="0"/>
                <w:sz w:val="21"/>
                <w:szCs w:val="21"/>
                <w:highlight w:val="none"/>
              </w:rPr>
              <w:t>（若公司成立未满一年无法提供符合本项评审标准的证明材料，应提供其他相关证明材料）</w:t>
            </w:r>
          </w:p>
        </w:tc>
        <w:tc>
          <w:tcPr>
            <w:tcW w:w="704" w:type="dxa"/>
            <w:tcBorders>
              <w:top w:val="nil"/>
              <w:left w:val="nil"/>
              <w:bottom w:val="single" w:color="auto" w:sz="4" w:space="0"/>
              <w:right w:val="single" w:color="auto" w:sz="4" w:space="0"/>
            </w:tcBorders>
            <w:vAlign w:val="center"/>
          </w:tcPr>
          <w:p w14:paraId="39429CC7">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2134BD0">
            <w:pPr>
              <w:widowControl/>
              <w:snapToGrid w:val="0"/>
              <w:spacing w:line="264" w:lineRule="auto"/>
              <w:jc w:val="left"/>
              <w:rPr>
                <w:rFonts w:ascii="楷体" w:hAnsi="楷体" w:eastAsia="楷体" w:cs="宋体"/>
                <w:kern w:val="0"/>
                <w:sz w:val="21"/>
                <w:szCs w:val="21"/>
              </w:rPr>
            </w:pPr>
          </w:p>
        </w:tc>
      </w:tr>
      <w:tr w14:paraId="32B95034">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nil"/>
            </w:tcBorders>
            <w:vAlign w:val="center"/>
          </w:tcPr>
          <w:p w14:paraId="1E7246B5">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2.投标保证金银行保函/保险</w:t>
            </w:r>
            <w:r>
              <w:rPr>
                <w:rFonts w:hint="eastAsia" w:ascii="楷体" w:hAnsi="楷体" w:eastAsia="楷体" w:cs="宋体"/>
                <w:kern w:val="0"/>
                <w:sz w:val="21"/>
                <w:szCs w:val="21"/>
              </w:rPr>
              <w:t>/</w:t>
            </w:r>
            <w:r>
              <w:rPr>
                <w:rFonts w:hint="eastAsia" w:ascii="宋体" w:hAnsi="宋体" w:cs="宋体"/>
                <w:kern w:val="0"/>
                <w:sz w:val="21"/>
                <w:szCs w:val="21"/>
              </w:rPr>
              <w:t>投标保证金银行电汇凭证、基本账户开户银行许可证或银行开具的基本账户证明材料</w:t>
            </w:r>
          </w:p>
        </w:tc>
        <w:tc>
          <w:tcPr>
            <w:tcW w:w="704" w:type="dxa"/>
            <w:tcBorders>
              <w:top w:val="nil"/>
              <w:left w:val="single" w:color="auto" w:sz="4" w:space="0"/>
              <w:bottom w:val="single" w:color="auto" w:sz="4" w:space="0"/>
              <w:right w:val="single" w:color="auto" w:sz="4" w:space="0"/>
            </w:tcBorders>
            <w:vAlign w:val="center"/>
          </w:tcPr>
          <w:p w14:paraId="4DBD0416">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4B8D8ED">
            <w:pPr>
              <w:widowControl/>
              <w:snapToGrid w:val="0"/>
              <w:spacing w:line="264" w:lineRule="auto"/>
              <w:jc w:val="left"/>
              <w:rPr>
                <w:rFonts w:ascii="楷体" w:hAnsi="楷体" w:eastAsia="楷体" w:cs="宋体"/>
                <w:kern w:val="0"/>
                <w:sz w:val="21"/>
                <w:szCs w:val="21"/>
              </w:rPr>
            </w:pPr>
          </w:p>
        </w:tc>
      </w:tr>
      <w:tr w14:paraId="07FA7776">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nil"/>
            </w:tcBorders>
            <w:vAlign w:val="center"/>
          </w:tcPr>
          <w:p w14:paraId="6AA30218">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3.主要人员资格一览表</w:t>
            </w:r>
          </w:p>
        </w:tc>
        <w:tc>
          <w:tcPr>
            <w:tcW w:w="704" w:type="dxa"/>
            <w:tcBorders>
              <w:top w:val="nil"/>
              <w:left w:val="single" w:color="auto" w:sz="4" w:space="0"/>
              <w:bottom w:val="single" w:color="auto" w:sz="4" w:space="0"/>
              <w:right w:val="single" w:color="auto" w:sz="4" w:space="0"/>
            </w:tcBorders>
            <w:vAlign w:val="center"/>
          </w:tcPr>
          <w:p w14:paraId="2B408DCA">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5567FA4A">
            <w:pPr>
              <w:widowControl/>
              <w:snapToGrid w:val="0"/>
              <w:spacing w:line="264" w:lineRule="auto"/>
              <w:jc w:val="left"/>
              <w:rPr>
                <w:rFonts w:ascii="楷体" w:hAnsi="楷体" w:eastAsia="楷体" w:cs="宋体"/>
                <w:kern w:val="0"/>
                <w:sz w:val="21"/>
                <w:szCs w:val="21"/>
              </w:rPr>
            </w:pPr>
          </w:p>
        </w:tc>
      </w:tr>
      <w:tr w14:paraId="600ADEBF">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1E8BBA81">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（1）项目经理部人员配置表</w:t>
            </w:r>
          </w:p>
        </w:tc>
        <w:tc>
          <w:tcPr>
            <w:tcW w:w="704" w:type="dxa"/>
            <w:tcBorders>
              <w:top w:val="nil"/>
              <w:left w:val="nil"/>
              <w:bottom w:val="single" w:color="auto" w:sz="4" w:space="0"/>
              <w:right w:val="single" w:color="auto" w:sz="4" w:space="0"/>
            </w:tcBorders>
            <w:vAlign w:val="center"/>
          </w:tcPr>
          <w:p w14:paraId="0B78B8FC">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DEF3CBF">
            <w:pPr>
              <w:widowControl/>
              <w:snapToGrid w:val="0"/>
              <w:spacing w:line="264" w:lineRule="auto"/>
              <w:jc w:val="left"/>
              <w:rPr>
                <w:rFonts w:ascii="楷体" w:hAnsi="楷体" w:eastAsia="楷体" w:cs="宋体"/>
                <w:kern w:val="0"/>
                <w:sz w:val="21"/>
                <w:szCs w:val="21"/>
              </w:rPr>
            </w:pPr>
          </w:p>
        </w:tc>
      </w:tr>
      <w:tr w14:paraId="1E0445AF">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335D8810">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（2）投标人主要人员业绩合同清单</w:t>
            </w:r>
          </w:p>
        </w:tc>
        <w:tc>
          <w:tcPr>
            <w:tcW w:w="704" w:type="dxa"/>
            <w:tcBorders>
              <w:top w:val="nil"/>
              <w:left w:val="nil"/>
              <w:bottom w:val="single" w:color="auto" w:sz="4" w:space="0"/>
              <w:right w:val="single" w:color="auto" w:sz="4" w:space="0"/>
            </w:tcBorders>
            <w:vAlign w:val="center"/>
          </w:tcPr>
          <w:p w14:paraId="63A2FCEA">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4B3E53F0">
            <w:pPr>
              <w:widowControl/>
              <w:snapToGrid w:val="0"/>
              <w:spacing w:line="264" w:lineRule="auto"/>
              <w:jc w:val="left"/>
              <w:rPr>
                <w:rFonts w:ascii="楷体" w:hAnsi="楷体" w:eastAsia="楷体" w:cs="宋体"/>
                <w:kern w:val="0"/>
                <w:sz w:val="21"/>
                <w:szCs w:val="21"/>
              </w:rPr>
            </w:pPr>
          </w:p>
        </w:tc>
      </w:tr>
      <w:tr w14:paraId="7B362827">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49E545F2">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①项目经理的身份证、资格证书、社保证明等复印件</w:t>
            </w:r>
          </w:p>
        </w:tc>
        <w:tc>
          <w:tcPr>
            <w:tcW w:w="704" w:type="dxa"/>
            <w:tcBorders>
              <w:top w:val="nil"/>
              <w:left w:val="nil"/>
              <w:bottom w:val="single" w:color="auto" w:sz="4" w:space="0"/>
              <w:right w:val="single" w:color="auto" w:sz="4" w:space="0"/>
            </w:tcBorders>
            <w:vAlign w:val="center"/>
          </w:tcPr>
          <w:p w14:paraId="4D8A01BA">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0FDDE6A">
            <w:pPr>
              <w:widowControl/>
              <w:snapToGrid w:val="0"/>
              <w:spacing w:line="264" w:lineRule="auto"/>
              <w:jc w:val="left"/>
              <w:rPr>
                <w:rFonts w:ascii="楷体" w:hAnsi="楷体" w:eastAsia="楷体" w:cs="宋体"/>
                <w:kern w:val="0"/>
                <w:sz w:val="21"/>
                <w:szCs w:val="21"/>
              </w:rPr>
            </w:pPr>
          </w:p>
        </w:tc>
      </w:tr>
      <w:tr w14:paraId="682EC04E">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56150159">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②项目经理业绩</w:t>
            </w:r>
          </w:p>
        </w:tc>
        <w:tc>
          <w:tcPr>
            <w:tcW w:w="704" w:type="dxa"/>
            <w:tcBorders>
              <w:top w:val="nil"/>
              <w:left w:val="nil"/>
              <w:bottom w:val="single" w:color="auto" w:sz="4" w:space="0"/>
              <w:right w:val="single" w:color="auto" w:sz="4" w:space="0"/>
            </w:tcBorders>
            <w:vAlign w:val="center"/>
          </w:tcPr>
          <w:p w14:paraId="0E23D97C">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6DFCEF7">
            <w:pPr>
              <w:widowControl/>
              <w:snapToGrid w:val="0"/>
              <w:spacing w:line="264" w:lineRule="auto"/>
              <w:jc w:val="left"/>
              <w:rPr>
                <w:rFonts w:ascii="楷体" w:hAnsi="楷体" w:eastAsia="楷体" w:cs="宋体"/>
                <w:kern w:val="0"/>
                <w:sz w:val="21"/>
                <w:szCs w:val="21"/>
              </w:rPr>
            </w:pPr>
          </w:p>
        </w:tc>
      </w:tr>
      <w:tr w14:paraId="1A3502A7">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0FC8E882">
            <w:pPr>
              <w:snapToGrid w:val="0"/>
              <w:spacing w:line="264" w:lineRule="auto"/>
              <w:rPr>
                <w:rFonts w:ascii="宋体" w:hAnsi="宋体" w:cs="宋体"/>
                <w:kern w:val="0"/>
                <w:sz w:val="21"/>
                <w:szCs w:val="21"/>
              </w:rPr>
            </w:pPr>
            <w:r>
              <w:rPr>
                <w:rFonts w:hint="eastAsia" w:ascii="宋体" w:hAnsi="宋体" w:cs="宋体"/>
                <w:kern w:val="0"/>
                <w:sz w:val="21"/>
                <w:szCs w:val="21"/>
              </w:rPr>
              <w:t>（3）投标人主要人员业绩合同清单</w:t>
            </w:r>
          </w:p>
        </w:tc>
        <w:tc>
          <w:tcPr>
            <w:tcW w:w="704" w:type="dxa"/>
            <w:tcBorders>
              <w:top w:val="nil"/>
              <w:left w:val="nil"/>
              <w:bottom w:val="single" w:color="auto" w:sz="4" w:space="0"/>
              <w:right w:val="single" w:color="auto" w:sz="4" w:space="0"/>
            </w:tcBorders>
            <w:vAlign w:val="center"/>
          </w:tcPr>
          <w:p w14:paraId="76868F7E">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70EC5EDE">
            <w:pPr>
              <w:widowControl/>
              <w:snapToGrid w:val="0"/>
              <w:spacing w:line="264" w:lineRule="auto"/>
              <w:jc w:val="left"/>
              <w:rPr>
                <w:rFonts w:ascii="楷体" w:hAnsi="楷体" w:eastAsia="楷体" w:cs="宋体"/>
                <w:kern w:val="0"/>
                <w:sz w:val="21"/>
                <w:szCs w:val="21"/>
              </w:rPr>
            </w:pPr>
          </w:p>
        </w:tc>
      </w:tr>
      <w:tr w14:paraId="00F67E72">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6FD8273E">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①技术负责人身份证、职称证书、社保证明等复印件</w:t>
            </w:r>
          </w:p>
        </w:tc>
        <w:tc>
          <w:tcPr>
            <w:tcW w:w="704" w:type="dxa"/>
            <w:tcBorders>
              <w:top w:val="nil"/>
              <w:left w:val="nil"/>
              <w:bottom w:val="single" w:color="auto" w:sz="4" w:space="0"/>
              <w:right w:val="single" w:color="auto" w:sz="4" w:space="0"/>
            </w:tcBorders>
            <w:vAlign w:val="center"/>
          </w:tcPr>
          <w:p w14:paraId="372D5569">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32E583A2">
            <w:pPr>
              <w:widowControl/>
              <w:snapToGrid w:val="0"/>
              <w:spacing w:line="264" w:lineRule="auto"/>
              <w:jc w:val="left"/>
              <w:rPr>
                <w:rFonts w:ascii="楷体" w:hAnsi="楷体" w:eastAsia="楷体" w:cs="宋体"/>
                <w:kern w:val="0"/>
                <w:sz w:val="21"/>
                <w:szCs w:val="21"/>
              </w:rPr>
            </w:pPr>
          </w:p>
        </w:tc>
      </w:tr>
      <w:tr w14:paraId="6D730438">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17594507">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②技术负责人业绩</w:t>
            </w:r>
          </w:p>
        </w:tc>
        <w:tc>
          <w:tcPr>
            <w:tcW w:w="704" w:type="dxa"/>
            <w:tcBorders>
              <w:top w:val="nil"/>
              <w:left w:val="nil"/>
              <w:bottom w:val="single" w:color="auto" w:sz="4" w:space="0"/>
              <w:right w:val="single" w:color="auto" w:sz="4" w:space="0"/>
            </w:tcBorders>
            <w:vAlign w:val="center"/>
          </w:tcPr>
          <w:p w14:paraId="46FF0097">
            <w:pPr>
              <w:widowControl/>
              <w:snapToGrid w:val="0"/>
              <w:spacing w:line="264"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5FD27E1F">
            <w:pPr>
              <w:widowControl/>
              <w:snapToGrid w:val="0"/>
              <w:spacing w:line="264" w:lineRule="auto"/>
              <w:jc w:val="left"/>
              <w:rPr>
                <w:rFonts w:ascii="楷体" w:hAnsi="楷体" w:eastAsia="楷体" w:cs="宋体"/>
                <w:kern w:val="0"/>
                <w:sz w:val="21"/>
                <w:szCs w:val="21"/>
              </w:rPr>
            </w:pPr>
          </w:p>
        </w:tc>
      </w:tr>
      <w:tr w14:paraId="1BB907F5">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616A024D">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（4）投标人主要人员业绩合同清单</w:t>
            </w:r>
          </w:p>
        </w:tc>
        <w:tc>
          <w:tcPr>
            <w:tcW w:w="704" w:type="dxa"/>
            <w:tcBorders>
              <w:top w:val="nil"/>
              <w:left w:val="nil"/>
              <w:bottom w:val="single" w:color="auto" w:sz="4" w:space="0"/>
              <w:right w:val="single" w:color="auto" w:sz="4" w:space="0"/>
            </w:tcBorders>
            <w:vAlign w:val="center"/>
          </w:tcPr>
          <w:p w14:paraId="4CE8566C">
            <w:pPr>
              <w:widowControl/>
              <w:snapToGrid w:val="0"/>
              <w:spacing w:line="264" w:lineRule="auto"/>
              <w:jc w:val="left"/>
              <w:rPr>
                <w:rFonts w:ascii="宋体" w:hAnsi="宋体" w:cs="宋体"/>
                <w:b/>
                <w:bCs/>
                <w:kern w:val="0"/>
                <w:sz w:val="21"/>
                <w:szCs w:val="21"/>
              </w:rPr>
            </w:pPr>
          </w:p>
        </w:tc>
        <w:tc>
          <w:tcPr>
            <w:tcW w:w="3461" w:type="dxa"/>
            <w:vMerge w:val="restart"/>
            <w:tcBorders>
              <w:left w:val="single" w:color="auto" w:sz="4" w:space="0"/>
              <w:bottom w:val="single" w:color="auto" w:sz="4" w:space="0"/>
              <w:right w:val="single" w:color="auto" w:sz="4" w:space="0"/>
            </w:tcBorders>
            <w:vAlign w:val="center"/>
          </w:tcPr>
          <w:p w14:paraId="605F9483">
            <w:pPr>
              <w:widowControl/>
              <w:snapToGrid w:val="0"/>
              <w:spacing w:line="264" w:lineRule="auto"/>
              <w:jc w:val="left"/>
              <w:rPr>
                <w:rFonts w:ascii="楷体" w:hAnsi="楷体" w:eastAsia="楷体" w:cs="宋体"/>
                <w:kern w:val="0"/>
                <w:sz w:val="21"/>
                <w:szCs w:val="21"/>
              </w:rPr>
            </w:pPr>
          </w:p>
        </w:tc>
      </w:tr>
      <w:tr w14:paraId="7CCA0518">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79BD2BAB">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①安全负责人身份证、岗位证书、社保证明等复印件</w:t>
            </w:r>
          </w:p>
        </w:tc>
        <w:tc>
          <w:tcPr>
            <w:tcW w:w="704" w:type="dxa"/>
            <w:tcBorders>
              <w:top w:val="nil"/>
              <w:left w:val="nil"/>
              <w:bottom w:val="single" w:color="auto" w:sz="4" w:space="0"/>
              <w:right w:val="single" w:color="auto" w:sz="4" w:space="0"/>
            </w:tcBorders>
            <w:vAlign w:val="center"/>
          </w:tcPr>
          <w:p w14:paraId="4E3E48AD">
            <w:pPr>
              <w:widowControl/>
              <w:snapToGrid w:val="0"/>
              <w:spacing w:line="264" w:lineRule="auto"/>
              <w:jc w:val="left"/>
              <w:rPr>
                <w:rFonts w:ascii="宋体" w:hAnsi="宋体" w:cs="宋体"/>
                <w:b/>
                <w:bCs/>
                <w:kern w:val="0"/>
                <w:sz w:val="21"/>
                <w:szCs w:val="21"/>
              </w:rPr>
            </w:pPr>
          </w:p>
        </w:tc>
        <w:tc>
          <w:tcPr>
            <w:tcW w:w="3461" w:type="dxa"/>
            <w:vMerge w:val="continue"/>
            <w:tcBorders>
              <w:top w:val="single" w:color="auto" w:sz="4" w:space="0"/>
              <w:left w:val="single" w:color="auto" w:sz="4" w:space="0"/>
              <w:bottom w:val="single" w:color="auto" w:sz="4" w:space="0"/>
              <w:right w:val="single" w:color="auto" w:sz="4" w:space="0"/>
            </w:tcBorders>
            <w:vAlign w:val="center"/>
          </w:tcPr>
          <w:p w14:paraId="24FA703D">
            <w:pPr>
              <w:widowControl/>
              <w:snapToGrid w:val="0"/>
              <w:spacing w:line="264" w:lineRule="auto"/>
              <w:jc w:val="left"/>
              <w:rPr>
                <w:rFonts w:ascii="楷体" w:hAnsi="楷体" w:eastAsia="楷体" w:cs="宋体"/>
                <w:kern w:val="0"/>
                <w:sz w:val="21"/>
                <w:szCs w:val="21"/>
              </w:rPr>
            </w:pPr>
          </w:p>
        </w:tc>
      </w:tr>
      <w:tr w14:paraId="09045AFE">
        <w:tblPrEx>
          <w:tblCellMar>
            <w:top w:w="0" w:type="dxa"/>
            <w:left w:w="108" w:type="dxa"/>
            <w:bottom w:w="0" w:type="dxa"/>
            <w:right w:w="108" w:type="dxa"/>
          </w:tblCellMar>
        </w:tblPrEx>
        <w:trPr>
          <w:trHeight w:val="397" w:hRule="atLeast"/>
        </w:trPr>
        <w:tc>
          <w:tcPr>
            <w:tcW w:w="5537" w:type="dxa"/>
            <w:tcBorders>
              <w:top w:val="single" w:color="auto" w:sz="4" w:space="0"/>
              <w:left w:val="single" w:color="auto" w:sz="4" w:space="0"/>
              <w:bottom w:val="single" w:color="auto" w:sz="4" w:space="0"/>
              <w:right w:val="single" w:color="auto" w:sz="4" w:space="0"/>
            </w:tcBorders>
            <w:vAlign w:val="center"/>
          </w:tcPr>
          <w:p w14:paraId="2B748A01">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②安全负责人业绩</w:t>
            </w:r>
          </w:p>
        </w:tc>
        <w:tc>
          <w:tcPr>
            <w:tcW w:w="704" w:type="dxa"/>
            <w:tcBorders>
              <w:top w:val="single" w:color="auto" w:sz="4" w:space="0"/>
              <w:left w:val="nil"/>
              <w:bottom w:val="single" w:color="auto" w:sz="4" w:space="0"/>
              <w:right w:val="single" w:color="auto" w:sz="4" w:space="0"/>
            </w:tcBorders>
            <w:vAlign w:val="center"/>
          </w:tcPr>
          <w:p w14:paraId="69CB589E">
            <w:pPr>
              <w:widowControl/>
              <w:snapToGrid w:val="0"/>
              <w:spacing w:line="264" w:lineRule="auto"/>
              <w:jc w:val="left"/>
              <w:rPr>
                <w:rFonts w:ascii="宋体" w:hAnsi="宋体" w:cs="宋体"/>
                <w:b/>
                <w:bCs/>
                <w:kern w:val="0"/>
                <w:sz w:val="21"/>
                <w:szCs w:val="21"/>
              </w:rPr>
            </w:pPr>
          </w:p>
        </w:tc>
        <w:tc>
          <w:tcPr>
            <w:tcW w:w="3461" w:type="dxa"/>
            <w:vMerge w:val="continue"/>
            <w:tcBorders>
              <w:top w:val="single" w:color="auto" w:sz="4" w:space="0"/>
              <w:left w:val="single" w:color="auto" w:sz="4" w:space="0"/>
              <w:bottom w:val="single" w:color="auto" w:sz="4" w:space="0"/>
              <w:right w:val="single" w:color="auto" w:sz="4" w:space="0"/>
            </w:tcBorders>
            <w:vAlign w:val="center"/>
          </w:tcPr>
          <w:p w14:paraId="44265CE3">
            <w:pPr>
              <w:widowControl/>
              <w:snapToGrid w:val="0"/>
              <w:spacing w:line="264" w:lineRule="auto"/>
              <w:jc w:val="left"/>
              <w:rPr>
                <w:rFonts w:ascii="楷体" w:hAnsi="楷体" w:eastAsia="楷体" w:cs="宋体"/>
                <w:kern w:val="0"/>
                <w:sz w:val="21"/>
                <w:szCs w:val="21"/>
              </w:rPr>
            </w:pPr>
          </w:p>
        </w:tc>
      </w:tr>
      <w:tr w14:paraId="75BE34D8">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5259CDCF">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w:t>
            </w:r>
          </w:p>
        </w:tc>
        <w:tc>
          <w:tcPr>
            <w:tcW w:w="704" w:type="dxa"/>
            <w:tcBorders>
              <w:top w:val="nil"/>
              <w:left w:val="nil"/>
              <w:bottom w:val="single" w:color="auto" w:sz="4" w:space="0"/>
              <w:right w:val="single" w:color="auto" w:sz="4" w:space="0"/>
            </w:tcBorders>
            <w:vAlign w:val="center"/>
          </w:tcPr>
          <w:p w14:paraId="36545265">
            <w:pPr>
              <w:widowControl/>
              <w:snapToGrid w:val="0"/>
              <w:spacing w:line="264" w:lineRule="auto"/>
              <w:jc w:val="left"/>
              <w:rPr>
                <w:rFonts w:ascii="宋体" w:hAnsi="宋体" w:cs="宋体"/>
                <w:b/>
                <w:bCs/>
                <w:kern w:val="0"/>
                <w:sz w:val="21"/>
                <w:szCs w:val="21"/>
              </w:rPr>
            </w:pPr>
          </w:p>
        </w:tc>
        <w:tc>
          <w:tcPr>
            <w:tcW w:w="3461" w:type="dxa"/>
            <w:vMerge w:val="continue"/>
            <w:tcBorders>
              <w:top w:val="single" w:color="auto" w:sz="4" w:space="0"/>
              <w:left w:val="single" w:color="auto" w:sz="4" w:space="0"/>
              <w:bottom w:val="single" w:color="auto" w:sz="4" w:space="0"/>
              <w:right w:val="single" w:color="auto" w:sz="4" w:space="0"/>
            </w:tcBorders>
            <w:vAlign w:val="center"/>
          </w:tcPr>
          <w:p w14:paraId="6C05F790">
            <w:pPr>
              <w:widowControl/>
              <w:snapToGrid w:val="0"/>
              <w:spacing w:line="264" w:lineRule="auto"/>
              <w:jc w:val="left"/>
              <w:rPr>
                <w:rFonts w:ascii="楷体" w:hAnsi="楷体" w:eastAsia="楷体" w:cs="宋体"/>
                <w:kern w:val="0"/>
                <w:sz w:val="21"/>
                <w:szCs w:val="21"/>
              </w:rPr>
            </w:pPr>
          </w:p>
        </w:tc>
      </w:tr>
      <w:tr w14:paraId="093A266E">
        <w:tblPrEx>
          <w:tblCellMar>
            <w:top w:w="0" w:type="dxa"/>
            <w:left w:w="108" w:type="dxa"/>
            <w:bottom w:w="0" w:type="dxa"/>
            <w:right w:w="108" w:type="dxa"/>
          </w:tblCellMar>
        </w:tblPrEx>
        <w:trPr>
          <w:trHeight w:val="397" w:hRule="atLeast"/>
        </w:trPr>
        <w:tc>
          <w:tcPr>
            <w:tcW w:w="5537" w:type="dxa"/>
            <w:tcBorders>
              <w:top w:val="single" w:color="auto" w:sz="4" w:space="0"/>
              <w:left w:val="single" w:color="auto" w:sz="4" w:space="0"/>
              <w:bottom w:val="single" w:color="auto" w:sz="4" w:space="0"/>
              <w:right w:val="single" w:color="auto" w:sz="4" w:space="0"/>
            </w:tcBorders>
            <w:vAlign w:val="center"/>
          </w:tcPr>
          <w:p w14:paraId="60985BFE">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4.投标人单位项目业绩证明</w:t>
            </w:r>
          </w:p>
        </w:tc>
        <w:tc>
          <w:tcPr>
            <w:tcW w:w="704" w:type="dxa"/>
            <w:tcBorders>
              <w:top w:val="single" w:color="auto" w:sz="4" w:space="0"/>
              <w:left w:val="nil"/>
              <w:bottom w:val="single" w:color="auto" w:sz="4" w:space="0"/>
              <w:right w:val="single" w:color="auto" w:sz="4" w:space="0"/>
            </w:tcBorders>
            <w:vAlign w:val="center"/>
          </w:tcPr>
          <w:p w14:paraId="2BCFE8AB">
            <w:pPr>
              <w:widowControl/>
              <w:snapToGrid w:val="0"/>
              <w:spacing w:line="264" w:lineRule="auto"/>
              <w:jc w:val="left"/>
              <w:rPr>
                <w:rFonts w:ascii="宋体" w:hAnsi="宋体" w:cs="宋体"/>
                <w:b/>
                <w:bCs/>
                <w:kern w:val="0"/>
                <w:sz w:val="21"/>
                <w:szCs w:val="21"/>
              </w:rPr>
            </w:pPr>
          </w:p>
        </w:tc>
        <w:tc>
          <w:tcPr>
            <w:tcW w:w="3461" w:type="dxa"/>
            <w:vMerge w:val="continue"/>
            <w:tcBorders>
              <w:top w:val="single" w:color="auto" w:sz="4" w:space="0"/>
              <w:left w:val="single" w:color="auto" w:sz="4" w:space="0"/>
              <w:bottom w:val="single" w:color="auto" w:sz="4" w:space="0"/>
              <w:right w:val="single" w:color="auto" w:sz="4" w:space="0"/>
            </w:tcBorders>
            <w:vAlign w:val="center"/>
          </w:tcPr>
          <w:p w14:paraId="19B2C81E">
            <w:pPr>
              <w:widowControl/>
              <w:snapToGrid w:val="0"/>
              <w:spacing w:line="264" w:lineRule="auto"/>
              <w:jc w:val="left"/>
              <w:rPr>
                <w:rFonts w:ascii="楷体" w:hAnsi="楷体" w:eastAsia="楷体" w:cs="宋体"/>
                <w:kern w:val="0"/>
                <w:sz w:val="21"/>
                <w:szCs w:val="21"/>
              </w:rPr>
            </w:pPr>
          </w:p>
        </w:tc>
      </w:tr>
      <w:tr w14:paraId="3CC41DBC">
        <w:tblPrEx>
          <w:tblCellMar>
            <w:top w:w="0" w:type="dxa"/>
            <w:left w:w="108" w:type="dxa"/>
            <w:bottom w:w="0" w:type="dxa"/>
            <w:right w:w="108" w:type="dxa"/>
          </w:tblCellMar>
        </w:tblPrEx>
        <w:trPr>
          <w:trHeight w:val="397" w:hRule="atLeast"/>
        </w:trPr>
        <w:tc>
          <w:tcPr>
            <w:tcW w:w="5537" w:type="dxa"/>
            <w:tcBorders>
              <w:top w:val="single" w:color="auto" w:sz="4" w:space="0"/>
              <w:left w:val="single" w:color="auto" w:sz="4" w:space="0"/>
              <w:bottom w:val="single" w:color="auto" w:sz="4" w:space="0"/>
              <w:right w:val="single" w:color="auto" w:sz="4" w:space="0"/>
            </w:tcBorders>
            <w:vAlign w:val="center"/>
          </w:tcPr>
          <w:p w14:paraId="142E426C">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（1）投标人单位业绩合同清单</w:t>
            </w:r>
          </w:p>
        </w:tc>
        <w:tc>
          <w:tcPr>
            <w:tcW w:w="704" w:type="dxa"/>
            <w:tcBorders>
              <w:top w:val="single" w:color="auto" w:sz="4" w:space="0"/>
              <w:left w:val="nil"/>
              <w:bottom w:val="single" w:color="auto" w:sz="4" w:space="0"/>
              <w:right w:val="single" w:color="auto" w:sz="4" w:space="0"/>
            </w:tcBorders>
            <w:vAlign w:val="center"/>
          </w:tcPr>
          <w:p w14:paraId="6C01FBD9">
            <w:pPr>
              <w:widowControl/>
              <w:snapToGrid w:val="0"/>
              <w:spacing w:line="264" w:lineRule="auto"/>
              <w:jc w:val="left"/>
              <w:rPr>
                <w:rFonts w:ascii="宋体" w:hAnsi="宋体" w:cs="宋体"/>
                <w:b/>
                <w:bCs/>
                <w:kern w:val="0"/>
                <w:sz w:val="21"/>
                <w:szCs w:val="21"/>
              </w:rPr>
            </w:pPr>
          </w:p>
        </w:tc>
        <w:tc>
          <w:tcPr>
            <w:tcW w:w="3461" w:type="dxa"/>
            <w:vMerge w:val="continue"/>
            <w:tcBorders>
              <w:top w:val="single" w:color="auto" w:sz="4" w:space="0"/>
              <w:left w:val="single" w:color="auto" w:sz="4" w:space="0"/>
              <w:bottom w:val="single" w:color="auto" w:sz="4" w:space="0"/>
              <w:right w:val="single" w:color="auto" w:sz="4" w:space="0"/>
            </w:tcBorders>
            <w:vAlign w:val="center"/>
          </w:tcPr>
          <w:p w14:paraId="00A702D7">
            <w:pPr>
              <w:widowControl/>
              <w:snapToGrid w:val="0"/>
              <w:spacing w:line="264" w:lineRule="auto"/>
              <w:jc w:val="left"/>
              <w:rPr>
                <w:rFonts w:ascii="楷体" w:hAnsi="楷体" w:eastAsia="楷体" w:cs="宋体"/>
                <w:kern w:val="0"/>
                <w:sz w:val="21"/>
                <w:szCs w:val="21"/>
              </w:rPr>
            </w:pPr>
          </w:p>
        </w:tc>
      </w:tr>
      <w:tr w14:paraId="22CCF27D">
        <w:tblPrEx>
          <w:tblCellMar>
            <w:top w:w="0" w:type="dxa"/>
            <w:left w:w="108" w:type="dxa"/>
            <w:bottom w:w="0" w:type="dxa"/>
            <w:right w:w="108" w:type="dxa"/>
          </w:tblCellMar>
        </w:tblPrEx>
        <w:trPr>
          <w:trHeight w:val="397" w:hRule="atLeast"/>
        </w:trPr>
        <w:tc>
          <w:tcPr>
            <w:tcW w:w="5537" w:type="dxa"/>
            <w:tcBorders>
              <w:top w:val="nil"/>
              <w:left w:val="single" w:color="auto" w:sz="4" w:space="0"/>
              <w:bottom w:val="single" w:color="auto" w:sz="4" w:space="0"/>
              <w:right w:val="single" w:color="auto" w:sz="4" w:space="0"/>
            </w:tcBorders>
            <w:vAlign w:val="center"/>
          </w:tcPr>
          <w:p w14:paraId="19DAA0AC">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w:t>
            </w:r>
          </w:p>
        </w:tc>
        <w:tc>
          <w:tcPr>
            <w:tcW w:w="704" w:type="dxa"/>
            <w:tcBorders>
              <w:top w:val="nil"/>
              <w:left w:val="nil"/>
              <w:bottom w:val="single" w:color="auto" w:sz="4" w:space="0"/>
              <w:right w:val="single" w:color="auto" w:sz="4" w:space="0"/>
            </w:tcBorders>
            <w:vAlign w:val="center"/>
          </w:tcPr>
          <w:p w14:paraId="10A11FEC">
            <w:pPr>
              <w:widowControl/>
              <w:snapToGrid w:val="0"/>
              <w:spacing w:line="264" w:lineRule="auto"/>
              <w:jc w:val="left"/>
              <w:rPr>
                <w:rFonts w:ascii="宋体" w:hAnsi="宋体" w:cs="宋体"/>
                <w:b/>
                <w:bCs/>
                <w:kern w:val="0"/>
                <w:sz w:val="21"/>
                <w:szCs w:val="21"/>
              </w:rPr>
            </w:pPr>
          </w:p>
        </w:tc>
        <w:tc>
          <w:tcPr>
            <w:tcW w:w="3461" w:type="dxa"/>
            <w:vMerge w:val="continue"/>
            <w:tcBorders>
              <w:top w:val="single" w:color="auto" w:sz="4" w:space="0"/>
              <w:left w:val="single" w:color="auto" w:sz="4" w:space="0"/>
              <w:bottom w:val="single" w:color="auto" w:sz="4" w:space="0"/>
              <w:right w:val="single" w:color="auto" w:sz="4" w:space="0"/>
            </w:tcBorders>
            <w:vAlign w:val="center"/>
          </w:tcPr>
          <w:p w14:paraId="7CB3D1B8">
            <w:pPr>
              <w:widowControl/>
              <w:snapToGrid w:val="0"/>
              <w:spacing w:line="264" w:lineRule="auto"/>
              <w:jc w:val="left"/>
              <w:rPr>
                <w:rFonts w:ascii="楷体" w:hAnsi="楷体" w:eastAsia="楷体" w:cs="宋体"/>
                <w:kern w:val="0"/>
                <w:sz w:val="21"/>
                <w:szCs w:val="21"/>
              </w:rPr>
            </w:pPr>
          </w:p>
        </w:tc>
      </w:tr>
      <w:tr w14:paraId="7D055204">
        <w:tblPrEx>
          <w:tblCellMar>
            <w:top w:w="0" w:type="dxa"/>
            <w:left w:w="108" w:type="dxa"/>
            <w:bottom w:w="0" w:type="dxa"/>
            <w:right w:w="108" w:type="dxa"/>
          </w:tblCellMar>
        </w:tblPrEx>
        <w:trPr>
          <w:trHeight w:val="397" w:hRule="atLeast"/>
        </w:trPr>
        <w:tc>
          <w:tcPr>
            <w:tcW w:w="5537" w:type="dxa"/>
            <w:tcBorders>
              <w:top w:val="single" w:color="auto" w:sz="4" w:space="0"/>
              <w:left w:val="single" w:color="auto" w:sz="4" w:space="0"/>
              <w:bottom w:val="single" w:color="auto" w:sz="4" w:space="0"/>
              <w:right w:val="single" w:color="auto" w:sz="4" w:space="0"/>
            </w:tcBorders>
            <w:vAlign w:val="center"/>
          </w:tcPr>
          <w:p w14:paraId="7AB47A11">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5.业绩履职情况评价证明</w:t>
            </w:r>
            <w:r>
              <w:rPr>
                <w:rFonts w:ascii="楷体" w:hAnsi="楷体" w:eastAsia="楷体" w:cs="宋体"/>
                <w:kern w:val="0"/>
                <w:sz w:val="21"/>
                <w:szCs w:val="21"/>
              </w:rPr>
              <w:t>（如有）</w:t>
            </w:r>
          </w:p>
        </w:tc>
        <w:tc>
          <w:tcPr>
            <w:tcW w:w="704" w:type="dxa"/>
            <w:tcBorders>
              <w:top w:val="single" w:color="auto" w:sz="4" w:space="0"/>
              <w:left w:val="nil"/>
              <w:bottom w:val="single" w:color="auto" w:sz="4" w:space="0"/>
              <w:right w:val="single" w:color="auto" w:sz="4" w:space="0"/>
            </w:tcBorders>
            <w:vAlign w:val="center"/>
          </w:tcPr>
          <w:p w14:paraId="7B9AE547">
            <w:pPr>
              <w:widowControl/>
              <w:snapToGrid w:val="0"/>
              <w:spacing w:line="264" w:lineRule="auto"/>
              <w:jc w:val="left"/>
              <w:rPr>
                <w:rFonts w:ascii="宋体" w:hAnsi="宋体" w:cs="宋体"/>
                <w:b/>
                <w:bCs/>
                <w:kern w:val="0"/>
                <w:sz w:val="21"/>
                <w:szCs w:val="21"/>
              </w:rPr>
            </w:pPr>
          </w:p>
        </w:tc>
        <w:tc>
          <w:tcPr>
            <w:tcW w:w="3461" w:type="dxa"/>
            <w:vMerge w:val="continue"/>
            <w:tcBorders>
              <w:top w:val="single" w:color="auto" w:sz="4" w:space="0"/>
              <w:left w:val="single" w:color="auto" w:sz="4" w:space="0"/>
              <w:bottom w:val="single" w:color="auto" w:sz="4" w:space="0"/>
              <w:right w:val="single" w:color="auto" w:sz="4" w:space="0"/>
            </w:tcBorders>
            <w:vAlign w:val="center"/>
          </w:tcPr>
          <w:p w14:paraId="7707548E">
            <w:pPr>
              <w:widowControl/>
              <w:snapToGrid w:val="0"/>
              <w:spacing w:line="264" w:lineRule="auto"/>
              <w:jc w:val="left"/>
              <w:rPr>
                <w:rFonts w:ascii="楷体" w:hAnsi="楷体" w:eastAsia="楷体" w:cs="宋体"/>
                <w:kern w:val="0"/>
                <w:sz w:val="21"/>
                <w:szCs w:val="21"/>
              </w:rPr>
            </w:pPr>
          </w:p>
        </w:tc>
      </w:tr>
      <w:tr w14:paraId="3C9D30CA">
        <w:tblPrEx>
          <w:tblCellMar>
            <w:top w:w="0" w:type="dxa"/>
            <w:left w:w="108" w:type="dxa"/>
            <w:bottom w:w="0" w:type="dxa"/>
            <w:right w:w="108" w:type="dxa"/>
          </w:tblCellMar>
        </w:tblPrEx>
        <w:trPr>
          <w:trHeight w:val="397" w:hRule="atLeast"/>
        </w:trPr>
        <w:tc>
          <w:tcPr>
            <w:tcW w:w="5537" w:type="dxa"/>
            <w:tcBorders>
              <w:top w:val="single" w:color="auto" w:sz="4" w:space="0"/>
              <w:left w:val="single" w:color="auto" w:sz="4" w:space="0"/>
              <w:bottom w:val="single" w:color="auto" w:sz="4" w:space="0"/>
              <w:right w:val="single" w:color="auto" w:sz="4" w:space="0"/>
            </w:tcBorders>
            <w:vAlign w:val="center"/>
          </w:tcPr>
          <w:p w14:paraId="10040A0F">
            <w:pPr>
              <w:widowControl/>
              <w:snapToGrid w:val="0"/>
              <w:spacing w:line="264" w:lineRule="auto"/>
              <w:jc w:val="left"/>
              <w:rPr>
                <w:rFonts w:ascii="宋体" w:hAnsi="宋体" w:cs="宋体"/>
                <w:kern w:val="0"/>
                <w:sz w:val="21"/>
                <w:szCs w:val="21"/>
              </w:rPr>
            </w:pPr>
            <w:r>
              <w:rPr>
                <w:rFonts w:hint="eastAsia" w:ascii="宋体" w:hAnsi="宋体" w:cs="宋体"/>
                <w:kern w:val="0"/>
                <w:sz w:val="21"/>
                <w:szCs w:val="21"/>
              </w:rPr>
              <w:t>6.其他</w:t>
            </w:r>
            <w:r>
              <w:rPr>
                <w:rFonts w:hint="eastAsia" w:ascii="楷体" w:hAnsi="楷体" w:eastAsia="楷体" w:cs="宋体"/>
                <w:kern w:val="0"/>
                <w:sz w:val="21"/>
                <w:szCs w:val="21"/>
              </w:rPr>
              <w:t>（与评审有关的内容）</w:t>
            </w:r>
          </w:p>
        </w:tc>
        <w:tc>
          <w:tcPr>
            <w:tcW w:w="704" w:type="dxa"/>
            <w:tcBorders>
              <w:top w:val="single" w:color="auto" w:sz="4" w:space="0"/>
              <w:left w:val="nil"/>
              <w:bottom w:val="single" w:color="auto" w:sz="4" w:space="0"/>
              <w:right w:val="single" w:color="auto" w:sz="4" w:space="0"/>
            </w:tcBorders>
            <w:vAlign w:val="center"/>
          </w:tcPr>
          <w:p w14:paraId="4C6D3717">
            <w:pPr>
              <w:widowControl/>
              <w:snapToGrid w:val="0"/>
              <w:spacing w:line="264" w:lineRule="auto"/>
              <w:jc w:val="left"/>
              <w:rPr>
                <w:rFonts w:ascii="宋体" w:hAnsi="宋体" w:cs="宋体"/>
                <w:b/>
                <w:bCs/>
                <w:kern w:val="0"/>
                <w:sz w:val="21"/>
                <w:szCs w:val="21"/>
              </w:rPr>
            </w:pPr>
          </w:p>
        </w:tc>
        <w:tc>
          <w:tcPr>
            <w:tcW w:w="3461" w:type="dxa"/>
            <w:vMerge w:val="continue"/>
            <w:tcBorders>
              <w:top w:val="single" w:color="auto" w:sz="4" w:space="0"/>
              <w:left w:val="single" w:color="auto" w:sz="4" w:space="0"/>
              <w:bottom w:val="single" w:color="auto" w:sz="4" w:space="0"/>
              <w:right w:val="single" w:color="auto" w:sz="4" w:space="0"/>
            </w:tcBorders>
            <w:vAlign w:val="center"/>
          </w:tcPr>
          <w:p w14:paraId="41016400">
            <w:pPr>
              <w:widowControl/>
              <w:snapToGrid w:val="0"/>
              <w:spacing w:line="264" w:lineRule="auto"/>
              <w:jc w:val="left"/>
              <w:rPr>
                <w:rFonts w:ascii="楷体" w:hAnsi="楷体" w:eastAsia="楷体" w:cs="宋体"/>
                <w:kern w:val="0"/>
                <w:sz w:val="21"/>
                <w:szCs w:val="21"/>
              </w:rPr>
            </w:pPr>
          </w:p>
        </w:tc>
      </w:tr>
      <w:tr w14:paraId="14A7A6E7">
        <w:tblPrEx>
          <w:tblCellMar>
            <w:top w:w="0" w:type="dxa"/>
            <w:left w:w="108" w:type="dxa"/>
            <w:bottom w:w="0" w:type="dxa"/>
            <w:right w:w="108" w:type="dxa"/>
          </w:tblCellMar>
        </w:tblPrEx>
        <w:trPr>
          <w:trHeight w:val="397" w:hRule="atLeast"/>
        </w:trPr>
        <w:tc>
          <w:tcPr>
            <w:tcW w:w="5537" w:type="dxa"/>
            <w:tcBorders>
              <w:top w:val="single" w:color="auto" w:sz="4" w:space="0"/>
              <w:left w:val="single" w:color="auto" w:sz="4" w:space="0"/>
              <w:bottom w:val="single" w:color="auto" w:sz="4" w:space="0"/>
              <w:right w:val="single" w:color="auto" w:sz="4" w:space="0"/>
            </w:tcBorders>
            <w:vAlign w:val="center"/>
          </w:tcPr>
          <w:p w14:paraId="37BB5EB7">
            <w:pPr>
              <w:widowControl/>
              <w:snapToGrid w:val="0"/>
              <w:spacing w:line="264" w:lineRule="auto"/>
              <w:jc w:val="left"/>
              <w:rPr>
                <w:rFonts w:ascii="宋体" w:hAnsi="宋体" w:cs="宋体"/>
                <w:b/>
                <w:bCs/>
                <w:kern w:val="0"/>
                <w:sz w:val="21"/>
                <w:szCs w:val="21"/>
              </w:rPr>
            </w:pPr>
            <w:r>
              <w:rPr>
                <w:rFonts w:hint="eastAsia" w:ascii="宋体" w:hAnsi="宋体" w:cs="宋体"/>
                <w:b/>
                <w:bCs/>
                <w:kern w:val="0"/>
                <w:sz w:val="21"/>
                <w:szCs w:val="21"/>
              </w:rPr>
              <w:t>第三部分：已标价工程量清单</w:t>
            </w:r>
          </w:p>
        </w:tc>
        <w:tc>
          <w:tcPr>
            <w:tcW w:w="704" w:type="dxa"/>
            <w:tcBorders>
              <w:top w:val="single" w:color="auto" w:sz="4" w:space="0"/>
              <w:left w:val="single" w:color="auto" w:sz="4" w:space="0"/>
              <w:bottom w:val="single" w:color="auto" w:sz="4" w:space="0"/>
              <w:right w:val="single" w:color="auto" w:sz="4" w:space="0"/>
            </w:tcBorders>
            <w:vAlign w:val="center"/>
          </w:tcPr>
          <w:p w14:paraId="53E5C78C">
            <w:pPr>
              <w:widowControl/>
              <w:snapToGrid w:val="0"/>
              <w:spacing w:line="264" w:lineRule="auto"/>
              <w:jc w:val="left"/>
              <w:rPr>
                <w:rFonts w:ascii="宋体" w:hAnsi="宋体" w:cs="宋体"/>
                <w:b/>
                <w:bCs/>
                <w:kern w:val="0"/>
                <w:sz w:val="21"/>
                <w:szCs w:val="21"/>
              </w:rPr>
            </w:pPr>
          </w:p>
        </w:tc>
        <w:tc>
          <w:tcPr>
            <w:tcW w:w="3461" w:type="dxa"/>
            <w:tcBorders>
              <w:top w:val="single" w:color="auto" w:sz="4" w:space="0"/>
              <w:left w:val="single" w:color="auto" w:sz="4" w:space="0"/>
              <w:bottom w:val="single" w:color="auto" w:sz="4" w:space="0"/>
              <w:right w:val="single" w:color="auto" w:sz="4" w:space="0"/>
            </w:tcBorders>
            <w:vAlign w:val="center"/>
          </w:tcPr>
          <w:p w14:paraId="6BC1D5CE">
            <w:pPr>
              <w:widowControl/>
              <w:snapToGrid w:val="0"/>
              <w:spacing w:line="264" w:lineRule="auto"/>
              <w:jc w:val="left"/>
              <w:rPr>
                <w:rFonts w:ascii="华文楷体" w:hAnsi="华文楷体" w:eastAsia="华文楷体" w:cs="宋体"/>
                <w:kern w:val="0"/>
                <w:sz w:val="21"/>
                <w:szCs w:val="21"/>
              </w:rPr>
            </w:pPr>
            <w:r>
              <w:rPr>
                <w:rFonts w:hint="eastAsia" w:ascii="华文楷体" w:hAnsi="华文楷体" w:eastAsia="华文楷体" w:cs="宋体"/>
                <w:bCs/>
                <w:kern w:val="0"/>
                <w:sz w:val="21"/>
                <w:szCs w:val="21"/>
              </w:rPr>
              <w:t>结合招标项目实际修订、完善</w:t>
            </w:r>
            <w:r>
              <w:rPr>
                <w:rFonts w:ascii="华文楷体" w:hAnsi="华文楷体" w:eastAsia="华文楷体" w:cs="宋体"/>
                <w:bCs/>
                <w:kern w:val="0"/>
                <w:sz w:val="21"/>
                <w:szCs w:val="21"/>
              </w:rPr>
              <w:t>目录</w:t>
            </w:r>
          </w:p>
        </w:tc>
      </w:tr>
      <w:tr w14:paraId="072E5EA3">
        <w:tblPrEx>
          <w:tblCellMar>
            <w:top w:w="0" w:type="dxa"/>
            <w:left w:w="108" w:type="dxa"/>
            <w:bottom w:w="0" w:type="dxa"/>
            <w:right w:w="108" w:type="dxa"/>
          </w:tblCellMar>
        </w:tblPrEx>
        <w:trPr>
          <w:trHeight w:val="412" w:hRule="atLeast"/>
        </w:trPr>
        <w:tc>
          <w:tcPr>
            <w:tcW w:w="5537" w:type="dxa"/>
            <w:tcBorders>
              <w:top w:val="single" w:color="auto" w:sz="4" w:space="0"/>
              <w:left w:val="single" w:color="auto" w:sz="4" w:space="0"/>
              <w:bottom w:val="single" w:color="auto" w:sz="4" w:space="0"/>
              <w:right w:val="single" w:color="auto" w:sz="4" w:space="0"/>
            </w:tcBorders>
            <w:vAlign w:val="center"/>
          </w:tcPr>
          <w:p w14:paraId="2DBBFC09">
            <w:pPr>
              <w:widowControl/>
              <w:snapToGrid w:val="0"/>
              <w:spacing w:line="264" w:lineRule="auto"/>
              <w:jc w:val="left"/>
              <w:rPr>
                <w:rFonts w:ascii="宋体" w:hAnsi="宋体" w:cs="宋体"/>
                <w:b/>
                <w:bCs/>
                <w:kern w:val="0"/>
                <w:sz w:val="21"/>
                <w:szCs w:val="21"/>
              </w:rPr>
            </w:pPr>
            <w:r>
              <w:rPr>
                <w:rFonts w:hint="eastAsia" w:ascii="宋体" w:hAnsi="宋体" w:cs="宋体"/>
                <w:b/>
                <w:bCs/>
                <w:kern w:val="0"/>
                <w:sz w:val="21"/>
                <w:szCs w:val="21"/>
              </w:rPr>
              <w:t>第四部分：施工技术方案</w:t>
            </w:r>
          </w:p>
        </w:tc>
        <w:tc>
          <w:tcPr>
            <w:tcW w:w="704" w:type="dxa"/>
            <w:tcBorders>
              <w:top w:val="single" w:color="auto" w:sz="4" w:space="0"/>
              <w:left w:val="single" w:color="auto" w:sz="4" w:space="0"/>
              <w:bottom w:val="single" w:color="auto" w:sz="4" w:space="0"/>
              <w:right w:val="single" w:color="auto" w:sz="4" w:space="0"/>
            </w:tcBorders>
            <w:vAlign w:val="center"/>
          </w:tcPr>
          <w:p w14:paraId="5D72CBEE">
            <w:pPr>
              <w:widowControl/>
              <w:snapToGrid w:val="0"/>
              <w:spacing w:line="264" w:lineRule="auto"/>
              <w:jc w:val="left"/>
              <w:rPr>
                <w:rFonts w:ascii="宋体" w:hAnsi="宋体" w:cs="宋体"/>
                <w:b/>
                <w:bCs/>
                <w:kern w:val="0"/>
                <w:sz w:val="21"/>
                <w:szCs w:val="21"/>
              </w:rPr>
            </w:pPr>
          </w:p>
        </w:tc>
        <w:tc>
          <w:tcPr>
            <w:tcW w:w="3461" w:type="dxa"/>
            <w:vMerge w:val="restart"/>
            <w:tcBorders>
              <w:top w:val="single" w:color="auto" w:sz="4" w:space="0"/>
              <w:left w:val="single" w:color="auto" w:sz="4" w:space="0"/>
              <w:right w:val="single" w:color="auto" w:sz="4" w:space="0"/>
            </w:tcBorders>
            <w:vAlign w:val="center"/>
          </w:tcPr>
          <w:p w14:paraId="6D13206C">
            <w:pPr>
              <w:widowControl/>
              <w:snapToGrid w:val="0"/>
              <w:spacing w:line="264" w:lineRule="auto"/>
              <w:jc w:val="left"/>
              <w:rPr>
                <w:rFonts w:ascii="华文楷体" w:hAnsi="华文楷体" w:eastAsia="华文楷体" w:cs="宋体"/>
                <w:kern w:val="0"/>
                <w:sz w:val="21"/>
                <w:szCs w:val="21"/>
              </w:rPr>
            </w:pPr>
            <w:r>
              <w:rPr>
                <w:rFonts w:hint="eastAsia" w:ascii="华文楷体" w:hAnsi="华文楷体" w:eastAsia="华文楷体" w:cs="宋体"/>
                <w:kern w:val="0"/>
                <w:sz w:val="21"/>
                <w:szCs w:val="21"/>
              </w:rPr>
              <w:t>（1）按照第四章“评标办法”附件3-1“详细评审标准及计分表”“（三）技术部分”中的“序号”及“评分项目”内容对应编制，格式自拟。</w:t>
            </w:r>
          </w:p>
          <w:p w14:paraId="4AC189C4">
            <w:pPr>
              <w:widowControl/>
              <w:snapToGrid w:val="0"/>
              <w:spacing w:line="264" w:lineRule="auto"/>
              <w:jc w:val="left"/>
              <w:rPr>
                <w:rFonts w:ascii="楷体" w:hAnsi="楷体" w:eastAsia="楷体" w:cs="宋体"/>
                <w:b/>
                <w:bCs/>
                <w:kern w:val="0"/>
                <w:sz w:val="22"/>
                <w:szCs w:val="22"/>
              </w:rPr>
            </w:pPr>
            <w:r>
              <w:rPr>
                <w:rFonts w:hint="eastAsia" w:ascii="华文楷体" w:hAnsi="华文楷体" w:eastAsia="华文楷体" w:cs="宋体"/>
                <w:kern w:val="0"/>
                <w:sz w:val="21"/>
                <w:szCs w:val="21"/>
              </w:rPr>
              <w:t>（2）目录中应体现相关招标人给定格式的名称、页码。</w:t>
            </w:r>
          </w:p>
        </w:tc>
      </w:tr>
      <w:tr w14:paraId="6C8CDE56">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72317C5F">
            <w:pPr>
              <w:widowControl/>
              <w:numPr>
                <w:ilvl w:val="0"/>
                <w:numId w:val="8"/>
              </w:numPr>
              <w:snapToGrid w:val="0"/>
              <w:spacing w:line="312" w:lineRule="auto"/>
              <w:jc w:val="left"/>
              <w:rPr>
                <w:sz w:val="21"/>
                <w:szCs w:val="21"/>
              </w:rPr>
            </w:pPr>
            <w:r>
              <w:rPr>
                <w:rFonts w:hint="eastAsia" w:ascii="宋体" w:hAnsi="宋体"/>
                <w:sz w:val="21"/>
                <w:szCs w:val="21"/>
              </w:rPr>
              <w:t>项目机构、项目经理部人员设置</w:t>
            </w:r>
          </w:p>
        </w:tc>
        <w:tc>
          <w:tcPr>
            <w:tcW w:w="704" w:type="dxa"/>
            <w:tcBorders>
              <w:top w:val="single" w:color="auto" w:sz="4" w:space="0"/>
              <w:left w:val="single" w:color="auto" w:sz="4" w:space="0"/>
              <w:bottom w:val="single" w:color="auto" w:sz="4" w:space="0"/>
              <w:right w:val="single" w:color="auto" w:sz="4" w:space="0"/>
            </w:tcBorders>
            <w:vAlign w:val="center"/>
          </w:tcPr>
          <w:p w14:paraId="031E495B">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1F60382E">
            <w:pPr>
              <w:widowControl/>
              <w:snapToGrid w:val="0"/>
              <w:spacing w:line="264" w:lineRule="auto"/>
              <w:jc w:val="left"/>
              <w:rPr>
                <w:rFonts w:ascii="楷体" w:hAnsi="楷体" w:eastAsia="楷体" w:cs="宋体"/>
                <w:b/>
                <w:bCs/>
                <w:kern w:val="0"/>
                <w:sz w:val="22"/>
                <w:szCs w:val="22"/>
              </w:rPr>
            </w:pPr>
          </w:p>
        </w:tc>
      </w:tr>
      <w:tr w14:paraId="25506BDB">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59AA107D">
            <w:pPr>
              <w:snapToGrid w:val="0"/>
              <w:spacing w:line="312" w:lineRule="auto"/>
              <w:rPr>
                <w:rFonts w:ascii="宋体" w:hAnsi="宋体" w:cs="宋体"/>
                <w:kern w:val="0"/>
                <w:sz w:val="21"/>
                <w:szCs w:val="21"/>
              </w:rPr>
            </w:pPr>
            <w:r>
              <w:rPr>
                <w:rFonts w:ascii="宋体" w:hAnsi="宋体" w:cs="宋体"/>
                <w:kern w:val="0"/>
                <w:sz w:val="21"/>
                <w:szCs w:val="21"/>
              </w:rPr>
              <w:t>2.</w:t>
            </w:r>
            <w:r>
              <w:rPr>
                <w:rFonts w:hint="eastAsia" w:ascii="宋体" w:hAnsi="宋体" w:cs="宋体"/>
                <w:kern w:val="0"/>
                <w:sz w:val="21"/>
                <w:szCs w:val="21"/>
              </w:rPr>
              <w:t>施工方案与技术措施</w:t>
            </w:r>
          </w:p>
        </w:tc>
        <w:tc>
          <w:tcPr>
            <w:tcW w:w="704" w:type="dxa"/>
            <w:tcBorders>
              <w:top w:val="single" w:color="auto" w:sz="4" w:space="0"/>
              <w:left w:val="single" w:color="auto" w:sz="4" w:space="0"/>
              <w:bottom w:val="single" w:color="auto" w:sz="4" w:space="0"/>
              <w:right w:val="single" w:color="auto" w:sz="4" w:space="0"/>
            </w:tcBorders>
            <w:vAlign w:val="center"/>
          </w:tcPr>
          <w:p w14:paraId="0B43762E">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5FD9548F">
            <w:pPr>
              <w:widowControl/>
              <w:snapToGrid w:val="0"/>
              <w:spacing w:line="264" w:lineRule="auto"/>
              <w:jc w:val="left"/>
              <w:rPr>
                <w:rFonts w:ascii="楷体" w:hAnsi="楷体" w:eastAsia="楷体" w:cs="宋体"/>
                <w:b/>
                <w:bCs/>
                <w:kern w:val="0"/>
                <w:sz w:val="22"/>
                <w:szCs w:val="22"/>
              </w:rPr>
            </w:pPr>
          </w:p>
        </w:tc>
      </w:tr>
      <w:tr w14:paraId="17C8D174">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7F49C815">
            <w:pPr>
              <w:snapToGrid w:val="0"/>
              <w:spacing w:line="312" w:lineRule="auto"/>
              <w:rPr>
                <w:rFonts w:ascii="宋体" w:hAnsi="宋体" w:cs="宋体"/>
                <w:kern w:val="0"/>
                <w:sz w:val="21"/>
                <w:szCs w:val="21"/>
              </w:rPr>
            </w:pPr>
            <w:r>
              <w:rPr>
                <w:rFonts w:ascii="宋体" w:hAnsi="宋体" w:cs="宋体"/>
                <w:kern w:val="0"/>
                <w:sz w:val="21"/>
                <w:szCs w:val="21"/>
              </w:rPr>
              <w:t>3.</w:t>
            </w:r>
            <w:r>
              <w:rPr>
                <w:rFonts w:hint="eastAsia" w:ascii="宋体" w:hAnsi="宋体" w:cs="宋体"/>
                <w:sz w:val="21"/>
                <w:szCs w:val="21"/>
              </w:rPr>
              <w:t>施工机具及检测设备配备</w:t>
            </w:r>
          </w:p>
        </w:tc>
        <w:tc>
          <w:tcPr>
            <w:tcW w:w="704" w:type="dxa"/>
            <w:tcBorders>
              <w:top w:val="single" w:color="auto" w:sz="4" w:space="0"/>
              <w:left w:val="single" w:color="auto" w:sz="4" w:space="0"/>
              <w:bottom w:val="single" w:color="auto" w:sz="4" w:space="0"/>
              <w:right w:val="single" w:color="auto" w:sz="4" w:space="0"/>
            </w:tcBorders>
            <w:vAlign w:val="center"/>
          </w:tcPr>
          <w:p w14:paraId="083DC0DE">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190EC3AF">
            <w:pPr>
              <w:widowControl/>
              <w:snapToGrid w:val="0"/>
              <w:spacing w:line="264" w:lineRule="auto"/>
              <w:jc w:val="left"/>
              <w:rPr>
                <w:rFonts w:ascii="楷体" w:hAnsi="楷体" w:eastAsia="楷体" w:cs="宋体"/>
                <w:b/>
                <w:bCs/>
                <w:kern w:val="0"/>
                <w:sz w:val="22"/>
                <w:szCs w:val="22"/>
              </w:rPr>
            </w:pPr>
          </w:p>
        </w:tc>
      </w:tr>
      <w:tr w14:paraId="106594CF">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5EBF4303">
            <w:pPr>
              <w:snapToGrid w:val="0"/>
              <w:spacing w:line="312" w:lineRule="auto"/>
              <w:rPr>
                <w:rFonts w:ascii="宋体" w:hAnsi="宋体" w:cs="宋体"/>
                <w:kern w:val="0"/>
                <w:sz w:val="21"/>
                <w:szCs w:val="21"/>
              </w:rPr>
            </w:pPr>
            <w:r>
              <w:rPr>
                <w:rFonts w:ascii="宋体" w:hAnsi="宋体" w:cs="宋体"/>
                <w:kern w:val="0"/>
                <w:sz w:val="21"/>
                <w:szCs w:val="21"/>
              </w:rPr>
              <w:t>4.</w:t>
            </w:r>
            <w:r>
              <w:rPr>
                <w:rFonts w:hint="eastAsia" w:ascii="宋体" w:hAnsi="宋体"/>
                <w:sz w:val="21"/>
                <w:szCs w:val="21"/>
              </w:rPr>
              <w:t>质量</w:t>
            </w:r>
            <w:r>
              <w:rPr>
                <w:rFonts w:ascii="宋体" w:hAnsi="宋体"/>
                <w:sz w:val="21"/>
                <w:szCs w:val="21"/>
              </w:rPr>
              <w:t>管理体系与</w:t>
            </w:r>
            <w:r>
              <w:rPr>
                <w:rFonts w:hint="eastAsia" w:ascii="宋体" w:hAnsi="宋体"/>
                <w:sz w:val="21"/>
                <w:szCs w:val="21"/>
              </w:rPr>
              <w:t>保证措施</w:t>
            </w:r>
          </w:p>
        </w:tc>
        <w:tc>
          <w:tcPr>
            <w:tcW w:w="704" w:type="dxa"/>
            <w:tcBorders>
              <w:top w:val="single" w:color="auto" w:sz="4" w:space="0"/>
              <w:left w:val="single" w:color="auto" w:sz="4" w:space="0"/>
              <w:bottom w:val="single" w:color="auto" w:sz="4" w:space="0"/>
              <w:right w:val="single" w:color="auto" w:sz="4" w:space="0"/>
            </w:tcBorders>
            <w:vAlign w:val="center"/>
          </w:tcPr>
          <w:p w14:paraId="42DD2A11">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155D33D3">
            <w:pPr>
              <w:widowControl/>
              <w:snapToGrid w:val="0"/>
              <w:spacing w:line="264" w:lineRule="auto"/>
              <w:jc w:val="left"/>
              <w:rPr>
                <w:rFonts w:ascii="楷体" w:hAnsi="楷体" w:eastAsia="楷体" w:cs="宋体"/>
                <w:b/>
                <w:bCs/>
                <w:kern w:val="0"/>
                <w:sz w:val="22"/>
                <w:szCs w:val="22"/>
              </w:rPr>
            </w:pPr>
          </w:p>
        </w:tc>
      </w:tr>
      <w:tr w14:paraId="606C584F">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2ECD1267">
            <w:pPr>
              <w:snapToGrid w:val="0"/>
              <w:spacing w:line="312" w:lineRule="auto"/>
              <w:rPr>
                <w:rFonts w:ascii="宋体" w:hAnsi="宋体" w:cs="宋体"/>
                <w:kern w:val="0"/>
                <w:sz w:val="21"/>
                <w:szCs w:val="21"/>
              </w:rPr>
            </w:pPr>
            <w:r>
              <w:rPr>
                <w:rFonts w:ascii="宋体" w:hAnsi="宋体" w:cs="宋体"/>
                <w:kern w:val="0"/>
                <w:sz w:val="21"/>
                <w:szCs w:val="21"/>
              </w:rPr>
              <w:t>5.</w:t>
            </w:r>
            <w:r>
              <w:rPr>
                <w:rFonts w:hint="eastAsia" w:ascii="宋体" w:hAnsi="宋体"/>
                <w:sz w:val="21"/>
                <w:szCs w:val="21"/>
              </w:rPr>
              <w:t>工程进度计划与保证措施</w:t>
            </w:r>
          </w:p>
        </w:tc>
        <w:tc>
          <w:tcPr>
            <w:tcW w:w="704" w:type="dxa"/>
            <w:tcBorders>
              <w:top w:val="single" w:color="auto" w:sz="4" w:space="0"/>
              <w:left w:val="single" w:color="auto" w:sz="4" w:space="0"/>
              <w:bottom w:val="single" w:color="auto" w:sz="4" w:space="0"/>
              <w:right w:val="single" w:color="auto" w:sz="4" w:space="0"/>
            </w:tcBorders>
            <w:vAlign w:val="center"/>
          </w:tcPr>
          <w:p w14:paraId="0A2386FE">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531D7C07">
            <w:pPr>
              <w:widowControl/>
              <w:snapToGrid w:val="0"/>
              <w:spacing w:line="264" w:lineRule="auto"/>
              <w:jc w:val="left"/>
              <w:rPr>
                <w:rFonts w:ascii="楷体" w:hAnsi="楷体" w:eastAsia="楷体" w:cs="宋体"/>
                <w:b/>
                <w:bCs/>
                <w:kern w:val="0"/>
                <w:sz w:val="22"/>
                <w:szCs w:val="22"/>
              </w:rPr>
            </w:pPr>
          </w:p>
        </w:tc>
      </w:tr>
      <w:tr w14:paraId="280C400E">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506F16C9">
            <w:pPr>
              <w:snapToGrid w:val="0"/>
              <w:spacing w:line="312" w:lineRule="auto"/>
              <w:rPr>
                <w:rFonts w:ascii="宋体" w:hAnsi="宋体" w:cs="宋体"/>
                <w:kern w:val="0"/>
                <w:sz w:val="21"/>
                <w:szCs w:val="21"/>
              </w:rPr>
            </w:pPr>
            <w:r>
              <w:rPr>
                <w:rFonts w:ascii="宋体" w:hAnsi="宋体" w:cs="宋体"/>
                <w:kern w:val="0"/>
                <w:sz w:val="21"/>
                <w:szCs w:val="21"/>
              </w:rPr>
              <w:t>6.</w:t>
            </w:r>
            <w:r>
              <w:rPr>
                <w:rFonts w:hint="eastAsia" w:ascii="宋体" w:hAnsi="宋体" w:cs="宋体"/>
                <w:kern w:val="0"/>
                <w:sz w:val="21"/>
                <w:szCs w:val="21"/>
              </w:rPr>
              <w:t>安全保证措施要点</w:t>
            </w:r>
          </w:p>
        </w:tc>
        <w:tc>
          <w:tcPr>
            <w:tcW w:w="704" w:type="dxa"/>
            <w:tcBorders>
              <w:top w:val="single" w:color="auto" w:sz="4" w:space="0"/>
              <w:left w:val="single" w:color="auto" w:sz="4" w:space="0"/>
              <w:bottom w:val="single" w:color="auto" w:sz="4" w:space="0"/>
              <w:right w:val="single" w:color="auto" w:sz="4" w:space="0"/>
            </w:tcBorders>
            <w:vAlign w:val="center"/>
          </w:tcPr>
          <w:p w14:paraId="2C3AB12C">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7956EB7">
            <w:pPr>
              <w:widowControl/>
              <w:snapToGrid w:val="0"/>
              <w:spacing w:line="264" w:lineRule="auto"/>
              <w:jc w:val="left"/>
              <w:rPr>
                <w:rFonts w:ascii="楷体" w:hAnsi="楷体" w:eastAsia="楷体" w:cs="宋体"/>
                <w:b/>
                <w:bCs/>
                <w:kern w:val="0"/>
                <w:sz w:val="22"/>
                <w:szCs w:val="22"/>
              </w:rPr>
            </w:pPr>
          </w:p>
        </w:tc>
      </w:tr>
      <w:tr w14:paraId="4CC2CB51">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638ED56C">
            <w:pPr>
              <w:widowControl/>
              <w:snapToGrid w:val="0"/>
              <w:spacing w:line="240" w:lineRule="auto"/>
              <w:jc w:val="left"/>
              <w:rPr>
                <w:rFonts w:ascii="宋体" w:hAnsi="宋体" w:cs="宋体"/>
                <w:kern w:val="0"/>
                <w:sz w:val="21"/>
                <w:szCs w:val="21"/>
              </w:rPr>
            </w:pPr>
            <w:r>
              <w:rPr>
                <w:rFonts w:ascii="宋体" w:hAnsi="宋体" w:cs="宋体"/>
                <w:kern w:val="0"/>
                <w:sz w:val="21"/>
                <w:szCs w:val="21"/>
              </w:rPr>
              <w:t>7.</w:t>
            </w:r>
            <w:r>
              <w:rPr>
                <w:rFonts w:hint="eastAsia" w:ascii="宋体" w:hAnsi="宋体"/>
                <w:sz w:val="21"/>
                <w:szCs w:val="21"/>
              </w:rPr>
              <w:t>文明</w:t>
            </w:r>
            <w:r>
              <w:rPr>
                <w:rFonts w:ascii="宋体" w:hAnsi="宋体"/>
                <w:sz w:val="21"/>
                <w:szCs w:val="21"/>
              </w:rPr>
              <w:t>环保</w:t>
            </w:r>
            <w:r>
              <w:rPr>
                <w:rFonts w:hint="eastAsia" w:ascii="宋体" w:hAnsi="宋体"/>
                <w:sz w:val="21"/>
                <w:szCs w:val="21"/>
              </w:rPr>
              <w:t>施工保障</w:t>
            </w:r>
            <w:r>
              <w:rPr>
                <w:rFonts w:ascii="宋体" w:hAnsi="宋体"/>
                <w:sz w:val="21"/>
                <w:szCs w:val="21"/>
              </w:rPr>
              <w:t>措施</w:t>
            </w:r>
          </w:p>
        </w:tc>
        <w:tc>
          <w:tcPr>
            <w:tcW w:w="704" w:type="dxa"/>
            <w:tcBorders>
              <w:top w:val="single" w:color="auto" w:sz="4" w:space="0"/>
              <w:left w:val="single" w:color="auto" w:sz="4" w:space="0"/>
              <w:bottom w:val="single" w:color="auto" w:sz="4" w:space="0"/>
              <w:right w:val="single" w:color="auto" w:sz="4" w:space="0"/>
            </w:tcBorders>
            <w:vAlign w:val="center"/>
          </w:tcPr>
          <w:p w14:paraId="2E5A7FCC">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5FD39D5C">
            <w:pPr>
              <w:widowControl/>
              <w:snapToGrid w:val="0"/>
              <w:spacing w:line="264" w:lineRule="auto"/>
              <w:jc w:val="left"/>
              <w:rPr>
                <w:rFonts w:ascii="楷体" w:hAnsi="楷体" w:eastAsia="楷体" w:cs="宋体"/>
                <w:b/>
                <w:bCs/>
                <w:kern w:val="0"/>
                <w:sz w:val="22"/>
                <w:szCs w:val="22"/>
              </w:rPr>
            </w:pPr>
          </w:p>
        </w:tc>
      </w:tr>
      <w:tr w14:paraId="62646471">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13410300">
            <w:pPr>
              <w:snapToGrid w:val="0"/>
              <w:spacing w:line="312" w:lineRule="auto"/>
              <w:rPr>
                <w:rFonts w:ascii="宋体" w:hAnsi="宋体" w:cs="宋体"/>
                <w:kern w:val="0"/>
                <w:sz w:val="21"/>
                <w:szCs w:val="21"/>
              </w:rPr>
            </w:pPr>
            <w:r>
              <w:rPr>
                <w:rFonts w:ascii="宋体" w:hAnsi="宋体" w:cs="宋体"/>
                <w:kern w:val="0"/>
                <w:sz w:val="21"/>
                <w:szCs w:val="21"/>
              </w:rPr>
              <w:t>8.</w:t>
            </w:r>
            <w:r>
              <w:rPr>
                <w:rFonts w:hint="eastAsia" w:ascii="宋体" w:hAnsi="宋体" w:cs="宋体"/>
                <w:kern w:val="0"/>
                <w:sz w:val="21"/>
                <w:szCs w:val="21"/>
              </w:rPr>
              <w:t>人力资源计划与保证措施</w:t>
            </w:r>
          </w:p>
        </w:tc>
        <w:tc>
          <w:tcPr>
            <w:tcW w:w="704" w:type="dxa"/>
            <w:tcBorders>
              <w:top w:val="single" w:color="auto" w:sz="4" w:space="0"/>
              <w:left w:val="single" w:color="auto" w:sz="4" w:space="0"/>
              <w:bottom w:val="single" w:color="auto" w:sz="4" w:space="0"/>
              <w:right w:val="single" w:color="auto" w:sz="4" w:space="0"/>
            </w:tcBorders>
            <w:vAlign w:val="center"/>
          </w:tcPr>
          <w:p w14:paraId="4C4D2719">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4B4A8E1C">
            <w:pPr>
              <w:widowControl/>
              <w:snapToGrid w:val="0"/>
              <w:spacing w:line="264" w:lineRule="auto"/>
              <w:jc w:val="left"/>
              <w:rPr>
                <w:rFonts w:ascii="楷体" w:hAnsi="楷体" w:eastAsia="楷体" w:cs="宋体"/>
                <w:b/>
                <w:bCs/>
                <w:kern w:val="0"/>
                <w:sz w:val="22"/>
                <w:szCs w:val="22"/>
              </w:rPr>
            </w:pPr>
          </w:p>
        </w:tc>
      </w:tr>
      <w:tr w14:paraId="1FBA0194">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62D33408">
            <w:pPr>
              <w:snapToGrid w:val="0"/>
              <w:spacing w:line="312" w:lineRule="auto"/>
              <w:rPr>
                <w:rFonts w:ascii="宋体" w:hAnsi="宋体" w:cs="宋体"/>
                <w:kern w:val="0"/>
                <w:sz w:val="21"/>
                <w:szCs w:val="21"/>
              </w:rPr>
            </w:pPr>
            <w:r>
              <w:rPr>
                <w:rFonts w:hint="eastAsia" w:ascii="宋体" w:hAnsi="宋体" w:cs="宋体"/>
                <w:kern w:val="0"/>
                <w:sz w:val="21"/>
                <w:szCs w:val="21"/>
              </w:rPr>
              <w:t>9.</w:t>
            </w:r>
            <w:r>
              <w:rPr>
                <w:rFonts w:hint="eastAsia" w:ascii="宋体" w:hAnsi="宋体"/>
                <w:sz w:val="21"/>
                <w:szCs w:val="21"/>
              </w:rPr>
              <w:t>工程物资</w:t>
            </w:r>
            <w:r>
              <w:rPr>
                <w:rFonts w:ascii="宋体" w:hAnsi="宋体"/>
                <w:sz w:val="21"/>
                <w:szCs w:val="21"/>
              </w:rPr>
              <w:t>管理</w:t>
            </w:r>
          </w:p>
        </w:tc>
        <w:tc>
          <w:tcPr>
            <w:tcW w:w="704" w:type="dxa"/>
            <w:tcBorders>
              <w:top w:val="single" w:color="auto" w:sz="4" w:space="0"/>
              <w:left w:val="single" w:color="auto" w:sz="4" w:space="0"/>
              <w:bottom w:val="single" w:color="auto" w:sz="4" w:space="0"/>
              <w:right w:val="single" w:color="auto" w:sz="4" w:space="0"/>
            </w:tcBorders>
            <w:vAlign w:val="center"/>
          </w:tcPr>
          <w:p w14:paraId="71ED448D">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098EB083">
            <w:pPr>
              <w:widowControl/>
              <w:snapToGrid w:val="0"/>
              <w:spacing w:line="264" w:lineRule="auto"/>
              <w:jc w:val="left"/>
              <w:rPr>
                <w:rFonts w:ascii="楷体" w:hAnsi="楷体" w:eastAsia="楷体" w:cs="宋体"/>
                <w:b/>
                <w:bCs/>
                <w:kern w:val="0"/>
                <w:sz w:val="22"/>
                <w:szCs w:val="22"/>
              </w:rPr>
            </w:pPr>
          </w:p>
        </w:tc>
      </w:tr>
      <w:tr w14:paraId="3CFD918C">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2727FC82">
            <w:pPr>
              <w:snapToGrid w:val="0"/>
              <w:spacing w:line="312" w:lineRule="auto"/>
              <w:rPr>
                <w:rFonts w:ascii="宋体" w:hAnsi="宋体" w:cs="宋体"/>
                <w:kern w:val="0"/>
                <w:sz w:val="21"/>
                <w:szCs w:val="21"/>
              </w:rPr>
            </w:pPr>
            <w:r>
              <w:rPr>
                <w:rFonts w:hint="eastAsia" w:ascii="宋体" w:hAnsi="宋体" w:cs="宋体"/>
                <w:kern w:val="0"/>
                <w:sz w:val="21"/>
                <w:szCs w:val="21"/>
              </w:rPr>
              <w:t>10.</w:t>
            </w:r>
            <w:r>
              <w:rPr>
                <w:rFonts w:hint="eastAsia" w:ascii="宋体" w:hAnsi="宋体" w:cs="宋体"/>
                <w:sz w:val="21"/>
                <w:szCs w:val="21"/>
              </w:rPr>
              <w:t>文档资料管理及实施措施</w:t>
            </w:r>
          </w:p>
        </w:tc>
        <w:tc>
          <w:tcPr>
            <w:tcW w:w="704" w:type="dxa"/>
            <w:tcBorders>
              <w:top w:val="single" w:color="auto" w:sz="4" w:space="0"/>
              <w:left w:val="single" w:color="auto" w:sz="4" w:space="0"/>
              <w:bottom w:val="single" w:color="auto" w:sz="4" w:space="0"/>
              <w:right w:val="single" w:color="auto" w:sz="4" w:space="0"/>
            </w:tcBorders>
            <w:vAlign w:val="center"/>
          </w:tcPr>
          <w:p w14:paraId="7F50FA62">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6D36F3D6">
            <w:pPr>
              <w:widowControl/>
              <w:snapToGrid w:val="0"/>
              <w:spacing w:line="264" w:lineRule="auto"/>
              <w:jc w:val="left"/>
              <w:rPr>
                <w:rFonts w:ascii="楷体" w:hAnsi="楷体" w:eastAsia="楷体" w:cs="宋体"/>
                <w:b/>
                <w:bCs/>
                <w:kern w:val="0"/>
                <w:sz w:val="22"/>
                <w:szCs w:val="22"/>
              </w:rPr>
            </w:pPr>
          </w:p>
        </w:tc>
      </w:tr>
      <w:tr w14:paraId="03D361FC">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466A66C1">
            <w:pPr>
              <w:snapToGrid w:val="0"/>
              <w:spacing w:line="312" w:lineRule="auto"/>
              <w:rPr>
                <w:rFonts w:ascii="宋体" w:hAnsi="宋体" w:cs="宋体"/>
                <w:kern w:val="0"/>
                <w:sz w:val="21"/>
                <w:szCs w:val="21"/>
              </w:rPr>
            </w:pPr>
            <w:r>
              <w:rPr>
                <w:rFonts w:hint="eastAsia" w:ascii="宋体" w:hAnsi="宋体" w:cs="宋体"/>
                <w:kern w:val="0"/>
                <w:sz w:val="21"/>
                <w:szCs w:val="21"/>
              </w:rPr>
              <w:t>11.</w:t>
            </w:r>
            <w:r>
              <w:rPr>
                <w:rFonts w:ascii="宋体" w:hAnsi="宋体"/>
                <w:sz w:val="21"/>
                <w:szCs w:val="21"/>
              </w:rPr>
              <w:t>工作重点难点分析</w:t>
            </w:r>
            <w:r>
              <w:rPr>
                <w:rFonts w:hint="eastAsia" w:ascii="宋体" w:hAnsi="宋体"/>
                <w:sz w:val="21"/>
                <w:szCs w:val="21"/>
              </w:rPr>
              <w:t>及应对</w:t>
            </w:r>
            <w:r>
              <w:rPr>
                <w:rFonts w:ascii="宋体" w:hAnsi="宋体"/>
                <w:sz w:val="21"/>
                <w:szCs w:val="21"/>
              </w:rPr>
              <w:t>措施</w:t>
            </w:r>
          </w:p>
        </w:tc>
        <w:tc>
          <w:tcPr>
            <w:tcW w:w="704" w:type="dxa"/>
            <w:tcBorders>
              <w:top w:val="single" w:color="auto" w:sz="4" w:space="0"/>
              <w:left w:val="single" w:color="auto" w:sz="4" w:space="0"/>
              <w:bottom w:val="single" w:color="auto" w:sz="4" w:space="0"/>
              <w:right w:val="single" w:color="auto" w:sz="4" w:space="0"/>
            </w:tcBorders>
            <w:vAlign w:val="center"/>
          </w:tcPr>
          <w:p w14:paraId="70C2195B">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1335642A">
            <w:pPr>
              <w:widowControl/>
              <w:snapToGrid w:val="0"/>
              <w:spacing w:line="264" w:lineRule="auto"/>
              <w:jc w:val="left"/>
              <w:rPr>
                <w:rFonts w:ascii="楷体" w:hAnsi="楷体" w:eastAsia="楷体" w:cs="宋体"/>
                <w:b/>
                <w:bCs/>
                <w:kern w:val="0"/>
                <w:sz w:val="22"/>
                <w:szCs w:val="22"/>
              </w:rPr>
            </w:pPr>
          </w:p>
        </w:tc>
      </w:tr>
      <w:tr w14:paraId="0CF0DD94">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706328D9">
            <w:pPr>
              <w:snapToGrid w:val="0"/>
              <w:spacing w:line="312" w:lineRule="auto"/>
              <w:rPr>
                <w:rFonts w:ascii="宋体" w:hAnsi="宋体" w:cs="宋体"/>
                <w:kern w:val="0"/>
                <w:sz w:val="21"/>
                <w:szCs w:val="21"/>
              </w:rPr>
            </w:pPr>
            <w:r>
              <w:rPr>
                <w:rFonts w:hint="eastAsia" w:ascii="宋体" w:hAnsi="宋体" w:cs="宋体"/>
                <w:kern w:val="0"/>
                <w:sz w:val="21"/>
                <w:szCs w:val="21"/>
              </w:rPr>
              <w:t>12.</w:t>
            </w:r>
            <w:r>
              <w:rPr>
                <w:rFonts w:hint="eastAsia" w:ascii="宋体" w:hAnsi="宋体"/>
                <w:sz w:val="21"/>
                <w:szCs w:val="21"/>
              </w:rPr>
              <w:t>合理化</w:t>
            </w:r>
            <w:r>
              <w:rPr>
                <w:rFonts w:ascii="宋体" w:hAnsi="宋体"/>
                <w:sz w:val="21"/>
                <w:szCs w:val="21"/>
              </w:rPr>
              <w:t>建议</w:t>
            </w:r>
          </w:p>
        </w:tc>
        <w:tc>
          <w:tcPr>
            <w:tcW w:w="704" w:type="dxa"/>
            <w:tcBorders>
              <w:top w:val="single" w:color="auto" w:sz="4" w:space="0"/>
              <w:left w:val="single" w:color="auto" w:sz="4" w:space="0"/>
              <w:bottom w:val="single" w:color="auto" w:sz="4" w:space="0"/>
              <w:right w:val="single" w:color="auto" w:sz="4" w:space="0"/>
            </w:tcBorders>
            <w:vAlign w:val="center"/>
          </w:tcPr>
          <w:p w14:paraId="324FD4F5">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5E6AF504">
            <w:pPr>
              <w:widowControl/>
              <w:snapToGrid w:val="0"/>
              <w:spacing w:line="264" w:lineRule="auto"/>
              <w:jc w:val="left"/>
              <w:rPr>
                <w:rFonts w:ascii="楷体" w:hAnsi="楷体" w:eastAsia="楷体" w:cs="宋体"/>
                <w:b/>
                <w:bCs/>
                <w:kern w:val="0"/>
                <w:sz w:val="22"/>
                <w:szCs w:val="22"/>
              </w:rPr>
            </w:pPr>
          </w:p>
        </w:tc>
      </w:tr>
      <w:tr w14:paraId="06E8C231">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5A3388C6">
            <w:pPr>
              <w:snapToGrid w:val="0"/>
              <w:spacing w:line="312" w:lineRule="auto"/>
              <w:rPr>
                <w:rFonts w:ascii="宋体" w:hAnsi="宋体" w:cs="宋体"/>
                <w:kern w:val="0"/>
                <w:sz w:val="21"/>
                <w:szCs w:val="21"/>
              </w:rPr>
            </w:pPr>
            <w:r>
              <w:rPr>
                <w:rFonts w:hint="eastAsia" w:ascii="宋体" w:hAnsi="宋体" w:cs="宋体"/>
                <w:kern w:val="0"/>
                <w:sz w:val="21"/>
                <w:szCs w:val="21"/>
              </w:rPr>
              <w:t>13.</w:t>
            </w:r>
            <w:r>
              <w:rPr>
                <w:rFonts w:hint="eastAsia" w:ascii="宋体" w:hAnsi="宋体"/>
                <w:sz w:val="21"/>
                <w:szCs w:val="21"/>
              </w:rPr>
              <w:t>依法经营</w:t>
            </w:r>
          </w:p>
        </w:tc>
        <w:tc>
          <w:tcPr>
            <w:tcW w:w="704" w:type="dxa"/>
            <w:tcBorders>
              <w:top w:val="single" w:color="auto" w:sz="4" w:space="0"/>
              <w:left w:val="single" w:color="auto" w:sz="4" w:space="0"/>
              <w:bottom w:val="single" w:color="auto" w:sz="4" w:space="0"/>
              <w:right w:val="single" w:color="auto" w:sz="4" w:space="0"/>
            </w:tcBorders>
            <w:vAlign w:val="center"/>
          </w:tcPr>
          <w:p w14:paraId="64CBE620">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right w:val="single" w:color="auto" w:sz="4" w:space="0"/>
            </w:tcBorders>
            <w:vAlign w:val="center"/>
          </w:tcPr>
          <w:p w14:paraId="01F1B103">
            <w:pPr>
              <w:widowControl/>
              <w:snapToGrid w:val="0"/>
              <w:spacing w:line="264" w:lineRule="auto"/>
              <w:jc w:val="left"/>
              <w:rPr>
                <w:rFonts w:ascii="楷体" w:hAnsi="楷体" w:eastAsia="楷体" w:cs="宋体"/>
                <w:b/>
                <w:bCs/>
                <w:kern w:val="0"/>
                <w:sz w:val="22"/>
                <w:szCs w:val="22"/>
              </w:rPr>
            </w:pPr>
          </w:p>
        </w:tc>
      </w:tr>
      <w:tr w14:paraId="2866CCA5">
        <w:tblPrEx>
          <w:tblCellMar>
            <w:top w:w="0" w:type="dxa"/>
            <w:left w:w="108" w:type="dxa"/>
            <w:bottom w:w="0" w:type="dxa"/>
            <w:right w:w="108" w:type="dxa"/>
          </w:tblCellMar>
        </w:tblPrEx>
        <w:trPr>
          <w:trHeight w:val="38" w:hRule="atLeast"/>
        </w:trPr>
        <w:tc>
          <w:tcPr>
            <w:tcW w:w="5537" w:type="dxa"/>
            <w:tcBorders>
              <w:top w:val="single" w:color="auto" w:sz="4" w:space="0"/>
              <w:left w:val="single" w:color="auto" w:sz="4" w:space="0"/>
              <w:bottom w:val="single" w:color="auto" w:sz="4" w:space="0"/>
              <w:right w:val="single" w:color="auto" w:sz="4" w:space="0"/>
            </w:tcBorders>
            <w:vAlign w:val="center"/>
          </w:tcPr>
          <w:p w14:paraId="01DA6E1C">
            <w:pPr>
              <w:snapToGrid w:val="0"/>
              <w:spacing w:line="312" w:lineRule="auto"/>
              <w:rPr>
                <w:rFonts w:ascii="宋体" w:hAnsi="宋体" w:cs="宋体"/>
                <w:kern w:val="0"/>
                <w:sz w:val="21"/>
                <w:szCs w:val="21"/>
              </w:rPr>
            </w:pPr>
            <w:r>
              <w:rPr>
                <w:rFonts w:hint="eastAsia" w:ascii="宋体" w:hAnsi="宋体" w:cs="宋体"/>
                <w:b/>
                <w:bCs/>
                <w:kern w:val="0"/>
                <w:sz w:val="21"/>
                <w:szCs w:val="21"/>
              </w:rPr>
              <w:t>……</w:t>
            </w:r>
          </w:p>
        </w:tc>
        <w:tc>
          <w:tcPr>
            <w:tcW w:w="704" w:type="dxa"/>
            <w:tcBorders>
              <w:top w:val="single" w:color="auto" w:sz="4" w:space="0"/>
              <w:left w:val="single" w:color="auto" w:sz="4" w:space="0"/>
              <w:bottom w:val="single" w:color="auto" w:sz="4" w:space="0"/>
              <w:right w:val="single" w:color="auto" w:sz="4" w:space="0"/>
            </w:tcBorders>
            <w:vAlign w:val="center"/>
          </w:tcPr>
          <w:p w14:paraId="278EB45D">
            <w:pPr>
              <w:widowControl/>
              <w:snapToGrid w:val="0"/>
              <w:spacing w:line="312" w:lineRule="auto"/>
              <w:jc w:val="left"/>
              <w:rPr>
                <w:rFonts w:ascii="宋体" w:hAnsi="宋体" w:cs="宋体"/>
                <w:b/>
                <w:bCs/>
                <w:kern w:val="0"/>
                <w:sz w:val="21"/>
                <w:szCs w:val="21"/>
              </w:rPr>
            </w:pPr>
          </w:p>
        </w:tc>
        <w:tc>
          <w:tcPr>
            <w:tcW w:w="3461" w:type="dxa"/>
            <w:vMerge w:val="continue"/>
            <w:tcBorders>
              <w:left w:val="single" w:color="auto" w:sz="4" w:space="0"/>
              <w:bottom w:val="single" w:color="auto" w:sz="4" w:space="0"/>
              <w:right w:val="single" w:color="auto" w:sz="4" w:space="0"/>
            </w:tcBorders>
            <w:vAlign w:val="center"/>
          </w:tcPr>
          <w:p w14:paraId="4EFF67C1">
            <w:pPr>
              <w:widowControl/>
              <w:snapToGrid w:val="0"/>
              <w:spacing w:line="264" w:lineRule="auto"/>
              <w:jc w:val="left"/>
              <w:rPr>
                <w:rFonts w:ascii="楷体" w:hAnsi="楷体" w:eastAsia="楷体" w:cs="宋体"/>
                <w:b/>
                <w:bCs/>
                <w:kern w:val="0"/>
                <w:sz w:val="22"/>
                <w:szCs w:val="22"/>
              </w:rPr>
            </w:pPr>
          </w:p>
        </w:tc>
      </w:tr>
    </w:tbl>
    <w:p w14:paraId="1CBADE79">
      <w:pPr>
        <w:jc w:val="left"/>
        <w:outlineLvl w:val="1"/>
        <w:rPr>
          <w:rFonts w:ascii="宋体" w:hAnsi="宋体" w:cs="宋体"/>
          <w:sz w:val="28"/>
        </w:rPr>
      </w:pPr>
      <w:bookmarkStart w:id="1050" w:name="_Toc3459"/>
      <w:bookmarkStart w:id="1051" w:name="_Toc4491"/>
      <w:r>
        <w:rPr>
          <w:rFonts w:hint="eastAsia" w:ascii="宋体" w:hAnsi="宋体" w:cs="宋体"/>
          <w:b/>
          <w:sz w:val="28"/>
        </w:rPr>
        <w:t>二、投标文件编制补充说明</w:t>
      </w:r>
      <w:bookmarkEnd w:id="1050"/>
      <w:bookmarkEnd w:id="1051"/>
    </w:p>
    <w:p w14:paraId="5E1F53F3">
      <w:pPr>
        <w:snapToGrid w:val="0"/>
        <w:ind w:firstLine="420" w:firstLineChars="200"/>
        <w:jc w:val="left"/>
        <w:rPr>
          <w:rFonts w:ascii="宋体" w:hAnsi="宋体" w:cs="宋体"/>
          <w:sz w:val="21"/>
          <w:szCs w:val="21"/>
        </w:rPr>
      </w:pPr>
      <w:r>
        <w:rPr>
          <w:rFonts w:hint="eastAsia" w:ascii="宋体" w:hAnsi="宋体" w:cs="宋体"/>
          <w:sz w:val="21"/>
          <w:szCs w:val="21"/>
        </w:rPr>
        <w:t>请投标人仔细阅读以下内容：</w:t>
      </w:r>
    </w:p>
    <w:p w14:paraId="49A256EE">
      <w:pPr>
        <w:snapToGrid w:val="0"/>
        <w:ind w:firstLine="420" w:firstLineChars="200"/>
        <w:rPr>
          <w:rFonts w:ascii="宋体" w:hAnsi="宋体"/>
          <w:sz w:val="21"/>
          <w:szCs w:val="21"/>
        </w:rPr>
      </w:pPr>
      <w:r>
        <w:rPr>
          <w:rFonts w:hint="eastAsia" w:ascii="宋体" w:hAnsi="宋体"/>
          <w:sz w:val="21"/>
          <w:szCs w:val="21"/>
        </w:rPr>
        <w:t>1</w:t>
      </w:r>
      <w:r>
        <w:rPr>
          <w:rFonts w:ascii="宋体" w:hAnsi="宋体"/>
          <w:sz w:val="21"/>
          <w:szCs w:val="21"/>
        </w:rPr>
        <w:t>.投标文件</w:t>
      </w:r>
      <w:r>
        <w:rPr>
          <w:rFonts w:hint="eastAsia" w:ascii="宋体" w:hAnsi="宋体"/>
          <w:sz w:val="21"/>
          <w:szCs w:val="21"/>
        </w:rPr>
        <w:t>的基本</w:t>
      </w:r>
      <w:r>
        <w:rPr>
          <w:rFonts w:ascii="宋体" w:hAnsi="宋体"/>
          <w:sz w:val="21"/>
          <w:szCs w:val="21"/>
        </w:rPr>
        <w:t>框架</w:t>
      </w:r>
      <w:r>
        <w:rPr>
          <w:rFonts w:hint="eastAsia" w:ascii="宋体" w:hAnsi="宋体"/>
          <w:sz w:val="21"/>
          <w:szCs w:val="21"/>
        </w:rPr>
        <w:t>：指工程类的</w:t>
      </w:r>
      <w:r>
        <w:rPr>
          <w:rFonts w:ascii="宋体" w:hAnsi="宋体"/>
          <w:sz w:val="21"/>
          <w:szCs w:val="21"/>
        </w:rPr>
        <w:t>商务</w:t>
      </w:r>
      <w:r>
        <w:rPr>
          <w:rFonts w:hint="eastAsia" w:ascii="宋体" w:hAnsi="宋体"/>
          <w:sz w:val="21"/>
          <w:szCs w:val="21"/>
        </w:rPr>
        <w:t>(综合)</w:t>
      </w:r>
      <w:r>
        <w:rPr>
          <w:rFonts w:ascii="宋体" w:hAnsi="宋体"/>
          <w:sz w:val="21"/>
          <w:szCs w:val="21"/>
        </w:rPr>
        <w:t>、技术</w:t>
      </w:r>
      <w:r>
        <w:rPr>
          <w:rFonts w:hint="eastAsia" w:ascii="宋体" w:hAnsi="宋体"/>
          <w:sz w:val="21"/>
          <w:szCs w:val="21"/>
        </w:rPr>
        <w:t>、计价投标</w:t>
      </w:r>
      <w:r>
        <w:rPr>
          <w:rFonts w:ascii="宋体" w:hAnsi="宋体"/>
          <w:sz w:val="21"/>
          <w:szCs w:val="21"/>
        </w:rPr>
        <w:t>文件分类</w:t>
      </w:r>
      <w:r>
        <w:rPr>
          <w:rFonts w:hint="eastAsia" w:ascii="宋体" w:hAnsi="宋体"/>
          <w:sz w:val="21"/>
          <w:szCs w:val="21"/>
        </w:rPr>
        <w:t>，以及招标</w:t>
      </w:r>
      <w:r>
        <w:rPr>
          <w:rFonts w:ascii="宋体" w:hAnsi="宋体"/>
          <w:sz w:val="21"/>
          <w:szCs w:val="21"/>
        </w:rPr>
        <w:t>文件本章明确的</w:t>
      </w:r>
      <w:r>
        <w:rPr>
          <w:rFonts w:hint="eastAsia" w:ascii="宋体" w:hAnsi="宋体"/>
          <w:sz w:val="21"/>
          <w:szCs w:val="21"/>
        </w:rPr>
        <w:t>投标</w:t>
      </w:r>
      <w:r>
        <w:rPr>
          <w:rFonts w:ascii="宋体" w:hAnsi="宋体"/>
          <w:sz w:val="21"/>
          <w:szCs w:val="21"/>
        </w:rPr>
        <w:t>文件</w:t>
      </w:r>
      <w:r>
        <w:rPr>
          <w:rFonts w:hint="eastAsia" w:ascii="宋体" w:hAnsi="宋体"/>
          <w:sz w:val="21"/>
          <w:szCs w:val="21"/>
        </w:rPr>
        <w:t>的目录架构、</w:t>
      </w:r>
      <w:r>
        <w:rPr>
          <w:rFonts w:ascii="宋体" w:hAnsi="宋体"/>
          <w:sz w:val="21"/>
          <w:szCs w:val="21"/>
        </w:rPr>
        <w:t>附件格式</w:t>
      </w:r>
      <w:r>
        <w:rPr>
          <w:rFonts w:hint="eastAsia" w:ascii="宋体" w:hAnsi="宋体"/>
          <w:sz w:val="21"/>
          <w:szCs w:val="21"/>
        </w:rPr>
        <w:t>及</w:t>
      </w:r>
      <w:r>
        <w:rPr>
          <w:rFonts w:ascii="宋体" w:hAnsi="宋体"/>
          <w:sz w:val="21"/>
          <w:szCs w:val="21"/>
        </w:rPr>
        <w:t>内容</w:t>
      </w:r>
      <w:r>
        <w:rPr>
          <w:rFonts w:hint="eastAsia" w:ascii="宋体" w:hAnsi="宋体"/>
          <w:sz w:val="21"/>
          <w:szCs w:val="21"/>
        </w:rPr>
        <w:t>等。投标文件</w:t>
      </w:r>
      <w:r>
        <w:rPr>
          <w:rFonts w:ascii="宋体" w:hAnsi="宋体"/>
          <w:sz w:val="21"/>
          <w:szCs w:val="21"/>
        </w:rPr>
        <w:t>的基本框架</w:t>
      </w:r>
      <w:r>
        <w:rPr>
          <w:rFonts w:hint="eastAsia" w:ascii="宋体" w:hAnsi="宋体"/>
          <w:sz w:val="21"/>
          <w:szCs w:val="21"/>
        </w:rPr>
        <w:t>是</w:t>
      </w:r>
      <w:r>
        <w:rPr>
          <w:rFonts w:ascii="宋体" w:hAnsi="宋体"/>
          <w:sz w:val="21"/>
          <w:szCs w:val="21"/>
        </w:rPr>
        <w:t>初步评审的内容</w:t>
      </w:r>
      <w:r>
        <w:rPr>
          <w:rFonts w:hint="eastAsia" w:ascii="宋体" w:hAnsi="宋体"/>
          <w:sz w:val="21"/>
          <w:szCs w:val="21"/>
        </w:rPr>
        <w:t>。投标人</w:t>
      </w:r>
      <w:r>
        <w:rPr>
          <w:rFonts w:ascii="宋体" w:hAnsi="宋体"/>
          <w:sz w:val="21"/>
          <w:szCs w:val="21"/>
        </w:rPr>
        <w:t>应按照本章</w:t>
      </w:r>
      <w:r>
        <w:rPr>
          <w:rFonts w:hint="eastAsia" w:ascii="宋体" w:hAnsi="宋体"/>
          <w:sz w:val="21"/>
          <w:szCs w:val="21"/>
        </w:rPr>
        <w:t>明确</w:t>
      </w:r>
      <w:r>
        <w:rPr>
          <w:rFonts w:ascii="宋体" w:hAnsi="宋体"/>
          <w:sz w:val="21"/>
          <w:szCs w:val="21"/>
        </w:rPr>
        <w:t>的</w:t>
      </w:r>
      <w:r>
        <w:rPr>
          <w:rFonts w:hint="eastAsia" w:ascii="宋体" w:hAnsi="宋体"/>
          <w:sz w:val="21"/>
          <w:szCs w:val="21"/>
        </w:rPr>
        <w:t>基本</w:t>
      </w:r>
      <w:r>
        <w:rPr>
          <w:rFonts w:ascii="宋体" w:hAnsi="宋体"/>
          <w:sz w:val="21"/>
          <w:szCs w:val="21"/>
        </w:rPr>
        <w:t>框架</w:t>
      </w:r>
      <w:r>
        <w:rPr>
          <w:rFonts w:hint="eastAsia" w:ascii="宋体" w:hAnsi="宋体"/>
          <w:sz w:val="21"/>
          <w:szCs w:val="21"/>
        </w:rPr>
        <w:t>编制</w:t>
      </w:r>
      <w:r>
        <w:rPr>
          <w:rFonts w:ascii="宋体" w:hAnsi="宋体"/>
          <w:sz w:val="21"/>
          <w:szCs w:val="21"/>
        </w:rPr>
        <w:t>投标文件。</w:t>
      </w:r>
    </w:p>
    <w:p w14:paraId="41FC72DC">
      <w:pPr>
        <w:snapToGrid w:val="0"/>
        <w:ind w:firstLine="420" w:firstLineChars="200"/>
        <w:rPr>
          <w:rFonts w:ascii="宋体" w:hAnsi="宋体"/>
          <w:sz w:val="21"/>
          <w:szCs w:val="21"/>
        </w:rPr>
      </w:pPr>
      <w:r>
        <w:rPr>
          <w:rFonts w:hint="eastAsia" w:ascii="宋体" w:hAnsi="宋体"/>
          <w:sz w:val="21"/>
          <w:szCs w:val="21"/>
        </w:rPr>
        <w:t>本章“一、投标文件格式”中</w:t>
      </w:r>
      <w:r>
        <w:rPr>
          <w:rFonts w:ascii="宋体" w:hAnsi="宋体"/>
          <w:sz w:val="21"/>
          <w:szCs w:val="21"/>
        </w:rPr>
        <w:t>以表格的形式</w:t>
      </w:r>
      <w:r>
        <w:rPr>
          <w:rFonts w:hint="eastAsia" w:ascii="宋体" w:hAnsi="宋体"/>
          <w:sz w:val="21"/>
          <w:szCs w:val="21"/>
        </w:rPr>
        <w:t>体现</w:t>
      </w:r>
      <w:r>
        <w:rPr>
          <w:rFonts w:ascii="宋体" w:hAnsi="宋体"/>
          <w:sz w:val="21"/>
          <w:szCs w:val="21"/>
        </w:rPr>
        <w:t>投标文件的目录</w:t>
      </w:r>
      <w:r>
        <w:rPr>
          <w:rFonts w:hint="eastAsia" w:ascii="宋体" w:hAnsi="宋体"/>
          <w:sz w:val="21"/>
          <w:szCs w:val="21"/>
        </w:rPr>
        <w:t>内容</w:t>
      </w:r>
      <w:r>
        <w:rPr>
          <w:rFonts w:ascii="宋体" w:hAnsi="宋体"/>
          <w:sz w:val="21"/>
          <w:szCs w:val="21"/>
        </w:rPr>
        <w:t>，是为了</w:t>
      </w:r>
      <w:r>
        <w:rPr>
          <w:rFonts w:hint="eastAsia" w:ascii="宋体" w:hAnsi="宋体"/>
          <w:sz w:val="21"/>
          <w:szCs w:val="21"/>
        </w:rPr>
        <w:t>目录</w:t>
      </w:r>
      <w:r>
        <w:rPr>
          <w:rFonts w:ascii="宋体" w:hAnsi="宋体"/>
          <w:sz w:val="21"/>
          <w:szCs w:val="21"/>
        </w:rPr>
        <w:t>编制说</w:t>
      </w:r>
      <w:r>
        <w:rPr>
          <w:rFonts w:hint="eastAsia" w:ascii="宋体" w:hAnsi="宋体"/>
          <w:sz w:val="21"/>
          <w:szCs w:val="21"/>
        </w:rPr>
        <w:t>明</w:t>
      </w:r>
      <w:r>
        <w:rPr>
          <w:rFonts w:ascii="宋体" w:hAnsi="宋体"/>
          <w:sz w:val="21"/>
          <w:szCs w:val="21"/>
        </w:rPr>
        <w:t>能</w:t>
      </w:r>
      <w:r>
        <w:rPr>
          <w:rFonts w:hint="eastAsia" w:ascii="宋体" w:hAnsi="宋体"/>
          <w:sz w:val="21"/>
          <w:szCs w:val="21"/>
        </w:rPr>
        <w:t>与</w:t>
      </w:r>
      <w:r>
        <w:rPr>
          <w:rFonts w:ascii="宋体" w:hAnsi="宋体"/>
          <w:sz w:val="21"/>
          <w:szCs w:val="21"/>
        </w:rPr>
        <w:t>目录</w:t>
      </w:r>
      <w:r>
        <w:rPr>
          <w:rFonts w:hint="eastAsia" w:ascii="宋体" w:hAnsi="宋体"/>
          <w:sz w:val="21"/>
          <w:szCs w:val="21"/>
        </w:rPr>
        <w:t>更</w:t>
      </w:r>
      <w:r>
        <w:rPr>
          <w:rFonts w:ascii="宋体" w:hAnsi="宋体"/>
          <w:sz w:val="21"/>
          <w:szCs w:val="21"/>
        </w:rPr>
        <w:t>清晰地一一对应。</w:t>
      </w:r>
      <w:r>
        <w:rPr>
          <w:rFonts w:hint="eastAsia" w:ascii="宋体" w:hAnsi="宋体"/>
          <w:sz w:val="21"/>
          <w:szCs w:val="21"/>
        </w:rPr>
        <w:t>投标</w:t>
      </w:r>
      <w:r>
        <w:rPr>
          <w:rFonts w:ascii="宋体" w:hAnsi="宋体"/>
          <w:sz w:val="21"/>
          <w:szCs w:val="21"/>
        </w:rPr>
        <w:t>人实际编制投标文件目录时，可以不</w:t>
      </w:r>
      <w:r>
        <w:rPr>
          <w:rFonts w:hint="eastAsia" w:ascii="宋体" w:hAnsi="宋体"/>
          <w:sz w:val="21"/>
          <w:szCs w:val="21"/>
        </w:rPr>
        <w:t>以</w:t>
      </w:r>
      <w:r>
        <w:rPr>
          <w:rFonts w:ascii="宋体" w:hAnsi="宋体"/>
          <w:sz w:val="21"/>
          <w:szCs w:val="21"/>
        </w:rPr>
        <w:t>表格的形式体现。</w:t>
      </w:r>
    </w:p>
    <w:p w14:paraId="6DE10818">
      <w:pPr>
        <w:snapToGrid w:val="0"/>
        <w:ind w:firstLine="420" w:firstLineChars="200"/>
        <w:rPr>
          <w:rFonts w:ascii="宋体" w:hAnsi="宋体"/>
          <w:sz w:val="21"/>
          <w:szCs w:val="21"/>
        </w:rPr>
      </w:pPr>
      <w:r>
        <w:rPr>
          <w:rFonts w:hint="eastAsia" w:ascii="宋体" w:hAnsi="宋体"/>
          <w:sz w:val="21"/>
          <w:szCs w:val="21"/>
        </w:rPr>
        <w:t>2.若第四章“评标办法”附件</w:t>
      </w:r>
      <w:r>
        <w:rPr>
          <w:rFonts w:ascii="宋体" w:hAnsi="宋体"/>
          <w:sz w:val="21"/>
          <w:szCs w:val="21"/>
        </w:rPr>
        <w:t>1</w:t>
      </w:r>
      <w:r>
        <w:rPr>
          <w:rFonts w:hint="eastAsia" w:ascii="宋体" w:hAnsi="宋体"/>
          <w:sz w:val="21"/>
          <w:szCs w:val="21"/>
        </w:rPr>
        <w:t>“否决投标</w:t>
      </w:r>
      <w:r>
        <w:rPr>
          <w:rFonts w:ascii="宋体" w:hAnsi="宋体"/>
          <w:sz w:val="21"/>
          <w:szCs w:val="21"/>
        </w:rPr>
        <w:t>的</w:t>
      </w:r>
      <w:r>
        <w:rPr>
          <w:rFonts w:hint="eastAsia" w:ascii="宋体" w:hAnsi="宋体"/>
          <w:sz w:val="21"/>
          <w:szCs w:val="21"/>
        </w:rPr>
        <w:t>情形”、附件</w:t>
      </w:r>
      <w:r>
        <w:rPr>
          <w:rFonts w:ascii="宋体" w:hAnsi="宋体"/>
          <w:sz w:val="21"/>
          <w:szCs w:val="21"/>
        </w:rPr>
        <w:t>2“</w:t>
      </w:r>
      <w:r>
        <w:rPr>
          <w:rFonts w:hint="eastAsia" w:ascii="宋体" w:hAnsi="宋体"/>
          <w:sz w:val="21"/>
          <w:szCs w:val="21"/>
        </w:rPr>
        <w:t>初步</w:t>
      </w:r>
      <w:r>
        <w:rPr>
          <w:rFonts w:ascii="宋体" w:hAnsi="宋体"/>
          <w:sz w:val="21"/>
          <w:szCs w:val="21"/>
        </w:rPr>
        <w:t>评审标</w:t>
      </w:r>
      <w:r>
        <w:rPr>
          <w:rFonts w:hint="eastAsia" w:ascii="宋体" w:hAnsi="宋体"/>
          <w:sz w:val="21"/>
          <w:szCs w:val="21"/>
        </w:rPr>
        <w:t>准</w:t>
      </w:r>
      <w:r>
        <w:rPr>
          <w:rFonts w:ascii="宋体" w:hAnsi="宋体"/>
          <w:sz w:val="21"/>
          <w:szCs w:val="21"/>
        </w:rPr>
        <w:t>及记录表”</w:t>
      </w:r>
      <w:r>
        <w:rPr>
          <w:rFonts w:hint="eastAsia" w:ascii="宋体" w:hAnsi="宋体"/>
          <w:sz w:val="21"/>
          <w:szCs w:val="21"/>
        </w:rPr>
        <w:t>中投标人单位</w:t>
      </w:r>
      <w:r>
        <w:rPr>
          <w:rFonts w:ascii="宋体" w:hAnsi="宋体"/>
          <w:sz w:val="21"/>
          <w:szCs w:val="21"/>
        </w:rPr>
        <w:t>或个人资质、业绩</w:t>
      </w:r>
      <w:r>
        <w:rPr>
          <w:rFonts w:hint="eastAsia" w:ascii="宋体" w:hAnsi="宋体"/>
          <w:sz w:val="21"/>
          <w:szCs w:val="21"/>
        </w:rPr>
        <w:t>等</w:t>
      </w:r>
      <w:r>
        <w:rPr>
          <w:rFonts w:ascii="宋体" w:hAnsi="宋体"/>
          <w:sz w:val="21"/>
          <w:szCs w:val="21"/>
        </w:rPr>
        <w:t>评审内容与第一章</w:t>
      </w:r>
      <w:r>
        <w:rPr>
          <w:rFonts w:hint="eastAsia" w:ascii="宋体" w:hAnsi="宋体"/>
          <w:sz w:val="21"/>
          <w:szCs w:val="21"/>
        </w:rPr>
        <w:t>第3条</w:t>
      </w:r>
      <w:r>
        <w:rPr>
          <w:rFonts w:ascii="宋体" w:hAnsi="宋体"/>
          <w:sz w:val="21"/>
          <w:szCs w:val="21"/>
        </w:rPr>
        <w:t>资格要求不一致的</w:t>
      </w:r>
      <w:r>
        <w:rPr>
          <w:rFonts w:hint="eastAsia" w:ascii="宋体" w:hAnsi="宋体"/>
          <w:sz w:val="21"/>
          <w:szCs w:val="21"/>
        </w:rPr>
        <w:t>，</w:t>
      </w:r>
      <w:r>
        <w:rPr>
          <w:rFonts w:ascii="宋体" w:hAnsi="宋体"/>
          <w:sz w:val="21"/>
          <w:szCs w:val="21"/>
        </w:rPr>
        <w:t>请</w:t>
      </w:r>
      <w:r>
        <w:rPr>
          <w:rFonts w:hint="eastAsia" w:ascii="宋体" w:hAnsi="宋体"/>
          <w:sz w:val="21"/>
          <w:szCs w:val="21"/>
        </w:rPr>
        <w:t>投标人按照</w:t>
      </w:r>
      <w:r>
        <w:rPr>
          <w:rFonts w:ascii="宋体" w:hAnsi="宋体"/>
          <w:sz w:val="21"/>
          <w:szCs w:val="21"/>
        </w:rPr>
        <w:t>第一章相关内容</w:t>
      </w:r>
      <w:r>
        <w:rPr>
          <w:rFonts w:hint="eastAsia" w:ascii="宋体" w:hAnsi="宋体"/>
          <w:sz w:val="21"/>
          <w:szCs w:val="21"/>
        </w:rPr>
        <w:t>编制</w:t>
      </w:r>
      <w:r>
        <w:rPr>
          <w:rFonts w:ascii="宋体" w:hAnsi="宋体"/>
          <w:sz w:val="21"/>
          <w:szCs w:val="21"/>
        </w:rPr>
        <w:t>投标文件，并</w:t>
      </w:r>
      <w:r>
        <w:rPr>
          <w:rFonts w:hint="eastAsia" w:ascii="宋体" w:hAnsi="宋体"/>
          <w:sz w:val="21"/>
          <w:szCs w:val="21"/>
        </w:rPr>
        <w:t>及时向招标</w:t>
      </w:r>
      <w:r>
        <w:rPr>
          <w:rFonts w:ascii="宋体" w:hAnsi="宋体"/>
          <w:sz w:val="21"/>
          <w:szCs w:val="21"/>
        </w:rPr>
        <w:t>人</w:t>
      </w:r>
      <w:r>
        <w:rPr>
          <w:rFonts w:hint="eastAsia" w:ascii="宋体" w:hAnsi="宋体"/>
          <w:sz w:val="21"/>
          <w:szCs w:val="21"/>
        </w:rPr>
        <w:t>、</w:t>
      </w:r>
      <w:r>
        <w:rPr>
          <w:rFonts w:ascii="宋体" w:hAnsi="宋体"/>
          <w:sz w:val="21"/>
          <w:szCs w:val="21"/>
        </w:rPr>
        <w:t>招标代理机构提交书面澄清</w:t>
      </w:r>
      <w:r>
        <w:rPr>
          <w:rFonts w:hint="eastAsia" w:ascii="宋体" w:hAnsi="宋体"/>
          <w:sz w:val="21"/>
          <w:szCs w:val="21"/>
        </w:rPr>
        <w:t>文件</w:t>
      </w:r>
      <w:r>
        <w:rPr>
          <w:rFonts w:ascii="宋体" w:hAnsi="宋体"/>
          <w:sz w:val="21"/>
          <w:szCs w:val="21"/>
        </w:rPr>
        <w:t>，以便</w:t>
      </w:r>
      <w:r>
        <w:rPr>
          <w:rFonts w:hint="eastAsia" w:ascii="宋体" w:hAnsi="宋体"/>
          <w:sz w:val="21"/>
          <w:szCs w:val="21"/>
        </w:rPr>
        <w:t>核对</w:t>
      </w:r>
      <w:r>
        <w:rPr>
          <w:rFonts w:ascii="宋体" w:hAnsi="宋体"/>
          <w:sz w:val="21"/>
          <w:szCs w:val="21"/>
        </w:rPr>
        <w:t>后修订</w:t>
      </w:r>
      <w:r>
        <w:rPr>
          <w:rFonts w:hint="eastAsia" w:ascii="宋体" w:hAnsi="宋体"/>
          <w:sz w:val="21"/>
          <w:szCs w:val="21"/>
        </w:rPr>
        <w:t>。招标</w:t>
      </w:r>
      <w:r>
        <w:rPr>
          <w:rFonts w:ascii="宋体" w:hAnsi="宋体"/>
          <w:sz w:val="21"/>
          <w:szCs w:val="21"/>
        </w:rPr>
        <w:t>人</w:t>
      </w:r>
      <w:r>
        <w:rPr>
          <w:rFonts w:hint="eastAsia" w:ascii="宋体" w:hAnsi="宋体"/>
          <w:sz w:val="21"/>
          <w:szCs w:val="21"/>
        </w:rPr>
        <w:t>、</w:t>
      </w:r>
      <w:r>
        <w:rPr>
          <w:rFonts w:ascii="宋体" w:hAnsi="宋体"/>
          <w:sz w:val="21"/>
          <w:szCs w:val="21"/>
        </w:rPr>
        <w:t>招标代理机构</w:t>
      </w:r>
      <w:r>
        <w:rPr>
          <w:rFonts w:hint="eastAsia" w:ascii="宋体" w:hAnsi="宋体"/>
          <w:sz w:val="21"/>
          <w:szCs w:val="21"/>
        </w:rPr>
        <w:t>未</w:t>
      </w:r>
      <w:r>
        <w:rPr>
          <w:rFonts w:ascii="宋体" w:hAnsi="宋体"/>
          <w:sz w:val="21"/>
          <w:szCs w:val="21"/>
        </w:rPr>
        <w:t>及时修订的，评标时</w:t>
      </w:r>
      <w:r>
        <w:rPr>
          <w:rFonts w:hint="eastAsia" w:ascii="宋体" w:hAnsi="宋体"/>
          <w:sz w:val="21"/>
          <w:szCs w:val="21"/>
        </w:rPr>
        <w:t>将以</w:t>
      </w:r>
      <w:r>
        <w:rPr>
          <w:rFonts w:ascii="宋体" w:hAnsi="宋体"/>
          <w:sz w:val="21"/>
          <w:szCs w:val="21"/>
        </w:rPr>
        <w:t>第一章</w:t>
      </w:r>
      <w:r>
        <w:rPr>
          <w:rFonts w:hint="eastAsia" w:ascii="宋体" w:hAnsi="宋体"/>
          <w:sz w:val="21"/>
          <w:szCs w:val="21"/>
        </w:rPr>
        <w:t>内容</w:t>
      </w:r>
      <w:r>
        <w:rPr>
          <w:rFonts w:ascii="宋体" w:hAnsi="宋体"/>
          <w:sz w:val="21"/>
          <w:szCs w:val="21"/>
        </w:rPr>
        <w:t>为准</w:t>
      </w:r>
      <w:r>
        <w:rPr>
          <w:rFonts w:hint="eastAsia" w:ascii="宋体" w:hAnsi="宋体"/>
          <w:sz w:val="21"/>
          <w:szCs w:val="21"/>
        </w:rPr>
        <w:t>。</w:t>
      </w:r>
    </w:p>
    <w:p w14:paraId="3C5F1114">
      <w:pPr>
        <w:snapToGrid w:val="0"/>
        <w:ind w:firstLine="420" w:firstLineChars="200"/>
        <w:rPr>
          <w:rFonts w:ascii="宋体" w:hAnsi="宋体"/>
          <w:sz w:val="21"/>
          <w:szCs w:val="21"/>
        </w:rPr>
      </w:pPr>
      <w:r>
        <w:rPr>
          <w:rFonts w:hint="eastAsia" w:ascii="宋体" w:hAnsi="宋体"/>
          <w:sz w:val="21"/>
          <w:szCs w:val="21"/>
        </w:rPr>
        <w:t>3.项目经理部等人员配置表中全部人员的证件及</w:t>
      </w:r>
      <w:r>
        <w:rPr>
          <w:rFonts w:ascii="宋体" w:hAnsi="宋体"/>
          <w:sz w:val="21"/>
          <w:szCs w:val="21"/>
        </w:rPr>
        <w:t>相关证明材料的</w:t>
      </w:r>
      <w:r>
        <w:rPr>
          <w:rFonts w:hint="eastAsia" w:ascii="宋体" w:hAnsi="宋体"/>
          <w:sz w:val="21"/>
          <w:szCs w:val="21"/>
        </w:rPr>
        <w:t>复印</w:t>
      </w:r>
      <w:r>
        <w:rPr>
          <w:rFonts w:ascii="宋体" w:hAnsi="宋体"/>
          <w:sz w:val="21"/>
          <w:szCs w:val="21"/>
        </w:rPr>
        <w:t>件</w:t>
      </w:r>
      <w:r>
        <w:rPr>
          <w:rFonts w:hint="eastAsia" w:ascii="宋体" w:hAnsi="宋体"/>
          <w:sz w:val="21"/>
          <w:szCs w:val="21"/>
        </w:rPr>
        <w:t>证明资料可一并</w:t>
      </w:r>
      <w:r>
        <w:rPr>
          <w:rFonts w:ascii="宋体" w:hAnsi="宋体"/>
          <w:sz w:val="21"/>
          <w:szCs w:val="21"/>
        </w:rPr>
        <w:t>在商务</w:t>
      </w:r>
      <w:r>
        <w:rPr>
          <w:rFonts w:hint="eastAsia" w:ascii="宋体" w:hAnsi="宋体"/>
          <w:sz w:val="21"/>
          <w:szCs w:val="21"/>
        </w:rPr>
        <w:t>部分</w:t>
      </w:r>
      <w:r>
        <w:rPr>
          <w:rFonts w:ascii="宋体" w:hAnsi="宋体"/>
          <w:sz w:val="21"/>
          <w:szCs w:val="21"/>
        </w:rPr>
        <w:t>中</w:t>
      </w:r>
      <w:r>
        <w:rPr>
          <w:rFonts w:hint="eastAsia" w:ascii="宋体" w:hAnsi="宋体"/>
          <w:sz w:val="21"/>
          <w:szCs w:val="21"/>
        </w:rPr>
        <w:t>编制</w:t>
      </w:r>
      <w:r>
        <w:rPr>
          <w:rFonts w:ascii="宋体" w:hAnsi="宋体"/>
          <w:sz w:val="21"/>
          <w:szCs w:val="21"/>
        </w:rPr>
        <w:t>，技术</w:t>
      </w:r>
      <w:r>
        <w:rPr>
          <w:rFonts w:hint="eastAsia" w:ascii="宋体" w:hAnsi="宋体"/>
          <w:sz w:val="21"/>
          <w:szCs w:val="21"/>
        </w:rPr>
        <w:t>部分</w:t>
      </w:r>
      <w:r>
        <w:rPr>
          <w:rFonts w:ascii="宋体" w:hAnsi="宋体"/>
          <w:sz w:val="21"/>
          <w:szCs w:val="21"/>
        </w:rPr>
        <w:t>不</w:t>
      </w:r>
      <w:r>
        <w:rPr>
          <w:rFonts w:hint="eastAsia" w:ascii="宋体" w:hAnsi="宋体"/>
          <w:sz w:val="21"/>
          <w:szCs w:val="21"/>
        </w:rPr>
        <w:t>须</w:t>
      </w:r>
      <w:r>
        <w:rPr>
          <w:rFonts w:ascii="宋体" w:hAnsi="宋体"/>
          <w:sz w:val="21"/>
          <w:szCs w:val="21"/>
        </w:rPr>
        <w:t>重复提供。</w:t>
      </w:r>
    </w:p>
    <w:p w14:paraId="791474F2">
      <w:pPr>
        <w:snapToGrid w:val="0"/>
        <w:ind w:firstLine="420" w:firstLineChars="200"/>
        <w:rPr>
          <w:rFonts w:ascii="宋体" w:hAnsi="宋体"/>
          <w:sz w:val="21"/>
          <w:szCs w:val="21"/>
        </w:rPr>
      </w:pPr>
      <w:r>
        <w:rPr>
          <w:rFonts w:ascii="宋体" w:hAnsi="宋体"/>
          <w:sz w:val="21"/>
          <w:szCs w:val="21"/>
        </w:rPr>
        <w:t>4</w:t>
      </w:r>
      <w:r>
        <w:rPr>
          <w:rFonts w:hint="eastAsia" w:ascii="宋体" w:hAnsi="宋体"/>
          <w:sz w:val="21"/>
          <w:szCs w:val="21"/>
        </w:rPr>
        <w:t>.与</w:t>
      </w:r>
      <w:r>
        <w:rPr>
          <w:rFonts w:ascii="宋体" w:hAnsi="宋体"/>
          <w:sz w:val="21"/>
          <w:szCs w:val="21"/>
        </w:rPr>
        <w:t>评审</w:t>
      </w:r>
      <w:r>
        <w:rPr>
          <w:rFonts w:hint="eastAsia" w:ascii="宋体" w:hAnsi="宋体"/>
          <w:sz w:val="21"/>
          <w:szCs w:val="21"/>
        </w:rPr>
        <w:t>内容无关</w:t>
      </w:r>
      <w:r>
        <w:rPr>
          <w:rFonts w:ascii="宋体" w:hAnsi="宋体"/>
          <w:sz w:val="21"/>
          <w:szCs w:val="21"/>
        </w:rPr>
        <w:t>或</w:t>
      </w:r>
      <w:r>
        <w:rPr>
          <w:rFonts w:hint="eastAsia" w:ascii="宋体" w:hAnsi="宋体"/>
          <w:sz w:val="21"/>
          <w:szCs w:val="21"/>
        </w:rPr>
        <w:t>不符合评审标准的证明</w:t>
      </w:r>
      <w:r>
        <w:rPr>
          <w:rFonts w:ascii="宋体" w:hAnsi="宋体"/>
          <w:sz w:val="21"/>
          <w:szCs w:val="21"/>
        </w:rPr>
        <w:t>材料</w:t>
      </w:r>
      <w:r>
        <w:rPr>
          <w:rFonts w:hint="eastAsia" w:ascii="宋体" w:hAnsi="宋体"/>
          <w:sz w:val="21"/>
          <w:szCs w:val="21"/>
        </w:rPr>
        <w:t>复印件不应提供，投标文件应简洁明了有重点。</w:t>
      </w:r>
    </w:p>
    <w:p w14:paraId="670AEC0E">
      <w:pPr>
        <w:snapToGrid w:val="0"/>
        <w:ind w:firstLine="420" w:firstLineChars="200"/>
        <w:rPr>
          <w:rFonts w:ascii="宋体" w:hAnsi="宋体"/>
          <w:spacing w:val="-6"/>
          <w:sz w:val="21"/>
          <w:szCs w:val="21"/>
        </w:rPr>
      </w:pPr>
      <w:r>
        <w:rPr>
          <w:rFonts w:ascii="宋体" w:hAnsi="宋体"/>
          <w:sz w:val="21"/>
          <w:szCs w:val="21"/>
        </w:rPr>
        <w:t>5.</w:t>
      </w:r>
      <w:r>
        <w:rPr>
          <w:rFonts w:hint="eastAsia" w:ascii="宋体" w:hAnsi="宋体"/>
          <w:sz w:val="21"/>
          <w:szCs w:val="21"/>
        </w:rPr>
        <w:t>业绩证明资料（合同文本）中</w:t>
      </w:r>
      <w:r>
        <w:rPr>
          <w:rFonts w:hint="eastAsia" w:ascii="宋体" w:hAnsi="宋体"/>
          <w:spacing w:val="-6"/>
          <w:sz w:val="21"/>
          <w:szCs w:val="21"/>
        </w:rPr>
        <w:t>不能明确显示与</w:t>
      </w:r>
      <w:r>
        <w:rPr>
          <w:rFonts w:hint="eastAsia" w:ascii="宋体" w:hAnsi="宋体"/>
          <w:sz w:val="21"/>
          <w:szCs w:val="21"/>
        </w:rPr>
        <w:t>“评审标准”“评分标准”</w:t>
      </w:r>
      <w:r>
        <w:rPr>
          <w:rFonts w:hint="eastAsia" w:ascii="宋体" w:hAnsi="宋体"/>
          <w:spacing w:val="-6"/>
          <w:sz w:val="21"/>
          <w:szCs w:val="21"/>
        </w:rPr>
        <w:t>有关的</w:t>
      </w:r>
      <w:r>
        <w:rPr>
          <w:rFonts w:ascii="宋体" w:hAnsi="宋体"/>
          <w:spacing w:val="-6"/>
          <w:sz w:val="21"/>
          <w:szCs w:val="21"/>
        </w:rPr>
        <w:t>内容</w:t>
      </w:r>
      <w:r>
        <w:rPr>
          <w:rFonts w:hint="eastAsia" w:ascii="宋体" w:hAnsi="宋体"/>
          <w:spacing w:val="-6"/>
          <w:sz w:val="21"/>
          <w:szCs w:val="21"/>
        </w:rPr>
        <w:t>，如20xx年以来……</w:t>
      </w:r>
      <w:r>
        <w:rPr>
          <w:rFonts w:ascii="宋体" w:hAnsi="宋体"/>
          <w:spacing w:val="-6"/>
          <w:sz w:val="21"/>
          <w:szCs w:val="21"/>
        </w:rPr>
        <w:t>、</w:t>
      </w:r>
      <w:r>
        <w:rPr>
          <w:rFonts w:hint="eastAsia" w:ascii="宋体" w:hAnsi="宋体"/>
          <w:spacing w:val="-6"/>
          <w:sz w:val="21"/>
          <w:szCs w:val="21"/>
        </w:rPr>
        <w:t>承包范围</w:t>
      </w:r>
      <w:r>
        <w:rPr>
          <w:rFonts w:ascii="宋体" w:hAnsi="宋体"/>
          <w:spacing w:val="-6"/>
          <w:sz w:val="21"/>
          <w:szCs w:val="21"/>
        </w:rPr>
        <w:t>、</w:t>
      </w:r>
      <w:r>
        <w:rPr>
          <w:rFonts w:hint="eastAsia" w:ascii="宋体" w:hAnsi="宋体"/>
          <w:spacing w:val="-6"/>
          <w:sz w:val="21"/>
          <w:szCs w:val="21"/>
        </w:rPr>
        <w:t>单项合同</w:t>
      </w:r>
      <w:r>
        <w:rPr>
          <w:rFonts w:ascii="宋体" w:hAnsi="宋体"/>
          <w:spacing w:val="-6"/>
          <w:sz w:val="21"/>
          <w:szCs w:val="21"/>
        </w:rPr>
        <w:t>金额</w:t>
      </w:r>
      <w:r>
        <w:rPr>
          <w:rFonts w:hint="eastAsia" w:ascii="宋体" w:hAnsi="宋体"/>
          <w:spacing w:val="-6"/>
          <w:sz w:val="21"/>
          <w:szCs w:val="21"/>
        </w:rPr>
        <w:t>（若项目业绩</w:t>
      </w:r>
      <w:r>
        <w:rPr>
          <w:rFonts w:ascii="宋体" w:hAnsi="宋体"/>
          <w:spacing w:val="-6"/>
          <w:sz w:val="21"/>
          <w:szCs w:val="21"/>
        </w:rPr>
        <w:t>有要求</w:t>
      </w:r>
      <w:r>
        <w:rPr>
          <w:rFonts w:hint="eastAsia" w:ascii="宋体" w:hAnsi="宋体"/>
          <w:spacing w:val="-6"/>
          <w:sz w:val="21"/>
          <w:szCs w:val="21"/>
        </w:rPr>
        <w:t>）、工程规模（若项目业绩</w:t>
      </w:r>
      <w:r>
        <w:rPr>
          <w:rFonts w:ascii="宋体" w:hAnsi="宋体"/>
          <w:spacing w:val="-6"/>
          <w:sz w:val="21"/>
          <w:szCs w:val="21"/>
        </w:rPr>
        <w:t>有要求</w:t>
      </w:r>
      <w:r>
        <w:rPr>
          <w:rFonts w:hint="eastAsia" w:ascii="宋体" w:hAnsi="宋体"/>
          <w:spacing w:val="-6"/>
          <w:sz w:val="21"/>
          <w:szCs w:val="21"/>
        </w:rPr>
        <w:t>）、</w:t>
      </w:r>
      <w:r>
        <w:rPr>
          <w:rFonts w:hint="eastAsia" w:ascii="宋体" w:hAnsi="宋体"/>
          <w:sz w:val="21"/>
          <w:szCs w:val="21"/>
        </w:rPr>
        <w:t>支付条款、</w:t>
      </w:r>
      <w:r>
        <w:rPr>
          <w:rFonts w:ascii="宋体" w:hAnsi="宋体"/>
          <w:spacing w:val="-6"/>
          <w:sz w:val="21"/>
          <w:szCs w:val="21"/>
        </w:rPr>
        <w:t>个人业绩</w:t>
      </w:r>
      <w:r>
        <w:rPr>
          <w:rFonts w:hint="eastAsia" w:ascii="宋体" w:hAnsi="宋体"/>
          <w:spacing w:val="-6"/>
          <w:sz w:val="21"/>
          <w:szCs w:val="21"/>
        </w:rPr>
        <w:t>的</w:t>
      </w:r>
      <w:r>
        <w:rPr>
          <w:rFonts w:ascii="宋体" w:hAnsi="宋体"/>
          <w:spacing w:val="-6"/>
          <w:sz w:val="21"/>
          <w:szCs w:val="21"/>
        </w:rPr>
        <w:t>人员岗位</w:t>
      </w:r>
      <w:r>
        <w:rPr>
          <w:rFonts w:hint="eastAsia" w:ascii="宋体" w:hAnsi="宋体"/>
          <w:spacing w:val="-6"/>
          <w:sz w:val="21"/>
          <w:szCs w:val="21"/>
        </w:rPr>
        <w:t>及</w:t>
      </w:r>
      <w:r>
        <w:rPr>
          <w:rFonts w:ascii="宋体" w:hAnsi="宋体"/>
          <w:spacing w:val="-6"/>
          <w:sz w:val="21"/>
          <w:szCs w:val="21"/>
        </w:rPr>
        <w:t>姓名</w:t>
      </w:r>
      <w:r>
        <w:rPr>
          <w:rFonts w:hint="eastAsia" w:ascii="宋体" w:hAnsi="宋体"/>
          <w:spacing w:val="-6"/>
          <w:sz w:val="21"/>
          <w:szCs w:val="21"/>
        </w:rPr>
        <w:t>等，投标人应补充提供其他书面证明材料。证明材料由发包人（或</w:t>
      </w:r>
      <w:r>
        <w:rPr>
          <w:rFonts w:ascii="宋体" w:hAnsi="宋体"/>
          <w:spacing w:val="-6"/>
          <w:sz w:val="21"/>
          <w:szCs w:val="21"/>
        </w:rPr>
        <w:t>分包合同的发包人</w:t>
      </w:r>
      <w:r>
        <w:rPr>
          <w:rFonts w:hint="eastAsia" w:ascii="宋体" w:hAnsi="宋体"/>
          <w:spacing w:val="-6"/>
          <w:sz w:val="21"/>
          <w:szCs w:val="21"/>
        </w:rPr>
        <w:t>：若项目业绩的</w:t>
      </w:r>
      <w:r>
        <w:rPr>
          <w:rFonts w:ascii="宋体" w:hAnsi="宋体"/>
          <w:spacing w:val="-6"/>
          <w:sz w:val="21"/>
          <w:szCs w:val="21"/>
        </w:rPr>
        <w:t>评审依据</w:t>
      </w:r>
      <w:r>
        <w:rPr>
          <w:rFonts w:hint="eastAsia" w:ascii="宋体" w:hAnsi="宋体"/>
          <w:spacing w:val="-6"/>
          <w:sz w:val="21"/>
          <w:szCs w:val="21"/>
        </w:rPr>
        <w:t>有规定）或其下</w:t>
      </w:r>
      <w:r>
        <w:rPr>
          <w:rFonts w:ascii="宋体" w:hAnsi="宋体"/>
          <w:spacing w:val="-6"/>
          <w:sz w:val="21"/>
          <w:szCs w:val="21"/>
        </w:rPr>
        <w:t>相关</w:t>
      </w:r>
      <w:r>
        <w:rPr>
          <w:rFonts w:hint="eastAsia" w:ascii="宋体" w:hAnsi="宋体"/>
          <w:spacing w:val="-6"/>
          <w:sz w:val="21"/>
          <w:szCs w:val="21"/>
        </w:rPr>
        <w:t>主管部门提供，并加盖发包人（或</w:t>
      </w:r>
      <w:r>
        <w:rPr>
          <w:rFonts w:ascii="宋体" w:hAnsi="宋体"/>
          <w:spacing w:val="-6"/>
          <w:sz w:val="21"/>
          <w:szCs w:val="21"/>
        </w:rPr>
        <w:t>分包合同的发包人</w:t>
      </w:r>
      <w:r>
        <w:rPr>
          <w:rFonts w:hint="eastAsia" w:ascii="宋体" w:hAnsi="宋体"/>
          <w:spacing w:val="-6"/>
          <w:sz w:val="21"/>
          <w:szCs w:val="21"/>
        </w:rPr>
        <w:t>：若项目业绩的</w:t>
      </w:r>
      <w:r>
        <w:rPr>
          <w:rFonts w:ascii="宋体" w:hAnsi="宋体"/>
          <w:spacing w:val="-6"/>
          <w:sz w:val="21"/>
          <w:szCs w:val="21"/>
        </w:rPr>
        <w:t>评审依据</w:t>
      </w:r>
      <w:r>
        <w:rPr>
          <w:rFonts w:hint="eastAsia" w:ascii="宋体" w:hAnsi="宋体"/>
          <w:spacing w:val="-6"/>
          <w:sz w:val="21"/>
          <w:szCs w:val="21"/>
        </w:rPr>
        <w:t>有规定）单位章或其下</w:t>
      </w:r>
      <w:r>
        <w:rPr>
          <w:rFonts w:ascii="宋体" w:hAnsi="宋体"/>
          <w:spacing w:val="-6"/>
          <w:sz w:val="21"/>
          <w:szCs w:val="21"/>
        </w:rPr>
        <w:t>相关</w:t>
      </w:r>
      <w:r>
        <w:rPr>
          <w:rFonts w:hint="eastAsia" w:ascii="宋体" w:hAnsi="宋体"/>
          <w:spacing w:val="-6"/>
          <w:sz w:val="21"/>
          <w:szCs w:val="21"/>
        </w:rPr>
        <w:t>主管部门印章。</w:t>
      </w:r>
    </w:p>
    <w:p w14:paraId="64A8A716">
      <w:pPr>
        <w:snapToGrid w:val="0"/>
        <w:ind w:firstLine="396" w:firstLineChars="200"/>
        <w:rPr>
          <w:rFonts w:ascii="宋体" w:hAnsi="宋体"/>
          <w:spacing w:val="-6"/>
          <w:sz w:val="21"/>
          <w:szCs w:val="21"/>
        </w:rPr>
      </w:pPr>
      <w:r>
        <w:rPr>
          <w:rFonts w:ascii="宋体" w:hAnsi="宋体"/>
          <w:spacing w:val="-6"/>
          <w:sz w:val="21"/>
          <w:szCs w:val="21"/>
        </w:rPr>
        <w:t>6.</w:t>
      </w:r>
      <w:r>
        <w:rPr>
          <w:rFonts w:hint="eastAsia" w:ascii="宋体" w:hAnsi="宋体"/>
          <w:sz w:val="21"/>
          <w:szCs w:val="21"/>
        </w:rPr>
        <w:t>投标文件封面等不应出现本章附件及编号字样。附件中给出的格式如留空不足或投标人有特别补充的，可增加补充页，表格可横排。</w:t>
      </w:r>
    </w:p>
    <w:p w14:paraId="50CC894C">
      <w:pPr>
        <w:snapToGrid w:val="0"/>
        <w:ind w:firstLine="480"/>
        <w:rPr>
          <w:rFonts w:ascii="宋体" w:hAnsi="宋体"/>
          <w:sz w:val="21"/>
          <w:szCs w:val="21"/>
        </w:rPr>
      </w:pPr>
      <w:r>
        <w:rPr>
          <w:rFonts w:ascii="宋体" w:hAnsi="宋体"/>
          <w:sz w:val="21"/>
          <w:szCs w:val="21"/>
        </w:rPr>
        <w:t>7.</w:t>
      </w:r>
      <w:r>
        <w:rPr>
          <w:rFonts w:hint="eastAsia" w:ascii="宋体" w:hAnsi="宋体"/>
          <w:sz w:val="21"/>
          <w:szCs w:val="21"/>
        </w:rPr>
        <w:t>若因招标文件编制人疏漏，在第</w:t>
      </w:r>
      <w:r>
        <w:rPr>
          <w:rFonts w:ascii="宋体" w:hAnsi="宋体"/>
          <w:sz w:val="21"/>
          <w:szCs w:val="21"/>
        </w:rPr>
        <w:t>四章“</w:t>
      </w:r>
      <w:r>
        <w:rPr>
          <w:rFonts w:hint="eastAsia" w:ascii="宋体" w:hAnsi="宋体"/>
          <w:sz w:val="21"/>
          <w:szCs w:val="21"/>
        </w:rPr>
        <w:t>评标</w:t>
      </w:r>
      <w:r>
        <w:rPr>
          <w:rFonts w:ascii="宋体" w:hAnsi="宋体"/>
          <w:sz w:val="21"/>
          <w:szCs w:val="21"/>
        </w:rPr>
        <w:t>办法”</w:t>
      </w:r>
      <w:r>
        <w:rPr>
          <w:rFonts w:hint="eastAsia" w:ascii="宋体" w:hAnsi="宋体"/>
          <w:sz w:val="21"/>
          <w:szCs w:val="21"/>
        </w:rPr>
        <w:t>附件</w:t>
      </w:r>
      <w:r>
        <w:rPr>
          <w:rFonts w:ascii="宋体" w:hAnsi="宋体"/>
          <w:sz w:val="21"/>
          <w:szCs w:val="21"/>
        </w:rPr>
        <w:t>2“</w:t>
      </w:r>
      <w:r>
        <w:rPr>
          <w:rFonts w:hint="eastAsia" w:ascii="宋体" w:hAnsi="宋体"/>
          <w:sz w:val="21"/>
          <w:szCs w:val="21"/>
        </w:rPr>
        <w:t>初步</w:t>
      </w:r>
      <w:r>
        <w:rPr>
          <w:rFonts w:ascii="宋体" w:hAnsi="宋体"/>
          <w:sz w:val="21"/>
          <w:szCs w:val="21"/>
        </w:rPr>
        <w:t>评审标</w:t>
      </w:r>
      <w:r>
        <w:rPr>
          <w:rFonts w:hint="eastAsia" w:ascii="宋体" w:hAnsi="宋体"/>
          <w:sz w:val="21"/>
          <w:szCs w:val="21"/>
        </w:rPr>
        <w:t>准</w:t>
      </w:r>
      <w:r>
        <w:rPr>
          <w:rFonts w:ascii="宋体" w:hAnsi="宋体"/>
          <w:sz w:val="21"/>
          <w:szCs w:val="21"/>
        </w:rPr>
        <w:t>及记录表”</w:t>
      </w:r>
      <w:r>
        <w:rPr>
          <w:rFonts w:hint="eastAsia" w:ascii="宋体" w:hAnsi="宋体"/>
          <w:sz w:val="21"/>
          <w:szCs w:val="21"/>
        </w:rPr>
        <w:t>的“评审标准”、附件</w:t>
      </w:r>
      <w:r>
        <w:rPr>
          <w:rFonts w:ascii="宋体" w:hAnsi="宋体"/>
          <w:sz w:val="21"/>
          <w:szCs w:val="21"/>
        </w:rPr>
        <w:t>3“</w:t>
      </w:r>
      <w:r>
        <w:rPr>
          <w:rFonts w:hint="eastAsia" w:ascii="宋体" w:hAnsi="宋体"/>
          <w:sz w:val="21"/>
          <w:szCs w:val="21"/>
        </w:rPr>
        <w:t>详细</w:t>
      </w:r>
      <w:r>
        <w:rPr>
          <w:rFonts w:ascii="宋体" w:hAnsi="宋体"/>
          <w:sz w:val="21"/>
          <w:szCs w:val="21"/>
        </w:rPr>
        <w:t>评审标准及计分表”</w:t>
      </w:r>
      <w:r>
        <w:rPr>
          <w:rFonts w:hint="eastAsia" w:ascii="宋体" w:hAnsi="宋体"/>
          <w:sz w:val="21"/>
          <w:szCs w:val="21"/>
        </w:rPr>
        <w:t>的</w:t>
      </w:r>
      <w:r>
        <w:rPr>
          <w:rFonts w:ascii="宋体" w:hAnsi="宋体"/>
          <w:sz w:val="21"/>
          <w:szCs w:val="21"/>
        </w:rPr>
        <w:t>“</w:t>
      </w:r>
      <w:r>
        <w:rPr>
          <w:rFonts w:hint="eastAsia" w:ascii="宋体" w:hAnsi="宋体"/>
          <w:sz w:val="21"/>
          <w:szCs w:val="21"/>
        </w:rPr>
        <w:t>评分</w:t>
      </w:r>
      <w:r>
        <w:rPr>
          <w:rFonts w:ascii="宋体" w:hAnsi="宋体"/>
          <w:sz w:val="21"/>
          <w:szCs w:val="21"/>
        </w:rPr>
        <w:t>标准”</w:t>
      </w:r>
      <w:r>
        <w:rPr>
          <w:rFonts w:hint="eastAsia" w:ascii="宋体" w:hAnsi="宋体"/>
          <w:sz w:val="21"/>
          <w:szCs w:val="21"/>
        </w:rPr>
        <w:t>中</w:t>
      </w:r>
      <w:r>
        <w:rPr>
          <w:rFonts w:ascii="宋体" w:hAnsi="宋体"/>
          <w:sz w:val="21"/>
          <w:szCs w:val="21"/>
        </w:rPr>
        <w:t>未明确</w:t>
      </w:r>
      <w:r>
        <w:rPr>
          <w:rFonts w:hint="eastAsia" w:ascii="宋体" w:hAnsi="宋体"/>
          <w:sz w:val="21"/>
          <w:szCs w:val="21"/>
        </w:rPr>
        <w:t>本“投标</w:t>
      </w:r>
      <w:r>
        <w:rPr>
          <w:rFonts w:ascii="宋体" w:hAnsi="宋体"/>
          <w:sz w:val="21"/>
          <w:szCs w:val="21"/>
        </w:rPr>
        <w:t>文件编制补充说明</w:t>
      </w:r>
      <w:r>
        <w:rPr>
          <w:rFonts w:hint="eastAsia" w:ascii="宋体" w:hAnsi="宋体"/>
          <w:sz w:val="21"/>
          <w:szCs w:val="21"/>
        </w:rPr>
        <w:t>”</w:t>
      </w:r>
      <w:r>
        <w:rPr>
          <w:rFonts w:ascii="宋体" w:hAnsi="宋体"/>
          <w:sz w:val="21"/>
          <w:szCs w:val="21"/>
        </w:rPr>
        <w:t>相关内容的，将以本“投标文件编制补充说明”中的相关要求为依据进行评审，投标人应按照要求提供相关证明材料。</w:t>
      </w:r>
    </w:p>
    <w:p w14:paraId="36BCD5F0">
      <w:pPr>
        <w:snapToGrid w:val="0"/>
        <w:ind w:firstLine="480"/>
        <w:rPr>
          <w:rFonts w:ascii="宋体" w:hAnsi="宋体"/>
          <w:sz w:val="21"/>
          <w:szCs w:val="21"/>
        </w:rPr>
      </w:pPr>
      <w:r>
        <w:rPr>
          <w:rFonts w:ascii="宋体" w:hAnsi="宋体"/>
          <w:sz w:val="21"/>
          <w:szCs w:val="21"/>
        </w:rPr>
        <w:t>8</w:t>
      </w:r>
      <w:r>
        <w:rPr>
          <w:rFonts w:hint="eastAsia" w:ascii="宋体" w:hAnsi="宋体"/>
          <w:sz w:val="21"/>
          <w:szCs w:val="21"/>
        </w:rPr>
        <w:t>.编制投标文件时，投标人应按照以下要求提供符合</w:t>
      </w:r>
      <w:r>
        <w:rPr>
          <w:rFonts w:ascii="宋体" w:hAnsi="宋体"/>
          <w:sz w:val="21"/>
          <w:szCs w:val="21"/>
        </w:rPr>
        <w:t>评审标准</w:t>
      </w:r>
      <w:r>
        <w:rPr>
          <w:rFonts w:hint="eastAsia" w:ascii="宋体" w:hAnsi="宋体"/>
          <w:sz w:val="21"/>
          <w:szCs w:val="21"/>
        </w:rPr>
        <w:t>的相关资格、能力证明资料参与评审：</w:t>
      </w:r>
    </w:p>
    <w:p w14:paraId="211ACF54">
      <w:pPr>
        <w:snapToGrid w:val="0"/>
        <w:ind w:firstLine="420" w:firstLineChars="200"/>
        <w:rPr>
          <w:rFonts w:ascii="宋体" w:hAnsi="宋体"/>
          <w:sz w:val="21"/>
          <w:szCs w:val="21"/>
        </w:rPr>
      </w:pPr>
      <w:r>
        <w:rPr>
          <w:rFonts w:hint="eastAsia" w:ascii="宋体" w:hAnsi="宋体"/>
          <w:sz w:val="21"/>
          <w:szCs w:val="21"/>
        </w:rPr>
        <w:t>（1）项目经理部等人员的证件（包括相关说明）按照项目经理部等人员配置表序号要求提供；</w:t>
      </w:r>
    </w:p>
    <w:p w14:paraId="2394BAF4">
      <w:pPr>
        <w:snapToGrid w:val="0"/>
        <w:ind w:firstLine="420" w:firstLineChars="200"/>
        <w:rPr>
          <w:rFonts w:ascii="宋体" w:hAnsi="宋体"/>
          <w:sz w:val="21"/>
          <w:szCs w:val="21"/>
        </w:rPr>
      </w:pPr>
      <w:r>
        <w:rPr>
          <w:rFonts w:hint="eastAsia" w:ascii="宋体" w:hAnsi="宋体"/>
          <w:sz w:val="21"/>
          <w:szCs w:val="21"/>
        </w:rPr>
        <w:t>（2）</w:t>
      </w:r>
      <w:r>
        <w:rPr>
          <w:rFonts w:ascii="宋体" w:hAnsi="宋体"/>
          <w:sz w:val="21"/>
          <w:szCs w:val="21"/>
        </w:rPr>
        <w:t>业绩</w:t>
      </w:r>
      <w:r>
        <w:rPr>
          <w:rFonts w:hint="eastAsia" w:ascii="宋体" w:hAnsi="宋体"/>
          <w:sz w:val="21"/>
          <w:szCs w:val="21"/>
        </w:rPr>
        <w:t>合同应按照初步评审标准及记录表、详细评审标准及计分表的</w:t>
      </w:r>
      <w:r>
        <w:rPr>
          <w:rFonts w:ascii="宋体" w:hAnsi="宋体"/>
          <w:sz w:val="21"/>
          <w:szCs w:val="21"/>
        </w:rPr>
        <w:t>评审</w:t>
      </w:r>
      <w:r>
        <w:rPr>
          <w:rFonts w:hint="eastAsia" w:ascii="宋体" w:hAnsi="宋体"/>
          <w:sz w:val="21"/>
          <w:szCs w:val="21"/>
        </w:rPr>
        <w:t>/评分要求提供（包括</w:t>
      </w:r>
      <w:r>
        <w:rPr>
          <w:rFonts w:ascii="宋体" w:hAnsi="宋体"/>
          <w:sz w:val="21"/>
          <w:szCs w:val="21"/>
        </w:rPr>
        <w:t>相关证明材料</w:t>
      </w:r>
      <w:r>
        <w:rPr>
          <w:rFonts w:hint="eastAsia" w:ascii="宋体" w:hAnsi="宋体"/>
          <w:sz w:val="21"/>
          <w:szCs w:val="21"/>
        </w:rPr>
        <w:t>），在此</w:t>
      </w:r>
      <w:r>
        <w:rPr>
          <w:rFonts w:ascii="宋体" w:hAnsi="宋体"/>
          <w:sz w:val="21"/>
          <w:szCs w:val="21"/>
        </w:rPr>
        <w:t>基础上按照本</w:t>
      </w:r>
      <w:r>
        <w:rPr>
          <w:rFonts w:hint="eastAsia" w:ascii="宋体" w:hAnsi="宋体"/>
          <w:sz w:val="21"/>
          <w:szCs w:val="21"/>
        </w:rPr>
        <w:t>章附件</w:t>
      </w:r>
      <w:r>
        <w:rPr>
          <w:rFonts w:ascii="宋体" w:hAnsi="宋体"/>
          <w:sz w:val="21"/>
          <w:szCs w:val="21"/>
        </w:rPr>
        <w:t>格式完善</w:t>
      </w:r>
      <w:r>
        <w:rPr>
          <w:rFonts w:hint="eastAsia" w:ascii="宋体" w:hAnsi="宋体"/>
          <w:sz w:val="21"/>
          <w:szCs w:val="21"/>
        </w:rPr>
        <w:t>编制“投标人主要人员业绩合同清单”和“</w:t>
      </w:r>
      <w:r>
        <w:rPr>
          <w:rFonts w:hint="eastAsia" w:ascii="宋体" w:hAnsi="宋体" w:cs="宋体"/>
          <w:sz w:val="21"/>
          <w:szCs w:val="21"/>
        </w:rPr>
        <w:t>投标人单位业绩合同清单</w:t>
      </w:r>
      <w:r>
        <w:rPr>
          <w:rFonts w:hint="eastAsia" w:ascii="宋体" w:hAnsi="宋体"/>
          <w:sz w:val="21"/>
          <w:szCs w:val="21"/>
        </w:rPr>
        <w:t>”。</w:t>
      </w:r>
    </w:p>
    <w:p w14:paraId="54FFEF7B">
      <w:pPr>
        <w:snapToGrid w:val="0"/>
        <w:ind w:firstLine="480"/>
        <w:rPr>
          <w:rFonts w:ascii="宋体" w:hAnsi="宋体"/>
          <w:sz w:val="21"/>
          <w:szCs w:val="21"/>
        </w:rPr>
      </w:pPr>
      <w:r>
        <w:rPr>
          <w:rFonts w:hint="eastAsia" w:ascii="宋体" w:hAnsi="宋体"/>
          <w:spacing w:val="-6"/>
          <w:sz w:val="21"/>
          <w:szCs w:val="21"/>
        </w:rPr>
        <w:t>9.投标人</w:t>
      </w:r>
      <w:r>
        <w:rPr>
          <w:rFonts w:ascii="宋体" w:hAnsi="宋体"/>
          <w:spacing w:val="-6"/>
          <w:sz w:val="21"/>
          <w:szCs w:val="21"/>
        </w:rPr>
        <w:t>应</w:t>
      </w:r>
      <w:r>
        <w:rPr>
          <w:rFonts w:hint="eastAsia" w:ascii="宋体" w:hAnsi="宋体"/>
          <w:spacing w:val="-6"/>
          <w:sz w:val="21"/>
          <w:szCs w:val="21"/>
        </w:rPr>
        <w:t>重点</w:t>
      </w:r>
      <w:r>
        <w:rPr>
          <w:rFonts w:ascii="宋体" w:hAnsi="宋体"/>
          <w:spacing w:val="-6"/>
          <w:sz w:val="21"/>
          <w:szCs w:val="21"/>
        </w:rPr>
        <w:t>关注第四章“</w:t>
      </w:r>
      <w:r>
        <w:rPr>
          <w:rFonts w:hint="eastAsia" w:ascii="宋体" w:hAnsi="宋体"/>
          <w:spacing w:val="-6"/>
          <w:sz w:val="21"/>
          <w:szCs w:val="21"/>
        </w:rPr>
        <w:t>评标</w:t>
      </w:r>
      <w:r>
        <w:rPr>
          <w:rFonts w:ascii="宋体" w:hAnsi="宋体"/>
          <w:spacing w:val="-6"/>
          <w:sz w:val="21"/>
          <w:szCs w:val="21"/>
        </w:rPr>
        <w:t>办法”</w:t>
      </w:r>
      <w:r>
        <w:rPr>
          <w:rFonts w:hint="eastAsia" w:ascii="宋体" w:hAnsi="宋体"/>
          <w:spacing w:val="-6"/>
          <w:sz w:val="21"/>
          <w:szCs w:val="21"/>
        </w:rPr>
        <w:t>附件1“否决</w:t>
      </w:r>
      <w:r>
        <w:rPr>
          <w:rFonts w:ascii="宋体" w:hAnsi="宋体"/>
          <w:spacing w:val="-6"/>
          <w:sz w:val="21"/>
          <w:szCs w:val="21"/>
        </w:rPr>
        <w:t>投标的情形</w:t>
      </w:r>
      <w:r>
        <w:rPr>
          <w:rFonts w:hint="eastAsia" w:ascii="宋体" w:hAnsi="宋体"/>
          <w:spacing w:val="-6"/>
          <w:sz w:val="21"/>
          <w:szCs w:val="21"/>
        </w:rPr>
        <w:t>”相关</w:t>
      </w:r>
      <w:r>
        <w:rPr>
          <w:rFonts w:ascii="宋体" w:hAnsi="宋体"/>
          <w:spacing w:val="-6"/>
          <w:sz w:val="21"/>
          <w:szCs w:val="21"/>
        </w:rPr>
        <w:t>条款</w:t>
      </w:r>
      <w:r>
        <w:rPr>
          <w:rFonts w:hint="eastAsia" w:ascii="宋体" w:hAnsi="宋体"/>
          <w:spacing w:val="-6"/>
          <w:sz w:val="21"/>
          <w:szCs w:val="21"/>
        </w:rPr>
        <w:t>规定，以及</w:t>
      </w:r>
      <w:r>
        <w:rPr>
          <w:rFonts w:ascii="宋体" w:hAnsi="宋体"/>
          <w:spacing w:val="-6"/>
          <w:sz w:val="21"/>
          <w:szCs w:val="21"/>
        </w:rPr>
        <w:t>附件</w:t>
      </w:r>
      <w:r>
        <w:rPr>
          <w:rFonts w:hint="eastAsia" w:ascii="宋体" w:hAnsi="宋体"/>
          <w:spacing w:val="-6"/>
          <w:sz w:val="21"/>
          <w:szCs w:val="21"/>
        </w:rPr>
        <w:t>2</w:t>
      </w:r>
      <w:r>
        <w:rPr>
          <w:rFonts w:ascii="宋体" w:hAnsi="宋体"/>
          <w:spacing w:val="-6"/>
          <w:sz w:val="21"/>
          <w:szCs w:val="21"/>
        </w:rPr>
        <w:t>-1“</w:t>
      </w:r>
      <w:r>
        <w:rPr>
          <w:rFonts w:hint="eastAsia" w:ascii="宋体" w:hAnsi="宋体"/>
          <w:spacing w:val="-6"/>
          <w:sz w:val="21"/>
          <w:szCs w:val="21"/>
        </w:rPr>
        <w:t>初步</w:t>
      </w:r>
      <w:r>
        <w:rPr>
          <w:rFonts w:ascii="宋体" w:hAnsi="宋体"/>
          <w:spacing w:val="-6"/>
          <w:sz w:val="21"/>
          <w:szCs w:val="21"/>
        </w:rPr>
        <w:t>评审</w:t>
      </w:r>
      <w:r>
        <w:rPr>
          <w:rFonts w:hint="eastAsia" w:ascii="宋体" w:hAnsi="宋体"/>
          <w:spacing w:val="-6"/>
          <w:sz w:val="21"/>
          <w:szCs w:val="21"/>
        </w:rPr>
        <w:t>标准</w:t>
      </w:r>
      <w:r>
        <w:rPr>
          <w:rFonts w:ascii="宋体" w:hAnsi="宋体"/>
          <w:spacing w:val="-6"/>
          <w:sz w:val="21"/>
          <w:szCs w:val="21"/>
        </w:rPr>
        <w:t>及</w:t>
      </w:r>
      <w:r>
        <w:rPr>
          <w:rFonts w:hint="eastAsia" w:ascii="宋体" w:hAnsi="宋体"/>
          <w:spacing w:val="-6"/>
          <w:sz w:val="21"/>
          <w:szCs w:val="21"/>
        </w:rPr>
        <w:t>记录表</w:t>
      </w:r>
      <w:r>
        <w:rPr>
          <w:rFonts w:ascii="宋体" w:hAnsi="宋体"/>
          <w:spacing w:val="-6"/>
          <w:sz w:val="21"/>
          <w:szCs w:val="21"/>
        </w:rPr>
        <w:t>”</w:t>
      </w:r>
      <w:r>
        <w:rPr>
          <w:rFonts w:hint="eastAsia" w:ascii="宋体" w:hAnsi="宋体"/>
          <w:spacing w:val="-6"/>
          <w:sz w:val="21"/>
          <w:szCs w:val="21"/>
        </w:rPr>
        <w:t>（含其他情形）相关“评审标准”的内容</w:t>
      </w:r>
      <w:r>
        <w:rPr>
          <w:rFonts w:hint="eastAsia" w:ascii="宋体" w:hAnsi="宋体"/>
          <w:sz w:val="21"/>
          <w:szCs w:val="21"/>
        </w:rPr>
        <w:t>。</w:t>
      </w:r>
    </w:p>
    <w:p w14:paraId="43D718B4">
      <w:pPr>
        <w:snapToGrid w:val="0"/>
        <w:ind w:firstLine="480"/>
        <w:jc w:val="left"/>
        <w:rPr>
          <w:rFonts w:ascii="宋体" w:hAnsi="宋体" w:cs="宋体"/>
          <w:sz w:val="21"/>
          <w:szCs w:val="21"/>
        </w:rPr>
      </w:pPr>
      <w:r>
        <w:rPr>
          <w:rFonts w:hint="eastAsia" w:ascii="宋体" w:hAnsi="宋体"/>
          <w:spacing w:val="-8"/>
          <w:sz w:val="21"/>
          <w:szCs w:val="21"/>
        </w:rPr>
        <w:t>10.除</w:t>
      </w:r>
      <w:r>
        <w:rPr>
          <w:rFonts w:ascii="宋体" w:hAnsi="宋体"/>
          <w:spacing w:val="-8"/>
          <w:sz w:val="21"/>
          <w:szCs w:val="21"/>
        </w:rPr>
        <w:t>特别说明</w:t>
      </w:r>
      <w:r>
        <w:rPr>
          <w:rFonts w:hint="eastAsia" w:ascii="宋体" w:hAnsi="宋体"/>
          <w:spacing w:val="-8"/>
          <w:sz w:val="21"/>
          <w:szCs w:val="21"/>
        </w:rPr>
        <w:t>外</w:t>
      </w:r>
      <w:r>
        <w:rPr>
          <w:rFonts w:ascii="宋体" w:hAnsi="宋体"/>
          <w:spacing w:val="-8"/>
          <w:sz w:val="21"/>
          <w:szCs w:val="21"/>
        </w:rPr>
        <w:t>，第一章“</w:t>
      </w:r>
      <w:r>
        <w:rPr>
          <w:rFonts w:hint="eastAsia" w:ascii="宋体" w:hAnsi="宋体"/>
          <w:spacing w:val="-8"/>
          <w:sz w:val="21"/>
          <w:szCs w:val="21"/>
        </w:rPr>
        <w:t>招标</w:t>
      </w:r>
      <w:r>
        <w:rPr>
          <w:rFonts w:ascii="宋体" w:hAnsi="宋体"/>
          <w:spacing w:val="-8"/>
          <w:sz w:val="21"/>
          <w:szCs w:val="21"/>
        </w:rPr>
        <w:t>公告”</w:t>
      </w:r>
      <w:r>
        <w:rPr>
          <w:rFonts w:hint="eastAsia" w:ascii="宋体" w:hAnsi="宋体"/>
          <w:spacing w:val="-8"/>
          <w:sz w:val="21"/>
          <w:szCs w:val="21"/>
        </w:rPr>
        <w:t>中</w:t>
      </w:r>
      <w:r>
        <w:rPr>
          <w:rFonts w:ascii="宋体" w:hAnsi="宋体"/>
          <w:spacing w:val="-8"/>
          <w:sz w:val="21"/>
          <w:szCs w:val="21"/>
        </w:rPr>
        <w:t>明确的人员不得相互兼职</w:t>
      </w:r>
      <w:r>
        <w:rPr>
          <w:rFonts w:ascii="宋体" w:hAnsi="宋体"/>
          <w:sz w:val="21"/>
          <w:szCs w:val="21"/>
        </w:rPr>
        <w:t>。</w:t>
      </w:r>
    </w:p>
    <w:p w14:paraId="079923FE">
      <w:pPr>
        <w:snapToGrid w:val="0"/>
        <w:outlineLvl w:val="1"/>
        <w:rPr>
          <w:rFonts w:ascii="宋体" w:hAnsi="宋体" w:cs="宋体"/>
          <w:sz w:val="21"/>
          <w:szCs w:val="21"/>
        </w:rPr>
      </w:pPr>
      <w:bookmarkStart w:id="1052" w:name="_Toc1423"/>
      <w:bookmarkStart w:id="1053" w:name="_Toc30352"/>
      <w:bookmarkStart w:id="1054" w:name="_Toc25928"/>
      <w:bookmarkStart w:id="1055" w:name="_Toc24116"/>
      <w:bookmarkStart w:id="1056" w:name="_Toc11413"/>
      <w:bookmarkStart w:id="1057" w:name="_Toc25393"/>
      <w:r>
        <w:rPr>
          <w:rFonts w:hint="eastAsia" w:ascii="宋体" w:hAnsi="宋体" w:cs="宋体"/>
          <w:b/>
          <w:sz w:val="21"/>
          <w:szCs w:val="21"/>
        </w:rPr>
        <w:t>三、附件格式</w:t>
      </w:r>
      <w:bookmarkEnd w:id="1052"/>
      <w:bookmarkEnd w:id="1053"/>
      <w:bookmarkEnd w:id="1054"/>
      <w:bookmarkEnd w:id="1055"/>
      <w:bookmarkEnd w:id="1056"/>
      <w:bookmarkEnd w:id="1057"/>
    </w:p>
    <w:p w14:paraId="771FD1F7">
      <w:pPr>
        <w:snapToGrid w:val="0"/>
        <w:ind w:firstLine="382" w:firstLineChars="182"/>
        <w:jc w:val="left"/>
        <w:outlineLvl w:val="2"/>
        <w:rPr>
          <w:rFonts w:ascii="宋体" w:hAnsi="宋体" w:cs="宋体"/>
          <w:sz w:val="21"/>
          <w:szCs w:val="21"/>
        </w:rPr>
      </w:pPr>
      <w:r>
        <w:rPr>
          <w:rFonts w:hint="eastAsia" w:ascii="宋体" w:hAnsi="宋体" w:cs="宋体"/>
          <w:sz w:val="21"/>
          <w:szCs w:val="21"/>
        </w:rPr>
        <w:t xml:space="preserve">附件1.投标文件封面 </w:t>
      </w:r>
    </w:p>
    <w:p w14:paraId="1C32BFED">
      <w:pPr>
        <w:snapToGrid w:val="0"/>
        <w:ind w:firstLine="382" w:firstLineChars="182"/>
        <w:jc w:val="left"/>
        <w:outlineLvl w:val="2"/>
        <w:rPr>
          <w:rFonts w:ascii="宋体" w:hAnsi="宋体" w:cs="宋体"/>
          <w:sz w:val="21"/>
          <w:szCs w:val="21"/>
        </w:rPr>
      </w:pPr>
      <w:r>
        <w:rPr>
          <w:rFonts w:hint="eastAsia" w:ascii="宋体" w:hAnsi="宋体" w:cs="宋体"/>
          <w:sz w:val="21"/>
          <w:szCs w:val="21"/>
        </w:rPr>
        <w:t>附件2.投标函及投标函附录</w:t>
      </w:r>
    </w:p>
    <w:p w14:paraId="73BDACF4">
      <w:pPr>
        <w:snapToGrid w:val="0"/>
        <w:ind w:firstLine="382" w:firstLineChars="182"/>
        <w:jc w:val="left"/>
        <w:outlineLvl w:val="2"/>
        <w:rPr>
          <w:rFonts w:ascii="宋体" w:hAnsi="宋体" w:cs="宋体"/>
          <w:sz w:val="21"/>
          <w:szCs w:val="21"/>
        </w:rPr>
      </w:pPr>
      <w:r>
        <w:rPr>
          <w:rFonts w:hint="eastAsia" w:ascii="宋体" w:hAnsi="宋体" w:cs="宋体"/>
          <w:sz w:val="21"/>
          <w:szCs w:val="21"/>
        </w:rPr>
        <w:t xml:space="preserve">附件3.法定代表人证明书和授权委托书 </w:t>
      </w:r>
    </w:p>
    <w:p w14:paraId="2479780F">
      <w:pPr>
        <w:snapToGrid w:val="0"/>
        <w:ind w:firstLine="382" w:firstLineChars="182"/>
        <w:jc w:val="left"/>
        <w:outlineLvl w:val="2"/>
        <w:rPr>
          <w:rFonts w:ascii="宋体" w:hAnsi="宋体" w:cs="宋体"/>
          <w:sz w:val="21"/>
          <w:szCs w:val="21"/>
        </w:rPr>
      </w:pPr>
      <w:r>
        <w:rPr>
          <w:rFonts w:hint="eastAsia" w:ascii="宋体" w:hAnsi="宋体" w:cs="宋体"/>
          <w:sz w:val="21"/>
          <w:szCs w:val="21"/>
        </w:rPr>
        <w:t xml:space="preserve">附件4.技术偏差表 </w:t>
      </w:r>
    </w:p>
    <w:p w14:paraId="1C917159">
      <w:pPr>
        <w:snapToGrid w:val="0"/>
        <w:ind w:firstLine="382" w:firstLineChars="182"/>
        <w:jc w:val="left"/>
        <w:outlineLvl w:val="2"/>
        <w:rPr>
          <w:rFonts w:ascii="宋体" w:hAnsi="宋体" w:cs="宋体"/>
          <w:sz w:val="21"/>
          <w:szCs w:val="21"/>
        </w:rPr>
      </w:pPr>
      <w:r>
        <w:rPr>
          <w:rFonts w:hint="eastAsia" w:ascii="宋体" w:hAnsi="宋体" w:cs="宋体"/>
          <w:sz w:val="21"/>
          <w:szCs w:val="21"/>
        </w:rPr>
        <w:t xml:space="preserve">附件5.商务偏差表 </w:t>
      </w:r>
    </w:p>
    <w:p w14:paraId="11BABE96">
      <w:pPr>
        <w:snapToGrid w:val="0"/>
        <w:ind w:firstLine="382" w:firstLineChars="182"/>
        <w:jc w:val="left"/>
        <w:outlineLvl w:val="2"/>
        <w:rPr>
          <w:rFonts w:ascii="宋体" w:hAnsi="宋体" w:cs="宋体"/>
          <w:sz w:val="21"/>
          <w:szCs w:val="21"/>
        </w:rPr>
      </w:pPr>
      <w:r>
        <w:rPr>
          <w:rFonts w:hint="eastAsia" w:ascii="宋体" w:hAnsi="宋体" w:cs="宋体"/>
          <w:sz w:val="21"/>
          <w:szCs w:val="21"/>
        </w:rPr>
        <w:t xml:space="preserve">附件6.投标人承诺书 </w:t>
      </w:r>
    </w:p>
    <w:p w14:paraId="652E1894">
      <w:pPr>
        <w:snapToGrid w:val="0"/>
        <w:ind w:firstLine="382" w:firstLineChars="182"/>
        <w:jc w:val="left"/>
        <w:outlineLvl w:val="2"/>
        <w:rPr>
          <w:rFonts w:ascii="宋体" w:hAnsi="宋体" w:cs="宋体"/>
          <w:sz w:val="21"/>
          <w:szCs w:val="21"/>
        </w:rPr>
      </w:pPr>
      <w:r>
        <w:rPr>
          <w:rFonts w:hint="eastAsia" w:ascii="宋体" w:hAnsi="宋体" w:cs="宋体"/>
          <w:sz w:val="21"/>
          <w:szCs w:val="21"/>
        </w:rPr>
        <w:t xml:space="preserve">附件7.投标人基本情况表 </w:t>
      </w:r>
    </w:p>
    <w:p w14:paraId="3E3193A9">
      <w:pPr>
        <w:snapToGrid w:val="0"/>
        <w:ind w:firstLine="382" w:firstLineChars="182"/>
        <w:jc w:val="left"/>
        <w:outlineLvl w:val="2"/>
        <w:rPr>
          <w:rFonts w:ascii="宋体" w:hAnsi="宋体" w:cs="宋体"/>
          <w:sz w:val="21"/>
          <w:szCs w:val="21"/>
        </w:rPr>
      </w:pPr>
      <w:r>
        <w:rPr>
          <w:rFonts w:hint="eastAsia" w:ascii="宋体" w:hAnsi="宋体" w:cs="宋体"/>
          <w:sz w:val="21"/>
          <w:szCs w:val="21"/>
        </w:rPr>
        <w:t>附件8.投标保证金银行保函</w:t>
      </w:r>
    </w:p>
    <w:p w14:paraId="0A611C88">
      <w:pPr>
        <w:snapToGrid w:val="0"/>
        <w:ind w:firstLine="382" w:firstLineChars="182"/>
        <w:jc w:val="left"/>
        <w:outlineLvl w:val="2"/>
        <w:rPr>
          <w:rFonts w:ascii="宋体" w:hAnsi="宋体" w:cs="宋体"/>
          <w:sz w:val="21"/>
          <w:szCs w:val="21"/>
        </w:rPr>
      </w:pPr>
      <w:r>
        <w:rPr>
          <w:rFonts w:hint="eastAsia" w:ascii="宋体" w:hAnsi="宋体" w:cs="宋体"/>
          <w:sz w:val="21"/>
          <w:szCs w:val="21"/>
        </w:rPr>
        <w:t>附件9.投标保证金保险保单</w:t>
      </w:r>
    </w:p>
    <w:p w14:paraId="7531B455">
      <w:pPr>
        <w:snapToGrid w:val="0"/>
        <w:ind w:firstLine="382" w:firstLineChars="182"/>
        <w:jc w:val="left"/>
        <w:outlineLvl w:val="2"/>
        <w:rPr>
          <w:rFonts w:ascii="宋体" w:hAnsi="宋体" w:cs="宋体"/>
          <w:sz w:val="21"/>
          <w:szCs w:val="21"/>
        </w:rPr>
      </w:pPr>
      <w:r>
        <w:rPr>
          <w:rFonts w:hint="eastAsia" w:ascii="宋体" w:hAnsi="宋体" w:cs="宋体"/>
          <w:sz w:val="21"/>
          <w:szCs w:val="21"/>
        </w:rPr>
        <w:t>附件10.项目经理部人员配置表</w:t>
      </w:r>
    </w:p>
    <w:p w14:paraId="4263926E">
      <w:pPr>
        <w:snapToGrid w:val="0"/>
        <w:ind w:firstLine="382" w:firstLineChars="182"/>
        <w:jc w:val="left"/>
        <w:outlineLvl w:val="2"/>
        <w:rPr>
          <w:rFonts w:ascii="宋体" w:hAnsi="宋体" w:cs="宋体"/>
          <w:sz w:val="21"/>
          <w:szCs w:val="21"/>
        </w:rPr>
      </w:pPr>
      <w:r>
        <w:rPr>
          <w:rFonts w:hint="eastAsia" w:ascii="宋体" w:hAnsi="宋体" w:cs="宋体"/>
          <w:sz w:val="21"/>
          <w:szCs w:val="21"/>
        </w:rPr>
        <w:t>附件11.投标人主要人员业绩合同清单</w:t>
      </w:r>
    </w:p>
    <w:p w14:paraId="30810305">
      <w:pPr>
        <w:snapToGrid w:val="0"/>
        <w:ind w:firstLine="382" w:firstLineChars="182"/>
        <w:jc w:val="left"/>
        <w:outlineLvl w:val="2"/>
        <w:rPr>
          <w:rFonts w:ascii="宋体" w:hAnsi="宋体" w:cs="宋体"/>
          <w:sz w:val="21"/>
          <w:szCs w:val="21"/>
        </w:rPr>
      </w:pPr>
      <w:r>
        <w:rPr>
          <w:rFonts w:hint="eastAsia" w:ascii="宋体" w:hAnsi="宋体" w:cs="宋体"/>
          <w:sz w:val="21"/>
          <w:szCs w:val="21"/>
        </w:rPr>
        <w:t>附件12.投标人单位业绩合同清单</w:t>
      </w:r>
    </w:p>
    <w:p w14:paraId="1CFC5AEB">
      <w:pPr>
        <w:snapToGrid w:val="0"/>
        <w:ind w:firstLine="382" w:firstLineChars="182"/>
        <w:jc w:val="left"/>
        <w:outlineLvl w:val="2"/>
        <w:rPr>
          <w:rFonts w:ascii="宋体" w:hAnsi="宋体" w:cs="宋体"/>
          <w:sz w:val="21"/>
          <w:szCs w:val="21"/>
        </w:rPr>
      </w:pPr>
      <w:r>
        <w:rPr>
          <w:rFonts w:hint="eastAsia" w:ascii="宋体" w:hAnsi="宋体" w:cs="宋体"/>
          <w:sz w:val="21"/>
          <w:szCs w:val="21"/>
        </w:rPr>
        <w:t>附件13.施工机具设备配置表</w:t>
      </w:r>
    </w:p>
    <w:p w14:paraId="31BC48C8">
      <w:pPr>
        <w:snapToGrid w:val="0"/>
        <w:ind w:firstLine="382" w:firstLineChars="182"/>
        <w:jc w:val="left"/>
        <w:outlineLvl w:val="2"/>
        <w:rPr>
          <w:rFonts w:ascii="宋体" w:hAnsi="宋体" w:cs="宋体"/>
          <w:sz w:val="21"/>
          <w:szCs w:val="21"/>
        </w:rPr>
      </w:pPr>
      <w:r>
        <w:rPr>
          <w:rFonts w:hint="eastAsia" w:ascii="宋体" w:hAnsi="宋体" w:cs="宋体"/>
          <w:sz w:val="21"/>
          <w:szCs w:val="21"/>
        </w:rPr>
        <w:t>附件14.试验和检测仪器配置表</w:t>
      </w:r>
    </w:p>
    <w:p w14:paraId="203C2957">
      <w:pPr>
        <w:snapToGrid w:val="0"/>
        <w:ind w:firstLine="382" w:firstLineChars="182"/>
        <w:jc w:val="left"/>
        <w:outlineLvl w:val="2"/>
        <w:rPr>
          <w:rFonts w:ascii="宋体" w:hAnsi="宋体" w:cs="宋体"/>
          <w:sz w:val="21"/>
          <w:szCs w:val="21"/>
        </w:rPr>
      </w:pPr>
      <w:r>
        <w:rPr>
          <w:rFonts w:hint="eastAsia" w:ascii="宋体" w:hAnsi="宋体" w:cs="宋体"/>
          <w:sz w:val="21"/>
          <w:szCs w:val="21"/>
        </w:rPr>
        <w:t>附件1</w:t>
      </w:r>
      <w:r>
        <w:rPr>
          <w:rFonts w:hint="eastAsia" w:ascii="宋体" w:hAnsi="宋体" w:cs="宋体"/>
          <w:sz w:val="21"/>
          <w:szCs w:val="21"/>
          <w:lang w:val="en-US" w:eastAsia="zh-CN"/>
        </w:rPr>
        <w:t>5</w:t>
      </w:r>
      <w:r>
        <w:rPr>
          <w:rFonts w:hint="eastAsia" w:ascii="宋体" w:hAnsi="宋体" w:cs="宋体"/>
          <w:sz w:val="21"/>
          <w:szCs w:val="21"/>
        </w:rPr>
        <w:t>.依法经营记录查询表</w:t>
      </w:r>
    </w:p>
    <w:p w14:paraId="2EA343BB">
      <w:pPr>
        <w:snapToGrid w:val="0"/>
        <w:ind w:firstLine="382" w:firstLineChars="182"/>
        <w:jc w:val="left"/>
        <w:outlineLvl w:val="2"/>
        <w:rPr>
          <w:rFonts w:ascii="宋体" w:hAnsi="宋体" w:cs="宋体"/>
          <w:sz w:val="21"/>
          <w:szCs w:val="21"/>
        </w:rPr>
      </w:pPr>
      <w:r>
        <w:rPr>
          <w:rFonts w:hint="eastAsia" w:ascii="宋体" w:hAnsi="宋体" w:cs="宋体"/>
          <w:sz w:val="21"/>
          <w:szCs w:val="21"/>
        </w:rPr>
        <w:t>附件1</w:t>
      </w:r>
      <w:r>
        <w:rPr>
          <w:rFonts w:hint="eastAsia" w:ascii="宋体" w:hAnsi="宋体" w:cs="宋体"/>
          <w:sz w:val="21"/>
          <w:szCs w:val="21"/>
          <w:lang w:val="en-US" w:eastAsia="zh-CN"/>
        </w:rPr>
        <w:t>6</w:t>
      </w:r>
      <w:r>
        <w:rPr>
          <w:rFonts w:hint="eastAsia" w:ascii="宋体" w:hAnsi="宋体" w:cs="宋体"/>
          <w:sz w:val="21"/>
          <w:szCs w:val="21"/>
        </w:rPr>
        <w:t>.招标工程量清单</w:t>
      </w:r>
    </w:p>
    <w:p w14:paraId="77D03E0F">
      <w:pPr>
        <w:snapToGrid w:val="0"/>
        <w:ind w:firstLine="382" w:firstLineChars="182"/>
        <w:jc w:val="left"/>
        <w:outlineLvl w:val="2"/>
        <w:rPr>
          <w:rFonts w:ascii="宋体" w:hAnsi="宋体" w:cs="宋体"/>
          <w:sz w:val="21"/>
          <w:szCs w:val="21"/>
        </w:rPr>
      </w:pPr>
    </w:p>
    <w:p w14:paraId="51E97A57">
      <w:pPr>
        <w:widowControl/>
        <w:snapToGrid w:val="0"/>
        <w:ind w:firstLine="382" w:firstLineChars="182"/>
        <w:jc w:val="left"/>
        <w:outlineLvl w:val="2"/>
        <w:rPr>
          <w:rFonts w:ascii="宋体" w:hAnsi="宋体" w:cs="宋体"/>
          <w:sz w:val="21"/>
          <w:szCs w:val="21"/>
        </w:rPr>
        <w:sectPr>
          <w:pgSz w:w="11906" w:h="16838"/>
          <w:pgMar w:top="1440" w:right="1080" w:bottom="1440" w:left="1080" w:header="851" w:footer="992" w:gutter="0"/>
          <w:cols w:space="720" w:num="1"/>
        </w:sectPr>
      </w:pPr>
    </w:p>
    <w:p w14:paraId="51AE225E">
      <w:pPr>
        <w:widowControl/>
        <w:adjustRightInd w:val="0"/>
        <w:snapToGrid w:val="0"/>
        <w:spacing w:line="312" w:lineRule="auto"/>
        <w:jc w:val="left"/>
        <w:rPr>
          <w:rFonts w:ascii="Arial" w:hAnsi="宋体"/>
          <w:bCs/>
          <w:kern w:val="0"/>
        </w:rPr>
      </w:pPr>
      <w:r>
        <w:rPr>
          <w:rFonts w:hint="eastAsia" w:ascii="宋体" w:hAnsi="宋体" w:cs="宋体"/>
        </w:rPr>
        <w:t>附件</w:t>
      </w:r>
      <w:r>
        <w:rPr>
          <w:rFonts w:ascii="宋体" w:hAnsi="宋体" w:cs="宋体"/>
        </w:rPr>
        <w:t>1.投标文件封面</w:t>
      </w:r>
    </w:p>
    <w:p w14:paraId="148D3559">
      <w:pPr>
        <w:adjustRightInd w:val="0"/>
        <w:snapToGrid w:val="0"/>
        <w:jc w:val="right"/>
        <w:rPr>
          <w:rFonts w:ascii="宋体" w:hAnsi="宋体"/>
          <w:b/>
          <w:sz w:val="32"/>
          <w:szCs w:val="32"/>
        </w:rPr>
      </w:pPr>
    </w:p>
    <w:p w14:paraId="5647295B">
      <w:pPr>
        <w:adjustRightInd w:val="0"/>
        <w:snapToGrid w:val="0"/>
        <w:jc w:val="right"/>
        <w:rPr>
          <w:rFonts w:ascii="宋体" w:hAnsi="宋体"/>
          <w:b/>
          <w:bCs/>
          <w:sz w:val="32"/>
          <w:szCs w:val="32"/>
        </w:rPr>
      </w:pPr>
    </w:p>
    <w:p w14:paraId="36057F0C">
      <w:pPr>
        <w:adjustRightInd w:val="0"/>
        <w:snapToGrid w:val="0"/>
        <w:jc w:val="center"/>
        <w:rPr>
          <w:rFonts w:ascii="宋体" w:hAnsi="宋体"/>
          <w:bCs/>
          <w:sz w:val="48"/>
          <w:szCs w:val="48"/>
        </w:rPr>
      </w:pPr>
      <w:r>
        <w:rPr>
          <w:rFonts w:hint="eastAsia" w:hAnsi="宋体"/>
          <w:b/>
          <w:sz w:val="48"/>
          <w:szCs w:val="48"/>
          <w:u w:val="single"/>
        </w:rPr>
        <w:t>广澳高速中山服务区西</w:t>
      </w:r>
      <w:r>
        <w:rPr>
          <w:rFonts w:hint="eastAsia" w:hAnsi="宋体"/>
          <w:b/>
          <w:sz w:val="48"/>
          <w:szCs w:val="48"/>
          <w:highlight w:val="none"/>
          <w:u w:val="single"/>
        </w:rPr>
        <w:t>区加油站重建项目土建工程</w:t>
      </w:r>
    </w:p>
    <w:p w14:paraId="078C5DC8">
      <w:pPr>
        <w:pStyle w:val="27"/>
        <w:adjustRightInd w:val="0"/>
        <w:snapToGrid w:val="0"/>
        <w:spacing w:after="0"/>
        <w:jc w:val="center"/>
        <w:rPr>
          <w:rFonts w:ascii="宋体" w:hAnsi="宋体"/>
          <w:b/>
          <w:bCs/>
          <w:sz w:val="30"/>
          <w:szCs w:val="30"/>
        </w:rPr>
      </w:pPr>
    </w:p>
    <w:p w14:paraId="47CCB737">
      <w:pPr>
        <w:pStyle w:val="27"/>
        <w:adjustRightInd w:val="0"/>
        <w:snapToGrid w:val="0"/>
        <w:spacing w:after="0"/>
        <w:jc w:val="center"/>
        <w:rPr>
          <w:rFonts w:ascii="宋体" w:hAnsi="宋体"/>
          <w:b/>
          <w:bCs/>
          <w:sz w:val="30"/>
          <w:szCs w:val="30"/>
        </w:rPr>
      </w:pPr>
    </w:p>
    <w:p w14:paraId="282E310A">
      <w:pPr>
        <w:pStyle w:val="27"/>
        <w:adjustRightInd w:val="0"/>
        <w:snapToGrid w:val="0"/>
        <w:spacing w:after="0"/>
        <w:jc w:val="center"/>
        <w:rPr>
          <w:rFonts w:ascii="宋体" w:hAnsi="宋体"/>
          <w:b/>
          <w:bCs/>
          <w:sz w:val="30"/>
          <w:szCs w:val="30"/>
        </w:rPr>
      </w:pPr>
    </w:p>
    <w:p w14:paraId="5600AEC7">
      <w:pPr>
        <w:pStyle w:val="27"/>
        <w:adjustRightInd w:val="0"/>
        <w:snapToGrid w:val="0"/>
        <w:spacing w:after="0"/>
        <w:jc w:val="center"/>
        <w:rPr>
          <w:rFonts w:ascii="宋体" w:hAnsi="宋体"/>
          <w:b/>
          <w:bCs/>
          <w:sz w:val="24"/>
        </w:rPr>
      </w:pPr>
    </w:p>
    <w:p w14:paraId="6B39628E">
      <w:pPr>
        <w:pStyle w:val="27"/>
        <w:adjustRightInd w:val="0"/>
        <w:snapToGrid w:val="0"/>
        <w:spacing w:after="0"/>
        <w:jc w:val="center"/>
        <w:rPr>
          <w:rFonts w:ascii="宋体" w:hAnsi="宋体"/>
          <w:b/>
          <w:bCs/>
          <w:sz w:val="52"/>
          <w:szCs w:val="52"/>
        </w:rPr>
      </w:pPr>
      <w:r>
        <w:rPr>
          <w:rFonts w:hint="eastAsia" w:ascii="宋体" w:hAnsi="宋体"/>
          <w:b/>
          <w:bCs/>
          <w:sz w:val="52"/>
          <w:szCs w:val="52"/>
        </w:rPr>
        <w:t>投标文件</w:t>
      </w:r>
    </w:p>
    <w:p w14:paraId="5443F0D6">
      <w:pPr>
        <w:pStyle w:val="61"/>
        <w:ind w:firstLine="2399" w:firstLineChars="857"/>
      </w:pPr>
      <w:r>
        <w:rPr>
          <w:rFonts w:hint="eastAsia"/>
        </w:rPr>
        <w:t>（招标项目编号：</w:t>
      </w:r>
      <w:r>
        <w:rPr>
          <w:rFonts w:hint="eastAsia"/>
          <w:lang w:val="en-US" w:eastAsia="zh-CN"/>
        </w:rPr>
        <w:t>ZYT</w:t>
      </w:r>
      <w:r>
        <w:rPr>
          <w:rFonts w:hint="eastAsia"/>
        </w:rPr>
        <w:t>2025-</w:t>
      </w:r>
      <w:r>
        <w:rPr>
          <w:rFonts w:hint="eastAsia"/>
          <w:u w:val="single"/>
          <w:lang w:val="en-US" w:eastAsia="zh-CN"/>
        </w:rPr>
        <w:t>001</w:t>
      </w:r>
      <w:r>
        <w:rPr>
          <w:rFonts w:hint="eastAsia"/>
        </w:rPr>
        <w:t>）</w:t>
      </w:r>
    </w:p>
    <w:p w14:paraId="17FC4219">
      <w:pPr>
        <w:pStyle w:val="2"/>
        <w:adjustRightInd w:val="0"/>
        <w:snapToGrid w:val="0"/>
        <w:spacing w:before="120"/>
        <w:ind w:left="1283" w:hanging="803"/>
        <w:jc w:val="center"/>
        <w:rPr>
          <w:rFonts w:hAnsi="宋体"/>
          <w:b/>
          <w:sz w:val="30"/>
          <w:szCs w:val="30"/>
        </w:rPr>
      </w:pPr>
    </w:p>
    <w:p w14:paraId="2F16F101">
      <w:pPr>
        <w:pStyle w:val="2"/>
        <w:adjustRightInd w:val="0"/>
        <w:snapToGrid w:val="0"/>
        <w:spacing w:before="120"/>
        <w:ind w:left="1233" w:hanging="753"/>
        <w:rPr>
          <w:rFonts w:hAnsi="宋体"/>
          <w:b/>
          <w:sz w:val="30"/>
          <w:szCs w:val="30"/>
        </w:rPr>
      </w:pPr>
    </w:p>
    <w:p w14:paraId="7586FC2F">
      <w:pPr>
        <w:pStyle w:val="2"/>
        <w:adjustRightInd w:val="0"/>
        <w:snapToGrid w:val="0"/>
        <w:spacing w:before="120"/>
        <w:ind w:left="1233" w:hanging="753"/>
        <w:rPr>
          <w:rFonts w:hAnsi="宋体"/>
          <w:b/>
          <w:sz w:val="30"/>
          <w:szCs w:val="30"/>
        </w:rPr>
      </w:pPr>
    </w:p>
    <w:p w14:paraId="5076A59E">
      <w:pPr>
        <w:pStyle w:val="2"/>
        <w:adjustRightInd w:val="0"/>
        <w:snapToGrid w:val="0"/>
        <w:spacing w:before="120"/>
        <w:ind w:left="1233" w:hanging="753"/>
        <w:rPr>
          <w:rFonts w:hAnsi="宋体"/>
          <w:b/>
          <w:sz w:val="30"/>
          <w:szCs w:val="30"/>
        </w:rPr>
      </w:pPr>
    </w:p>
    <w:p w14:paraId="12569422">
      <w:pPr>
        <w:pStyle w:val="2"/>
        <w:adjustRightInd w:val="0"/>
        <w:snapToGrid w:val="0"/>
        <w:spacing w:before="120"/>
        <w:ind w:left="806" w:hanging="326"/>
        <w:rPr>
          <w:rFonts w:hAnsi="宋体"/>
          <w:b/>
          <w:sz w:val="13"/>
          <w:szCs w:val="13"/>
        </w:rPr>
      </w:pPr>
    </w:p>
    <w:p w14:paraId="4D2C88EA">
      <w:pPr>
        <w:pStyle w:val="2"/>
        <w:adjustRightInd w:val="0"/>
        <w:snapToGrid w:val="0"/>
        <w:spacing w:before="120"/>
        <w:ind w:left="1233" w:hanging="753"/>
        <w:rPr>
          <w:rFonts w:hAnsi="宋体"/>
          <w:b/>
          <w:sz w:val="30"/>
          <w:szCs w:val="30"/>
        </w:rPr>
      </w:pPr>
    </w:p>
    <w:p w14:paraId="76D57AB5">
      <w:pPr>
        <w:pStyle w:val="2"/>
        <w:ind w:left="1384" w:hanging="904"/>
        <w:jc w:val="center"/>
        <w:rPr>
          <w:rFonts w:hAnsi="宋体"/>
          <w:b/>
          <w:sz w:val="36"/>
          <w:szCs w:val="36"/>
        </w:rPr>
      </w:pPr>
      <w:r>
        <w:rPr>
          <w:rFonts w:hAnsi="宋体"/>
          <w:b/>
          <w:sz w:val="36"/>
          <w:szCs w:val="36"/>
        </w:rPr>
        <w:t>投标人：</w:t>
      </w:r>
      <w:r>
        <w:rPr>
          <w:rFonts w:hAnsi="宋体"/>
          <w:b/>
          <w:sz w:val="36"/>
          <w:szCs w:val="36"/>
          <w:u w:val="single"/>
        </w:rPr>
        <w:t>（盖</w:t>
      </w:r>
      <w:r>
        <w:rPr>
          <w:rFonts w:hint="eastAsia" w:hAnsi="宋体"/>
          <w:b/>
          <w:sz w:val="36"/>
          <w:szCs w:val="36"/>
          <w:u w:val="single"/>
        </w:rPr>
        <w:t>公</w:t>
      </w:r>
      <w:r>
        <w:rPr>
          <w:rFonts w:hAnsi="宋体"/>
          <w:b/>
          <w:sz w:val="36"/>
          <w:szCs w:val="36"/>
          <w:u w:val="single"/>
        </w:rPr>
        <w:t>章）</w:t>
      </w:r>
    </w:p>
    <w:p w14:paraId="44F8F101">
      <w:pPr>
        <w:pStyle w:val="2"/>
        <w:ind w:left="1384" w:hanging="904"/>
        <w:jc w:val="center"/>
        <w:rPr>
          <w:rFonts w:hAnsi="宋体"/>
          <w:b/>
          <w:sz w:val="36"/>
          <w:szCs w:val="36"/>
        </w:rPr>
      </w:pPr>
      <w:r>
        <w:rPr>
          <w:rFonts w:hint="eastAsia" w:hAnsi="宋体"/>
          <w:b/>
          <w:sz w:val="36"/>
          <w:szCs w:val="36"/>
          <w:u w:val="single"/>
        </w:rPr>
        <w:t xml:space="preserve">      </w:t>
      </w:r>
      <w:r>
        <w:rPr>
          <w:rFonts w:hAnsi="宋体"/>
          <w:b/>
          <w:sz w:val="36"/>
          <w:szCs w:val="36"/>
        </w:rPr>
        <w:t>年</w:t>
      </w:r>
      <w:r>
        <w:rPr>
          <w:rFonts w:hint="eastAsia" w:hAnsi="宋体"/>
          <w:b/>
          <w:sz w:val="36"/>
          <w:szCs w:val="36"/>
          <w:u w:val="single"/>
        </w:rPr>
        <w:t xml:space="preserve">      </w:t>
      </w:r>
      <w:r>
        <w:rPr>
          <w:rFonts w:hAnsi="宋体"/>
          <w:b/>
          <w:sz w:val="36"/>
          <w:szCs w:val="36"/>
        </w:rPr>
        <w:t>月</w:t>
      </w:r>
      <w:r>
        <w:rPr>
          <w:rFonts w:hint="eastAsia" w:hAnsi="宋体"/>
          <w:b/>
          <w:sz w:val="36"/>
          <w:szCs w:val="36"/>
          <w:u w:val="single"/>
        </w:rPr>
        <w:t xml:space="preserve">      </w:t>
      </w:r>
      <w:r>
        <w:rPr>
          <w:rFonts w:hAnsi="宋体"/>
          <w:b/>
          <w:sz w:val="36"/>
          <w:szCs w:val="36"/>
        </w:rPr>
        <w:t>日</w:t>
      </w:r>
    </w:p>
    <w:p w14:paraId="2B563D06">
      <w:pPr>
        <w:rPr>
          <w:rFonts w:ascii="宋体" w:hAnsi="宋体" w:cs="宋体"/>
          <w:sz w:val="23"/>
        </w:rPr>
      </w:pPr>
      <w:r>
        <w:rPr>
          <w:rFonts w:hAnsi="宋体"/>
          <w:b/>
        </w:rPr>
        <w:br w:type="page"/>
      </w:r>
      <w:r>
        <w:rPr>
          <w:rFonts w:hint="eastAsia" w:ascii="宋体" w:hAnsi="宋体" w:cs="宋体"/>
          <w:szCs w:val="28"/>
        </w:rPr>
        <w:t>附件</w:t>
      </w:r>
      <w:r>
        <w:rPr>
          <w:rFonts w:ascii="宋体" w:hAnsi="宋体" w:cs="宋体"/>
          <w:szCs w:val="28"/>
        </w:rPr>
        <w:t>2：投标函及投标函附录</w:t>
      </w:r>
    </w:p>
    <w:p w14:paraId="4082344E">
      <w:pPr>
        <w:snapToGrid w:val="0"/>
        <w:spacing w:after="156" w:afterLines="50"/>
        <w:jc w:val="center"/>
        <w:rPr>
          <w:rFonts w:hAnsi="宋体"/>
          <w:b/>
          <w:bCs/>
          <w:sz w:val="32"/>
          <w:szCs w:val="32"/>
        </w:rPr>
      </w:pPr>
      <w:r>
        <w:rPr>
          <w:rFonts w:hint="eastAsia" w:hAnsi="宋体"/>
          <w:b/>
          <w:bCs/>
          <w:sz w:val="32"/>
          <w:szCs w:val="32"/>
        </w:rPr>
        <w:t>投标函</w:t>
      </w:r>
    </w:p>
    <w:p w14:paraId="31884580">
      <w:pPr>
        <w:spacing w:after="156" w:afterLines="50"/>
        <w:jc w:val="left"/>
        <w:rPr>
          <w:rFonts w:hAnsi="宋体"/>
        </w:rPr>
      </w:pPr>
      <w:r>
        <w:rPr>
          <w:rFonts w:hint="eastAsia" w:hAnsi="宋体"/>
        </w:rPr>
        <w:t>广东中粤通油品经营有限公司：</w:t>
      </w:r>
    </w:p>
    <w:p w14:paraId="39A490B8">
      <w:pPr>
        <w:pStyle w:val="2"/>
        <w:adjustRightInd w:val="0"/>
        <w:snapToGrid w:val="0"/>
        <w:ind w:firstLine="480" w:firstLineChars="200"/>
        <w:rPr>
          <w:rFonts w:hAnsi="宋体"/>
          <w:sz w:val="24"/>
          <w:szCs w:val="24"/>
        </w:rPr>
      </w:pPr>
      <w:r>
        <w:rPr>
          <w:rFonts w:hint="eastAsia" w:hAnsi="宋体"/>
          <w:sz w:val="24"/>
          <w:szCs w:val="24"/>
        </w:rPr>
        <w:t>1．我方已仔细研究了</w:t>
      </w:r>
      <w:r>
        <w:rPr>
          <w:rFonts w:hint="eastAsia"/>
          <w:b/>
          <w:bCs/>
          <w:sz w:val="24"/>
          <w:szCs w:val="24"/>
          <w:u w:val="single"/>
        </w:rPr>
        <w:t>广澳高速中山服务区西区加油站重建项目</w:t>
      </w:r>
      <w:r>
        <w:rPr>
          <w:rFonts w:hint="eastAsia"/>
          <w:b/>
          <w:bCs/>
          <w:sz w:val="24"/>
          <w:szCs w:val="24"/>
          <w:highlight w:val="none"/>
          <w:u w:val="single"/>
        </w:rPr>
        <w:t>土建工程</w:t>
      </w:r>
      <w:r>
        <w:rPr>
          <w:rFonts w:hint="eastAsia" w:hAnsi="宋体"/>
          <w:sz w:val="24"/>
          <w:szCs w:val="24"/>
        </w:rPr>
        <w:t>招标文件的全部内容，愿意以投标函附录中的报价、工期、质量标准，按合同约定进行施工和交工承包工程，修补工程中的任何缺陷，实现工程目的。</w:t>
      </w:r>
    </w:p>
    <w:p w14:paraId="29F893B5">
      <w:pPr>
        <w:pStyle w:val="2"/>
        <w:adjustRightInd w:val="0"/>
        <w:snapToGrid w:val="0"/>
        <w:ind w:firstLine="480" w:firstLineChars="200"/>
        <w:rPr>
          <w:rFonts w:hAnsi="宋体"/>
          <w:sz w:val="24"/>
          <w:szCs w:val="24"/>
        </w:rPr>
      </w:pPr>
      <w:r>
        <w:rPr>
          <w:rFonts w:hint="eastAsia" w:hAnsi="宋体"/>
          <w:sz w:val="24"/>
          <w:szCs w:val="24"/>
        </w:rPr>
        <w:t>2.我方响应招标文件确定的承包范围</w:t>
      </w:r>
      <w:r>
        <w:rPr>
          <w:rFonts w:hint="eastAsia" w:hAnsi="宋体"/>
          <w:sz w:val="24"/>
        </w:rPr>
        <w:t>、投标有效期</w:t>
      </w:r>
      <w:r>
        <w:rPr>
          <w:rFonts w:hint="eastAsia" w:hAnsi="宋体"/>
          <w:sz w:val="24"/>
          <w:szCs w:val="24"/>
        </w:rPr>
        <w:t>。</w:t>
      </w:r>
    </w:p>
    <w:p w14:paraId="5B80C9A7">
      <w:pPr>
        <w:pStyle w:val="2"/>
        <w:adjustRightInd w:val="0"/>
        <w:snapToGrid w:val="0"/>
        <w:ind w:firstLine="480" w:firstLineChars="200"/>
        <w:rPr>
          <w:rFonts w:hAnsi="宋体"/>
          <w:sz w:val="24"/>
          <w:szCs w:val="24"/>
        </w:rPr>
      </w:pPr>
      <w:r>
        <w:rPr>
          <w:rFonts w:hint="eastAsia" w:hAnsi="宋体"/>
          <w:sz w:val="24"/>
          <w:szCs w:val="24"/>
        </w:rPr>
        <w:t>3.我方拟派的项目经理在本项目合同履行期间不兼职其他工程项目；项目经理姓名、注册证书及编号见投标函附录。</w:t>
      </w:r>
    </w:p>
    <w:p w14:paraId="67478D9A">
      <w:pPr>
        <w:pStyle w:val="2"/>
        <w:adjustRightInd w:val="0"/>
        <w:snapToGrid w:val="0"/>
        <w:ind w:firstLine="480" w:firstLineChars="200"/>
        <w:rPr>
          <w:rFonts w:hAnsi="宋体"/>
          <w:sz w:val="24"/>
          <w:szCs w:val="24"/>
        </w:rPr>
      </w:pPr>
      <w:r>
        <w:rPr>
          <w:rFonts w:hint="eastAsia" w:hAnsi="宋体"/>
          <w:sz w:val="24"/>
          <w:szCs w:val="24"/>
        </w:rPr>
        <w:t>4.我方承诺在招标文件规定的投标有效期内不撤销投标文件。</w:t>
      </w:r>
    </w:p>
    <w:p w14:paraId="4DB2E591">
      <w:pPr>
        <w:pStyle w:val="2"/>
        <w:adjustRightInd w:val="0"/>
        <w:snapToGrid w:val="0"/>
        <w:ind w:firstLine="480" w:firstLineChars="200"/>
        <w:rPr>
          <w:rFonts w:hAnsi="宋体"/>
          <w:sz w:val="24"/>
          <w:szCs w:val="24"/>
        </w:rPr>
      </w:pPr>
      <w:r>
        <w:rPr>
          <w:rFonts w:hint="eastAsia" w:hAnsi="宋体"/>
          <w:sz w:val="24"/>
          <w:szCs w:val="24"/>
        </w:rPr>
        <w:t>5.我方已按照招标文件的要求提交了投标担保。</w:t>
      </w:r>
    </w:p>
    <w:p w14:paraId="7D133A1F">
      <w:pPr>
        <w:pStyle w:val="2"/>
        <w:adjustRightInd w:val="0"/>
        <w:snapToGrid w:val="0"/>
        <w:ind w:firstLine="480" w:firstLineChars="200"/>
        <w:rPr>
          <w:rFonts w:hAnsi="宋体"/>
          <w:sz w:val="24"/>
          <w:szCs w:val="24"/>
        </w:rPr>
      </w:pPr>
      <w:r>
        <w:rPr>
          <w:rFonts w:hint="eastAsia" w:hAnsi="宋体"/>
          <w:sz w:val="24"/>
          <w:szCs w:val="24"/>
        </w:rPr>
        <w:t>6.我方承诺：</w:t>
      </w:r>
    </w:p>
    <w:p w14:paraId="1FAA385E">
      <w:pPr>
        <w:pStyle w:val="2"/>
        <w:adjustRightInd w:val="0"/>
        <w:snapToGrid w:val="0"/>
        <w:ind w:firstLine="480" w:firstLineChars="200"/>
        <w:rPr>
          <w:rFonts w:hAnsi="宋体"/>
          <w:sz w:val="24"/>
          <w:szCs w:val="24"/>
        </w:rPr>
      </w:pPr>
      <w:r>
        <w:rPr>
          <w:rFonts w:hint="eastAsia" w:hAnsi="宋体"/>
          <w:sz w:val="24"/>
          <w:szCs w:val="24"/>
        </w:rPr>
        <w:t>（1）在收到中标通知书后，在中标通知书规定的期限内与你方签订合同；</w:t>
      </w:r>
    </w:p>
    <w:p w14:paraId="03ED9291">
      <w:pPr>
        <w:pStyle w:val="2"/>
        <w:adjustRightInd w:val="0"/>
        <w:snapToGrid w:val="0"/>
        <w:ind w:firstLine="480" w:firstLineChars="200"/>
        <w:rPr>
          <w:rFonts w:hAnsi="宋体"/>
          <w:sz w:val="24"/>
          <w:szCs w:val="24"/>
        </w:rPr>
      </w:pPr>
      <w:r>
        <w:rPr>
          <w:rFonts w:hint="eastAsia" w:hAnsi="宋体"/>
          <w:sz w:val="24"/>
          <w:szCs w:val="24"/>
        </w:rPr>
        <w:t>（2）在签订合同时不向你方提出附加条件；</w:t>
      </w:r>
    </w:p>
    <w:p w14:paraId="4BE0B4BD">
      <w:pPr>
        <w:pStyle w:val="2"/>
        <w:adjustRightInd w:val="0"/>
        <w:snapToGrid w:val="0"/>
        <w:ind w:firstLine="480" w:firstLineChars="200"/>
        <w:rPr>
          <w:rFonts w:hAnsi="宋体"/>
          <w:sz w:val="24"/>
          <w:szCs w:val="24"/>
        </w:rPr>
      </w:pPr>
      <w:r>
        <w:rPr>
          <w:rFonts w:hint="eastAsia" w:hAnsi="宋体"/>
          <w:sz w:val="24"/>
          <w:szCs w:val="24"/>
        </w:rPr>
        <w:t>（3）</w:t>
      </w:r>
      <w:r>
        <w:rPr>
          <w:rFonts w:hint="eastAsia" w:hAnsi="宋体"/>
          <w:bCs/>
          <w:sz w:val="24"/>
          <w:szCs w:val="24"/>
        </w:rPr>
        <w:t>按照招标文件要求提交履约担保；</w:t>
      </w:r>
    </w:p>
    <w:p w14:paraId="2543D8AE">
      <w:pPr>
        <w:pStyle w:val="2"/>
        <w:adjustRightInd w:val="0"/>
        <w:snapToGrid w:val="0"/>
        <w:ind w:firstLine="480" w:firstLineChars="200"/>
        <w:rPr>
          <w:rFonts w:hAnsi="宋体"/>
          <w:sz w:val="24"/>
          <w:szCs w:val="24"/>
        </w:rPr>
      </w:pPr>
      <w:r>
        <w:rPr>
          <w:rFonts w:hint="eastAsia" w:hAnsi="宋体"/>
          <w:sz w:val="24"/>
          <w:szCs w:val="24"/>
        </w:rPr>
        <w:t>（4）在合同约定的期限内完成合同规定的全部义务；</w:t>
      </w:r>
    </w:p>
    <w:p w14:paraId="165C64DA">
      <w:pPr>
        <w:pStyle w:val="2"/>
        <w:adjustRightInd w:val="0"/>
        <w:snapToGrid w:val="0"/>
        <w:ind w:firstLine="480" w:firstLineChars="200"/>
        <w:rPr>
          <w:rFonts w:hAnsi="宋体"/>
          <w:sz w:val="24"/>
          <w:szCs w:val="24"/>
        </w:rPr>
      </w:pPr>
      <w:r>
        <w:rPr>
          <w:rFonts w:hint="eastAsia" w:hAnsi="宋体"/>
          <w:sz w:val="24"/>
          <w:szCs w:val="24"/>
        </w:rPr>
        <w:t>（5）不论中标与否，10年内对招投标期间往来资料承担保密责任；</w:t>
      </w:r>
    </w:p>
    <w:p w14:paraId="075F7F54">
      <w:pPr>
        <w:pStyle w:val="2"/>
        <w:adjustRightInd w:val="0"/>
        <w:snapToGrid w:val="0"/>
        <w:ind w:firstLine="480" w:firstLineChars="200"/>
        <w:rPr>
          <w:rFonts w:hAnsi="宋体"/>
          <w:sz w:val="24"/>
          <w:szCs w:val="24"/>
        </w:rPr>
      </w:pPr>
      <w:r>
        <w:rPr>
          <w:rFonts w:hint="eastAsia" w:hAnsi="宋体"/>
          <w:sz w:val="24"/>
          <w:szCs w:val="24"/>
        </w:rPr>
        <w:t>（6）对拟进入本工程现场的相关人员投保人身意外伤害等险种，并负责理赔；</w:t>
      </w:r>
    </w:p>
    <w:p w14:paraId="7D8741A0">
      <w:pPr>
        <w:pStyle w:val="2"/>
        <w:adjustRightInd w:val="0"/>
        <w:snapToGrid w:val="0"/>
        <w:ind w:firstLine="480" w:firstLineChars="200"/>
        <w:rPr>
          <w:rFonts w:hAnsi="宋体"/>
          <w:sz w:val="24"/>
          <w:szCs w:val="24"/>
        </w:rPr>
      </w:pPr>
      <w:r>
        <w:rPr>
          <w:rFonts w:hint="eastAsia" w:hAnsi="宋体"/>
          <w:sz w:val="24"/>
          <w:szCs w:val="24"/>
        </w:rPr>
        <w:t>（7）不擅自更换项目经理部关键管理人员；</w:t>
      </w:r>
    </w:p>
    <w:p w14:paraId="777ECD76">
      <w:pPr>
        <w:pStyle w:val="2"/>
        <w:adjustRightInd w:val="0"/>
        <w:snapToGrid w:val="0"/>
        <w:ind w:firstLine="480" w:firstLineChars="200"/>
        <w:rPr>
          <w:rFonts w:hAnsi="宋体"/>
          <w:sz w:val="24"/>
          <w:szCs w:val="24"/>
        </w:rPr>
      </w:pPr>
      <w:r>
        <w:rPr>
          <w:rFonts w:hint="eastAsia" w:hAnsi="宋体"/>
          <w:sz w:val="24"/>
          <w:szCs w:val="24"/>
        </w:rPr>
        <w:t>（8）</w:t>
      </w:r>
      <w:r>
        <w:rPr>
          <w:rFonts w:hint="eastAsia" w:hAnsi="宋体"/>
          <w:b/>
          <w:bCs/>
          <w:sz w:val="24"/>
          <w:szCs w:val="24"/>
          <w:u w:val="single"/>
        </w:rPr>
        <w:t>本次拟派项目经理没有在其他在建项目中担任项目经理。且自本项目开标之日起至发出中标通知书前，不得更换拟派项目经理且未登记参加其他工程的投标。如拟派项目经理有参与其他工程投标的情况，未在投标文件中说明，隐瞒不报获取中标的，</w:t>
      </w:r>
      <w:r>
        <w:rPr>
          <w:rFonts w:hint="eastAsia"/>
          <w:b/>
          <w:bCs/>
          <w:sz w:val="24"/>
          <w:szCs w:val="24"/>
          <w:u w:val="single"/>
        </w:rPr>
        <w:t>招标人有权</w:t>
      </w:r>
      <w:r>
        <w:rPr>
          <w:rFonts w:hint="eastAsia" w:hAnsi="宋体"/>
          <w:b/>
          <w:bCs/>
          <w:sz w:val="24"/>
          <w:szCs w:val="24"/>
          <w:u w:val="single"/>
        </w:rPr>
        <w:t>按弄虚作假骗取中标查处，取消我司中标资格，并按照评标委员会提出的中标候选人名单排序依次确定其他中标候选人为中标人</w:t>
      </w:r>
      <w:r>
        <w:rPr>
          <w:rFonts w:hint="eastAsia" w:hAnsi="宋体"/>
          <w:sz w:val="24"/>
          <w:szCs w:val="24"/>
        </w:rPr>
        <w:t>。</w:t>
      </w:r>
    </w:p>
    <w:p w14:paraId="72074925">
      <w:pPr>
        <w:pStyle w:val="2"/>
        <w:adjustRightInd w:val="0"/>
        <w:snapToGrid w:val="0"/>
        <w:ind w:firstLine="480" w:firstLineChars="200"/>
        <w:rPr>
          <w:rFonts w:hAnsi="宋体"/>
          <w:sz w:val="24"/>
          <w:szCs w:val="24"/>
        </w:rPr>
      </w:pPr>
      <w:r>
        <w:rPr>
          <w:rFonts w:hint="eastAsia" w:hAnsi="宋体"/>
          <w:sz w:val="24"/>
          <w:szCs w:val="24"/>
        </w:rPr>
        <w:t>7.我方在此声明，所递交的投标文件及有关资料内容完整、真实和准确，且不存在第四章“评标办法”附件1“否决投标的情形”第1条中规定的任何一种情形</w:t>
      </w:r>
    </w:p>
    <w:p w14:paraId="5FE44E4E">
      <w:pPr>
        <w:snapToGrid w:val="0"/>
        <w:ind w:firstLine="480" w:firstLineChars="200"/>
        <w:rPr>
          <w:rFonts w:hAnsi="宋体"/>
        </w:rPr>
      </w:pPr>
    </w:p>
    <w:p w14:paraId="0E650DBD">
      <w:pPr>
        <w:snapToGrid w:val="0"/>
        <w:jc w:val="right"/>
        <w:rPr>
          <w:rFonts w:hAnsi="宋体"/>
          <w:u w:val="single"/>
        </w:rPr>
      </w:pPr>
      <w:r>
        <w:rPr>
          <w:rFonts w:hAnsi="宋体"/>
        </w:rPr>
        <w:t>投标人：</w:t>
      </w:r>
      <w:r>
        <w:rPr>
          <w:rFonts w:hAnsi="宋体"/>
          <w:u w:val="single"/>
        </w:rPr>
        <w:t>（盖</w:t>
      </w:r>
      <w:r>
        <w:rPr>
          <w:rFonts w:hint="eastAsia" w:hAnsi="宋体"/>
          <w:u w:val="single"/>
        </w:rPr>
        <w:t>公</w:t>
      </w:r>
      <w:r>
        <w:rPr>
          <w:rFonts w:hAnsi="宋体"/>
          <w:u w:val="single"/>
        </w:rPr>
        <w:t>章）</w:t>
      </w:r>
    </w:p>
    <w:p w14:paraId="71526230">
      <w:pPr>
        <w:snapToGrid w:val="0"/>
        <w:ind w:right="720"/>
        <w:jc w:val="right"/>
        <w:rPr>
          <w:rFonts w:hAnsi="宋体"/>
        </w:rPr>
      </w:pPr>
      <w:r>
        <w:rPr>
          <w:rFonts w:hint="eastAsia" w:hAnsi="宋体"/>
        </w:rPr>
        <w:t>年  月  日</w:t>
      </w:r>
    </w:p>
    <w:p w14:paraId="22D3D869">
      <w:pPr>
        <w:snapToGrid w:val="0"/>
        <w:spacing w:after="468" w:afterLines="150"/>
        <w:jc w:val="center"/>
        <w:rPr>
          <w:rFonts w:hAnsi="宋体"/>
          <w:b/>
          <w:bCs/>
          <w:sz w:val="32"/>
          <w:szCs w:val="32"/>
        </w:rPr>
      </w:pPr>
      <w:r>
        <w:rPr>
          <w:rFonts w:hint="eastAsia" w:hAnsi="宋体"/>
          <w:b/>
          <w:bCs/>
          <w:sz w:val="32"/>
          <w:szCs w:val="32"/>
        </w:rPr>
        <w:br w:type="page"/>
      </w:r>
      <w:r>
        <w:rPr>
          <w:rFonts w:hint="eastAsia" w:hAnsi="宋体"/>
          <w:b/>
          <w:bCs/>
          <w:sz w:val="32"/>
          <w:szCs w:val="32"/>
        </w:rPr>
        <w:t>投标函附录</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5721"/>
      </w:tblGrid>
      <w:tr w14:paraId="72A5A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31D19E9A">
            <w:pPr>
              <w:pStyle w:val="2"/>
              <w:adjustRightInd w:val="0"/>
              <w:snapToGrid w:val="0"/>
              <w:jc w:val="left"/>
              <w:rPr>
                <w:rFonts w:hAnsi="宋体" w:cs="宋体"/>
                <w:sz w:val="24"/>
                <w:szCs w:val="24"/>
              </w:rPr>
            </w:pPr>
            <w:r>
              <w:rPr>
                <w:rFonts w:hint="eastAsia" w:hAnsi="宋体" w:cs="宋体"/>
                <w:sz w:val="24"/>
                <w:szCs w:val="24"/>
              </w:rPr>
              <w:t>1.投标报价（含税）</w:t>
            </w:r>
          </w:p>
        </w:tc>
        <w:tc>
          <w:tcPr>
            <w:tcW w:w="5721" w:type="dxa"/>
            <w:vAlign w:val="center"/>
          </w:tcPr>
          <w:p w14:paraId="1A6C9F5D">
            <w:pPr>
              <w:pStyle w:val="2"/>
              <w:snapToGrid w:val="0"/>
              <w:ind w:left="1416" w:hanging="1416" w:hangingChars="590"/>
              <w:jc w:val="left"/>
              <w:rPr>
                <w:rFonts w:hAnsi="宋体" w:cs="宋体"/>
                <w:sz w:val="24"/>
                <w:szCs w:val="24"/>
              </w:rPr>
            </w:pPr>
            <w:r>
              <w:rPr>
                <w:rFonts w:hint="eastAsia" w:hAnsi="宋体" w:cs="宋体"/>
                <w:sz w:val="24"/>
                <w:szCs w:val="24"/>
              </w:rPr>
              <w:t>人民币（大写）</w:t>
            </w:r>
            <w:r>
              <w:rPr>
                <w:rFonts w:hint="eastAsia" w:hAnsi="宋体" w:cs="宋体"/>
                <w:sz w:val="24"/>
                <w:szCs w:val="24"/>
                <w:u w:val="single"/>
              </w:rPr>
              <w:t xml:space="preserve">              </w:t>
            </w:r>
            <w:r>
              <w:rPr>
                <w:rFonts w:hint="eastAsia" w:hAnsi="宋体" w:cs="宋体"/>
                <w:sz w:val="24"/>
                <w:szCs w:val="24"/>
              </w:rPr>
              <w:t>（¥</w:t>
            </w:r>
            <w:r>
              <w:rPr>
                <w:rFonts w:hint="eastAsia" w:hAnsi="宋体" w:cs="宋体"/>
                <w:sz w:val="24"/>
                <w:szCs w:val="24"/>
                <w:u w:val="single"/>
              </w:rPr>
              <w:t xml:space="preserve">           </w:t>
            </w:r>
            <w:r>
              <w:rPr>
                <w:rFonts w:hint="eastAsia" w:hAnsi="宋体" w:cs="宋体"/>
                <w:sz w:val="24"/>
                <w:szCs w:val="24"/>
              </w:rPr>
              <w:t>元）</w:t>
            </w:r>
          </w:p>
        </w:tc>
      </w:tr>
      <w:tr w14:paraId="2B38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17EC84E8">
            <w:pPr>
              <w:pStyle w:val="2"/>
              <w:adjustRightInd w:val="0"/>
              <w:snapToGrid w:val="0"/>
              <w:jc w:val="left"/>
              <w:rPr>
                <w:rFonts w:hAnsi="宋体" w:cs="宋体"/>
                <w:sz w:val="24"/>
                <w:szCs w:val="24"/>
              </w:rPr>
            </w:pPr>
            <w:r>
              <w:rPr>
                <w:rFonts w:hint="eastAsia" w:hAnsi="宋体" w:cs="宋体"/>
                <w:sz w:val="24"/>
                <w:szCs w:val="24"/>
              </w:rPr>
              <w:t>其中：绿色施工安全防护措施费（不含税）</w:t>
            </w:r>
          </w:p>
        </w:tc>
        <w:tc>
          <w:tcPr>
            <w:tcW w:w="5721" w:type="dxa"/>
            <w:vAlign w:val="center"/>
          </w:tcPr>
          <w:p w14:paraId="766AD5EF">
            <w:pPr>
              <w:pStyle w:val="2"/>
              <w:snapToGrid w:val="0"/>
              <w:ind w:left="1416" w:hanging="1416" w:hangingChars="590"/>
              <w:jc w:val="left"/>
              <w:rPr>
                <w:rFonts w:hAnsi="宋体" w:cs="宋体"/>
                <w:sz w:val="24"/>
                <w:szCs w:val="24"/>
              </w:rPr>
            </w:pPr>
            <w:r>
              <w:rPr>
                <w:rFonts w:hint="eastAsia" w:hAnsi="宋体" w:cs="宋体"/>
                <w:sz w:val="24"/>
                <w:szCs w:val="24"/>
              </w:rPr>
              <w:t>人民币（大写）</w:t>
            </w:r>
            <w:r>
              <w:rPr>
                <w:rFonts w:hint="eastAsia" w:hAnsi="宋体" w:cs="宋体"/>
                <w:sz w:val="24"/>
                <w:szCs w:val="24"/>
                <w:u w:val="single"/>
              </w:rPr>
              <w:t xml:space="preserve">              </w:t>
            </w:r>
            <w:r>
              <w:rPr>
                <w:rFonts w:hint="eastAsia" w:hAnsi="宋体" w:cs="宋体"/>
                <w:sz w:val="24"/>
                <w:szCs w:val="24"/>
              </w:rPr>
              <w:t>（¥</w:t>
            </w:r>
            <w:r>
              <w:rPr>
                <w:rFonts w:hint="eastAsia" w:hAnsi="宋体" w:cs="宋体"/>
                <w:sz w:val="24"/>
                <w:szCs w:val="24"/>
                <w:u w:val="single"/>
              </w:rPr>
              <w:t xml:space="preserve">           </w:t>
            </w:r>
            <w:r>
              <w:rPr>
                <w:rFonts w:hint="eastAsia" w:hAnsi="宋体" w:cs="宋体"/>
                <w:sz w:val="24"/>
                <w:szCs w:val="24"/>
              </w:rPr>
              <w:t>元）</w:t>
            </w:r>
          </w:p>
        </w:tc>
      </w:tr>
      <w:tr w14:paraId="197A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0CC00F66">
            <w:pPr>
              <w:pStyle w:val="2"/>
              <w:adjustRightInd w:val="0"/>
              <w:snapToGrid w:val="0"/>
              <w:jc w:val="left"/>
              <w:rPr>
                <w:rFonts w:hAnsi="宋体" w:cs="宋体"/>
                <w:sz w:val="24"/>
                <w:szCs w:val="24"/>
              </w:rPr>
            </w:pPr>
            <w:r>
              <w:rPr>
                <w:rFonts w:hint="eastAsia" w:hAnsi="宋体" w:cs="宋体"/>
                <w:sz w:val="24"/>
                <w:szCs w:val="24"/>
              </w:rPr>
              <w:t>其中：暂列金额（不含税）</w:t>
            </w:r>
          </w:p>
        </w:tc>
        <w:tc>
          <w:tcPr>
            <w:tcW w:w="5721" w:type="dxa"/>
            <w:vAlign w:val="center"/>
          </w:tcPr>
          <w:p w14:paraId="3A5C29AE">
            <w:pPr>
              <w:pStyle w:val="2"/>
              <w:snapToGrid w:val="0"/>
              <w:ind w:left="1416" w:hanging="1416" w:hangingChars="590"/>
              <w:jc w:val="left"/>
              <w:rPr>
                <w:rFonts w:hAnsi="宋体" w:cs="宋体"/>
                <w:sz w:val="24"/>
                <w:szCs w:val="24"/>
              </w:rPr>
            </w:pPr>
            <w:r>
              <w:rPr>
                <w:rFonts w:hint="eastAsia" w:hAnsi="宋体" w:cs="宋体"/>
                <w:sz w:val="24"/>
                <w:szCs w:val="24"/>
              </w:rPr>
              <w:t>人民币（大写）</w:t>
            </w:r>
            <w:r>
              <w:rPr>
                <w:rFonts w:hint="eastAsia" w:hAnsi="宋体" w:cs="宋体"/>
                <w:sz w:val="24"/>
                <w:szCs w:val="24"/>
                <w:u w:val="single"/>
              </w:rPr>
              <w:t xml:space="preserve">              </w:t>
            </w:r>
            <w:r>
              <w:rPr>
                <w:rFonts w:hint="eastAsia" w:hAnsi="宋体" w:cs="宋体"/>
                <w:sz w:val="24"/>
                <w:szCs w:val="24"/>
              </w:rPr>
              <w:t>（¥</w:t>
            </w:r>
            <w:r>
              <w:rPr>
                <w:rFonts w:hint="eastAsia" w:hAnsi="宋体" w:cs="宋体"/>
                <w:sz w:val="24"/>
                <w:szCs w:val="24"/>
                <w:u w:val="single"/>
              </w:rPr>
              <w:t xml:space="preserve">           </w:t>
            </w:r>
            <w:r>
              <w:rPr>
                <w:rFonts w:hint="eastAsia" w:hAnsi="宋体" w:cs="宋体"/>
                <w:sz w:val="24"/>
                <w:szCs w:val="24"/>
              </w:rPr>
              <w:t>元）</w:t>
            </w:r>
          </w:p>
        </w:tc>
      </w:tr>
      <w:tr w14:paraId="7D91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09E5980E">
            <w:pPr>
              <w:pStyle w:val="2"/>
              <w:adjustRightInd w:val="0"/>
              <w:snapToGrid w:val="0"/>
              <w:jc w:val="left"/>
              <w:rPr>
                <w:rFonts w:hAnsi="宋体" w:cs="宋体"/>
                <w:sz w:val="24"/>
                <w:szCs w:val="24"/>
              </w:rPr>
            </w:pPr>
            <w:r>
              <w:rPr>
                <w:rFonts w:hint="eastAsia" w:hAnsi="宋体" w:cs="宋体"/>
                <w:sz w:val="24"/>
                <w:szCs w:val="24"/>
              </w:rPr>
              <w:t>2.工期</w:t>
            </w:r>
          </w:p>
        </w:tc>
        <w:tc>
          <w:tcPr>
            <w:tcW w:w="5721" w:type="dxa"/>
            <w:vAlign w:val="center"/>
          </w:tcPr>
          <w:p w14:paraId="048C1D4D">
            <w:pPr>
              <w:pStyle w:val="2"/>
              <w:snapToGrid w:val="0"/>
              <w:rPr>
                <w:rFonts w:hAnsi="宋体" w:cs="宋体"/>
                <w:sz w:val="24"/>
                <w:szCs w:val="24"/>
              </w:rPr>
            </w:pPr>
            <w:r>
              <w:rPr>
                <w:rFonts w:hint="eastAsia" w:hAnsi="宋体" w:cs="宋体"/>
                <w:sz w:val="24"/>
                <w:szCs w:val="24"/>
              </w:rPr>
              <w:t xml:space="preserve">按招标文件要求          </w:t>
            </w:r>
          </w:p>
        </w:tc>
      </w:tr>
      <w:tr w14:paraId="2D95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54DE68F5">
            <w:pPr>
              <w:pStyle w:val="2"/>
              <w:adjustRightInd w:val="0"/>
              <w:snapToGrid w:val="0"/>
              <w:jc w:val="left"/>
              <w:rPr>
                <w:rFonts w:hAnsi="宋体" w:cs="宋体"/>
                <w:sz w:val="24"/>
                <w:szCs w:val="24"/>
              </w:rPr>
            </w:pPr>
            <w:r>
              <w:rPr>
                <w:rFonts w:hint="eastAsia" w:hAnsi="宋体" w:cs="宋体"/>
                <w:sz w:val="24"/>
                <w:szCs w:val="24"/>
              </w:rPr>
              <w:t>3.质量标准</w:t>
            </w:r>
          </w:p>
        </w:tc>
        <w:tc>
          <w:tcPr>
            <w:tcW w:w="5721" w:type="dxa"/>
            <w:vAlign w:val="center"/>
          </w:tcPr>
          <w:p w14:paraId="2067B378">
            <w:pPr>
              <w:pStyle w:val="2"/>
              <w:snapToGrid w:val="0"/>
              <w:ind w:left="1416" w:hanging="1416" w:hangingChars="590"/>
              <w:rPr>
                <w:rFonts w:hAnsi="宋体" w:cs="宋体"/>
                <w:sz w:val="24"/>
                <w:szCs w:val="24"/>
              </w:rPr>
            </w:pPr>
            <w:r>
              <w:rPr>
                <w:rFonts w:hint="eastAsia" w:hAnsi="宋体" w:cs="宋体"/>
                <w:sz w:val="24"/>
                <w:szCs w:val="24"/>
                <w:u w:val="single"/>
              </w:rPr>
              <w:t>合格，并响应招标文件相关要求</w:t>
            </w:r>
          </w:p>
        </w:tc>
      </w:tr>
      <w:tr w14:paraId="5CC6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32AEE20D">
            <w:pPr>
              <w:pStyle w:val="2"/>
              <w:adjustRightInd w:val="0"/>
              <w:snapToGrid w:val="0"/>
              <w:jc w:val="left"/>
              <w:rPr>
                <w:rFonts w:hAnsi="宋体" w:cs="宋体"/>
                <w:sz w:val="24"/>
                <w:szCs w:val="24"/>
              </w:rPr>
            </w:pPr>
            <w:r>
              <w:rPr>
                <w:rFonts w:hint="eastAsia" w:hAnsi="宋体" w:cs="宋体"/>
                <w:sz w:val="24"/>
                <w:szCs w:val="24"/>
              </w:rPr>
              <w:t>4.项目经理姓名</w:t>
            </w:r>
          </w:p>
        </w:tc>
        <w:tc>
          <w:tcPr>
            <w:tcW w:w="5721" w:type="dxa"/>
            <w:vAlign w:val="center"/>
          </w:tcPr>
          <w:p w14:paraId="21452781">
            <w:pPr>
              <w:pStyle w:val="2"/>
              <w:snapToGrid w:val="0"/>
              <w:ind w:left="1416" w:hanging="1416" w:hangingChars="590"/>
              <w:rPr>
                <w:rFonts w:hAnsi="宋体" w:cs="宋体"/>
                <w:sz w:val="24"/>
                <w:szCs w:val="24"/>
                <w:u w:val="single"/>
              </w:rPr>
            </w:pPr>
            <w:r>
              <w:rPr>
                <w:rFonts w:hint="eastAsia" w:hAnsi="宋体" w:cs="宋体"/>
                <w:sz w:val="24"/>
                <w:szCs w:val="24"/>
                <w:u w:val="single"/>
              </w:rPr>
              <w:t xml:space="preserve">           </w:t>
            </w:r>
          </w:p>
        </w:tc>
      </w:tr>
      <w:tr w14:paraId="700F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49902384">
            <w:pPr>
              <w:pStyle w:val="2"/>
              <w:adjustRightInd w:val="0"/>
              <w:snapToGrid w:val="0"/>
              <w:jc w:val="left"/>
              <w:rPr>
                <w:rFonts w:hAnsi="宋体" w:cs="宋体"/>
                <w:sz w:val="24"/>
                <w:szCs w:val="24"/>
              </w:rPr>
            </w:pPr>
            <w:r>
              <w:rPr>
                <w:rFonts w:hint="eastAsia" w:hAnsi="宋体" w:cs="宋体"/>
                <w:sz w:val="24"/>
                <w:szCs w:val="24"/>
              </w:rPr>
              <w:t>5.项目经理注册证书</w:t>
            </w:r>
          </w:p>
        </w:tc>
        <w:tc>
          <w:tcPr>
            <w:tcW w:w="5721" w:type="dxa"/>
            <w:vAlign w:val="center"/>
          </w:tcPr>
          <w:p w14:paraId="1CA000F4">
            <w:pPr>
              <w:pStyle w:val="2"/>
              <w:snapToGrid w:val="0"/>
              <w:spacing w:line="240" w:lineRule="auto"/>
              <w:rPr>
                <w:rFonts w:hAnsi="宋体" w:cs="宋体"/>
                <w:sz w:val="24"/>
                <w:szCs w:val="24"/>
                <w:u w:val="single"/>
              </w:rPr>
            </w:pPr>
            <w:r>
              <w:rPr>
                <w:rFonts w:hint="eastAsia" w:hAnsi="宋体" w:cs="宋体"/>
                <w:sz w:val="24"/>
                <w:szCs w:val="24"/>
                <w:u w:val="single"/>
              </w:rPr>
              <w:t xml:space="preserve">         </w:t>
            </w:r>
            <w:r>
              <w:rPr>
                <w:rFonts w:hint="eastAsia" w:hAnsi="宋体" w:cs="宋体"/>
                <w:sz w:val="24"/>
                <w:szCs w:val="24"/>
              </w:rPr>
              <w:t>专业</w:t>
            </w:r>
            <w:r>
              <w:rPr>
                <w:rFonts w:hint="eastAsia" w:hAnsi="宋体" w:cs="宋体"/>
                <w:sz w:val="24"/>
                <w:szCs w:val="24"/>
                <w:u w:val="single"/>
              </w:rPr>
              <w:t xml:space="preserve">       </w:t>
            </w:r>
            <w:r>
              <w:rPr>
                <w:rFonts w:hint="eastAsia" w:hAnsi="宋体" w:cs="宋体"/>
                <w:sz w:val="24"/>
                <w:szCs w:val="24"/>
              </w:rPr>
              <w:t>级注册</w:t>
            </w:r>
            <w:r>
              <w:rPr>
                <w:rFonts w:hint="eastAsia" w:hAnsi="宋体" w:cs="宋体"/>
                <w:sz w:val="24"/>
                <w:szCs w:val="24"/>
                <w:u w:val="single"/>
              </w:rPr>
              <w:t xml:space="preserve">         </w:t>
            </w:r>
            <w:r>
              <w:rPr>
                <w:rFonts w:hint="eastAsia" w:hAnsi="宋体" w:cs="宋体"/>
                <w:sz w:val="24"/>
                <w:szCs w:val="24"/>
              </w:rPr>
              <w:t>师，且注册于我单位</w:t>
            </w:r>
          </w:p>
        </w:tc>
      </w:tr>
      <w:tr w14:paraId="18C4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44322B68">
            <w:pPr>
              <w:pStyle w:val="2"/>
              <w:adjustRightInd w:val="0"/>
              <w:snapToGrid w:val="0"/>
              <w:jc w:val="left"/>
              <w:rPr>
                <w:rFonts w:hAnsi="宋体" w:cs="宋体"/>
                <w:sz w:val="24"/>
                <w:szCs w:val="24"/>
              </w:rPr>
            </w:pPr>
            <w:r>
              <w:rPr>
                <w:rFonts w:hint="eastAsia" w:hAnsi="宋体" w:cs="宋体"/>
                <w:sz w:val="24"/>
                <w:szCs w:val="24"/>
              </w:rPr>
              <w:t>6.项目经理注册建造师注册证书注册编号</w:t>
            </w:r>
          </w:p>
        </w:tc>
        <w:tc>
          <w:tcPr>
            <w:tcW w:w="5721" w:type="dxa"/>
            <w:vAlign w:val="center"/>
          </w:tcPr>
          <w:p w14:paraId="7AD88629">
            <w:pPr>
              <w:pStyle w:val="2"/>
              <w:snapToGrid w:val="0"/>
              <w:rPr>
                <w:rFonts w:hAnsi="宋体" w:cs="宋体"/>
                <w:sz w:val="24"/>
                <w:szCs w:val="24"/>
                <w:u w:val="single"/>
              </w:rPr>
            </w:pPr>
            <w:r>
              <w:rPr>
                <w:rFonts w:hint="eastAsia" w:hAnsi="宋体" w:cs="宋体"/>
                <w:sz w:val="24"/>
                <w:szCs w:val="24"/>
                <w:u w:val="single"/>
              </w:rPr>
              <w:t xml:space="preserve">           </w:t>
            </w:r>
          </w:p>
        </w:tc>
      </w:tr>
      <w:tr w14:paraId="52BE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94" w:type="dxa"/>
            <w:vAlign w:val="center"/>
          </w:tcPr>
          <w:p w14:paraId="0F12A921">
            <w:pPr>
              <w:pStyle w:val="2"/>
              <w:adjustRightInd w:val="0"/>
              <w:snapToGrid w:val="0"/>
              <w:jc w:val="left"/>
              <w:rPr>
                <w:rFonts w:hAnsi="宋体" w:cs="宋体"/>
                <w:sz w:val="24"/>
                <w:szCs w:val="24"/>
              </w:rPr>
            </w:pPr>
            <w:r>
              <w:rPr>
                <w:rFonts w:hint="eastAsia" w:hAnsi="宋体" w:cs="宋体"/>
                <w:sz w:val="24"/>
                <w:szCs w:val="24"/>
              </w:rPr>
              <w:t>7.投标有效期</w:t>
            </w:r>
          </w:p>
        </w:tc>
        <w:tc>
          <w:tcPr>
            <w:tcW w:w="5721" w:type="dxa"/>
            <w:vAlign w:val="center"/>
          </w:tcPr>
          <w:p w14:paraId="2411F351">
            <w:pPr>
              <w:pStyle w:val="2"/>
              <w:snapToGrid w:val="0"/>
              <w:ind w:left="1416" w:hanging="1416" w:hangingChars="590"/>
              <w:rPr>
                <w:rFonts w:hAnsi="宋体" w:cs="宋体"/>
                <w:sz w:val="24"/>
                <w:szCs w:val="24"/>
                <w:u w:val="single"/>
              </w:rPr>
            </w:pPr>
            <w:r>
              <w:rPr>
                <w:rFonts w:hint="eastAsia" w:hAnsi="宋体" w:cs="宋体"/>
                <w:sz w:val="24"/>
                <w:szCs w:val="24"/>
                <w:u w:val="single"/>
              </w:rPr>
              <w:t xml:space="preserve">   90      天</w:t>
            </w:r>
          </w:p>
        </w:tc>
      </w:tr>
    </w:tbl>
    <w:p w14:paraId="00F3C88D">
      <w:pPr>
        <w:pStyle w:val="2"/>
        <w:snapToGrid w:val="0"/>
        <w:ind w:left="480" w:firstLine="400" w:firstLineChars="200"/>
      </w:pPr>
    </w:p>
    <w:p w14:paraId="79EF6481">
      <w:pPr>
        <w:jc w:val="left"/>
        <w:outlineLvl w:val="1"/>
        <w:rPr>
          <w:rFonts w:ascii="宋体" w:hAnsi="宋体" w:cs="宋体"/>
          <w:sz w:val="23"/>
        </w:rPr>
      </w:pPr>
      <w:r>
        <w:br w:type="page"/>
      </w:r>
      <w:bookmarkStart w:id="1058" w:name="_Toc20194"/>
      <w:bookmarkStart w:id="1059" w:name="_Toc2701"/>
      <w:r>
        <w:rPr>
          <w:rFonts w:hint="eastAsia" w:ascii="宋体" w:hAnsi="宋体" w:cs="宋体"/>
          <w:szCs w:val="28"/>
        </w:rPr>
        <w:t>附件</w:t>
      </w:r>
      <w:r>
        <w:rPr>
          <w:rFonts w:ascii="宋体" w:hAnsi="宋体" w:cs="宋体"/>
          <w:szCs w:val="28"/>
        </w:rPr>
        <w:t>3.法定代表人证明书和授权委托书</w:t>
      </w:r>
      <w:bookmarkEnd w:id="1058"/>
      <w:bookmarkEnd w:id="1059"/>
    </w:p>
    <w:p w14:paraId="0E33B6FD">
      <w:pPr>
        <w:spacing w:line="440" w:lineRule="exact"/>
        <w:rPr>
          <w:szCs w:val="21"/>
        </w:rPr>
      </w:pPr>
    </w:p>
    <w:p w14:paraId="6AB465D3">
      <w:pPr>
        <w:spacing w:line="440" w:lineRule="exact"/>
        <w:jc w:val="center"/>
        <w:rPr>
          <w:rFonts w:ascii="宋体" w:hAnsi="宋体" w:cs="宋体"/>
          <w:b/>
          <w:sz w:val="28"/>
          <w:szCs w:val="28"/>
        </w:rPr>
      </w:pPr>
      <w:r>
        <w:rPr>
          <w:rFonts w:hint="eastAsia" w:ascii="宋体" w:hAnsi="宋体" w:cs="宋体"/>
          <w:b/>
          <w:sz w:val="28"/>
          <w:szCs w:val="28"/>
        </w:rPr>
        <w:t>法定代表人身份证明书</w:t>
      </w:r>
    </w:p>
    <w:p w14:paraId="4F00B71A">
      <w:pPr>
        <w:spacing w:line="440" w:lineRule="exact"/>
        <w:ind w:left="806" w:leftChars="336"/>
        <w:rPr>
          <w:szCs w:val="21"/>
        </w:rPr>
      </w:pPr>
    </w:p>
    <w:p w14:paraId="67D533E3">
      <w:pPr>
        <w:spacing w:line="440" w:lineRule="exact"/>
        <w:ind w:left="806" w:leftChars="336" w:firstLine="240" w:firstLineChars="100"/>
        <w:rPr>
          <w:szCs w:val="21"/>
        </w:rPr>
      </w:pPr>
      <w:r>
        <w:rPr>
          <w:szCs w:val="21"/>
        </w:rPr>
        <w:t>投标人名称：</w:t>
      </w:r>
      <w:r>
        <w:rPr>
          <w:rFonts w:hint="eastAsia"/>
          <w:szCs w:val="21"/>
          <w:u w:val="single"/>
        </w:rPr>
        <w:t xml:space="preserve">                                  </w:t>
      </w:r>
    </w:p>
    <w:p w14:paraId="367E34E9">
      <w:pPr>
        <w:spacing w:line="440" w:lineRule="exact"/>
        <w:ind w:left="806" w:leftChars="336" w:firstLine="240" w:firstLineChars="100"/>
        <w:rPr>
          <w:szCs w:val="21"/>
        </w:rPr>
      </w:pPr>
      <w:r>
        <w:rPr>
          <w:szCs w:val="21"/>
        </w:rPr>
        <w:t>单位性质：</w:t>
      </w:r>
      <w:r>
        <w:rPr>
          <w:rFonts w:hint="eastAsia"/>
          <w:szCs w:val="21"/>
          <w:u w:val="single"/>
        </w:rPr>
        <w:t xml:space="preserve">                                  </w:t>
      </w:r>
    </w:p>
    <w:p w14:paraId="1057BD05">
      <w:pPr>
        <w:spacing w:line="440" w:lineRule="exact"/>
        <w:ind w:left="806" w:leftChars="336" w:firstLine="240" w:firstLineChars="100"/>
        <w:rPr>
          <w:szCs w:val="21"/>
        </w:rPr>
      </w:pPr>
      <w:r>
        <w:rPr>
          <w:szCs w:val="21"/>
        </w:rPr>
        <w:t>地址：</w:t>
      </w:r>
      <w:r>
        <w:rPr>
          <w:rFonts w:hint="eastAsia"/>
          <w:szCs w:val="21"/>
          <w:u w:val="single"/>
        </w:rPr>
        <w:t xml:space="preserve">                                  </w:t>
      </w:r>
    </w:p>
    <w:p w14:paraId="16C880D8">
      <w:pPr>
        <w:spacing w:line="440" w:lineRule="exact"/>
        <w:ind w:left="806" w:leftChars="336" w:firstLine="240" w:firstLineChars="100"/>
        <w:rPr>
          <w:szCs w:val="21"/>
        </w:rPr>
      </w:pPr>
      <w:r>
        <w:rPr>
          <w:szCs w:val="21"/>
        </w:rPr>
        <w:t>成立时间：</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rPr>
        <w:t xml:space="preserve"> </w:t>
      </w:r>
      <w:r>
        <w:rPr>
          <w:rFonts w:hint="eastAsia"/>
          <w:szCs w:val="21"/>
          <w:u w:val="single"/>
        </w:rPr>
        <w:t xml:space="preserve">    </w:t>
      </w:r>
      <w:r>
        <w:rPr>
          <w:szCs w:val="21"/>
        </w:rPr>
        <w:t>日</w:t>
      </w:r>
    </w:p>
    <w:p w14:paraId="0E4E9209">
      <w:pPr>
        <w:spacing w:line="440" w:lineRule="exact"/>
        <w:ind w:left="806" w:leftChars="336" w:firstLine="240" w:firstLineChars="100"/>
        <w:rPr>
          <w:szCs w:val="21"/>
        </w:rPr>
      </w:pPr>
      <w:r>
        <w:rPr>
          <w:szCs w:val="21"/>
        </w:rPr>
        <w:t>经营期限：</w:t>
      </w:r>
      <w:r>
        <w:rPr>
          <w:rFonts w:hint="eastAsia"/>
          <w:szCs w:val="21"/>
          <w:u w:val="single"/>
        </w:rPr>
        <w:t xml:space="preserve">                                  </w:t>
      </w:r>
    </w:p>
    <w:p w14:paraId="6873BE35">
      <w:pPr>
        <w:spacing w:line="440" w:lineRule="exact"/>
        <w:ind w:left="806" w:leftChars="336" w:firstLine="240" w:firstLineChars="100"/>
        <w:rPr>
          <w:szCs w:val="21"/>
        </w:rPr>
      </w:pPr>
      <w:r>
        <w:rPr>
          <w:szCs w:val="21"/>
        </w:rPr>
        <w:t>姓名：</w:t>
      </w:r>
      <w:r>
        <w:rPr>
          <w:rFonts w:hint="eastAsia"/>
          <w:szCs w:val="21"/>
          <w:u w:val="single"/>
        </w:rPr>
        <w:t xml:space="preserve">          </w:t>
      </w:r>
      <w:r>
        <w:rPr>
          <w:szCs w:val="21"/>
        </w:rPr>
        <w:t>性别：</w:t>
      </w:r>
      <w:r>
        <w:rPr>
          <w:rFonts w:hint="eastAsia"/>
          <w:szCs w:val="21"/>
          <w:u w:val="single"/>
        </w:rPr>
        <w:t xml:space="preserve">          </w:t>
      </w:r>
      <w:r>
        <w:rPr>
          <w:rFonts w:hint="eastAsia"/>
          <w:szCs w:val="21"/>
        </w:rPr>
        <w:t xml:space="preserve"> </w:t>
      </w:r>
      <w:r>
        <w:rPr>
          <w:szCs w:val="21"/>
        </w:rPr>
        <w:t>年龄：</w:t>
      </w:r>
      <w:r>
        <w:rPr>
          <w:rFonts w:hint="eastAsia"/>
          <w:szCs w:val="21"/>
          <w:u w:val="single"/>
        </w:rPr>
        <w:t xml:space="preserve">           </w:t>
      </w:r>
      <w:r>
        <w:rPr>
          <w:szCs w:val="21"/>
        </w:rPr>
        <w:t>职务：</w:t>
      </w:r>
      <w:r>
        <w:rPr>
          <w:rFonts w:hint="eastAsia"/>
          <w:szCs w:val="21"/>
          <w:u w:val="single"/>
        </w:rPr>
        <w:t xml:space="preserve">             </w:t>
      </w:r>
    </w:p>
    <w:p w14:paraId="4C8D7C9B">
      <w:pPr>
        <w:spacing w:line="440" w:lineRule="exact"/>
        <w:ind w:left="806" w:leftChars="336" w:firstLine="240" w:firstLineChars="100"/>
        <w:rPr>
          <w:szCs w:val="21"/>
        </w:rPr>
      </w:pPr>
      <w:r>
        <w:rPr>
          <w:szCs w:val="21"/>
        </w:rPr>
        <w:t>系</w:t>
      </w:r>
      <w:r>
        <w:rPr>
          <w:rFonts w:hint="eastAsia"/>
          <w:szCs w:val="21"/>
          <w:u w:val="single"/>
        </w:rPr>
        <w:t>（</w:t>
      </w:r>
      <w:r>
        <w:rPr>
          <w:szCs w:val="21"/>
          <w:u w:val="single"/>
        </w:rPr>
        <w:t>投标人名称</w:t>
      </w:r>
      <w:r>
        <w:rPr>
          <w:rFonts w:hint="eastAsia"/>
          <w:szCs w:val="21"/>
          <w:u w:val="single"/>
        </w:rPr>
        <w:t>）</w:t>
      </w:r>
      <w:r>
        <w:rPr>
          <w:szCs w:val="21"/>
        </w:rPr>
        <w:t>的法定代表人。</w:t>
      </w:r>
    </w:p>
    <w:p w14:paraId="1AEBA087">
      <w:pPr>
        <w:spacing w:line="440" w:lineRule="exact"/>
        <w:ind w:left="806" w:leftChars="336" w:firstLine="840" w:firstLineChars="350"/>
        <w:rPr>
          <w:szCs w:val="21"/>
        </w:rPr>
      </w:pPr>
      <w:r>
        <w:rPr>
          <w:szCs w:val="21"/>
        </w:rPr>
        <w:t>特此证明。</w:t>
      </w:r>
    </w:p>
    <w:p w14:paraId="05882BDC">
      <w:pPr>
        <w:spacing w:line="440" w:lineRule="exact"/>
        <w:ind w:left="806" w:leftChars="336"/>
        <w:rPr>
          <w:szCs w:val="21"/>
        </w:rPr>
      </w:pPr>
    </w:p>
    <w:p w14:paraId="5D77BC0C">
      <w:pPr>
        <w:spacing w:line="440" w:lineRule="exact"/>
        <w:ind w:left="806" w:leftChars="336"/>
        <w:rPr>
          <w:szCs w:val="21"/>
        </w:rPr>
      </w:pPr>
    </w:p>
    <w:p w14:paraId="3700280C">
      <w:pPr>
        <w:pStyle w:val="27"/>
        <w:tabs>
          <w:tab w:val="left" w:pos="6821"/>
        </w:tabs>
        <w:ind w:left="4512"/>
        <w:rPr>
          <w:sz w:val="24"/>
        </w:rPr>
      </w:pPr>
      <w:r>
        <w:rPr>
          <w:spacing w:val="-3"/>
          <w:sz w:val="24"/>
        </w:rPr>
        <w:t>投</w:t>
      </w:r>
      <w:r>
        <w:rPr>
          <w:sz w:val="24"/>
        </w:rPr>
        <w:t>标</w:t>
      </w:r>
      <w:r>
        <w:rPr>
          <w:spacing w:val="-3"/>
          <w:sz w:val="24"/>
        </w:rPr>
        <w:t>人</w:t>
      </w:r>
      <w:r>
        <w:rPr>
          <w:sz w:val="24"/>
        </w:rPr>
        <w:t>：</w:t>
      </w:r>
      <w:r>
        <w:rPr>
          <w:sz w:val="24"/>
          <w:u w:val="single"/>
        </w:rPr>
        <w:t xml:space="preserve"> </w:t>
      </w:r>
      <w:r>
        <w:rPr>
          <w:sz w:val="24"/>
          <w:u w:val="single"/>
        </w:rPr>
        <w:tab/>
      </w:r>
      <w:r>
        <w:rPr>
          <w:sz w:val="24"/>
        </w:rPr>
        <w:t>（盖</w:t>
      </w:r>
      <w:r>
        <w:rPr>
          <w:spacing w:val="-3"/>
          <w:sz w:val="24"/>
        </w:rPr>
        <w:t>单</w:t>
      </w:r>
      <w:r>
        <w:rPr>
          <w:sz w:val="24"/>
        </w:rPr>
        <w:t>位</w:t>
      </w:r>
      <w:r>
        <w:rPr>
          <w:spacing w:val="-3"/>
          <w:sz w:val="24"/>
        </w:rPr>
        <w:t>章</w:t>
      </w:r>
      <w:r>
        <w:rPr>
          <w:sz w:val="24"/>
        </w:rPr>
        <w:t>）</w:t>
      </w:r>
    </w:p>
    <w:p w14:paraId="30919B7E">
      <w:pPr>
        <w:pStyle w:val="27"/>
        <w:tabs>
          <w:tab w:val="left" w:pos="5652"/>
          <w:tab w:val="left" w:pos="6492"/>
          <w:tab w:val="left" w:pos="7332"/>
        </w:tabs>
        <w:spacing w:before="71"/>
        <w:ind w:left="5021"/>
        <w:rPr>
          <w:sz w:val="24"/>
        </w:rPr>
      </w:pPr>
      <w:r>
        <w:rPr>
          <w:rFonts w:eastAsia="Times New Roman"/>
          <w:sz w:val="24"/>
          <w:u w:val="single"/>
        </w:rPr>
        <w:t xml:space="preserve"> </w:t>
      </w:r>
      <w:r>
        <w:rPr>
          <w:rFonts w:eastAsia="Times New Roman"/>
          <w:sz w:val="24"/>
          <w:u w:val="single"/>
        </w:rPr>
        <w:tab/>
      </w:r>
      <w:r>
        <w:rPr>
          <w:sz w:val="24"/>
        </w:rPr>
        <w:t>年</w:t>
      </w:r>
      <w:r>
        <w:rPr>
          <w:sz w:val="24"/>
          <w:u w:val="single"/>
        </w:rPr>
        <w:t xml:space="preserve"> </w:t>
      </w:r>
      <w:r>
        <w:rPr>
          <w:sz w:val="24"/>
          <w:u w:val="single"/>
        </w:rPr>
        <w:tab/>
      </w:r>
      <w:r>
        <w:rPr>
          <w:sz w:val="24"/>
        </w:rPr>
        <w:t>月</w:t>
      </w:r>
      <w:r>
        <w:rPr>
          <w:sz w:val="24"/>
          <w:u w:val="single"/>
        </w:rPr>
        <w:t xml:space="preserve"> </w:t>
      </w:r>
      <w:r>
        <w:rPr>
          <w:sz w:val="24"/>
          <w:u w:val="single"/>
        </w:rPr>
        <w:tab/>
      </w:r>
      <w:r>
        <w:rPr>
          <w:sz w:val="24"/>
        </w:rPr>
        <w:t>日</w:t>
      </w:r>
    </w:p>
    <w:p w14:paraId="1C88A70E">
      <w:pPr>
        <w:spacing w:line="440" w:lineRule="exact"/>
        <w:ind w:left="806" w:leftChars="336"/>
        <w:rPr>
          <w:szCs w:val="21"/>
        </w:rPr>
      </w:pPr>
    </w:p>
    <w:p w14:paraId="745C5B15">
      <w:pPr>
        <w:spacing w:line="440" w:lineRule="exact"/>
        <w:ind w:left="806" w:leftChars="336"/>
        <w:rPr>
          <w:szCs w:val="21"/>
        </w:rPr>
      </w:pPr>
    </w:p>
    <w:p w14:paraId="5AA444A2">
      <w:pPr>
        <w:spacing w:line="360" w:lineRule="exact"/>
        <w:ind w:left="806" w:leftChars="336" w:firstLine="462" w:firstLineChars="220"/>
        <w:rPr>
          <w:szCs w:val="21"/>
        </w:rPr>
      </w:pPr>
      <w:r>
        <w:rPr>
          <w:rFonts w:hint="eastAsia"/>
          <w:sz w:val="21"/>
          <w:szCs w:val="21"/>
        </w:rPr>
        <w:t>注：附法定代表人的身份证复印件</w:t>
      </w:r>
      <w:r>
        <w:rPr>
          <w:sz w:val="21"/>
          <w:szCs w:val="21"/>
        </w:rPr>
        <w:t>（须能反映发证机关）</w:t>
      </w:r>
      <w:r>
        <w:rPr>
          <w:rFonts w:hint="eastAsia"/>
          <w:szCs w:val="21"/>
        </w:rPr>
        <w:t>。</w:t>
      </w:r>
    </w:p>
    <w:p w14:paraId="3A2F4055">
      <w:pPr>
        <w:spacing w:line="440" w:lineRule="exact"/>
        <w:jc w:val="center"/>
        <w:rPr>
          <w:rFonts w:ascii="宋体" w:hAnsi="宋体" w:cs="宋体"/>
          <w:b/>
          <w:sz w:val="28"/>
          <w:szCs w:val="28"/>
        </w:rPr>
      </w:pPr>
      <w:r>
        <w:rPr>
          <w:rFonts w:eastAsia="黑体"/>
          <w:szCs w:val="21"/>
        </w:rPr>
        <w:br w:type="page"/>
      </w:r>
      <w:r>
        <w:rPr>
          <w:rFonts w:hint="eastAsia" w:ascii="宋体" w:hAnsi="宋体" w:cs="宋体"/>
          <w:b/>
          <w:sz w:val="28"/>
          <w:szCs w:val="28"/>
        </w:rPr>
        <w:t>授权委托书</w:t>
      </w:r>
    </w:p>
    <w:p w14:paraId="2828D98A">
      <w:pPr>
        <w:tabs>
          <w:tab w:val="left" w:pos="9797"/>
        </w:tabs>
        <w:spacing w:line="440" w:lineRule="exact"/>
        <w:ind w:left="806" w:leftChars="336" w:right="811" w:rightChars="338"/>
        <w:rPr>
          <w:rFonts w:eastAsia="黑体"/>
          <w:szCs w:val="21"/>
        </w:rPr>
      </w:pPr>
    </w:p>
    <w:p w14:paraId="742D9F67">
      <w:pPr>
        <w:tabs>
          <w:tab w:val="left" w:pos="9797"/>
        </w:tabs>
        <w:topLinePunct/>
        <w:spacing w:line="440" w:lineRule="exact"/>
        <w:ind w:left="5" w:right="670" w:rightChars="279" w:firstLine="679" w:firstLineChars="283"/>
        <w:rPr>
          <w:szCs w:val="21"/>
        </w:rPr>
      </w:pPr>
      <w:r>
        <w:rPr>
          <w:szCs w:val="21"/>
        </w:rPr>
        <w:t>本人</w:t>
      </w:r>
      <w:r>
        <w:rPr>
          <w:szCs w:val="21"/>
          <w:u w:val="single"/>
        </w:rPr>
        <w:t>（姓名）</w:t>
      </w:r>
      <w:r>
        <w:rPr>
          <w:szCs w:val="21"/>
        </w:rPr>
        <w:t>系</w:t>
      </w:r>
      <w:r>
        <w:rPr>
          <w:szCs w:val="21"/>
          <w:u w:val="single"/>
        </w:rPr>
        <w:t>（投标人名称）</w:t>
      </w:r>
      <w:r>
        <w:rPr>
          <w:szCs w:val="21"/>
        </w:rPr>
        <w:t>的法定代表人，现委托</w:t>
      </w:r>
      <w:r>
        <w:rPr>
          <w:szCs w:val="21"/>
          <w:u w:val="single"/>
        </w:rPr>
        <w:t>（姓名）</w:t>
      </w:r>
      <w:r>
        <w:rPr>
          <w:szCs w:val="21"/>
        </w:rPr>
        <w:t>为我方代理人。代理人根据授权，以我方名义签署、澄清</w:t>
      </w:r>
      <w:r>
        <w:rPr>
          <w:rFonts w:hint="eastAsia"/>
          <w:szCs w:val="21"/>
        </w:rPr>
        <w:t>、说明、补正</w:t>
      </w:r>
      <w:r>
        <w:rPr>
          <w:szCs w:val="21"/>
        </w:rPr>
        <w:t>、递交、撤回、修改</w:t>
      </w:r>
      <w:r>
        <w:rPr>
          <w:rFonts w:hint="eastAsia"/>
          <w:b/>
          <w:bCs/>
          <w:u w:val="single"/>
        </w:rPr>
        <w:t>广澳高速中山服务区西区加油站重建项目</w:t>
      </w:r>
      <w:r>
        <w:rPr>
          <w:rFonts w:hint="eastAsia"/>
          <w:b/>
          <w:bCs/>
          <w:highlight w:val="none"/>
          <w:u w:val="single"/>
        </w:rPr>
        <w:t>土建工程</w:t>
      </w:r>
      <w:r>
        <w:rPr>
          <w:szCs w:val="21"/>
        </w:rPr>
        <w:t>投标文件、签订合同和处理有关事宜，其法律后果由我方承担。</w:t>
      </w:r>
    </w:p>
    <w:p w14:paraId="6710A7D8">
      <w:pPr>
        <w:tabs>
          <w:tab w:val="left" w:pos="9797"/>
        </w:tabs>
        <w:spacing w:line="440" w:lineRule="exact"/>
        <w:ind w:left="5" w:right="670" w:rightChars="279" w:firstLine="679" w:firstLineChars="283"/>
        <w:rPr>
          <w:szCs w:val="21"/>
        </w:rPr>
      </w:pPr>
      <w:r>
        <w:rPr>
          <w:szCs w:val="21"/>
        </w:rPr>
        <w:t>委托期限：</w:t>
      </w:r>
      <w:r>
        <w:rPr>
          <w:rFonts w:hint="eastAsia"/>
          <w:szCs w:val="21"/>
          <w:u w:val="single"/>
        </w:rPr>
        <w:t>自委托书签署之日起至投标有效期期满</w:t>
      </w:r>
      <w:r>
        <w:rPr>
          <w:rFonts w:hint="eastAsia"/>
          <w:szCs w:val="21"/>
        </w:rPr>
        <w:t>。</w:t>
      </w:r>
    </w:p>
    <w:p w14:paraId="21DA0F0D">
      <w:pPr>
        <w:tabs>
          <w:tab w:val="left" w:pos="9797"/>
        </w:tabs>
        <w:spacing w:line="440" w:lineRule="exact"/>
        <w:ind w:left="5" w:right="670" w:rightChars="279" w:firstLine="679" w:firstLineChars="283"/>
        <w:rPr>
          <w:szCs w:val="21"/>
        </w:rPr>
      </w:pPr>
      <w:r>
        <w:rPr>
          <w:szCs w:val="21"/>
        </w:rPr>
        <w:t>代理人无转委托权。</w:t>
      </w:r>
    </w:p>
    <w:p w14:paraId="2997C18B">
      <w:pPr>
        <w:tabs>
          <w:tab w:val="left" w:pos="9797"/>
        </w:tabs>
        <w:spacing w:line="440" w:lineRule="exact"/>
        <w:ind w:left="5" w:right="670" w:rightChars="279" w:firstLine="679" w:firstLineChars="283"/>
        <w:rPr>
          <w:szCs w:val="21"/>
        </w:rPr>
      </w:pPr>
      <w:r>
        <w:rPr>
          <w:rFonts w:hint="eastAsia"/>
          <w:szCs w:val="21"/>
        </w:rPr>
        <w:t>附：法定代表人身份证明</w:t>
      </w:r>
    </w:p>
    <w:p w14:paraId="5DABD32C">
      <w:pPr>
        <w:tabs>
          <w:tab w:val="left" w:pos="9797"/>
        </w:tabs>
        <w:spacing w:line="440" w:lineRule="exact"/>
        <w:ind w:left="806" w:leftChars="336" w:right="811" w:rightChars="338"/>
        <w:rPr>
          <w:szCs w:val="21"/>
        </w:rPr>
      </w:pPr>
    </w:p>
    <w:p w14:paraId="0DAA922F">
      <w:pPr>
        <w:tabs>
          <w:tab w:val="left" w:pos="9797"/>
        </w:tabs>
        <w:spacing w:line="440" w:lineRule="exact"/>
        <w:ind w:left="806" w:leftChars="336" w:right="811" w:rightChars="338"/>
        <w:rPr>
          <w:szCs w:val="21"/>
        </w:rPr>
      </w:pPr>
    </w:p>
    <w:p w14:paraId="1208CBFC">
      <w:pPr>
        <w:tabs>
          <w:tab w:val="left" w:pos="9797"/>
        </w:tabs>
        <w:spacing w:line="440" w:lineRule="exact"/>
        <w:ind w:left="806" w:leftChars="336" w:right="811" w:rightChars="338" w:firstLine="2654" w:firstLineChars="1106"/>
        <w:jc w:val="left"/>
        <w:rPr>
          <w:szCs w:val="21"/>
        </w:rPr>
      </w:pPr>
      <w:r>
        <w:rPr>
          <w:szCs w:val="21"/>
        </w:rPr>
        <w:t>投标人：</w:t>
      </w:r>
      <w:r>
        <w:rPr>
          <w:rFonts w:hint="eastAsia"/>
          <w:szCs w:val="21"/>
          <w:u w:val="single"/>
        </w:rPr>
        <w:t xml:space="preserve">                     </w:t>
      </w:r>
      <w:r>
        <w:rPr>
          <w:szCs w:val="21"/>
        </w:rPr>
        <w:t>（盖单位章）</w:t>
      </w:r>
    </w:p>
    <w:p w14:paraId="1A464A99">
      <w:pPr>
        <w:tabs>
          <w:tab w:val="left" w:pos="9797"/>
        </w:tabs>
        <w:spacing w:line="440" w:lineRule="exact"/>
        <w:ind w:left="806" w:leftChars="336" w:right="811" w:rightChars="338" w:firstLine="2654" w:firstLineChars="1106"/>
        <w:jc w:val="left"/>
        <w:rPr>
          <w:szCs w:val="21"/>
        </w:rPr>
      </w:pPr>
    </w:p>
    <w:p w14:paraId="36E7EAB9">
      <w:pPr>
        <w:tabs>
          <w:tab w:val="left" w:pos="9797"/>
        </w:tabs>
        <w:spacing w:line="440" w:lineRule="exact"/>
        <w:ind w:left="806" w:leftChars="336" w:right="811" w:rightChars="338" w:firstLine="2654" w:firstLineChars="1106"/>
        <w:jc w:val="left"/>
        <w:rPr>
          <w:szCs w:val="21"/>
        </w:rPr>
      </w:pPr>
      <w:r>
        <w:rPr>
          <w:szCs w:val="21"/>
        </w:rPr>
        <w:t>法定代表人：</w:t>
      </w:r>
      <w:r>
        <w:rPr>
          <w:rFonts w:hint="eastAsia"/>
          <w:szCs w:val="21"/>
          <w:u w:val="single"/>
        </w:rPr>
        <w:t xml:space="preserve">                </w:t>
      </w:r>
      <w:r>
        <w:rPr>
          <w:szCs w:val="21"/>
        </w:rPr>
        <w:t>（签字</w:t>
      </w:r>
      <w:r>
        <w:rPr>
          <w:rFonts w:hint="eastAsia"/>
          <w:szCs w:val="21"/>
        </w:rPr>
        <w:t>或盖章</w:t>
      </w:r>
      <w:r>
        <w:rPr>
          <w:szCs w:val="21"/>
        </w:rPr>
        <w:t>）</w:t>
      </w:r>
    </w:p>
    <w:p w14:paraId="3D1C12A8">
      <w:pPr>
        <w:tabs>
          <w:tab w:val="left" w:pos="9797"/>
        </w:tabs>
        <w:spacing w:line="440" w:lineRule="exact"/>
        <w:ind w:left="806" w:leftChars="336" w:right="811" w:rightChars="338" w:firstLine="2654" w:firstLineChars="1106"/>
        <w:jc w:val="left"/>
        <w:rPr>
          <w:szCs w:val="21"/>
        </w:rPr>
      </w:pPr>
    </w:p>
    <w:p w14:paraId="17E5AC25">
      <w:pPr>
        <w:tabs>
          <w:tab w:val="left" w:pos="9797"/>
        </w:tabs>
        <w:spacing w:line="440" w:lineRule="exact"/>
        <w:ind w:left="806" w:leftChars="336" w:right="811" w:rightChars="338" w:firstLine="2654" w:firstLineChars="1106"/>
        <w:jc w:val="left"/>
        <w:rPr>
          <w:szCs w:val="21"/>
        </w:rPr>
      </w:pPr>
      <w:r>
        <w:rPr>
          <w:szCs w:val="21"/>
        </w:rPr>
        <w:t>身份证号码：</w:t>
      </w:r>
      <w:r>
        <w:rPr>
          <w:rFonts w:hint="eastAsia"/>
          <w:szCs w:val="21"/>
          <w:u w:val="single"/>
        </w:rPr>
        <w:t xml:space="preserve">                             </w:t>
      </w:r>
      <w:r>
        <w:rPr>
          <w:rFonts w:hint="eastAsia"/>
          <w:szCs w:val="21"/>
        </w:rPr>
        <w:t xml:space="preserve"> </w:t>
      </w:r>
    </w:p>
    <w:p w14:paraId="0DB222A7">
      <w:pPr>
        <w:tabs>
          <w:tab w:val="left" w:pos="9797"/>
        </w:tabs>
        <w:spacing w:line="440" w:lineRule="exact"/>
        <w:ind w:left="806" w:leftChars="336" w:right="811" w:rightChars="338" w:firstLine="2654" w:firstLineChars="1106"/>
        <w:jc w:val="left"/>
        <w:rPr>
          <w:szCs w:val="21"/>
        </w:rPr>
      </w:pPr>
    </w:p>
    <w:p w14:paraId="461514B6">
      <w:pPr>
        <w:tabs>
          <w:tab w:val="left" w:pos="9797"/>
        </w:tabs>
        <w:spacing w:line="440" w:lineRule="exact"/>
        <w:ind w:left="806" w:leftChars="336" w:right="811" w:rightChars="338" w:firstLine="2654" w:firstLineChars="1106"/>
        <w:jc w:val="left"/>
        <w:rPr>
          <w:szCs w:val="21"/>
        </w:rPr>
      </w:pPr>
      <w:r>
        <w:rPr>
          <w:szCs w:val="21"/>
        </w:rPr>
        <w:t>委托代理人：</w:t>
      </w:r>
      <w:r>
        <w:rPr>
          <w:rFonts w:hint="eastAsia"/>
          <w:szCs w:val="21"/>
          <w:u w:val="single"/>
        </w:rPr>
        <w:t xml:space="preserve">                </w:t>
      </w:r>
      <w:r>
        <w:rPr>
          <w:szCs w:val="21"/>
        </w:rPr>
        <w:t>（签字</w:t>
      </w:r>
      <w:r>
        <w:rPr>
          <w:rFonts w:hint="eastAsia"/>
          <w:szCs w:val="21"/>
        </w:rPr>
        <w:t>或盖章</w:t>
      </w:r>
      <w:r>
        <w:rPr>
          <w:szCs w:val="21"/>
        </w:rPr>
        <w:t>）</w:t>
      </w:r>
    </w:p>
    <w:p w14:paraId="3B8E9E20">
      <w:pPr>
        <w:tabs>
          <w:tab w:val="left" w:pos="9797"/>
        </w:tabs>
        <w:spacing w:line="440" w:lineRule="exact"/>
        <w:ind w:left="806" w:leftChars="336" w:right="811" w:rightChars="338" w:firstLine="2654" w:firstLineChars="1106"/>
        <w:jc w:val="left"/>
        <w:rPr>
          <w:szCs w:val="21"/>
        </w:rPr>
      </w:pPr>
    </w:p>
    <w:p w14:paraId="5CA7413F">
      <w:pPr>
        <w:tabs>
          <w:tab w:val="left" w:pos="9797"/>
        </w:tabs>
        <w:spacing w:line="440" w:lineRule="exact"/>
        <w:ind w:left="806" w:leftChars="336" w:right="811" w:rightChars="338" w:firstLine="2654" w:firstLineChars="1106"/>
        <w:jc w:val="left"/>
        <w:rPr>
          <w:szCs w:val="21"/>
        </w:rPr>
      </w:pPr>
      <w:r>
        <w:rPr>
          <w:szCs w:val="21"/>
        </w:rPr>
        <w:t>身份证号码：</w:t>
      </w:r>
      <w:r>
        <w:rPr>
          <w:rFonts w:hint="eastAsia"/>
          <w:szCs w:val="21"/>
          <w:u w:val="single"/>
        </w:rPr>
        <w:t xml:space="preserve">                             </w:t>
      </w:r>
    </w:p>
    <w:p w14:paraId="48F6D6DB">
      <w:pPr>
        <w:tabs>
          <w:tab w:val="left" w:pos="9797"/>
        </w:tabs>
        <w:spacing w:line="440" w:lineRule="exact"/>
        <w:ind w:left="806" w:leftChars="336" w:right="811" w:rightChars="338" w:firstLine="3232" w:firstLineChars="1347"/>
        <w:jc w:val="left"/>
        <w:rPr>
          <w:szCs w:val="21"/>
        </w:rPr>
      </w:pPr>
    </w:p>
    <w:p w14:paraId="14FA5FA7">
      <w:pPr>
        <w:pStyle w:val="27"/>
        <w:tabs>
          <w:tab w:val="left" w:pos="6943"/>
          <w:tab w:val="left" w:pos="7889"/>
          <w:tab w:val="left" w:pos="8833"/>
        </w:tabs>
        <w:spacing w:before="72"/>
        <w:ind w:left="6207"/>
      </w:pPr>
      <w:r>
        <w:rPr>
          <w:rFonts w:eastAsia="Times New Roman"/>
          <w:sz w:val="24"/>
          <w:u w:val="single"/>
        </w:rPr>
        <w:tab/>
      </w:r>
      <w:r>
        <w:rPr>
          <w:sz w:val="24"/>
        </w:rPr>
        <w:t>年</w:t>
      </w:r>
      <w:r>
        <w:rPr>
          <w:sz w:val="24"/>
          <w:u w:val="single"/>
        </w:rPr>
        <w:t xml:space="preserve"> </w:t>
      </w:r>
      <w:r>
        <w:rPr>
          <w:rFonts w:hint="eastAsia"/>
          <w:sz w:val="24"/>
          <w:u w:val="single"/>
        </w:rPr>
        <w:t xml:space="preserve">   </w:t>
      </w:r>
      <w:r>
        <w:rPr>
          <w:spacing w:val="-3"/>
          <w:sz w:val="24"/>
        </w:rPr>
        <w:t>月</w:t>
      </w:r>
      <w:r>
        <w:rPr>
          <w:spacing w:val="-3"/>
          <w:sz w:val="24"/>
          <w:u w:val="single"/>
        </w:rPr>
        <w:t xml:space="preserve"> </w:t>
      </w:r>
      <w:r>
        <w:rPr>
          <w:rFonts w:hint="eastAsia"/>
          <w:spacing w:val="-3"/>
          <w:sz w:val="24"/>
          <w:u w:val="single"/>
        </w:rPr>
        <w:t xml:space="preserve">   </w:t>
      </w:r>
      <w:r>
        <w:rPr>
          <w:sz w:val="24"/>
        </w:rPr>
        <w:t>日</w:t>
      </w:r>
    </w:p>
    <w:p w14:paraId="3B5BEE2A">
      <w:pPr>
        <w:tabs>
          <w:tab w:val="left" w:pos="9797"/>
        </w:tabs>
        <w:spacing w:line="440" w:lineRule="exact"/>
        <w:ind w:left="806" w:leftChars="336" w:right="811" w:rightChars="338" w:firstLine="5520" w:firstLineChars="2300"/>
        <w:rPr>
          <w:szCs w:val="21"/>
        </w:rPr>
      </w:pPr>
    </w:p>
    <w:p w14:paraId="2193693E">
      <w:pPr>
        <w:tabs>
          <w:tab w:val="left" w:pos="9797"/>
        </w:tabs>
        <w:spacing w:line="440" w:lineRule="exact"/>
        <w:ind w:left="806" w:leftChars="336" w:right="811" w:rightChars="338" w:firstLine="5520" w:firstLineChars="2300"/>
        <w:rPr>
          <w:szCs w:val="21"/>
        </w:rPr>
      </w:pPr>
    </w:p>
    <w:p w14:paraId="1BA4C243">
      <w:pPr>
        <w:pStyle w:val="333"/>
        <w:spacing w:line="360" w:lineRule="exact"/>
        <w:ind w:left="1331" w:leftChars="336" w:hanging="525" w:hangingChars="250"/>
        <w:rPr>
          <w:rFonts w:ascii="Times New Roman" w:cs="Times New Roman"/>
          <w:color w:val="auto"/>
          <w:kern w:val="2"/>
          <w:sz w:val="21"/>
          <w:szCs w:val="21"/>
        </w:rPr>
      </w:pPr>
      <w:r>
        <w:rPr>
          <w:rFonts w:hint="eastAsia" w:ascii="Times New Roman" w:cs="Times New Roman"/>
          <w:color w:val="auto"/>
          <w:kern w:val="2"/>
          <w:sz w:val="21"/>
          <w:szCs w:val="21"/>
        </w:rPr>
        <w:t>注：1.授权书后须附被授权的代理人身份证复印件（须能反映发证机关）。</w:t>
      </w:r>
    </w:p>
    <w:p w14:paraId="62CF5B45">
      <w:pPr>
        <w:pStyle w:val="333"/>
        <w:spacing w:line="360" w:lineRule="exact"/>
        <w:ind w:left="806" w:leftChars="336"/>
        <w:rPr>
          <w:rFonts w:ascii="Times New Roman" w:cs="Times New Roman"/>
          <w:color w:val="auto"/>
          <w:kern w:val="2"/>
          <w:sz w:val="21"/>
          <w:szCs w:val="21"/>
        </w:rPr>
      </w:pPr>
      <w:r>
        <w:rPr>
          <w:rFonts w:hint="eastAsia" w:ascii="Times New Roman" w:cs="Times New Roman"/>
          <w:color w:val="auto"/>
          <w:kern w:val="2"/>
          <w:sz w:val="21"/>
          <w:szCs w:val="21"/>
        </w:rPr>
        <w:t xml:space="preserve">    2.如果由投标人的法定代表人签署投标文件，则不需提交本授权委托书。</w:t>
      </w:r>
    </w:p>
    <w:p w14:paraId="6142EC47">
      <w:pPr>
        <w:jc w:val="left"/>
        <w:outlineLvl w:val="1"/>
        <w:rPr>
          <w:sz w:val="21"/>
          <w:szCs w:val="21"/>
        </w:rPr>
      </w:pPr>
      <w:r>
        <w:rPr>
          <w:rFonts w:hint="eastAsia"/>
          <w:sz w:val="21"/>
          <w:szCs w:val="21"/>
        </w:rPr>
        <w:br w:type="page"/>
      </w:r>
      <w:bookmarkStart w:id="1060" w:name="_Toc30594"/>
      <w:bookmarkStart w:id="1061" w:name="_Toc25328"/>
      <w:bookmarkStart w:id="1062" w:name="_Toc12790"/>
      <w:r>
        <w:rPr>
          <w:rFonts w:hint="eastAsia" w:ascii="宋体" w:hAnsi="宋体" w:cs="宋体"/>
          <w:szCs w:val="28"/>
        </w:rPr>
        <w:t>附件</w:t>
      </w:r>
      <w:r>
        <w:rPr>
          <w:rFonts w:ascii="宋体" w:hAnsi="宋体" w:cs="宋体"/>
          <w:szCs w:val="28"/>
        </w:rPr>
        <w:t>4：技术偏差表</w:t>
      </w:r>
      <w:bookmarkEnd w:id="1060"/>
      <w:bookmarkEnd w:id="1061"/>
      <w:bookmarkEnd w:id="1062"/>
    </w:p>
    <w:p w14:paraId="5A75D99D">
      <w:pPr>
        <w:adjustRightInd w:val="0"/>
        <w:snapToGrid w:val="0"/>
        <w:spacing w:after="156" w:afterLines="50"/>
        <w:jc w:val="center"/>
        <w:rPr>
          <w:rFonts w:ascii="宋体" w:hAnsi="宋体"/>
          <w:b/>
          <w:bCs/>
          <w:sz w:val="30"/>
          <w:szCs w:val="30"/>
        </w:rPr>
      </w:pPr>
      <w:r>
        <w:rPr>
          <w:rFonts w:hint="eastAsia" w:ascii="宋体" w:hAnsi="宋体"/>
          <w:b/>
          <w:bCs/>
          <w:sz w:val="30"/>
          <w:szCs w:val="30"/>
        </w:rPr>
        <w:t>技术偏差表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333"/>
        <w:gridCol w:w="2881"/>
        <w:gridCol w:w="2981"/>
      </w:tblGrid>
      <w:tr w14:paraId="6D17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0028A965">
            <w:pPr>
              <w:adjustRightInd w:val="0"/>
              <w:snapToGrid w:val="0"/>
              <w:ind w:right="50"/>
              <w:jc w:val="center"/>
              <w:rPr>
                <w:rFonts w:ascii="宋体" w:hAnsi="宋体"/>
              </w:rPr>
            </w:pPr>
            <w:r>
              <w:rPr>
                <w:rFonts w:hint="eastAsia" w:ascii="宋体" w:hAnsi="宋体"/>
              </w:rPr>
              <w:t>序号</w:t>
            </w:r>
          </w:p>
        </w:tc>
        <w:tc>
          <w:tcPr>
            <w:tcW w:w="2333" w:type="dxa"/>
            <w:vAlign w:val="center"/>
          </w:tcPr>
          <w:p w14:paraId="604F045D">
            <w:pPr>
              <w:adjustRightInd w:val="0"/>
              <w:snapToGrid w:val="0"/>
              <w:ind w:right="50"/>
              <w:jc w:val="center"/>
              <w:rPr>
                <w:rFonts w:ascii="宋体" w:hAnsi="宋体"/>
              </w:rPr>
            </w:pPr>
            <w:r>
              <w:rPr>
                <w:rFonts w:hint="eastAsia" w:ascii="宋体" w:hAnsi="宋体"/>
              </w:rPr>
              <w:t>章、节、条款编号</w:t>
            </w:r>
          </w:p>
        </w:tc>
        <w:tc>
          <w:tcPr>
            <w:tcW w:w="2881" w:type="dxa"/>
            <w:vAlign w:val="center"/>
          </w:tcPr>
          <w:p w14:paraId="51F11B31">
            <w:pPr>
              <w:adjustRightInd w:val="0"/>
              <w:snapToGrid w:val="0"/>
              <w:ind w:right="50"/>
              <w:jc w:val="center"/>
              <w:rPr>
                <w:rFonts w:ascii="宋体" w:hAnsi="宋体"/>
              </w:rPr>
            </w:pPr>
            <w:r>
              <w:rPr>
                <w:rFonts w:hint="eastAsia" w:ascii="宋体" w:hAnsi="宋体"/>
              </w:rPr>
              <w:t>条款内容</w:t>
            </w:r>
          </w:p>
        </w:tc>
        <w:tc>
          <w:tcPr>
            <w:tcW w:w="2981" w:type="dxa"/>
            <w:vAlign w:val="center"/>
          </w:tcPr>
          <w:p w14:paraId="70128B34">
            <w:pPr>
              <w:adjustRightInd w:val="0"/>
              <w:snapToGrid w:val="0"/>
              <w:ind w:right="50"/>
              <w:jc w:val="center"/>
              <w:rPr>
                <w:rFonts w:ascii="宋体" w:hAnsi="宋体"/>
              </w:rPr>
            </w:pPr>
            <w:r>
              <w:rPr>
                <w:rFonts w:hint="eastAsia" w:ascii="宋体" w:hAnsi="宋体"/>
              </w:rPr>
              <w:t>偏差内容</w:t>
            </w:r>
          </w:p>
        </w:tc>
      </w:tr>
      <w:tr w14:paraId="484D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37A7F820">
            <w:pPr>
              <w:adjustRightInd w:val="0"/>
              <w:snapToGrid w:val="0"/>
              <w:ind w:right="50"/>
              <w:jc w:val="center"/>
              <w:rPr>
                <w:rFonts w:ascii="宋体" w:hAnsi="宋体"/>
              </w:rPr>
            </w:pPr>
          </w:p>
        </w:tc>
        <w:tc>
          <w:tcPr>
            <w:tcW w:w="2333" w:type="dxa"/>
            <w:vAlign w:val="center"/>
          </w:tcPr>
          <w:p w14:paraId="0B582276">
            <w:pPr>
              <w:adjustRightInd w:val="0"/>
              <w:snapToGrid w:val="0"/>
              <w:ind w:right="50"/>
              <w:jc w:val="center"/>
              <w:rPr>
                <w:rFonts w:ascii="宋体" w:hAnsi="宋体"/>
              </w:rPr>
            </w:pPr>
          </w:p>
        </w:tc>
        <w:tc>
          <w:tcPr>
            <w:tcW w:w="2881" w:type="dxa"/>
            <w:vAlign w:val="center"/>
          </w:tcPr>
          <w:p w14:paraId="1FE88E99">
            <w:pPr>
              <w:adjustRightInd w:val="0"/>
              <w:snapToGrid w:val="0"/>
              <w:ind w:right="50"/>
              <w:jc w:val="center"/>
              <w:rPr>
                <w:rFonts w:ascii="宋体" w:hAnsi="宋体"/>
              </w:rPr>
            </w:pPr>
          </w:p>
        </w:tc>
        <w:tc>
          <w:tcPr>
            <w:tcW w:w="2981" w:type="dxa"/>
            <w:vAlign w:val="center"/>
          </w:tcPr>
          <w:p w14:paraId="7B3F3729">
            <w:pPr>
              <w:adjustRightInd w:val="0"/>
              <w:snapToGrid w:val="0"/>
              <w:ind w:right="50"/>
              <w:jc w:val="center"/>
              <w:rPr>
                <w:rFonts w:ascii="宋体" w:hAnsi="宋体"/>
              </w:rPr>
            </w:pPr>
          </w:p>
        </w:tc>
      </w:tr>
      <w:tr w14:paraId="17F7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2AA38D6A">
            <w:pPr>
              <w:adjustRightInd w:val="0"/>
              <w:snapToGrid w:val="0"/>
              <w:ind w:right="50"/>
              <w:jc w:val="center"/>
              <w:rPr>
                <w:rFonts w:ascii="宋体" w:hAnsi="宋体"/>
              </w:rPr>
            </w:pPr>
          </w:p>
        </w:tc>
        <w:tc>
          <w:tcPr>
            <w:tcW w:w="2333" w:type="dxa"/>
            <w:vAlign w:val="center"/>
          </w:tcPr>
          <w:p w14:paraId="2C0E9636">
            <w:pPr>
              <w:adjustRightInd w:val="0"/>
              <w:snapToGrid w:val="0"/>
              <w:ind w:right="50"/>
              <w:jc w:val="center"/>
              <w:rPr>
                <w:rFonts w:ascii="宋体" w:hAnsi="宋体"/>
              </w:rPr>
            </w:pPr>
          </w:p>
        </w:tc>
        <w:tc>
          <w:tcPr>
            <w:tcW w:w="2881" w:type="dxa"/>
            <w:vAlign w:val="center"/>
          </w:tcPr>
          <w:p w14:paraId="5632E4F7">
            <w:pPr>
              <w:adjustRightInd w:val="0"/>
              <w:snapToGrid w:val="0"/>
              <w:ind w:right="50"/>
              <w:jc w:val="center"/>
              <w:rPr>
                <w:rFonts w:ascii="宋体" w:hAnsi="宋体"/>
              </w:rPr>
            </w:pPr>
          </w:p>
        </w:tc>
        <w:tc>
          <w:tcPr>
            <w:tcW w:w="2981" w:type="dxa"/>
            <w:vAlign w:val="center"/>
          </w:tcPr>
          <w:p w14:paraId="4EC41079">
            <w:pPr>
              <w:adjustRightInd w:val="0"/>
              <w:snapToGrid w:val="0"/>
              <w:ind w:right="50"/>
              <w:jc w:val="center"/>
              <w:rPr>
                <w:rFonts w:ascii="宋体" w:hAnsi="宋体"/>
              </w:rPr>
            </w:pPr>
          </w:p>
        </w:tc>
      </w:tr>
      <w:tr w14:paraId="140F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54821FD7">
            <w:pPr>
              <w:adjustRightInd w:val="0"/>
              <w:snapToGrid w:val="0"/>
              <w:ind w:right="50"/>
              <w:jc w:val="center"/>
              <w:rPr>
                <w:rFonts w:ascii="宋体" w:hAnsi="宋体"/>
              </w:rPr>
            </w:pPr>
          </w:p>
        </w:tc>
        <w:tc>
          <w:tcPr>
            <w:tcW w:w="2333" w:type="dxa"/>
            <w:vAlign w:val="center"/>
          </w:tcPr>
          <w:p w14:paraId="02793E9D">
            <w:pPr>
              <w:adjustRightInd w:val="0"/>
              <w:snapToGrid w:val="0"/>
              <w:ind w:right="50"/>
              <w:jc w:val="center"/>
              <w:rPr>
                <w:rFonts w:ascii="宋体" w:hAnsi="宋体"/>
              </w:rPr>
            </w:pPr>
          </w:p>
        </w:tc>
        <w:tc>
          <w:tcPr>
            <w:tcW w:w="2881" w:type="dxa"/>
            <w:vAlign w:val="center"/>
          </w:tcPr>
          <w:p w14:paraId="7748E526">
            <w:pPr>
              <w:adjustRightInd w:val="0"/>
              <w:snapToGrid w:val="0"/>
              <w:ind w:right="50"/>
              <w:jc w:val="center"/>
              <w:rPr>
                <w:rFonts w:ascii="宋体" w:hAnsi="宋体"/>
              </w:rPr>
            </w:pPr>
          </w:p>
        </w:tc>
        <w:tc>
          <w:tcPr>
            <w:tcW w:w="2981" w:type="dxa"/>
            <w:vAlign w:val="center"/>
          </w:tcPr>
          <w:p w14:paraId="55B6F554">
            <w:pPr>
              <w:adjustRightInd w:val="0"/>
              <w:snapToGrid w:val="0"/>
              <w:ind w:right="50"/>
              <w:jc w:val="center"/>
              <w:rPr>
                <w:rFonts w:ascii="宋体" w:hAnsi="宋体"/>
              </w:rPr>
            </w:pPr>
          </w:p>
        </w:tc>
      </w:tr>
      <w:tr w14:paraId="6920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1266F72B">
            <w:pPr>
              <w:adjustRightInd w:val="0"/>
              <w:snapToGrid w:val="0"/>
              <w:ind w:right="50"/>
              <w:jc w:val="center"/>
              <w:rPr>
                <w:rFonts w:ascii="宋体" w:hAnsi="宋体"/>
              </w:rPr>
            </w:pPr>
          </w:p>
        </w:tc>
        <w:tc>
          <w:tcPr>
            <w:tcW w:w="2333" w:type="dxa"/>
            <w:vAlign w:val="center"/>
          </w:tcPr>
          <w:p w14:paraId="7CD5D51A">
            <w:pPr>
              <w:adjustRightInd w:val="0"/>
              <w:snapToGrid w:val="0"/>
              <w:ind w:right="50"/>
              <w:jc w:val="center"/>
              <w:rPr>
                <w:rFonts w:ascii="宋体" w:hAnsi="宋体"/>
              </w:rPr>
            </w:pPr>
          </w:p>
        </w:tc>
        <w:tc>
          <w:tcPr>
            <w:tcW w:w="2881" w:type="dxa"/>
            <w:vAlign w:val="center"/>
          </w:tcPr>
          <w:p w14:paraId="1CA4EEEA">
            <w:pPr>
              <w:adjustRightInd w:val="0"/>
              <w:snapToGrid w:val="0"/>
              <w:ind w:right="50"/>
              <w:jc w:val="center"/>
              <w:rPr>
                <w:rFonts w:ascii="宋体" w:hAnsi="宋体"/>
              </w:rPr>
            </w:pPr>
          </w:p>
        </w:tc>
        <w:tc>
          <w:tcPr>
            <w:tcW w:w="2981" w:type="dxa"/>
            <w:vAlign w:val="center"/>
          </w:tcPr>
          <w:p w14:paraId="4D598AA6">
            <w:pPr>
              <w:adjustRightInd w:val="0"/>
              <w:snapToGrid w:val="0"/>
              <w:ind w:right="50"/>
              <w:jc w:val="center"/>
              <w:rPr>
                <w:rFonts w:ascii="宋体" w:hAnsi="宋体"/>
              </w:rPr>
            </w:pPr>
          </w:p>
        </w:tc>
      </w:tr>
      <w:tr w14:paraId="0B9C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2B413863">
            <w:pPr>
              <w:adjustRightInd w:val="0"/>
              <w:snapToGrid w:val="0"/>
              <w:ind w:right="50"/>
              <w:jc w:val="center"/>
              <w:rPr>
                <w:rFonts w:ascii="宋体" w:hAnsi="宋体"/>
              </w:rPr>
            </w:pPr>
          </w:p>
        </w:tc>
        <w:tc>
          <w:tcPr>
            <w:tcW w:w="2333" w:type="dxa"/>
            <w:vAlign w:val="center"/>
          </w:tcPr>
          <w:p w14:paraId="4AA0DD67">
            <w:pPr>
              <w:adjustRightInd w:val="0"/>
              <w:snapToGrid w:val="0"/>
              <w:ind w:right="50"/>
              <w:jc w:val="center"/>
              <w:rPr>
                <w:rFonts w:ascii="宋体" w:hAnsi="宋体"/>
              </w:rPr>
            </w:pPr>
          </w:p>
        </w:tc>
        <w:tc>
          <w:tcPr>
            <w:tcW w:w="2881" w:type="dxa"/>
            <w:vAlign w:val="center"/>
          </w:tcPr>
          <w:p w14:paraId="51AF7621">
            <w:pPr>
              <w:adjustRightInd w:val="0"/>
              <w:snapToGrid w:val="0"/>
              <w:ind w:right="50"/>
              <w:jc w:val="center"/>
              <w:rPr>
                <w:rFonts w:ascii="宋体" w:hAnsi="宋体"/>
              </w:rPr>
            </w:pPr>
          </w:p>
        </w:tc>
        <w:tc>
          <w:tcPr>
            <w:tcW w:w="2981" w:type="dxa"/>
            <w:vAlign w:val="center"/>
          </w:tcPr>
          <w:p w14:paraId="118DD7AD">
            <w:pPr>
              <w:adjustRightInd w:val="0"/>
              <w:snapToGrid w:val="0"/>
              <w:ind w:right="50"/>
              <w:jc w:val="center"/>
              <w:rPr>
                <w:rFonts w:ascii="宋体" w:hAnsi="宋体"/>
              </w:rPr>
            </w:pPr>
          </w:p>
        </w:tc>
      </w:tr>
      <w:tr w14:paraId="2901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7498A040">
            <w:pPr>
              <w:adjustRightInd w:val="0"/>
              <w:snapToGrid w:val="0"/>
              <w:ind w:right="50"/>
              <w:jc w:val="center"/>
              <w:rPr>
                <w:rFonts w:ascii="宋体" w:hAnsi="宋体"/>
              </w:rPr>
            </w:pPr>
          </w:p>
        </w:tc>
        <w:tc>
          <w:tcPr>
            <w:tcW w:w="2333" w:type="dxa"/>
            <w:vAlign w:val="center"/>
          </w:tcPr>
          <w:p w14:paraId="2F300CA6">
            <w:pPr>
              <w:adjustRightInd w:val="0"/>
              <w:snapToGrid w:val="0"/>
              <w:ind w:right="50"/>
              <w:jc w:val="center"/>
              <w:rPr>
                <w:rFonts w:ascii="宋体" w:hAnsi="宋体"/>
              </w:rPr>
            </w:pPr>
          </w:p>
        </w:tc>
        <w:tc>
          <w:tcPr>
            <w:tcW w:w="2881" w:type="dxa"/>
            <w:vAlign w:val="center"/>
          </w:tcPr>
          <w:p w14:paraId="7CC1B339">
            <w:pPr>
              <w:adjustRightInd w:val="0"/>
              <w:snapToGrid w:val="0"/>
              <w:ind w:right="50"/>
              <w:jc w:val="center"/>
              <w:rPr>
                <w:rFonts w:ascii="宋体" w:hAnsi="宋体"/>
              </w:rPr>
            </w:pPr>
          </w:p>
        </w:tc>
        <w:tc>
          <w:tcPr>
            <w:tcW w:w="2981" w:type="dxa"/>
            <w:vAlign w:val="center"/>
          </w:tcPr>
          <w:p w14:paraId="1DFA2C46">
            <w:pPr>
              <w:adjustRightInd w:val="0"/>
              <w:snapToGrid w:val="0"/>
              <w:ind w:right="50"/>
              <w:jc w:val="center"/>
              <w:rPr>
                <w:rFonts w:ascii="宋体" w:hAnsi="宋体"/>
              </w:rPr>
            </w:pPr>
          </w:p>
        </w:tc>
      </w:tr>
      <w:tr w14:paraId="56D0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0DB443E5">
            <w:pPr>
              <w:adjustRightInd w:val="0"/>
              <w:snapToGrid w:val="0"/>
              <w:ind w:right="50"/>
              <w:jc w:val="center"/>
              <w:rPr>
                <w:rFonts w:ascii="宋体" w:hAnsi="宋体"/>
              </w:rPr>
            </w:pPr>
          </w:p>
        </w:tc>
        <w:tc>
          <w:tcPr>
            <w:tcW w:w="2333" w:type="dxa"/>
            <w:vAlign w:val="center"/>
          </w:tcPr>
          <w:p w14:paraId="3D589E14">
            <w:pPr>
              <w:adjustRightInd w:val="0"/>
              <w:snapToGrid w:val="0"/>
              <w:ind w:right="50"/>
              <w:jc w:val="center"/>
              <w:rPr>
                <w:rFonts w:ascii="宋体" w:hAnsi="宋体"/>
              </w:rPr>
            </w:pPr>
          </w:p>
        </w:tc>
        <w:tc>
          <w:tcPr>
            <w:tcW w:w="2881" w:type="dxa"/>
            <w:vAlign w:val="center"/>
          </w:tcPr>
          <w:p w14:paraId="064E5665">
            <w:pPr>
              <w:adjustRightInd w:val="0"/>
              <w:snapToGrid w:val="0"/>
              <w:ind w:right="50"/>
              <w:jc w:val="center"/>
              <w:rPr>
                <w:rFonts w:ascii="宋体" w:hAnsi="宋体"/>
              </w:rPr>
            </w:pPr>
          </w:p>
        </w:tc>
        <w:tc>
          <w:tcPr>
            <w:tcW w:w="2981" w:type="dxa"/>
            <w:vAlign w:val="center"/>
          </w:tcPr>
          <w:p w14:paraId="68E4C885">
            <w:pPr>
              <w:adjustRightInd w:val="0"/>
              <w:snapToGrid w:val="0"/>
              <w:ind w:right="50"/>
              <w:jc w:val="center"/>
              <w:rPr>
                <w:rFonts w:ascii="宋体" w:hAnsi="宋体"/>
              </w:rPr>
            </w:pPr>
          </w:p>
        </w:tc>
      </w:tr>
      <w:tr w14:paraId="5840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2823813A">
            <w:pPr>
              <w:adjustRightInd w:val="0"/>
              <w:snapToGrid w:val="0"/>
              <w:ind w:right="50"/>
              <w:jc w:val="center"/>
              <w:rPr>
                <w:rFonts w:ascii="宋体" w:hAnsi="宋体"/>
              </w:rPr>
            </w:pPr>
          </w:p>
        </w:tc>
        <w:tc>
          <w:tcPr>
            <w:tcW w:w="2333" w:type="dxa"/>
            <w:vAlign w:val="center"/>
          </w:tcPr>
          <w:p w14:paraId="500F05F9">
            <w:pPr>
              <w:adjustRightInd w:val="0"/>
              <w:snapToGrid w:val="0"/>
              <w:ind w:right="50"/>
              <w:jc w:val="center"/>
              <w:rPr>
                <w:rFonts w:ascii="宋体" w:hAnsi="宋体"/>
              </w:rPr>
            </w:pPr>
          </w:p>
        </w:tc>
        <w:tc>
          <w:tcPr>
            <w:tcW w:w="2881" w:type="dxa"/>
            <w:vAlign w:val="center"/>
          </w:tcPr>
          <w:p w14:paraId="3A502850">
            <w:pPr>
              <w:adjustRightInd w:val="0"/>
              <w:snapToGrid w:val="0"/>
              <w:ind w:right="50"/>
              <w:jc w:val="center"/>
              <w:rPr>
                <w:rFonts w:ascii="宋体" w:hAnsi="宋体"/>
              </w:rPr>
            </w:pPr>
          </w:p>
        </w:tc>
        <w:tc>
          <w:tcPr>
            <w:tcW w:w="2981" w:type="dxa"/>
            <w:vAlign w:val="center"/>
          </w:tcPr>
          <w:p w14:paraId="562E8BFA">
            <w:pPr>
              <w:adjustRightInd w:val="0"/>
              <w:snapToGrid w:val="0"/>
              <w:ind w:right="50"/>
              <w:jc w:val="center"/>
              <w:rPr>
                <w:rFonts w:ascii="宋体" w:hAnsi="宋体"/>
              </w:rPr>
            </w:pPr>
          </w:p>
        </w:tc>
      </w:tr>
      <w:tr w14:paraId="666A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2D41FDB2">
            <w:pPr>
              <w:adjustRightInd w:val="0"/>
              <w:snapToGrid w:val="0"/>
              <w:ind w:right="50"/>
              <w:jc w:val="center"/>
              <w:rPr>
                <w:rFonts w:ascii="宋体" w:hAnsi="宋体"/>
              </w:rPr>
            </w:pPr>
          </w:p>
        </w:tc>
        <w:tc>
          <w:tcPr>
            <w:tcW w:w="2333" w:type="dxa"/>
            <w:vAlign w:val="center"/>
          </w:tcPr>
          <w:p w14:paraId="6AECFE71">
            <w:pPr>
              <w:adjustRightInd w:val="0"/>
              <w:snapToGrid w:val="0"/>
              <w:ind w:right="50"/>
              <w:jc w:val="center"/>
              <w:rPr>
                <w:rFonts w:ascii="宋体" w:hAnsi="宋体"/>
              </w:rPr>
            </w:pPr>
          </w:p>
        </w:tc>
        <w:tc>
          <w:tcPr>
            <w:tcW w:w="2881" w:type="dxa"/>
            <w:vAlign w:val="center"/>
          </w:tcPr>
          <w:p w14:paraId="13732B26">
            <w:pPr>
              <w:adjustRightInd w:val="0"/>
              <w:snapToGrid w:val="0"/>
              <w:ind w:right="50"/>
              <w:jc w:val="center"/>
              <w:rPr>
                <w:rFonts w:ascii="宋体" w:hAnsi="宋体"/>
              </w:rPr>
            </w:pPr>
          </w:p>
        </w:tc>
        <w:tc>
          <w:tcPr>
            <w:tcW w:w="2981" w:type="dxa"/>
            <w:vAlign w:val="center"/>
          </w:tcPr>
          <w:p w14:paraId="648B84CF">
            <w:pPr>
              <w:adjustRightInd w:val="0"/>
              <w:snapToGrid w:val="0"/>
              <w:ind w:right="50"/>
              <w:jc w:val="center"/>
              <w:rPr>
                <w:rFonts w:ascii="宋体" w:hAnsi="宋体"/>
              </w:rPr>
            </w:pPr>
          </w:p>
        </w:tc>
      </w:tr>
      <w:tr w14:paraId="4610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2DEF5A1E">
            <w:pPr>
              <w:adjustRightInd w:val="0"/>
              <w:snapToGrid w:val="0"/>
              <w:ind w:right="50"/>
              <w:jc w:val="center"/>
              <w:rPr>
                <w:rFonts w:ascii="宋体" w:hAnsi="宋体"/>
              </w:rPr>
            </w:pPr>
          </w:p>
        </w:tc>
        <w:tc>
          <w:tcPr>
            <w:tcW w:w="2333" w:type="dxa"/>
            <w:vAlign w:val="center"/>
          </w:tcPr>
          <w:p w14:paraId="054917B0">
            <w:pPr>
              <w:adjustRightInd w:val="0"/>
              <w:snapToGrid w:val="0"/>
              <w:ind w:right="50"/>
              <w:jc w:val="center"/>
              <w:rPr>
                <w:rFonts w:ascii="宋体" w:hAnsi="宋体"/>
              </w:rPr>
            </w:pPr>
          </w:p>
        </w:tc>
        <w:tc>
          <w:tcPr>
            <w:tcW w:w="2881" w:type="dxa"/>
            <w:vAlign w:val="center"/>
          </w:tcPr>
          <w:p w14:paraId="30015ECF">
            <w:pPr>
              <w:adjustRightInd w:val="0"/>
              <w:snapToGrid w:val="0"/>
              <w:ind w:right="50"/>
              <w:jc w:val="center"/>
              <w:rPr>
                <w:rFonts w:ascii="宋体" w:hAnsi="宋体"/>
              </w:rPr>
            </w:pPr>
          </w:p>
        </w:tc>
        <w:tc>
          <w:tcPr>
            <w:tcW w:w="2981" w:type="dxa"/>
            <w:vAlign w:val="center"/>
          </w:tcPr>
          <w:p w14:paraId="00402007">
            <w:pPr>
              <w:adjustRightInd w:val="0"/>
              <w:snapToGrid w:val="0"/>
              <w:ind w:right="50"/>
              <w:jc w:val="center"/>
              <w:rPr>
                <w:rFonts w:ascii="宋体" w:hAnsi="宋体"/>
              </w:rPr>
            </w:pPr>
          </w:p>
        </w:tc>
      </w:tr>
      <w:tr w14:paraId="3A3F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791" w:type="dxa"/>
            <w:vAlign w:val="center"/>
          </w:tcPr>
          <w:p w14:paraId="21DB7ADD">
            <w:pPr>
              <w:adjustRightInd w:val="0"/>
              <w:snapToGrid w:val="0"/>
              <w:ind w:right="50"/>
              <w:jc w:val="center"/>
              <w:rPr>
                <w:rFonts w:ascii="宋体" w:hAnsi="宋体"/>
              </w:rPr>
            </w:pPr>
          </w:p>
        </w:tc>
        <w:tc>
          <w:tcPr>
            <w:tcW w:w="2333" w:type="dxa"/>
            <w:vAlign w:val="center"/>
          </w:tcPr>
          <w:p w14:paraId="3A3585AE">
            <w:pPr>
              <w:adjustRightInd w:val="0"/>
              <w:snapToGrid w:val="0"/>
              <w:ind w:right="50"/>
              <w:jc w:val="center"/>
              <w:rPr>
                <w:rFonts w:ascii="宋体" w:hAnsi="宋体"/>
              </w:rPr>
            </w:pPr>
          </w:p>
        </w:tc>
        <w:tc>
          <w:tcPr>
            <w:tcW w:w="2881" w:type="dxa"/>
            <w:vAlign w:val="center"/>
          </w:tcPr>
          <w:p w14:paraId="040C3745">
            <w:pPr>
              <w:adjustRightInd w:val="0"/>
              <w:snapToGrid w:val="0"/>
              <w:ind w:right="50"/>
              <w:jc w:val="center"/>
              <w:rPr>
                <w:rFonts w:ascii="宋体" w:hAnsi="宋体"/>
              </w:rPr>
            </w:pPr>
          </w:p>
        </w:tc>
        <w:tc>
          <w:tcPr>
            <w:tcW w:w="2981" w:type="dxa"/>
            <w:vAlign w:val="center"/>
          </w:tcPr>
          <w:p w14:paraId="0B8F670E">
            <w:pPr>
              <w:adjustRightInd w:val="0"/>
              <w:snapToGrid w:val="0"/>
              <w:ind w:right="50"/>
              <w:jc w:val="center"/>
              <w:rPr>
                <w:rFonts w:ascii="宋体" w:hAnsi="宋体"/>
              </w:rPr>
            </w:pPr>
          </w:p>
        </w:tc>
      </w:tr>
    </w:tbl>
    <w:p w14:paraId="1CA9BA35">
      <w:pPr>
        <w:adjustRightInd w:val="0"/>
        <w:snapToGrid w:val="0"/>
        <w:spacing w:before="93" w:beforeLines="30"/>
        <w:rPr>
          <w:rFonts w:ascii="宋体" w:hAnsi="宋体"/>
          <w:szCs w:val="21"/>
        </w:rPr>
      </w:pPr>
      <w:r>
        <w:rPr>
          <w:rFonts w:hint="eastAsia" w:ascii="宋体" w:hAnsi="宋体"/>
          <w:sz w:val="18"/>
          <w:szCs w:val="18"/>
        </w:rPr>
        <w:t>说明：投标人未在表中列出偏差项的，视为无偏差，但须在投标文件中附上本格式表。</w:t>
      </w:r>
    </w:p>
    <w:p w14:paraId="506D4349">
      <w:pPr>
        <w:adjustRightInd w:val="0"/>
        <w:snapToGrid w:val="0"/>
        <w:rPr>
          <w:rFonts w:ascii="宋体" w:hAnsi="宋体"/>
          <w:szCs w:val="21"/>
        </w:rPr>
      </w:pPr>
    </w:p>
    <w:p w14:paraId="4ABF2CDB">
      <w:pPr>
        <w:adjustRightInd w:val="0"/>
        <w:snapToGrid w:val="0"/>
        <w:rPr>
          <w:rFonts w:ascii="宋体" w:hAnsi="宋体"/>
          <w:szCs w:val="21"/>
        </w:rPr>
      </w:pPr>
    </w:p>
    <w:p w14:paraId="22740718">
      <w:pPr>
        <w:adjustRightInd w:val="0"/>
        <w:snapToGrid w:val="0"/>
        <w:rPr>
          <w:rFonts w:ascii="宋体" w:hAnsi="宋体"/>
          <w:szCs w:val="21"/>
        </w:rPr>
      </w:pPr>
    </w:p>
    <w:p w14:paraId="158B3DA5">
      <w:pPr>
        <w:widowControl/>
        <w:adjustRightInd w:val="0"/>
        <w:snapToGrid w:val="0"/>
        <w:jc w:val="left"/>
        <w:rPr>
          <w:rFonts w:ascii="宋体" w:hAnsi="宋体"/>
          <w:kern w:val="0"/>
        </w:rPr>
      </w:pPr>
    </w:p>
    <w:p w14:paraId="405C01DD">
      <w:pPr>
        <w:adjustRightInd w:val="0"/>
        <w:snapToGrid w:val="0"/>
        <w:rPr>
          <w:rFonts w:ascii="宋体" w:hAnsi="宋体"/>
        </w:rPr>
      </w:pPr>
    </w:p>
    <w:p w14:paraId="7884FB08">
      <w:pPr>
        <w:jc w:val="left"/>
        <w:outlineLvl w:val="1"/>
        <w:rPr>
          <w:rFonts w:ascii="宋体" w:hAnsi="宋体"/>
        </w:rPr>
      </w:pPr>
      <w:r>
        <w:rPr>
          <w:rFonts w:ascii="宋体" w:hAnsi="宋体"/>
        </w:rPr>
        <w:br w:type="page"/>
      </w:r>
      <w:bookmarkStart w:id="1063" w:name="_Toc7621"/>
      <w:bookmarkStart w:id="1064" w:name="_Toc8121"/>
      <w:bookmarkStart w:id="1065" w:name="_Toc2812"/>
      <w:r>
        <w:rPr>
          <w:rFonts w:hint="eastAsia" w:ascii="宋体" w:hAnsi="宋体" w:cs="宋体"/>
          <w:szCs w:val="28"/>
        </w:rPr>
        <w:t>附件</w:t>
      </w:r>
      <w:r>
        <w:rPr>
          <w:rFonts w:ascii="宋体" w:hAnsi="宋体" w:cs="宋体"/>
          <w:szCs w:val="28"/>
        </w:rPr>
        <w:t>5：商务偏差表</w:t>
      </w:r>
      <w:bookmarkEnd w:id="1063"/>
      <w:bookmarkEnd w:id="1064"/>
      <w:bookmarkEnd w:id="1065"/>
    </w:p>
    <w:p w14:paraId="653D6798">
      <w:pPr>
        <w:adjustRightInd w:val="0"/>
        <w:snapToGrid w:val="0"/>
        <w:spacing w:after="156" w:afterLines="50"/>
        <w:jc w:val="center"/>
        <w:rPr>
          <w:rFonts w:ascii="宋体" w:hAnsi="宋体"/>
          <w:b/>
          <w:bCs/>
          <w:sz w:val="30"/>
          <w:szCs w:val="30"/>
        </w:rPr>
      </w:pPr>
    </w:p>
    <w:p w14:paraId="48885379">
      <w:pPr>
        <w:adjustRightInd w:val="0"/>
        <w:snapToGrid w:val="0"/>
        <w:spacing w:after="156" w:afterLines="50"/>
        <w:jc w:val="center"/>
        <w:rPr>
          <w:rFonts w:ascii="宋体" w:hAnsi="宋体"/>
          <w:b/>
          <w:bCs/>
          <w:sz w:val="30"/>
          <w:szCs w:val="30"/>
        </w:rPr>
      </w:pPr>
      <w:r>
        <w:rPr>
          <w:rFonts w:hint="eastAsia" w:ascii="宋体" w:hAnsi="宋体"/>
          <w:b/>
          <w:bCs/>
          <w:sz w:val="30"/>
          <w:szCs w:val="30"/>
        </w:rPr>
        <w:t>商务偏差表</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316"/>
        <w:gridCol w:w="2861"/>
        <w:gridCol w:w="2961"/>
      </w:tblGrid>
      <w:tr w14:paraId="3963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47DC78FF">
            <w:pPr>
              <w:adjustRightInd w:val="0"/>
              <w:snapToGrid w:val="0"/>
              <w:ind w:right="50"/>
              <w:jc w:val="center"/>
              <w:rPr>
                <w:rFonts w:ascii="宋体" w:hAnsi="宋体"/>
              </w:rPr>
            </w:pPr>
            <w:r>
              <w:rPr>
                <w:rFonts w:hint="eastAsia" w:ascii="宋体" w:hAnsi="宋体"/>
              </w:rPr>
              <w:t>序号</w:t>
            </w:r>
          </w:p>
        </w:tc>
        <w:tc>
          <w:tcPr>
            <w:tcW w:w="2316" w:type="dxa"/>
            <w:vAlign w:val="center"/>
          </w:tcPr>
          <w:p w14:paraId="210259A7">
            <w:pPr>
              <w:adjustRightInd w:val="0"/>
              <w:snapToGrid w:val="0"/>
              <w:ind w:right="50"/>
              <w:jc w:val="center"/>
              <w:rPr>
                <w:rFonts w:ascii="宋体" w:hAnsi="宋体"/>
              </w:rPr>
            </w:pPr>
            <w:r>
              <w:rPr>
                <w:rFonts w:hint="eastAsia" w:ascii="宋体" w:hAnsi="宋体"/>
              </w:rPr>
              <w:t>章、节、条款编号</w:t>
            </w:r>
          </w:p>
        </w:tc>
        <w:tc>
          <w:tcPr>
            <w:tcW w:w="2861" w:type="dxa"/>
            <w:vAlign w:val="center"/>
          </w:tcPr>
          <w:p w14:paraId="4CD20AFF">
            <w:pPr>
              <w:adjustRightInd w:val="0"/>
              <w:snapToGrid w:val="0"/>
              <w:ind w:right="50"/>
              <w:jc w:val="center"/>
              <w:rPr>
                <w:rFonts w:ascii="宋体" w:hAnsi="宋体"/>
              </w:rPr>
            </w:pPr>
            <w:r>
              <w:rPr>
                <w:rFonts w:hint="eastAsia" w:ascii="宋体" w:hAnsi="宋体"/>
              </w:rPr>
              <w:t>条款内容</w:t>
            </w:r>
          </w:p>
        </w:tc>
        <w:tc>
          <w:tcPr>
            <w:tcW w:w="2961" w:type="dxa"/>
            <w:vAlign w:val="center"/>
          </w:tcPr>
          <w:p w14:paraId="40076E07">
            <w:pPr>
              <w:adjustRightInd w:val="0"/>
              <w:snapToGrid w:val="0"/>
              <w:ind w:right="50"/>
              <w:jc w:val="center"/>
              <w:rPr>
                <w:rFonts w:ascii="宋体" w:hAnsi="宋体"/>
              </w:rPr>
            </w:pPr>
            <w:r>
              <w:rPr>
                <w:rFonts w:hint="eastAsia" w:ascii="宋体" w:hAnsi="宋体"/>
              </w:rPr>
              <w:t>偏差内容</w:t>
            </w:r>
          </w:p>
        </w:tc>
      </w:tr>
      <w:tr w14:paraId="551A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7C5EA75F">
            <w:pPr>
              <w:adjustRightInd w:val="0"/>
              <w:snapToGrid w:val="0"/>
              <w:ind w:right="50"/>
              <w:jc w:val="center"/>
              <w:rPr>
                <w:rFonts w:ascii="宋体" w:hAnsi="宋体"/>
              </w:rPr>
            </w:pPr>
          </w:p>
        </w:tc>
        <w:tc>
          <w:tcPr>
            <w:tcW w:w="2316" w:type="dxa"/>
            <w:vAlign w:val="center"/>
          </w:tcPr>
          <w:p w14:paraId="1142F453">
            <w:pPr>
              <w:adjustRightInd w:val="0"/>
              <w:snapToGrid w:val="0"/>
              <w:ind w:right="50"/>
              <w:jc w:val="center"/>
              <w:rPr>
                <w:rFonts w:ascii="宋体" w:hAnsi="宋体"/>
              </w:rPr>
            </w:pPr>
          </w:p>
        </w:tc>
        <w:tc>
          <w:tcPr>
            <w:tcW w:w="2861" w:type="dxa"/>
            <w:vAlign w:val="center"/>
          </w:tcPr>
          <w:p w14:paraId="4B7543DC">
            <w:pPr>
              <w:adjustRightInd w:val="0"/>
              <w:snapToGrid w:val="0"/>
              <w:ind w:right="50"/>
              <w:jc w:val="center"/>
              <w:rPr>
                <w:rFonts w:ascii="宋体" w:hAnsi="宋体"/>
              </w:rPr>
            </w:pPr>
          </w:p>
        </w:tc>
        <w:tc>
          <w:tcPr>
            <w:tcW w:w="2961" w:type="dxa"/>
            <w:vAlign w:val="center"/>
          </w:tcPr>
          <w:p w14:paraId="7C66E020">
            <w:pPr>
              <w:adjustRightInd w:val="0"/>
              <w:snapToGrid w:val="0"/>
              <w:ind w:right="50"/>
              <w:jc w:val="center"/>
              <w:rPr>
                <w:rFonts w:ascii="宋体" w:hAnsi="宋体"/>
              </w:rPr>
            </w:pPr>
          </w:p>
        </w:tc>
      </w:tr>
      <w:tr w14:paraId="1C1D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6FA8AF4B">
            <w:pPr>
              <w:adjustRightInd w:val="0"/>
              <w:snapToGrid w:val="0"/>
              <w:ind w:right="50"/>
              <w:jc w:val="center"/>
              <w:rPr>
                <w:rFonts w:ascii="宋体" w:hAnsi="宋体"/>
              </w:rPr>
            </w:pPr>
          </w:p>
        </w:tc>
        <w:tc>
          <w:tcPr>
            <w:tcW w:w="2316" w:type="dxa"/>
            <w:vAlign w:val="center"/>
          </w:tcPr>
          <w:p w14:paraId="0E8320C1">
            <w:pPr>
              <w:adjustRightInd w:val="0"/>
              <w:snapToGrid w:val="0"/>
              <w:ind w:right="50"/>
              <w:jc w:val="center"/>
              <w:rPr>
                <w:rFonts w:ascii="宋体" w:hAnsi="宋体"/>
              </w:rPr>
            </w:pPr>
          </w:p>
        </w:tc>
        <w:tc>
          <w:tcPr>
            <w:tcW w:w="2861" w:type="dxa"/>
            <w:vAlign w:val="center"/>
          </w:tcPr>
          <w:p w14:paraId="0B815ED7">
            <w:pPr>
              <w:adjustRightInd w:val="0"/>
              <w:snapToGrid w:val="0"/>
              <w:ind w:right="50"/>
              <w:jc w:val="center"/>
              <w:rPr>
                <w:rFonts w:ascii="宋体" w:hAnsi="宋体"/>
              </w:rPr>
            </w:pPr>
          </w:p>
        </w:tc>
        <w:tc>
          <w:tcPr>
            <w:tcW w:w="2961" w:type="dxa"/>
            <w:vAlign w:val="center"/>
          </w:tcPr>
          <w:p w14:paraId="7AEE70EB">
            <w:pPr>
              <w:adjustRightInd w:val="0"/>
              <w:snapToGrid w:val="0"/>
              <w:ind w:right="50"/>
              <w:jc w:val="center"/>
              <w:rPr>
                <w:rFonts w:ascii="宋体" w:hAnsi="宋体"/>
              </w:rPr>
            </w:pPr>
          </w:p>
        </w:tc>
      </w:tr>
      <w:tr w14:paraId="3883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0083829B">
            <w:pPr>
              <w:adjustRightInd w:val="0"/>
              <w:snapToGrid w:val="0"/>
              <w:ind w:right="50"/>
              <w:jc w:val="center"/>
              <w:rPr>
                <w:rFonts w:ascii="宋体" w:hAnsi="宋体"/>
              </w:rPr>
            </w:pPr>
          </w:p>
        </w:tc>
        <w:tc>
          <w:tcPr>
            <w:tcW w:w="2316" w:type="dxa"/>
            <w:vAlign w:val="center"/>
          </w:tcPr>
          <w:p w14:paraId="72468B6D">
            <w:pPr>
              <w:adjustRightInd w:val="0"/>
              <w:snapToGrid w:val="0"/>
              <w:ind w:right="50"/>
              <w:jc w:val="center"/>
              <w:rPr>
                <w:rFonts w:ascii="宋体" w:hAnsi="宋体"/>
              </w:rPr>
            </w:pPr>
          </w:p>
        </w:tc>
        <w:tc>
          <w:tcPr>
            <w:tcW w:w="2861" w:type="dxa"/>
            <w:vAlign w:val="center"/>
          </w:tcPr>
          <w:p w14:paraId="3CFCBAE2">
            <w:pPr>
              <w:adjustRightInd w:val="0"/>
              <w:snapToGrid w:val="0"/>
              <w:ind w:right="50"/>
              <w:jc w:val="center"/>
              <w:rPr>
                <w:rFonts w:ascii="宋体" w:hAnsi="宋体"/>
              </w:rPr>
            </w:pPr>
          </w:p>
        </w:tc>
        <w:tc>
          <w:tcPr>
            <w:tcW w:w="2961" w:type="dxa"/>
            <w:vAlign w:val="center"/>
          </w:tcPr>
          <w:p w14:paraId="7FBB8334">
            <w:pPr>
              <w:adjustRightInd w:val="0"/>
              <w:snapToGrid w:val="0"/>
              <w:ind w:right="50"/>
              <w:jc w:val="center"/>
              <w:rPr>
                <w:rFonts w:ascii="宋体" w:hAnsi="宋体"/>
              </w:rPr>
            </w:pPr>
          </w:p>
        </w:tc>
      </w:tr>
      <w:tr w14:paraId="3EA2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02B4024E">
            <w:pPr>
              <w:adjustRightInd w:val="0"/>
              <w:snapToGrid w:val="0"/>
              <w:ind w:right="50"/>
              <w:jc w:val="center"/>
              <w:rPr>
                <w:rFonts w:ascii="宋体" w:hAnsi="宋体"/>
              </w:rPr>
            </w:pPr>
          </w:p>
        </w:tc>
        <w:tc>
          <w:tcPr>
            <w:tcW w:w="2316" w:type="dxa"/>
            <w:vAlign w:val="center"/>
          </w:tcPr>
          <w:p w14:paraId="4F51C4DD">
            <w:pPr>
              <w:adjustRightInd w:val="0"/>
              <w:snapToGrid w:val="0"/>
              <w:ind w:right="50"/>
              <w:jc w:val="center"/>
              <w:rPr>
                <w:rFonts w:ascii="宋体" w:hAnsi="宋体"/>
              </w:rPr>
            </w:pPr>
          </w:p>
        </w:tc>
        <w:tc>
          <w:tcPr>
            <w:tcW w:w="2861" w:type="dxa"/>
            <w:vAlign w:val="center"/>
          </w:tcPr>
          <w:p w14:paraId="51CB729A">
            <w:pPr>
              <w:adjustRightInd w:val="0"/>
              <w:snapToGrid w:val="0"/>
              <w:ind w:right="50"/>
              <w:jc w:val="center"/>
              <w:rPr>
                <w:rFonts w:ascii="宋体" w:hAnsi="宋体"/>
              </w:rPr>
            </w:pPr>
          </w:p>
        </w:tc>
        <w:tc>
          <w:tcPr>
            <w:tcW w:w="2961" w:type="dxa"/>
            <w:vAlign w:val="center"/>
          </w:tcPr>
          <w:p w14:paraId="3648626D">
            <w:pPr>
              <w:adjustRightInd w:val="0"/>
              <w:snapToGrid w:val="0"/>
              <w:ind w:right="50"/>
              <w:jc w:val="center"/>
              <w:rPr>
                <w:rFonts w:ascii="宋体" w:hAnsi="宋体"/>
              </w:rPr>
            </w:pPr>
          </w:p>
        </w:tc>
      </w:tr>
      <w:tr w14:paraId="47C6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734C9325">
            <w:pPr>
              <w:adjustRightInd w:val="0"/>
              <w:snapToGrid w:val="0"/>
              <w:ind w:right="50"/>
              <w:jc w:val="center"/>
              <w:rPr>
                <w:rFonts w:ascii="宋体" w:hAnsi="宋体"/>
              </w:rPr>
            </w:pPr>
          </w:p>
        </w:tc>
        <w:tc>
          <w:tcPr>
            <w:tcW w:w="2316" w:type="dxa"/>
            <w:vAlign w:val="center"/>
          </w:tcPr>
          <w:p w14:paraId="0F652088">
            <w:pPr>
              <w:adjustRightInd w:val="0"/>
              <w:snapToGrid w:val="0"/>
              <w:ind w:right="50"/>
              <w:jc w:val="center"/>
              <w:rPr>
                <w:rFonts w:ascii="宋体" w:hAnsi="宋体"/>
              </w:rPr>
            </w:pPr>
          </w:p>
        </w:tc>
        <w:tc>
          <w:tcPr>
            <w:tcW w:w="2861" w:type="dxa"/>
            <w:vAlign w:val="center"/>
          </w:tcPr>
          <w:p w14:paraId="1DC24FE6">
            <w:pPr>
              <w:adjustRightInd w:val="0"/>
              <w:snapToGrid w:val="0"/>
              <w:ind w:right="50"/>
              <w:jc w:val="center"/>
              <w:rPr>
                <w:rFonts w:ascii="宋体" w:hAnsi="宋体"/>
              </w:rPr>
            </w:pPr>
          </w:p>
        </w:tc>
        <w:tc>
          <w:tcPr>
            <w:tcW w:w="2961" w:type="dxa"/>
            <w:vAlign w:val="center"/>
          </w:tcPr>
          <w:p w14:paraId="3511C3F0">
            <w:pPr>
              <w:adjustRightInd w:val="0"/>
              <w:snapToGrid w:val="0"/>
              <w:ind w:right="50"/>
              <w:jc w:val="center"/>
              <w:rPr>
                <w:rFonts w:ascii="宋体" w:hAnsi="宋体"/>
              </w:rPr>
            </w:pPr>
          </w:p>
        </w:tc>
      </w:tr>
      <w:tr w14:paraId="3882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7F6F988A">
            <w:pPr>
              <w:adjustRightInd w:val="0"/>
              <w:snapToGrid w:val="0"/>
              <w:ind w:right="50"/>
              <w:jc w:val="center"/>
              <w:rPr>
                <w:rFonts w:ascii="宋体" w:hAnsi="宋体"/>
              </w:rPr>
            </w:pPr>
          </w:p>
        </w:tc>
        <w:tc>
          <w:tcPr>
            <w:tcW w:w="2316" w:type="dxa"/>
            <w:vAlign w:val="center"/>
          </w:tcPr>
          <w:p w14:paraId="7FF28779">
            <w:pPr>
              <w:adjustRightInd w:val="0"/>
              <w:snapToGrid w:val="0"/>
              <w:ind w:right="50"/>
              <w:jc w:val="center"/>
              <w:rPr>
                <w:rFonts w:ascii="宋体" w:hAnsi="宋体"/>
              </w:rPr>
            </w:pPr>
          </w:p>
        </w:tc>
        <w:tc>
          <w:tcPr>
            <w:tcW w:w="2861" w:type="dxa"/>
            <w:vAlign w:val="center"/>
          </w:tcPr>
          <w:p w14:paraId="36B1B35C">
            <w:pPr>
              <w:adjustRightInd w:val="0"/>
              <w:snapToGrid w:val="0"/>
              <w:ind w:right="50"/>
              <w:jc w:val="center"/>
              <w:rPr>
                <w:rFonts w:ascii="宋体" w:hAnsi="宋体"/>
              </w:rPr>
            </w:pPr>
          </w:p>
        </w:tc>
        <w:tc>
          <w:tcPr>
            <w:tcW w:w="2961" w:type="dxa"/>
            <w:vAlign w:val="center"/>
          </w:tcPr>
          <w:p w14:paraId="034E6653">
            <w:pPr>
              <w:adjustRightInd w:val="0"/>
              <w:snapToGrid w:val="0"/>
              <w:ind w:right="50"/>
              <w:jc w:val="center"/>
              <w:rPr>
                <w:rFonts w:ascii="宋体" w:hAnsi="宋体"/>
              </w:rPr>
            </w:pPr>
          </w:p>
        </w:tc>
      </w:tr>
      <w:tr w14:paraId="21E9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59A97035">
            <w:pPr>
              <w:adjustRightInd w:val="0"/>
              <w:snapToGrid w:val="0"/>
              <w:ind w:right="50"/>
              <w:jc w:val="center"/>
              <w:rPr>
                <w:rFonts w:ascii="宋体" w:hAnsi="宋体"/>
              </w:rPr>
            </w:pPr>
          </w:p>
        </w:tc>
        <w:tc>
          <w:tcPr>
            <w:tcW w:w="2316" w:type="dxa"/>
            <w:vAlign w:val="center"/>
          </w:tcPr>
          <w:p w14:paraId="5CBF3BEC">
            <w:pPr>
              <w:adjustRightInd w:val="0"/>
              <w:snapToGrid w:val="0"/>
              <w:ind w:right="50"/>
              <w:jc w:val="center"/>
              <w:rPr>
                <w:rFonts w:ascii="宋体" w:hAnsi="宋体"/>
              </w:rPr>
            </w:pPr>
          </w:p>
        </w:tc>
        <w:tc>
          <w:tcPr>
            <w:tcW w:w="2861" w:type="dxa"/>
            <w:vAlign w:val="center"/>
          </w:tcPr>
          <w:p w14:paraId="6D0FE0E6">
            <w:pPr>
              <w:adjustRightInd w:val="0"/>
              <w:snapToGrid w:val="0"/>
              <w:ind w:right="50"/>
              <w:jc w:val="center"/>
              <w:rPr>
                <w:rFonts w:ascii="宋体" w:hAnsi="宋体"/>
              </w:rPr>
            </w:pPr>
          </w:p>
        </w:tc>
        <w:tc>
          <w:tcPr>
            <w:tcW w:w="2961" w:type="dxa"/>
            <w:vAlign w:val="center"/>
          </w:tcPr>
          <w:p w14:paraId="01C7A147">
            <w:pPr>
              <w:adjustRightInd w:val="0"/>
              <w:snapToGrid w:val="0"/>
              <w:ind w:right="50"/>
              <w:jc w:val="center"/>
              <w:rPr>
                <w:rFonts w:ascii="宋体" w:hAnsi="宋体"/>
              </w:rPr>
            </w:pPr>
          </w:p>
        </w:tc>
      </w:tr>
      <w:tr w14:paraId="3D16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7B54C63F">
            <w:pPr>
              <w:adjustRightInd w:val="0"/>
              <w:snapToGrid w:val="0"/>
              <w:ind w:right="50"/>
              <w:jc w:val="center"/>
              <w:rPr>
                <w:rFonts w:ascii="宋体" w:hAnsi="宋体"/>
              </w:rPr>
            </w:pPr>
          </w:p>
        </w:tc>
        <w:tc>
          <w:tcPr>
            <w:tcW w:w="2316" w:type="dxa"/>
            <w:vAlign w:val="center"/>
          </w:tcPr>
          <w:p w14:paraId="6C1BDF6C">
            <w:pPr>
              <w:adjustRightInd w:val="0"/>
              <w:snapToGrid w:val="0"/>
              <w:ind w:right="50"/>
              <w:jc w:val="center"/>
              <w:rPr>
                <w:rFonts w:ascii="宋体" w:hAnsi="宋体"/>
              </w:rPr>
            </w:pPr>
          </w:p>
        </w:tc>
        <w:tc>
          <w:tcPr>
            <w:tcW w:w="2861" w:type="dxa"/>
            <w:vAlign w:val="center"/>
          </w:tcPr>
          <w:p w14:paraId="124A2A8A">
            <w:pPr>
              <w:adjustRightInd w:val="0"/>
              <w:snapToGrid w:val="0"/>
              <w:ind w:right="50"/>
              <w:jc w:val="center"/>
              <w:rPr>
                <w:rFonts w:ascii="宋体" w:hAnsi="宋体"/>
              </w:rPr>
            </w:pPr>
          </w:p>
        </w:tc>
        <w:tc>
          <w:tcPr>
            <w:tcW w:w="2961" w:type="dxa"/>
            <w:vAlign w:val="center"/>
          </w:tcPr>
          <w:p w14:paraId="11AC4272">
            <w:pPr>
              <w:adjustRightInd w:val="0"/>
              <w:snapToGrid w:val="0"/>
              <w:ind w:right="50"/>
              <w:jc w:val="center"/>
              <w:rPr>
                <w:rFonts w:ascii="宋体" w:hAnsi="宋体"/>
              </w:rPr>
            </w:pPr>
          </w:p>
        </w:tc>
      </w:tr>
      <w:tr w14:paraId="46D0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6A10F225">
            <w:pPr>
              <w:adjustRightInd w:val="0"/>
              <w:snapToGrid w:val="0"/>
              <w:ind w:right="50"/>
              <w:jc w:val="center"/>
              <w:rPr>
                <w:rFonts w:ascii="宋体" w:hAnsi="宋体"/>
              </w:rPr>
            </w:pPr>
          </w:p>
        </w:tc>
        <w:tc>
          <w:tcPr>
            <w:tcW w:w="2316" w:type="dxa"/>
            <w:vAlign w:val="center"/>
          </w:tcPr>
          <w:p w14:paraId="6F1CC255">
            <w:pPr>
              <w:adjustRightInd w:val="0"/>
              <w:snapToGrid w:val="0"/>
              <w:ind w:right="50"/>
              <w:jc w:val="center"/>
              <w:rPr>
                <w:rFonts w:ascii="宋体" w:hAnsi="宋体"/>
              </w:rPr>
            </w:pPr>
          </w:p>
        </w:tc>
        <w:tc>
          <w:tcPr>
            <w:tcW w:w="2861" w:type="dxa"/>
            <w:vAlign w:val="center"/>
          </w:tcPr>
          <w:p w14:paraId="1C403EBB">
            <w:pPr>
              <w:adjustRightInd w:val="0"/>
              <w:snapToGrid w:val="0"/>
              <w:ind w:right="50"/>
              <w:jc w:val="center"/>
              <w:rPr>
                <w:rFonts w:ascii="宋体" w:hAnsi="宋体"/>
              </w:rPr>
            </w:pPr>
          </w:p>
        </w:tc>
        <w:tc>
          <w:tcPr>
            <w:tcW w:w="2961" w:type="dxa"/>
            <w:vAlign w:val="center"/>
          </w:tcPr>
          <w:p w14:paraId="4D78A74E">
            <w:pPr>
              <w:adjustRightInd w:val="0"/>
              <w:snapToGrid w:val="0"/>
              <w:ind w:right="50"/>
              <w:jc w:val="center"/>
              <w:rPr>
                <w:rFonts w:ascii="宋体" w:hAnsi="宋体"/>
              </w:rPr>
            </w:pPr>
          </w:p>
        </w:tc>
      </w:tr>
      <w:tr w14:paraId="0023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7A3F699C">
            <w:pPr>
              <w:adjustRightInd w:val="0"/>
              <w:snapToGrid w:val="0"/>
              <w:ind w:right="50"/>
              <w:jc w:val="center"/>
              <w:rPr>
                <w:rFonts w:ascii="宋体" w:hAnsi="宋体"/>
              </w:rPr>
            </w:pPr>
          </w:p>
        </w:tc>
        <w:tc>
          <w:tcPr>
            <w:tcW w:w="2316" w:type="dxa"/>
            <w:vAlign w:val="center"/>
          </w:tcPr>
          <w:p w14:paraId="5487640A">
            <w:pPr>
              <w:adjustRightInd w:val="0"/>
              <w:snapToGrid w:val="0"/>
              <w:ind w:right="50"/>
              <w:jc w:val="center"/>
              <w:rPr>
                <w:rFonts w:ascii="宋体" w:hAnsi="宋体"/>
              </w:rPr>
            </w:pPr>
          </w:p>
        </w:tc>
        <w:tc>
          <w:tcPr>
            <w:tcW w:w="2861" w:type="dxa"/>
            <w:vAlign w:val="center"/>
          </w:tcPr>
          <w:p w14:paraId="140C4B27">
            <w:pPr>
              <w:adjustRightInd w:val="0"/>
              <w:snapToGrid w:val="0"/>
              <w:ind w:right="50"/>
              <w:jc w:val="center"/>
              <w:rPr>
                <w:rFonts w:ascii="宋体" w:hAnsi="宋体"/>
              </w:rPr>
            </w:pPr>
          </w:p>
        </w:tc>
        <w:tc>
          <w:tcPr>
            <w:tcW w:w="2961" w:type="dxa"/>
            <w:vAlign w:val="center"/>
          </w:tcPr>
          <w:p w14:paraId="678C64D7">
            <w:pPr>
              <w:adjustRightInd w:val="0"/>
              <w:snapToGrid w:val="0"/>
              <w:ind w:right="50"/>
              <w:jc w:val="center"/>
              <w:rPr>
                <w:rFonts w:ascii="宋体" w:hAnsi="宋体"/>
              </w:rPr>
            </w:pPr>
          </w:p>
        </w:tc>
      </w:tr>
      <w:tr w14:paraId="69F0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786" w:type="dxa"/>
            <w:vAlign w:val="center"/>
          </w:tcPr>
          <w:p w14:paraId="4C68AAD3">
            <w:pPr>
              <w:adjustRightInd w:val="0"/>
              <w:snapToGrid w:val="0"/>
              <w:ind w:right="50"/>
              <w:jc w:val="center"/>
              <w:rPr>
                <w:rFonts w:ascii="宋体" w:hAnsi="宋体"/>
              </w:rPr>
            </w:pPr>
          </w:p>
        </w:tc>
        <w:tc>
          <w:tcPr>
            <w:tcW w:w="2316" w:type="dxa"/>
            <w:vAlign w:val="center"/>
          </w:tcPr>
          <w:p w14:paraId="6DB04185">
            <w:pPr>
              <w:adjustRightInd w:val="0"/>
              <w:snapToGrid w:val="0"/>
              <w:ind w:right="50"/>
              <w:jc w:val="center"/>
              <w:rPr>
                <w:rFonts w:ascii="宋体" w:hAnsi="宋体"/>
              </w:rPr>
            </w:pPr>
          </w:p>
        </w:tc>
        <w:tc>
          <w:tcPr>
            <w:tcW w:w="2861" w:type="dxa"/>
            <w:vAlign w:val="center"/>
          </w:tcPr>
          <w:p w14:paraId="23E0E2D5">
            <w:pPr>
              <w:adjustRightInd w:val="0"/>
              <w:snapToGrid w:val="0"/>
              <w:ind w:right="50"/>
              <w:jc w:val="center"/>
              <w:rPr>
                <w:rFonts w:ascii="宋体" w:hAnsi="宋体"/>
              </w:rPr>
            </w:pPr>
          </w:p>
        </w:tc>
        <w:tc>
          <w:tcPr>
            <w:tcW w:w="2961" w:type="dxa"/>
            <w:vAlign w:val="center"/>
          </w:tcPr>
          <w:p w14:paraId="04B7729C">
            <w:pPr>
              <w:adjustRightInd w:val="0"/>
              <w:snapToGrid w:val="0"/>
              <w:ind w:right="50"/>
              <w:jc w:val="center"/>
              <w:rPr>
                <w:rFonts w:ascii="宋体" w:hAnsi="宋体"/>
              </w:rPr>
            </w:pPr>
          </w:p>
        </w:tc>
      </w:tr>
    </w:tbl>
    <w:p w14:paraId="2DB81095">
      <w:pPr>
        <w:adjustRightInd w:val="0"/>
        <w:snapToGrid w:val="0"/>
        <w:spacing w:before="93" w:beforeLines="30"/>
        <w:rPr>
          <w:rFonts w:ascii="宋体" w:hAnsi="宋体"/>
          <w:sz w:val="18"/>
          <w:szCs w:val="18"/>
        </w:rPr>
      </w:pPr>
      <w:r>
        <w:rPr>
          <w:rFonts w:hint="eastAsia" w:ascii="宋体" w:hAnsi="宋体"/>
          <w:sz w:val="18"/>
          <w:szCs w:val="18"/>
        </w:rPr>
        <w:t>说明：投标人未在表中列出偏差项的，视为无偏差，但须在投标文件中附上本格式表。</w:t>
      </w:r>
    </w:p>
    <w:p w14:paraId="061C164A">
      <w:pPr>
        <w:adjustRightInd w:val="0"/>
        <w:snapToGrid w:val="0"/>
        <w:rPr>
          <w:rFonts w:ascii="宋体" w:hAnsi="宋体"/>
          <w:szCs w:val="21"/>
        </w:rPr>
      </w:pPr>
    </w:p>
    <w:p w14:paraId="2176DAE5">
      <w:pPr>
        <w:adjustRightInd w:val="0"/>
        <w:snapToGrid w:val="0"/>
        <w:rPr>
          <w:rFonts w:ascii="宋体" w:hAnsi="宋体"/>
          <w:szCs w:val="21"/>
        </w:rPr>
      </w:pPr>
    </w:p>
    <w:p w14:paraId="7D335D9B">
      <w:pPr>
        <w:adjustRightInd w:val="0"/>
        <w:snapToGrid w:val="0"/>
        <w:rPr>
          <w:rFonts w:ascii="宋体" w:hAnsi="宋体"/>
        </w:rPr>
      </w:pPr>
    </w:p>
    <w:p w14:paraId="21309795">
      <w:pPr>
        <w:adjustRightInd w:val="0"/>
        <w:snapToGrid w:val="0"/>
        <w:rPr>
          <w:rFonts w:ascii="宋体" w:hAnsi="宋体"/>
        </w:rPr>
      </w:pPr>
    </w:p>
    <w:p w14:paraId="5C4304B1">
      <w:pPr>
        <w:jc w:val="left"/>
        <w:outlineLvl w:val="1"/>
        <w:rPr>
          <w:rFonts w:ascii="宋体" w:hAnsi="宋体"/>
          <w:b/>
          <w:bCs/>
          <w:sz w:val="30"/>
          <w:szCs w:val="30"/>
        </w:rPr>
      </w:pPr>
      <w:r>
        <w:br w:type="page"/>
      </w:r>
      <w:bookmarkStart w:id="1066" w:name="_Toc30956"/>
      <w:bookmarkStart w:id="1067" w:name="_Toc22841"/>
      <w:bookmarkStart w:id="1068" w:name="_Toc20798"/>
      <w:r>
        <w:rPr>
          <w:rFonts w:hint="eastAsia" w:ascii="宋体" w:hAnsi="宋体" w:cs="宋体"/>
          <w:szCs w:val="28"/>
        </w:rPr>
        <w:t>附件</w:t>
      </w:r>
      <w:r>
        <w:rPr>
          <w:rFonts w:ascii="宋体" w:hAnsi="宋体" w:cs="宋体"/>
          <w:szCs w:val="28"/>
        </w:rPr>
        <w:t>6：投标人承诺书</w:t>
      </w:r>
      <w:bookmarkEnd w:id="1066"/>
      <w:bookmarkEnd w:id="1067"/>
      <w:bookmarkEnd w:id="1068"/>
    </w:p>
    <w:p w14:paraId="1067CCDD">
      <w:pPr>
        <w:adjustRightInd w:val="0"/>
        <w:snapToGrid w:val="0"/>
        <w:spacing w:after="156" w:afterLines="50" w:line="240" w:lineRule="auto"/>
        <w:jc w:val="center"/>
        <w:rPr>
          <w:rFonts w:ascii="宋体" w:hAnsi="宋体"/>
          <w:b/>
          <w:bCs/>
          <w:sz w:val="30"/>
          <w:szCs w:val="30"/>
        </w:rPr>
      </w:pPr>
      <w:r>
        <w:rPr>
          <w:rFonts w:hint="eastAsia" w:ascii="宋体" w:hAnsi="宋体"/>
          <w:b/>
          <w:bCs/>
          <w:sz w:val="30"/>
          <w:szCs w:val="30"/>
        </w:rPr>
        <w:t>投标人承诺书</w:t>
      </w: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6946"/>
        <w:gridCol w:w="1267"/>
        <w:gridCol w:w="966"/>
      </w:tblGrid>
      <w:tr w14:paraId="565BC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777853B5">
            <w:pPr>
              <w:adjustRightInd w:val="0"/>
              <w:snapToGrid w:val="0"/>
              <w:spacing w:line="288" w:lineRule="auto"/>
              <w:jc w:val="center"/>
              <w:rPr>
                <w:rFonts w:ascii="宋体" w:hAnsi="宋体" w:cs="宋体"/>
                <w:sz w:val="22"/>
                <w:szCs w:val="22"/>
              </w:rPr>
            </w:pPr>
            <w:r>
              <w:rPr>
                <w:rFonts w:hint="eastAsia" w:ascii="宋体" w:hAnsi="宋体" w:cs="宋体"/>
                <w:sz w:val="22"/>
                <w:szCs w:val="22"/>
              </w:rPr>
              <w:t>序号</w:t>
            </w:r>
          </w:p>
        </w:tc>
        <w:tc>
          <w:tcPr>
            <w:tcW w:w="6946" w:type="dxa"/>
            <w:vAlign w:val="center"/>
          </w:tcPr>
          <w:p w14:paraId="6FBDC35B">
            <w:pPr>
              <w:adjustRightInd w:val="0"/>
              <w:snapToGrid w:val="0"/>
              <w:spacing w:line="288" w:lineRule="auto"/>
              <w:jc w:val="center"/>
              <w:rPr>
                <w:rFonts w:ascii="宋体" w:hAnsi="宋体" w:cs="宋体"/>
                <w:sz w:val="22"/>
                <w:szCs w:val="22"/>
              </w:rPr>
            </w:pPr>
            <w:r>
              <w:rPr>
                <w:rFonts w:hint="eastAsia" w:ascii="宋体" w:hAnsi="宋体" w:cs="宋体"/>
                <w:sz w:val="22"/>
                <w:szCs w:val="22"/>
              </w:rPr>
              <w:t>声明的情形</w:t>
            </w:r>
          </w:p>
        </w:tc>
        <w:tc>
          <w:tcPr>
            <w:tcW w:w="1267" w:type="dxa"/>
            <w:tcBorders>
              <w:right w:val="single" w:color="auto" w:sz="4" w:space="0"/>
            </w:tcBorders>
            <w:vAlign w:val="center"/>
          </w:tcPr>
          <w:p w14:paraId="7E3CE73B">
            <w:pPr>
              <w:adjustRightInd w:val="0"/>
              <w:snapToGrid w:val="0"/>
              <w:spacing w:line="288" w:lineRule="auto"/>
              <w:jc w:val="center"/>
              <w:rPr>
                <w:rFonts w:ascii="宋体" w:hAnsi="宋体" w:cs="宋体"/>
                <w:sz w:val="22"/>
                <w:szCs w:val="22"/>
              </w:rPr>
            </w:pPr>
            <w:r>
              <w:rPr>
                <w:rFonts w:hint="eastAsia" w:ascii="宋体" w:hAnsi="宋体" w:cs="宋体"/>
                <w:sz w:val="22"/>
                <w:szCs w:val="22"/>
              </w:rPr>
              <w:t xml:space="preserve">承诺  </w:t>
            </w:r>
          </w:p>
          <w:p w14:paraId="087635CE">
            <w:pPr>
              <w:adjustRightInd w:val="0"/>
              <w:snapToGrid w:val="0"/>
              <w:spacing w:line="288" w:lineRule="auto"/>
              <w:jc w:val="center"/>
              <w:rPr>
                <w:rFonts w:ascii="宋体" w:hAnsi="宋体" w:cs="宋体"/>
                <w:sz w:val="22"/>
                <w:szCs w:val="22"/>
              </w:rPr>
            </w:pPr>
            <w:r>
              <w:rPr>
                <w:rFonts w:hint="eastAsia" w:ascii="宋体" w:hAnsi="宋体" w:cs="宋体"/>
                <w:sz w:val="22"/>
                <w:szCs w:val="22"/>
              </w:rPr>
              <w:t>（是/否）</w:t>
            </w:r>
          </w:p>
        </w:tc>
        <w:tc>
          <w:tcPr>
            <w:tcW w:w="966" w:type="dxa"/>
            <w:tcBorders>
              <w:left w:val="single" w:color="auto" w:sz="4" w:space="0"/>
            </w:tcBorders>
            <w:vAlign w:val="center"/>
          </w:tcPr>
          <w:p w14:paraId="62F909A2">
            <w:pPr>
              <w:adjustRightInd w:val="0"/>
              <w:snapToGrid w:val="0"/>
              <w:spacing w:line="288" w:lineRule="auto"/>
              <w:jc w:val="center"/>
              <w:rPr>
                <w:rFonts w:ascii="宋体" w:hAnsi="宋体" w:cs="宋体"/>
                <w:sz w:val="22"/>
                <w:szCs w:val="22"/>
              </w:rPr>
            </w:pPr>
            <w:r>
              <w:rPr>
                <w:rFonts w:hint="eastAsia" w:ascii="宋体" w:hAnsi="宋体" w:cs="宋体"/>
                <w:sz w:val="22"/>
                <w:szCs w:val="22"/>
              </w:rPr>
              <w:t>备注</w:t>
            </w:r>
          </w:p>
        </w:tc>
      </w:tr>
      <w:tr w14:paraId="18D04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5E5C109A">
            <w:pPr>
              <w:adjustRightInd w:val="0"/>
              <w:snapToGrid w:val="0"/>
              <w:spacing w:line="288" w:lineRule="auto"/>
              <w:jc w:val="center"/>
              <w:rPr>
                <w:rFonts w:ascii="宋体" w:hAnsi="宋体" w:cs="宋体"/>
                <w:sz w:val="22"/>
                <w:szCs w:val="22"/>
              </w:rPr>
            </w:pPr>
            <w:r>
              <w:rPr>
                <w:rFonts w:hint="eastAsia" w:ascii="宋体" w:hAnsi="宋体" w:cs="宋体"/>
                <w:sz w:val="22"/>
                <w:szCs w:val="22"/>
              </w:rPr>
              <w:t>1</w:t>
            </w:r>
          </w:p>
        </w:tc>
        <w:tc>
          <w:tcPr>
            <w:tcW w:w="6946" w:type="dxa"/>
            <w:vAlign w:val="center"/>
          </w:tcPr>
          <w:p w14:paraId="7DFFDBBE">
            <w:pPr>
              <w:widowControl/>
              <w:adjustRightInd w:val="0"/>
              <w:snapToGrid w:val="0"/>
              <w:spacing w:line="240" w:lineRule="auto"/>
              <w:rPr>
                <w:rFonts w:ascii="宋体" w:hAnsi="宋体" w:cs="宋体"/>
                <w:sz w:val="22"/>
                <w:szCs w:val="22"/>
              </w:rPr>
            </w:pPr>
            <w:r>
              <w:rPr>
                <w:rFonts w:hint="eastAsia" w:ascii="宋体" w:hAnsi="宋体"/>
                <w:b/>
                <w:sz w:val="21"/>
                <w:szCs w:val="21"/>
              </w:rPr>
              <w:t>是否</w:t>
            </w:r>
            <w:r>
              <w:rPr>
                <w:rFonts w:hint="eastAsia" w:ascii="宋体" w:hAnsi="宋体"/>
                <w:sz w:val="21"/>
                <w:szCs w:val="21"/>
              </w:rPr>
              <w:t>：为招标人不具有独立法人资格的附属机构（单位）</w:t>
            </w:r>
          </w:p>
        </w:tc>
        <w:tc>
          <w:tcPr>
            <w:tcW w:w="1267" w:type="dxa"/>
            <w:tcBorders>
              <w:right w:val="single" w:color="auto" w:sz="4" w:space="0"/>
            </w:tcBorders>
            <w:vAlign w:val="center"/>
          </w:tcPr>
          <w:p w14:paraId="13D24283">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2E976FA9">
            <w:pPr>
              <w:adjustRightInd w:val="0"/>
              <w:snapToGrid w:val="0"/>
              <w:spacing w:line="288" w:lineRule="auto"/>
              <w:rPr>
                <w:rFonts w:ascii="宋体" w:hAnsi="宋体" w:cs="宋体"/>
                <w:sz w:val="22"/>
                <w:szCs w:val="22"/>
              </w:rPr>
            </w:pPr>
          </w:p>
        </w:tc>
      </w:tr>
      <w:tr w14:paraId="744E7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5EE5DF3F">
            <w:pPr>
              <w:adjustRightInd w:val="0"/>
              <w:snapToGrid w:val="0"/>
              <w:spacing w:line="288" w:lineRule="auto"/>
              <w:jc w:val="center"/>
              <w:rPr>
                <w:rFonts w:ascii="宋体" w:hAnsi="宋体" w:cs="宋体"/>
                <w:sz w:val="22"/>
                <w:szCs w:val="22"/>
              </w:rPr>
            </w:pPr>
            <w:r>
              <w:rPr>
                <w:rFonts w:hint="eastAsia" w:ascii="宋体" w:hAnsi="宋体" w:cs="宋体"/>
                <w:sz w:val="22"/>
                <w:szCs w:val="22"/>
              </w:rPr>
              <w:t>2</w:t>
            </w:r>
          </w:p>
        </w:tc>
        <w:tc>
          <w:tcPr>
            <w:tcW w:w="6946" w:type="dxa"/>
            <w:vAlign w:val="center"/>
          </w:tcPr>
          <w:p w14:paraId="4D87E311">
            <w:pPr>
              <w:widowControl/>
              <w:adjustRightInd w:val="0"/>
              <w:snapToGrid w:val="0"/>
              <w:spacing w:line="240" w:lineRule="auto"/>
              <w:rPr>
                <w:rFonts w:ascii="宋体" w:hAnsi="宋体" w:cs="宋体"/>
                <w:sz w:val="22"/>
                <w:szCs w:val="22"/>
              </w:rPr>
            </w:pPr>
            <w:r>
              <w:rPr>
                <w:rFonts w:hint="eastAsia" w:ascii="宋体" w:hAnsi="宋体"/>
                <w:b/>
                <w:sz w:val="21"/>
                <w:szCs w:val="21"/>
              </w:rPr>
              <w:t>是否</w:t>
            </w:r>
            <w:r>
              <w:rPr>
                <w:rFonts w:hint="eastAsia" w:ascii="宋体" w:hAnsi="宋体"/>
                <w:sz w:val="21"/>
                <w:szCs w:val="21"/>
              </w:rPr>
              <w:t>：与招标人存在利害关系且影响招标公正性</w:t>
            </w:r>
          </w:p>
        </w:tc>
        <w:tc>
          <w:tcPr>
            <w:tcW w:w="1267" w:type="dxa"/>
            <w:tcBorders>
              <w:right w:val="single" w:color="auto" w:sz="4" w:space="0"/>
            </w:tcBorders>
            <w:vAlign w:val="center"/>
          </w:tcPr>
          <w:p w14:paraId="738188DE">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642263E6">
            <w:pPr>
              <w:adjustRightInd w:val="0"/>
              <w:snapToGrid w:val="0"/>
              <w:spacing w:line="288" w:lineRule="auto"/>
              <w:rPr>
                <w:rFonts w:ascii="宋体" w:hAnsi="宋体" w:cs="宋体"/>
                <w:sz w:val="22"/>
                <w:szCs w:val="22"/>
              </w:rPr>
            </w:pPr>
          </w:p>
        </w:tc>
      </w:tr>
      <w:tr w14:paraId="401D6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305994B7">
            <w:pPr>
              <w:adjustRightInd w:val="0"/>
              <w:snapToGrid w:val="0"/>
              <w:spacing w:line="288" w:lineRule="auto"/>
              <w:jc w:val="center"/>
              <w:rPr>
                <w:rFonts w:ascii="宋体" w:hAnsi="宋体" w:cs="宋体"/>
                <w:sz w:val="22"/>
                <w:szCs w:val="22"/>
              </w:rPr>
            </w:pPr>
            <w:r>
              <w:rPr>
                <w:rFonts w:hint="eastAsia" w:ascii="宋体" w:hAnsi="宋体" w:cs="宋体"/>
                <w:sz w:val="22"/>
                <w:szCs w:val="22"/>
              </w:rPr>
              <w:t>3</w:t>
            </w:r>
          </w:p>
        </w:tc>
        <w:tc>
          <w:tcPr>
            <w:tcW w:w="6946" w:type="dxa"/>
            <w:vAlign w:val="center"/>
          </w:tcPr>
          <w:p w14:paraId="3A637277">
            <w:pPr>
              <w:widowControl/>
              <w:adjustRightInd w:val="0"/>
              <w:snapToGrid w:val="0"/>
              <w:spacing w:line="240" w:lineRule="auto"/>
              <w:rPr>
                <w:rFonts w:ascii="宋体" w:hAnsi="宋体" w:cs="宋体"/>
                <w:sz w:val="22"/>
                <w:szCs w:val="22"/>
              </w:rPr>
            </w:pPr>
            <w:r>
              <w:rPr>
                <w:rFonts w:hint="eastAsia" w:ascii="宋体" w:hAnsi="宋体"/>
                <w:b/>
                <w:sz w:val="21"/>
                <w:szCs w:val="21"/>
              </w:rPr>
              <w:t>是否</w:t>
            </w:r>
            <w:r>
              <w:rPr>
                <w:rFonts w:ascii="宋体" w:hAnsi="宋体"/>
                <w:b/>
                <w:sz w:val="21"/>
                <w:szCs w:val="21"/>
              </w:rPr>
              <w:t>：</w:t>
            </w:r>
            <w:r>
              <w:rPr>
                <w:rFonts w:hint="eastAsia" w:ascii="宋体" w:hAnsi="宋体"/>
                <w:sz w:val="21"/>
                <w:szCs w:val="21"/>
              </w:rPr>
              <w:t>与本标段的其他投标人：单位负责人是</w:t>
            </w:r>
            <w:r>
              <w:rPr>
                <w:rFonts w:ascii="宋体" w:hAnsi="宋体"/>
                <w:sz w:val="21"/>
                <w:szCs w:val="21"/>
              </w:rPr>
              <w:t>同一人</w:t>
            </w:r>
            <w:r>
              <w:rPr>
                <w:rFonts w:hint="eastAsia" w:ascii="宋体" w:hAnsi="宋体"/>
                <w:sz w:val="21"/>
                <w:szCs w:val="21"/>
              </w:rPr>
              <w:t>，或存在控股、管理关系</w:t>
            </w:r>
          </w:p>
        </w:tc>
        <w:tc>
          <w:tcPr>
            <w:tcW w:w="1267" w:type="dxa"/>
            <w:tcBorders>
              <w:right w:val="single" w:color="auto" w:sz="4" w:space="0"/>
            </w:tcBorders>
            <w:vAlign w:val="center"/>
          </w:tcPr>
          <w:p w14:paraId="08958999">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381217E7">
            <w:pPr>
              <w:adjustRightInd w:val="0"/>
              <w:snapToGrid w:val="0"/>
              <w:spacing w:line="288" w:lineRule="auto"/>
              <w:rPr>
                <w:rFonts w:ascii="宋体" w:hAnsi="宋体" w:cs="宋体"/>
                <w:sz w:val="22"/>
                <w:szCs w:val="22"/>
              </w:rPr>
            </w:pPr>
          </w:p>
        </w:tc>
      </w:tr>
      <w:tr w14:paraId="025E0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3B50CFE3">
            <w:pPr>
              <w:adjustRightInd w:val="0"/>
              <w:snapToGrid w:val="0"/>
              <w:spacing w:line="288" w:lineRule="auto"/>
              <w:jc w:val="center"/>
              <w:rPr>
                <w:rFonts w:ascii="宋体" w:hAnsi="宋体" w:cs="宋体"/>
                <w:sz w:val="22"/>
                <w:szCs w:val="22"/>
              </w:rPr>
            </w:pPr>
            <w:r>
              <w:rPr>
                <w:rFonts w:hint="eastAsia" w:ascii="宋体" w:hAnsi="宋体" w:cs="宋体"/>
                <w:sz w:val="22"/>
                <w:szCs w:val="22"/>
              </w:rPr>
              <w:t>4</w:t>
            </w:r>
          </w:p>
        </w:tc>
        <w:tc>
          <w:tcPr>
            <w:tcW w:w="6946" w:type="dxa"/>
            <w:vAlign w:val="center"/>
          </w:tcPr>
          <w:p w14:paraId="1967470D">
            <w:pPr>
              <w:adjustRightInd w:val="0"/>
              <w:snapToGrid w:val="0"/>
              <w:spacing w:line="240" w:lineRule="auto"/>
              <w:rPr>
                <w:rFonts w:ascii="宋体" w:hAnsi="宋体" w:cs="宋体"/>
                <w:sz w:val="22"/>
                <w:szCs w:val="22"/>
              </w:rPr>
            </w:pPr>
            <w:r>
              <w:rPr>
                <w:rFonts w:hint="eastAsia" w:ascii="宋体" w:hAnsi="宋体" w:cs="宋体"/>
                <w:b/>
                <w:kern w:val="0"/>
                <w:sz w:val="21"/>
                <w:szCs w:val="21"/>
              </w:rPr>
              <w:t>是否</w:t>
            </w:r>
            <w:r>
              <w:rPr>
                <w:rFonts w:hint="eastAsia" w:ascii="宋体" w:hAnsi="宋体" w:cs="宋体"/>
                <w:kern w:val="0"/>
                <w:sz w:val="21"/>
                <w:szCs w:val="21"/>
              </w:rPr>
              <w:t>：为</w:t>
            </w:r>
            <w:r>
              <w:rPr>
                <w:rFonts w:hint="eastAsia" w:ascii="宋体" w:hAnsi="宋体"/>
                <w:sz w:val="21"/>
                <w:szCs w:val="21"/>
              </w:rPr>
              <w:t>本标段监理人或</w:t>
            </w:r>
            <w:r>
              <w:rPr>
                <w:rFonts w:hint="eastAsia" w:ascii="宋体" w:hAnsi="宋体" w:cs="宋体"/>
                <w:kern w:val="0"/>
                <w:sz w:val="21"/>
                <w:szCs w:val="21"/>
              </w:rPr>
              <w:t>代建人或项目管理人或</w:t>
            </w:r>
            <w:r>
              <w:rPr>
                <w:rFonts w:ascii="宋体" w:hAnsi="宋体" w:cs="宋体"/>
                <w:kern w:val="0"/>
                <w:sz w:val="21"/>
                <w:szCs w:val="21"/>
              </w:rPr>
              <w:t>造价咨询人</w:t>
            </w:r>
            <w:r>
              <w:rPr>
                <w:rFonts w:hint="eastAsia" w:ascii="宋体" w:hAnsi="宋体" w:cs="宋体"/>
                <w:kern w:val="0"/>
                <w:sz w:val="21"/>
                <w:szCs w:val="21"/>
              </w:rPr>
              <w:t>或招标代理机构</w:t>
            </w:r>
            <w:r>
              <w:rPr>
                <w:rFonts w:hint="eastAsia" w:ascii="华文楷体" w:hAnsi="华文楷体" w:eastAsia="楷体"/>
                <w:sz w:val="18"/>
                <w:szCs w:val="18"/>
              </w:rPr>
              <w:t>（监理人：含工程监理人、安全监理人、环境保护监理人、水土保持监理人）</w:t>
            </w:r>
          </w:p>
        </w:tc>
        <w:tc>
          <w:tcPr>
            <w:tcW w:w="1267" w:type="dxa"/>
            <w:tcBorders>
              <w:right w:val="single" w:color="auto" w:sz="4" w:space="0"/>
            </w:tcBorders>
            <w:vAlign w:val="center"/>
          </w:tcPr>
          <w:p w14:paraId="6ED45D95">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4CF49B0C">
            <w:pPr>
              <w:adjustRightInd w:val="0"/>
              <w:snapToGrid w:val="0"/>
              <w:spacing w:line="288" w:lineRule="auto"/>
              <w:rPr>
                <w:rFonts w:ascii="宋体" w:hAnsi="宋体" w:cs="宋体"/>
                <w:sz w:val="22"/>
                <w:szCs w:val="22"/>
              </w:rPr>
            </w:pPr>
          </w:p>
        </w:tc>
      </w:tr>
      <w:tr w14:paraId="29EA1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630BF111">
            <w:pPr>
              <w:adjustRightInd w:val="0"/>
              <w:snapToGrid w:val="0"/>
              <w:spacing w:line="288" w:lineRule="auto"/>
              <w:jc w:val="center"/>
              <w:rPr>
                <w:rFonts w:ascii="宋体" w:hAnsi="宋体" w:cs="宋体"/>
                <w:sz w:val="22"/>
                <w:szCs w:val="22"/>
              </w:rPr>
            </w:pPr>
            <w:r>
              <w:rPr>
                <w:rFonts w:hint="eastAsia" w:ascii="宋体" w:hAnsi="宋体" w:cs="宋体"/>
                <w:sz w:val="22"/>
                <w:szCs w:val="22"/>
              </w:rPr>
              <w:t>5</w:t>
            </w:r>
          </w:p>
        </w:tc>
        <w:tc>
          <w:tcPr>
            <w:tcW w:w="6946" w:type="dxa"/>
            <w:vAlign w:val="center"/>
          </w:tcPr>
          <w:p w14:paraId="4083F5A4">
            <w:pPr>
              <w:adjustRightInd w:val="0"/>
              <w:snapToGrid w:val="0"/>
              <w:spacing w:line="240" w:lineRule="auto"/>
              <w:rPr>
                <w:rFonts w:ascii="宋体" w:hAnsi="宋体" w:cs="宋体"/>
                <w:sz w:val="22"/>
                <w:szCs w:val="22"/>
              </w:rPr>
            </w:pPr>
            <w:r>
              <w:rPr>
                <w:rFonts w:hint="eastAsia" w:ascii="宋体" w:hAnsi="宋体" w:cs="宋体"/>
                <w:b/>
                <w:kern w:val="0"/>
                <w:sz w:val="21"/>
                <w:szCs w:val="21"/>
              </w:rPr>
              <w:t>是否</w:t>
            </w:r>
            <w:r>
              <w:rPr>
                <w:rFonts w:hint="eastAsia" w:ascii="宋体" w:hAnsi="宋体" w:cs="宋体"/>
                <w:kern w:val="0"/>
                <w:sz w:val="21"/>
                <w:szCs w:val="21"/>
              </w:rPr>
              <w:t>：与</w:t>
            </w:r>
            <w:r>
              <w:rPr>
                <w:rFonts w:hint="eastAsia" w:ascii="宋体" w:hAnsi="宋体"/>
                <w:sz w:val="21"/>
                <w:szCs w:val="21"/>
              </w:rPr>
              <w:t>本标段监理人或</w:t>
            </w:r>
            <w:r>
              <w:rPr>
                <w:rFonts w:hint="eastAsia" w:ascii="宋体" w:hAnsi="宋体" w:cs="宋体"/>
                <w:kern w:val="0"/>
                <w:sz w:val="21"/>
                <w:szCs w:val="21"/>
              </w:rPr>
              <w:t>代建人或项目管理人或</w:t>
            </w:r>
            <w:r>
              <w:rPr>
                <w:rFonts w:ascii="宋体" w:hAnsi="宋体" w:cs="宋体"/>
                <w:kern w:val="0"/>
                <w:sz w:val="21"/>
                <w:szCs w:val="21"/>
              </w:rPr>
              <w:t>造价咨询人</w:t>
            </w:r>
            <w:r>
              <w:rPr>
                <w:rFonts w:hint="eastAsia" w:ascii="宋体" w:hAnsi="宋体" w:cs="宋体"/>
                <w:kern w:val="0"/>
                <w:sz w:val="21"/>
                <w:szCs w:val="21"/>
              </w:rPr>
              <w:t>或招标代理机构为同一法定代表人、或存在相互控股或者参股关系</w:t>
            </w:r>
            <w:r>
              <w:rPr>
                <w:rFonts w:hint="eastAsia" w:ascii="华文楷体" w:hAnsi="华文楷体" w:eastAsia="楷体"/>
                <w:sz w:val="18"/>
                <w:szCs w:val="18"/>
              </w:rPr>
              <w:t>（监理人：含工程监理人、安全监理人、环境保护监理人、水土保持监理人）</w:t>
            </w:r>
          </w:p>
        </w:tc>
        <w:tc>
          <w:tcPr>
            <w:tcW w:w="1267" w:type="dxa"/>
            <w:tcBorders>
              <w:right w:val="single" w:color="auto" w:sz="4" w:space="0"/>
            </w:tcBorders>
            <w:vAlign w:val="center"/>
          </w:tcPr>
          <w:p w14:paraId="3E1D7D2B">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441AE16F">
            <w:pPr>
              <w:adjustRightInd w:val="0"/>
              <w:snapToGrid w:val="0"/>
              <w:spacing w:line="288" w:lineRule="auto"/>
              <w:rPr>
                <w:rFonts w:ascii="宋体" w:hAnsi="宋体" w:cs="宋体"/>
                <w:sz w:val="22"/>
                <w:szCs w:val="22"/>
              </w:rPr>
            </w:pPr>
          </w:p>
        </w:tc>
      </w:tr>
      <w:tr w14:paraId="2F67C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674E0288">
            <w:pPr>
              <w:adjustRightInd w:val="0"/>
              <w:snapToGrid w:val="0"/>
              <w:spacing w:line="288" w:lineRule="auto"/>
              <w:jc w:val="center"/>
              <w:rPr>
                <w:rFonts w:ascii="宋体" w:hAnsi="宋体" w:cs="宋体"/>
                <w:sz w:val="22"/>
                <w:szCs w:val="22"/>
              </w:rPr>
            </w:pPr>
            <w:r>
              <w:rPr>
                <w:rFonts w:hint="eastAsia" w:ascii="宋体" w:hAnsi="宋体" w:cs="宋体"/>
                <w:sz w:val="22"/>
                <w:szCs w:val="22"/>
              </w:rPr>
              <w:t>6</w:t>
            </w:r>
          </w:p>
        </w:tc>
        <w:tc>
          <w:tcPr>
            <w:tcW w:w="6946" w:type="dxa"/>
            <w:vAlign w:val="center"/>
          </w:tcPr>
          <w:p w14:paraId="0A134E24">
            <w:pPr>
              <w:adjustRightInd w:val="0"/>
              <w:snapToGrid w:val="0"/>
              <w:spacing w:line="240" w:lineRule="auto"/>
              <w:rPr>
                <w:rFonts w:ascii="宋体" w:hAnsi="宋体" w:cs="宋体"/>
                <w:sz w:val="22"/>
                <w:szCs w:val="22"/>
              </w:rPr>
            </w:pPr>
            <w:r>
              <w:rPr>
                <w:rFonts w:hint="eastAsia" w:ascii="宋体" w:hAnsi="宋体"/>
                <w:b/>
                <w:sz w:val="21"/>
                <w:szCs w:val="21"/>
              </w:rPr>
              <w:t>是否</w:t>
            </w:r>
            <w:r>
              <w:rPr>
                <w:rFonts w:hint="eastAsia" w:ascii="宋体" w:hAnsi="宋体"/>
                <w:sz w:val="21"/>
                <w:szCs w:val="21"/>
              </w:rPr>
              <w:t>：为本标段前期准备提供设计或咨询服务</w:t>
            </w:r>
          </w:p>
        </w:tc>
        <w:tc>
          <w:tcPr>
            <w:tcW w:w="1267" w:type="dxa"/>
            <w:tcBorders>
              <w:right w:val="single" w:color="auto" w:sz="4" w:space="0"/>
            </w:tcBorders>
            <w:vAlign w:val="center"/>
          </w:tcPr>
          <w:p w14:paraId="36ACF190">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0FF7F15C">
            <w:pPr>
              <w:adjustRightInd w:val="0"/>
              <w:snapToGrid w:val="0"/>
              <w:spacing w:line="288" w:lineRule="auto"/>
              <w:rPr>
                <w:rFonts w:ascii="宋体" w:hAnsi="宋体" w:cs="宋体"/>
                <w:sz w:val="22"/>
                <w:szCs w:val="22"/>
              </w:rPr>
            </w:pPr>
          </w:p>
        </w:tc>
      </w:tr>
      <w:tr w14:paraId="56134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5AC0579C">
            <w:pPr>
              <w:adjustRightInd w:val="0"/>
              <w:snapToGrid w:val="0"/>
              <w:spacing w:line="288" w:lineRule="auto"/>
              <w:jc w:val="center"/>
              <w:rPr>
                <w:rFonts w:ascii="宋体" w:hAnsi="宋体" w:cs="宋体"/>
                <w:sz w:val="22"/>
                <w:szCs w:val="22"/>
              </w:rPr>
            </w:pPr>
            <w:r>
              <w:rPr>
                <w:rFonts w:hint="eastAsia" w:ascii="宋体" w:hAnsi="宋体" w:cs="宋体"/>
                <w:sz w:val="22"/>
                <w:szCs w:val="22"/>
              </w:rPr>
              <w:t>7</w:t>
            </w:r>
          </w:p>
        </w:tc>
        <w:tc>
          <w:tcPr>
            <w:tcW w:w="6946" w:type="dxa"/>
            <w:vAlign w:val="center"/>
          </w:tcPr>
          <w:p w14:paraId="4071ABBF">
            <w:pPr>
              <w:adjustRightInd w:val="0"/>
              <w:snapToGrid w:val="0"/>
              <w:spacing w:line="240" w:lineRule="auto"/>
              <w:rPr>
                <w:rFonts w:ascii="宋体" w:hAnsi="宋体" w:cs="宋体"/>
                <w:sz w:val="22"/>
                <w:szCs w:val="22"/>
              </w:rPr>
            </w:pPr>
            <w:r>
              <w:rPr>
                <w:rFonts w:hint="eastAsia" w:ascii="宋体" w:hAnsi="宋体"/>
                <w:b/>
                <w:sz w:val="21"/>
                <w:szCs w:val="21"/>
              </w:rPr>
              <w:t>是否</w:t>
            </w:r>
            <w:r>
              <w:rPr>
                <w:rFonts w:hint="eastAsia" w:ascii="宋体" w:hAnsi="宋体"/>
                <w:sz w:val="21"/>
                <w:szCs w:val="21"/>
              </w:rPr>
              <w:t>：被依法暂停或者取消投标资格、被责令停产停业、暂扣或者吊销许可证、暂扣或者吊销执照、进入清算程序、被宣告破产、其他丧失履约能力的情形</w:t>
            </w:r>
          </w:p>
        </w:tc>
        <w:tc>
          <w:tcPr>
            <w:tcW w:w="1267" w:type="dxa"/>
            <w:tcBorders>
              <w:right w:val="single" w:color="auto" w:sz="4" w:space="0"/>
            </w:tcBorders>
            <w:vAlign w:val="center"/>
          </w:tcPr>
          <w:p w14:paraId="429212FF">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2780AC55">
            <w:pPr>
              <w:adjustRightInd w:val="0"/>
              <w:snapToGrid w:val="0"/>
              <w:spacing w:line="288" w:lineRule="auto"/>
              <w:rPr>
                <w:rFonts w:ascii="宋体" w:hAnsi="宋体" w:cs="宋体"/>
                <w:sz w:val="22"/>
                <w:szCs w:val="22"/>
              </w:rPr>
            </w:pPr>
          </w:p>
        </w:tc>
      </w:tr>
      <w:tr w14:paraId="21EA7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5BAB2BAA">
            <w:pPr>
              <w:adjustRightInd w:val="0"/>
              <w:snapToGrid w:val="0"/>
              <w:spacing w:line="288" w:lineRule="auto"/>
              <w:jc w:val="center"/>
              <w:rPr>
                <w:rFonts w:ascii="宋体" w:hAnsi="宋体" w:cs="宋体"/>
                <w:sz w:val="22"/>
                <w:szCs w:val="22"/>
              </w:rPr>
            </w:pPr>
            <w:r>
              <w:rPr>
                <w:rFonts w:hint="eastAsia" w:ascii="宋体" w:hAnsi="宋体" w:cs="宋体"/>
                <w:sz w:val="22"/>
                <w:szCs w:val="22"/>
              </w:rPr>
              <w:t>8</w:t>
            </w:r>
          </w:p>
        </w:tc>
        <w:tc>
          <w:tcPr>
            <w:tcW w:w="6946" w:type="dxa"/>
            <w:vAlign w:val="center"/>
          </w:tcPr>
          <w:p w14:paraId="755F6278">
            <w:pPr>
              <w:adjustRightInd w:val="0"/>
              <w:snapToGrid w:val="0"/>
              <w:spacing w:line="240" w:lineRule="auto"/>
              <w:rPr>
                <w:rFonts w:ascii="宋体" w:hAnsi="宋体" w:cs="宋体"/>
                <w:sz w:val="22"/>
                <w:szCs w:val="22"/>
              </w:rPr>
            </w:pPr>
            <w:r>
              <w:rPr>
                <w:rFonts w:hint="eastAsia" w:ascii="宋体" w:hAnsi="宋体" w:cs="宋体"/>
                <w:b/>
                <w:kern w:val="0"/>
                <w:sz w:val="21"/>
                <w:szCs w:val="21"/>
              </w:rPr>
              <w:t>是否</w:t>
            </w:r>
            <w:r>
              <w:rPr>
                <w:rFonts w:hint="eastAsia" w:ascii="宋体" w:hAnsi="宋体" w:cs="宋体"/>
                <w:kern w:val="0"/>
                <w:sz w:val="21"/>
                <w:szCs w:val="21"/>
              </w:rPr>
              <w:t>：最近三年内（按投标截止时间推算）发生过</w:t>
            </w:r>
            <w:r>
              <w:rPr>
                <w:rFonts w:hint="eastAsia" w:ascii="宋体" w:hAnsi="宋体"/>
                <w:sz w:val="21"/>
                <w:szCs w:val="21"/>
              </w:rPr>
              <w:t>重大工程质量问题（以相关行业主管部门的行政处罚决定或司法机关出具的有关法律文书为准）</w:t>
            </w:r>
          </w:p>
        </w:tc>
        <w:tc>
          <w:tcPr>
            <w:tcW w:w="1267" w:type="dxa"/>
            <w:tcBorders>
              <w:right w:val="single" w:color="auto" w:sz="4" w:space="0"/>
            </w:tcBorders>
            <w:vAlign w:val="center"/>
          </w:tcPr>
          <w:p w14:paraId="3666FB2C">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18C7B452">
            <w:pPr>
              <w:adjustRightInd w:val="0"/>
              <w:snapToGrid w:val="0"/>
              <w:spacing w:line="288" w:lineRule="auto"/>
              <w:rPr>
                <w:rFonts w:ascii="宋体" w:hAnsi="宋体" w:cs="宋体"/>
                <w:sz w:val="22"/>
                <w:szCs w:val="22"/>
              </w:rPr>
            </w:pPr>
          </w:p>
        </w:tc>
      </w:tr>
      <w:tr w14:paraId="10C40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0A8AF575">
            <w:pPr>
              <w:adjustRightInd w:val="0"/>
              <w:snapToGrid w:val="0"/>
              <w:spacing w:line="288" w:lineRule="auto"/>
              <w:jc w:val="center"/>
              <w:rPr>
                <w:rFonts w:ascii="宋体" w:hAnsi="宋体" w:cs="宋体"/>
                <w:sz w:val="22"/>
                <w:szCs w:val="22"/>
              </w:rPr>
            </w:pPr>
            <w:r>
              <w:rPr>
                <w:rFonts w:hint="eastAsia" w:ascii="宋体" w:hAnsi="宋体" w:cs="宋体"/>
                <w:sz w:val="22"/>
                <w:szCs w:val="22"/>
              </w:rPr>
              <w:t>9</w:t>
            </w:r>
          </w:p>
        </w:tc>
        <w:tc>
          <w:tcPr>
            <w:tcW w:w="6946" w:type="dxa"/>
            <w:vAlign w:val="center"/>
          </w:tcPr>
          <w:p w14:paraId="1647AA07">
            <w:pPr>
              <w:adjustRightInd w:val="0"/>
              <w:snapToGrid w:val="0"/>
              <w:spacing w:line="240" w:lineRule="auto"/>
              <w:rPr>
                <w:rFonts w:ascii="宋体" w:hAnsi="宋体" w:cs="宋体"/>
                <w:sz w:val="22"/>
                <w:szCs w:val="22"/>
              </w:rPr>
            </w:pPr>
            <w:r>
              <w:rPr>
                <w:rFonts w:hint="eastAsia" w:ascii="宋体" w:hAnsi="宋体" w:cs="宋体"/>
                <w:b/>
                <w:kern w:val="0"/>
                <w:sz w:val="21"/>
                <w:szCs w:val="21"/>
              </w:rPr>
              <w:t>是否</w:t>
            </w:r>
            <w:r>
              <w:rPr>
                <w:rFonts w:hint="eastAsia" w:ascii="宋体" w:hAnsi="宋体" w:cs="宋体"/>
                <w:kern w:val="0"/>
                <w:sz w:val="21"/>
                <w:szCs w:val="21"/>
              </w:rPr>
              <w:t>：最近三年内（按投标截止时间推算）发生过</w:t>
            </w:r>
            <w:r>
              <w:rPr>
                <w:rFonts w:hint="eastAsia" w:ascii="宋体" w:hAnsi="宋体"/>
                <w:sz w:val="21"/>
                <w:szCs w:val="21"/>
              </w:rPr>
              <w:t>重大工程安全事故（以相关行业主管部门的行政处罚决定或司法机关出具的有关法律文书为准）</w:t>
            </w:r>
          </w:p>
        </w:tc>
        <w:tc>
          <w:tcPr>
            <w:tcW w:w="1267" w:type="dxa"/>
            <w:tcBorders>
              <w:right w:val="single" w:color="auto" w:sz="4" w:space="0"/>
            </w:tcBorders>
            <w:vAlign w:val="center"/>
          </w:tcPr>
          <w:p w14:paraId="72D3D744">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61C34D16">
            <w:pPr>
              <w:adjustRightInd w:val="0"/>
              <w:snapToGrid w:val="0"/>
              <w:spacing w:line="288" w:lineRule="auto"/>
              <w:rPr>
                <w:rFonts w:ascii="宋体" w:hAnsi="宋体" w:cs="宋体"/>
                <w:sz w:val="22"/>
                <w:szCs w:val="22"/>
              </w:rPr>
            </w:pPr>
          </w:p>
        </w:tc>
      </w:tr>
      <w:tr w14:paraId="3FA0E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14C16705">
            <w:pPr>
              <w:adjustRightInd w:val="0"/>
              <w:snapToGrid w:val="0"/>
              <w:spacing w:line="288" w:lineRule="auto"/>
              <w:jc w:val="center"/>
              <w:rPr>
                <w:rFonts w:ascii="宋体" w:hAnsi="宋体" w:cs="宋体"/>
                <w:sz w:val="22"/>
                <w:szCs w:val="22"/>
              </w:rPr>
            </w:pPr>
            <w:r>
              <w:rPr>
                <w:rFonts w:hint="eastAsia" w:ascii="宋体" w:hAnsi="宋体" w:cs="宋体"/>
                <w:sz w:val="22"/>
                <w:szCs w:val="22"/>
              </w:rPr>
              <w:t>10</w:t>
            </w:r>
          </w:p>
        </w:tc>
        <w:tc>
          <w:tcPr>
            <w:tcW w:w="6946" w:type="dxa"/>
            <w:vAlign w:val="center"/>
          </w:tcPr>
          <w:p w14:paraId="486EF714">
            <w:pPr>
              <w:adjustRightInd w:val="0"/>
              <w:snapToGrid w:val="0"/>
              <w:spacing w:line="240" w:lineRule="auto"/>
              <w:rPr>
                <w:rFonts w:ascii="宋体" w:hAnsi="宋体" w:cs="宋体"/>
                <w:sz w:val="22"/>
                <w:szCs w:val="22"/>
              </w:rPr>
            </w:pPr>
            <w:r>
              <w:rPr>
                <w:rFonts w:hint="eastAsia" w:ascii="宋体" w:hAnsi="宋体"/>
                <w:b/>
                <w:sz w:val="21"/>
                <w:szCs w:val="21"/>
              </w:rPr>
              <w:t>是否</w:t>
            </w:r>
            <w:r>
              <w:rPr>
                <w:rFonts w:hint="eastAsia" w:ascii="宋体" w:hAnsi="宋体"/>
                <w:sz w:val="21"/>
                <w:szCs w:val="21"/>
              </w:rPr>
              <w:t>：被最高人民法院在“信用中国”网站（www.creditchina.gov.cn）中列入失信被执行人名单</w:t>
            </w:r>
          </w:p>
        </w:tc>
        <w:tc>
          <w:tcPr>
            <w:tcW w:w="1267" w:type="dxa"/>
            <w:tcBorders>
              <w:right w:val="single" w:color="auto" w:sz="4" w:space="0"/>
            </w:tcBorders>
            <w:vAlign w:val="center"/>
          </w:tcPr>
          <w:p w14:paraId="4C60EDEF">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53FC1298">
            <w:pPr>
              <w:adjustRightInd w:val="0"/>
              <w:snapToGrid w:val="0"/>
              <w:spacing w:line="288" w:lineRule="auto"/>
              <w:rPr>
                <w:rFonts w:ascii="宋体" w:hAnsi="宋体" w:cs="宋体"/>
                <w:sz w:val="22"/>
                <w:szCs w:val="22"/>
              </w:rPr>
            </w:pPr>
          </w:p>
        </w:tc>
      </w:tr>
      <w:tr w14:paraId="6A303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03D716C6">
            <w:pPr>
              <w:adjustRightInd w:val="0"/>
              <w:snapToGrid w:val="0"/>
              <w:spacing w:line="288" w:lineRule="auto"/>
              <w:jc w:val="center"/>
              <w:rPr>
                <w:rFonts w:ascii="宋体" w:hAnsi="宋体" w:cs="宋体"/>
                <w:sz w:val="22"/>
                <w:szCs w:val="22"/>
              </w:rPr>
            </w:pPr>
            <w:r>
              <w:rPr>
                <w:rFonts w:hint="eastAsia" w:ascii="宋体" w:hAnsi="宋体" w:cs="宋体"/>
                <w:sz w:val="22"/>
                <w:szCs w:val="22"/>
              </w:rPr>
              <w:t>11</w:t>
            </w:r>
          </w:p>
        </w:tc>
        <w:tc>
          <w:tcPr>
            <w:tcW w:w="6946" w:type="dxa"/>
            <w:vAlign w:val="center"/>
          </w:tcPr>
          <w:p w14:paraId="1037DE72">
            <w:pPr>
              <w:adjustRightInd w:val="0"/>
              <w:snapToGrid w:val="0"/>
              <w:spacing w:line="240" w:lineRule="auto"/>
              <w:rPr>
                <w:rFonts w:ascii="宋体" w:hAnsi="宋体" w:cs="宋体"/>
                <w:b/>
                <w:sz w:val="22"/>
                <w:szCs w:val="22"/>
              </w:rPr>
            </w:pPr>
            <w:r>
              <w:rPr>
                <w:rFonts w:hint="eastAsia" w:ascii="宋体" w:hAnsi="宋体"/>
                <w:b/>
                <w:sz w:val="21"/>
                <w:szCs w:val="21"/>
              </w:rPr>
              <w:t>是否</w:t>
            </w:r>
            <w:r>
              <w:rPr>
                <w:rFonts w:hint="eastAsia" w:ascii="宋体" w:hAnsi="宋体"/>
                <w:sz w:val="21"/>
                <w:szCs w:val="21"/>
              </w:rPr>
              <w:t>：最</w:t>
            </w:r>
            <w:r>
              <w:rPr>
                <w:rFonts w:hint="eastAsia" w:ascii="宋体" w:hAnsi="宋体" w:cs="宋体"/>
                <w:kern w:val="0"/>
                <w:sz w:val="21"/>
                <w:szCs w:val="21"/>
              </w:rPr>
              <w:t>近三年内（按投标截止时间推算）</w:t>
            </w:r>
            <w:r>
              <w:rPr>
                <w:rFonts w:hint="eastAsia" w:ascii="宋体" w:hAnsi="宋体"/>
                <w:sz w:val="21"/>
                <w:szCs w:val="21"/>
              </w:rPr>
              <w:t>投标人或其法定代表人、拟委任的项目经理有行贿犯罪判决或裁定记录（以中国裁判文书网http://wenshu.court.gov.cn查询结果为准）</w:t>
            </w:r>
          </w:p>
        </w:tc>
        <w:tc>
          <w:tcPr>
            <w:tcW w:w="1267" w:type="dxa"/>
            <w:tcBorders>
              <w:right w:val="single" w:color="auto" w:sz="4" w:space="0"/>
            </w:tcBorders>
            <w:vAlign w:val="center"/>
          </w:tcPr>
          <w:p w14:paraId="79DDB3A0">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679F6FEE">
            <w:pPr>
              <w:adjustRightInd w:val="0"/>
              <w:snapToGrid w:val="0"/>
              <w:spacing w:line="288" w:lineRule="auto"/>
              <w:rPr>
                <w:rFonts w:ascii="宋体" w:hAnsi="宋体" w:cs="宋体"/>
                <w:sz w:val="22"/>
                <w:szCs w:val="22"/>
              </w:rPr>
            </w:pPr>
          </w:p>
        </w:tc>
      </w:tr>
      <w:tr w14:paraId="68027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643" w:type="dxa"/>
            <w:vAlign w:val="center"/>
          </w:tcPr>
          <w:p w14:paraId="39E14DD7">
            <w:pPr>
              <w:adjustRightInd w:val="0"/>
              <w:snapToGrid w:val="0"/>
              <w:spacing w:line="288" w:lineRule="auto"/>
              <w:jc w:val="center"/>
              <w:rPr>
                <w:rFonts w:ascii="宋体" w:hAnsi="宋体" w:cs="宋体"/>
                <w:sz w:val="22"/>
                <w:szCs w:val="22"/>
              </w:rPr>
            </w:pPr>
            <w:r>
              <w:rPr>
                <w:rFonts w:hint="eastAsia" w:ascii="宋体" w:hAnsi="宋体" w:cs="宋体"/>
                <w:sz w:val="22"/>
                <w:szCs w:val="22"/>
              </w:rPr>
              <w:t>12</w:t>
            </w:r>
          </w:p>
        </w:tc>
        <w:tc>
          <w:tcPr>
            <w:tcW w:w="6946" w:type="dxa"/>
            <w:vAlign w:val="center"/>
          </w:tcPr>
          <w:p w14:paraId="44CAB248">
            <w:pPr>
              <w:adjustRightInd w:val="0"/>
              <w:snapToGrid w:val="0"/>
              <w:spacing w:line="240" w:lineRule="auto"/>
              <w:rPr>
                <w:rFonts w:ascii="宋体" w:hAnsi="宋体" w:cs="宋体"/>
                <w:b/>
                <w:sz w:val="22"/>
                <w:szCs w:val="22"/>
              </w:rPr>
            </w:pPr>
            <w:r>
              <w:rPr>
                <w:rFonts w:hint="eastAsia" w:ascii="宋体" w:hAnsi="宋体" w:cs="宋体"/>
                <w:b/>
                <w:kern w:val="0"/>
                <w:sz w:val="21"/>
                <w:szCs w:val="21"/>
              </w:rPr>
              <w:t>是否</w:t>
            </w:r>
            <w:r>
              <w:rPr>
                <w:rFonts w:ascii="宋体" w:hAnsi="宋体" w:cs="宋体"/>
                <w:b/>
                <w:kern w:val="0"/>
                <w:sz w:val="21"/>
                <w:szCs w:val="21"/>
              </w:rPr>
              <w:t>：</w:t>
            </w:r>
            <w:r>
              <w:rPr>
                <w:rFonts w:hint="eastAsia" w:ascii="宋体" w:hAnsi="宋体" w:cs="宋体"/>
                <w:kern w:val="0"/>
                <w:sz w:val="21"/>
                <w:szCs w:val="21"/>
              </w:rPr>
              <w:t>最近三年内（按投标截止时间推算）投标人因环境违法违规行为造成较大社会影响或被政府部门列入“黑名单”</w:t>
            </w:r>
          </w:p>
        </w:tc>
        <w:tc>
          <w:tcPr>
            <w:tcW w:w="1267" w:type="dxa"/>
            <w:tcBorders>
              <w:right w:val="single" w:color="auto" w:sz="4" w:space="0"/>
            </w:tcBorders>
            <w:vAlign w:val="center"/>
          </w:tcPr>
          <w:p w14:paraId="09F270D9">
            <w:pPr>
              <w:adjustRightInd w:val="0"/>
              <w:snapToGrid w:val="0"/>
              <w:spacing w:line="288" w:lineRule="auto"/>
              <w:rPr>
                <w:rFonts w:ascii="宋体" w:hAnsi="宋体" w:cs="宋体"/>
                <w:sz w:val="22"/>
                <w:szCs w:val="22"/>
              </w:rPr>
            </w:pPr>
          </w:p>
        </w:tc>
        <w:tc>
          <w:tcPr>
            <w:tcW w:w="966" w:type="dxa"/>
            <w:tcBorders>
              <w:left w:val="single" w:color="auto" w:sz="4" w:space="0"/>
            </w:tcBorders>
            <w:vAlign w:val="center"/>
          </w:tcPr>
          <w:p w14:paraId="2E613C52">
            <w:pPr>
              <w:adjustRightInd w:val="0"/>
              <w:snapToGrid w:val="0"/>
              <w:spacing w:line="288" w:lineRule="auto"/>
              <w:rPr>
                <w:rFonts w:ascii="宋体" w:hAnsi="宋体" w:cs="宋体"/>
                <w:sz w:val="22"/>
                <w:szCs w:val="22"/>
              </w:rPr>
            </w:pPr>
          </w:p>
        </w:tc>
      </w:tr>
    </w:tbl>
    <w:p w14:paraId="764796F9">
      <w:pPr>
        <w:adjustRightInd w:val="0"/>
        <w:snapToGrid w:val="0"/>
        <w:spacing w:before="93" w:beforeLines="30"/>
        <w:ind w:left="540" w:hanging="540" w:hangingChars="300"/>
        <w:rPr>
          <w:rFonts w:ascii="宋体" w:hAnsi="宋体"/>
          <w:sz w:val="18"/>
          <w:szCs w:val="18"/>
        </w:rPr>
      </w:pPr>
      <w:r>
        <w:rPr>
          <w:rFonts w:hint="eastAsia" w:ascii="宋体" w:hAnsi="宋体"/>
          <w:sz w:val="18"/>
          <w:szCs w:val="18"/>
        </w:rPr>
        <w:t>说明：投标人必须如实填报，否则视为弄虚作假。审查委员会、招标人可登陆国家及地方政府部门的网站查询，如发现不实填报，将取消其投标、中标资格。</w:t>
      </w:r>
    </w:p>
    <w:p w14:paraId="65866BCA">
      <w:pPr>
        <w:widowControl/>
        <w:spacing w:line="240" w:lineRule="auto"/>
        <w:jc w:val="right"/>
        <w:rPr>
          <w:rFonts w:ascii="宋体" w:hAnsi="宋体"/>
          <w:sz w:val="22"/>
          <w:szCs w:val="22"/>
        </w:rPr>
      </w:pPr>
      <w:r>
        <w:rPr>
          <w:rFonts w:hint="eastAsia" w:ascii="宋体" w:hAnsi="宋体"/>
          <w:sz w:val="22"/>
          <w:szCs w:val="22"/>
        </w:rPr>
        <w:t>投标人：（</w:t>
      </w:r>
      <w:r>
        <w:rPr>
          <w:rFonts w:hint="eastAsia" w:ascii="宋体" w:hAnsi="宋体"/>
          <w:sz w:val="22"/>
          <w:szCs w:val="22"/>
          <w:u w:val="single"/>
        </w:rPr>
        <w:t>盖公章）</w:t>
      </w:r>
    </w:p>
    <w:p w14:paraId="6F49E209">
      <w:pPr>
        <w:jc w:val="right"/>
        <w:outlineLvl w:val="1"/>
        <w:rPr>
          <w:rFonts w:ascii="宋体" w:hAnsi="宋体"/>
          <w:sz w:val="22"/>
          <w:szCs w:val="22"/>
        </w:rPr>
      </w:pPr>
      <w:r>
        <w:rPr>
          <w:rFonts w:hint="eastAsia" w:ascii="宋体" w:hAnsi="宋体"/>
          <w:sz w:val="22"/>
          <w:szCs w:val="22"/>
        </w:rPr>
        <w:t xml:space="preserve">  年   月   日</w:t>
      </w:r>
    </w:p>
    <w:p w14:paraId="622F4B88">
      <w:pPr>
        <w:jc w:val="left"/>
        <w:outlineLvl w:val="1"/>
        <w:rPr>
          <w:rFonts w:ascii="宋体" w:hAnsi="宋体"/>
          <w:b/>
          <w:bCs/>
          <w:sz w:val="30"/>
          <w:szCs w:val="30"/>
        </w:rPr>
      </w:pPr>
      <w:r>
        <w:rPr>
          <w:rFonts w:ascii="宋体" w:hAnsi="宋体"/>
        </w:rPr>
        <w:br w:type="page"/>
      </w:r>
      <w:bookmarkStart w:id="1069" w:name="_Toc30854"/>
      <w:bookmarkStart w:id="1070" w:name="_Toc6112"/>
      <w:bookmarkStart w:id="1071" w:name="_Toc12343"/>
      <w:r>
        <w:rPr>
          <w:rFonts w:hint="eastAsia" w:ascii="宋体" w:hAnsi="宋体" w:cs="宋体"/>
          <w:szCs w:val="28"/>
        </w:rPr>
        <w:t>附件</w:t>
      </w:r>
      <w:r>
        <w:rPr>
          <w:rFonts w:ascii="宋体" w:hAnsi="宋体" w:cs="宋体"/>
          <w:szCs w:val="28"/>
        </w:rPr>
        <w:t>7：投标人基本情况表</w:t>
      </w:r>
      <w:bookmarkEnd w:id="1069"/>
      <w:bookmarkEnd w:id="1070"/>
      <w:bookmarkEnd w:id="1071"/>
    </w:p>
    <w:p w14:paraId="16C1019B">
      <w:pPr>
        <w:adjustRightInd w:val="0"/>
        <w:snapToGrid w:val="0"/>
        <w:spacing w:after="156" w:afterLines="50"/>
        <w:jc w:val="center"/>
        <w:rPr>
          <w:rFonts w:ascii="宋体" w:hAnsi="宋体"/>
          <w:b/>
          <w:bCs/>
          <w:sz w:val="30"/>
          <w:szCs w:val="30"/>
        </w:rPr>
      </w:pPr>
      <w:r>
        <w:rPr>
          <w:rFonts w:hint="eastAsia" w:ascii="宋体" w:hAnsi="宋体"/>
          <w:b/>
          <w:bCs/>
          <w:sz w:val="30"/>
          <w:szCs w:val="30"/>
        </w:rPr>
        <w:t>投标人基本情况表</w:t>
      </w:r>
    </w:p>
    <w:tbl>
      <w:tblPr>
        <w:tblStyle w:val="6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2"/>
        <w:gridCol w:w="944"/>
        <w:gridCol w:w="1002"/>
        <w:gridCol w:w="883"/>
        <w:gridCol w:w="442"/>
        <w:gridCol w:w="328"/>
        <w:gridCol w:w="1134"/>
        <w:gridCol w:w="516"/>
        <w:gridCol w:w="905"/>
        <w:gridCol w:w="1345"/>
      </w:tblGrid>
      <w:tr w14:paraId="3BBCC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6C9445A2">
            <w:pPr>
              <w:topLinePunct/>
              <w:adjustRightInd w:val="0"/>
              <w:snapToGrid w:val="0"/>
              <w:jc w:val="center"/>
              <w:rPr>
                <w:rFonts w:ascii="宋体" w:hAnsi="宋体" w:cs="宋体"/>
                <w:sz w:val="21"/>
                <w:szCs w:val="21"/>
              </w:rPr>
            </w:pPr>
            <w:r>
              <w:rPr>
                <w:rFonts w:hint="eastAsia" w:ascii="宋体" w:hAnsi="宋体" w:cs="宋体"/>
                <w:sz w:val="21"/>
                <w:szCs w:val="21"/>
              </w:rPr>
              <w:t>投标人名称</w:t>
            </w:r>
          </w:p>
        </w:tc>
        <w:tc>
          <w:tcPr>
            <w:tcW w:w="7499" w:type="dxa"/>
            <w:gridSpan w:val="9"/>
            <w:tcBorders>
              <w:top w:val="single" w:color="auto" w:sz="4" w:space="0"/>
              <w:left w:val="single" w:color="auto" w:sz="4" w:space="0"/>
              <w:bottom w:val="single" w:color="auto" w:sz="4" w:space="0"/>
              <w:right w:val="single" w:color="auto" w:sz="4" w:space="0"/>
            </w:tcBorders>
            <w:vAlign w:val="center"/>
          </w:tcPr>
          <w:p w14:paraId="348AC791">
            <w:pPr>
              <w:topLinePunct/>
              <w:adjustRightInd w:val="0"/>
              <w:snapToGrid w:val="0"/>
              <w:jc w:val="center"/>
              <w:rPr>
                <w:rFonts w:ascii="宋体" w:hAnsi="宋体" w:cs="宋体"/>
                <w:sz w:val="21"/>
                <w:szCs w:val="21"/>
              </w:rPr>
            </w:pPr>
          </w:p>
        </w:tc>
      </w:tr>
      <w:tr w14:paraId="4E8EB6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230B9123">
            <w:pPr>
              <w:topLinePunct/>
              <w:adjustRightInd w:val="0"/>
              <w:snapToGrid w:val="0"/>
              <w:jc w:val="center"/>
              <w:rPr>
                <w:rFonts w:ascii="宋体" w:hAnsi="宋体" w:cs="宋体"/>
                <w:sz w:val="21"/>
                <w:szCs w:val="21"/>
              </w:rPr>
            </w:pPr>
            <w:r>
              <w:rPr>
                <w:rFonts w:hint="eastAsia" w:ascii="宋体" w:hAnsi="宋体" w:cs="宋体"/>
                <w:sz w:val="21"/>
                <w:szCs w:val="21"/>
              </w:rPr>
              <w:t>注册地址</w:t>
            </w:r>
          </w:p>
        </w:tc>
        <w:tc>
          <w:tcPr>
            <w:tcW w:w="3599" w:type="dxa"/>
            <w:gridSpan w:val="5"/>
            <w:tcBorders>
              <w:top w:val="single" w:color="auto" w:sz="4" w:space="0"/>
              <w:left w:val="single" w:color="auto" w:sz="4" w:space="0"/>
              <w:bottom w:val="single" w:color="auto" w:sz="4" w:space="0"/>
              <w:right w:val="single" w:color="auto" w:sz="4" w:space="0"/>
            </w:tcBorders>
            <w:vAlign w:val="center"/>
          </w:tcPr>
          <w:p w14:paraId="525B0B4B">
            <w:pPr>
              <w:topLinePunct/>
              <w:adjustRightInd w:val="0"/>
              <w:snapToGrid w:val="0"/>
              <w:jc w:val="center"/>
              <w:rPr>
                <w:rFonts w:ascii="宋体" w:hAnsi="宋体" w:cs="宋体"/>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6F81C10B">
            <w:pPr>
              <w:topLinePunct/>
              <w:adjustRightInd w:val="0"/>
              <w:snapToGrid w:val="0"/>
              <w:jc w:val="center"/>
              <w:rPr>
                <w:rFonts w:ascii="宋体" w:hAnsi="宋体" w:cs="宋体"/>
                <w:sz w:val="21"/>
                <w:szCs w:val="21"/>
              </w:rPr>
            </w:pPr>
            <w:r>
              <w:rPr>
                <w:rFonts w:hint="eastAsia" w:ascii="宋体" w:hAnsi="宋体" w:cs="宋体"/>
                <w:sz w:val="21"/>
                <w:szCs w:val="21"/>
              </w:rPr>
              <w:t>邮政编码</w:t>
            </w:r>
          </w:p>
        </w:tc>
        <w:tc>
          <w:tcPr>
            <w:tcW w:w="2766" w:type="dxa"/>
            <w:gridSpan w:val="3"/>
            <w:tcBorders>
              <w:top w:val="single" w:color="auto" w:sz="4" w:space="0"/>
              <w:left w:val="single" w:color="auto" w:sz="4" w:space="0"/>
              <w:bottom w:val="single" w:color="auto" w:sz="4" w:space="0"/>
              <w:right w:val="single" w:color="auto" w:sz="4" w:space="0"/>
            </w:tcBorders>
            <w:vAlign w:val="center"/>
          </w:tcPr>
          <w:p w14:paraId="514D5259">
            <w:pPr>
              <w:topLinePunct/>
              <w:adjustRightInd w:val="0"/>
              <w:snapToGrid w:val="0"/>
              <w:jc w:val="center"/>
              <w:rPr>
                <w:rFonts w:ascii="宋体" w:hAnsi="宋体" w:cs="宋体"/>
                <w:sz w:val="21"/>
                <w:szCs w:val="21"/>
              </w:rPr>
            </w:pPr>
          </w:p>
        </w:tc>
      </w:tr>
      <w:tr w14:paraId="4EC1A9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vMerge w:val="restart"/>
            <w:tcBorders>
              <w:top w:val="single" w:color="auto" w:sz="4" w:space="0"/>
              <w:left w:val="single" w:color="auto" w:sz="4" w:space="0"/>
              <w:bottom w:val="single" w:color="auto" w:sz="4" w:space="0"/>
              <w:right w:val="single" w:color="auto" w:sz="4" w:space="0"/>
            </w:tcBorders>
            <w:vAlign w:val="center"/>
          </w:tcPr>
          <w:p w14:paraId="167B6365">
            <w:pPr>
              <w:topLinePunct/>
              <w:adjustRightInd w:val="0"/>
              <w:snapToGrid w:val="0"/>
              <w:jc w:val="center"/>
              <w:rPr>
                <w:rFonts w:ascii="宋体" w:hAnsi="宋体" w:cs="宋体"/>
                <w:sz w:val="21"/>
                <w:szCs w:val="21"/>
              </w:rPr>
            </w:pPr>
            <w:r>
              <w:rPr>
                <w:rFonts w:hint="eastAsia" w:ascii="宋体" w:hAnsi="宋体" w:cs="宋体"/>
                <w:sz w:val="21"/>
                <w:szCs w:val="21"/>
              </w:rPr>
              <w:t>联系方式</w:t>
            </w:r>
          </w:p>
        </w:tc>
        <w:tc>
          <w:tcPr>
            <w:tcW w:w="944" w:type="dxa"/>
            <w:tcBorders>
              <w:top w:val="single" w:color="auto" w:sz="4" w:space="0"/>
              <w:left w:val="single" w:color="auto" w:sz="4" w:space="0"/>
              <w:bottom w:val="single" w:color="auto" w:sz="4" w:space="0"/>
              <w:right w:val="single" w:color="auto" w:sz="4" w:space="0"/>
            </w:tcBorders>
            <w:vAlign w:val="center"/>
          </w:tcPr>
          <w:p w14:paraId="1482C2C5">
            <w:pPr>
              <w:topLinePunct/>
              <w:adjustRightInd w:val="0"/>
              <w:snapToGrid w:val="0"/>
              <w:jc w:val="center"/>
              <w:rPr>
                <w:rFonts w:ascii="宋体" w:hAnsi="宋体" w:cs="宋体"/>
                <w:sz w:val="21"/>
                <w:szCs w:val="21"/>
              </w:rPr>
            </w:pPr>
            <w:r>
              <w:rPr>
                <w:rFonts w:hint="eastAsia" w:ascii="宋体" w:hAnsi="宋体" w:cs="宋体"/>
                <w:sz w:val="21"/>
                <w:szCs w:val="21"/>
              </w:rPr>
              <w:t>联系人</w:t>
            </w:r>
          </w:p>
        </w:tc>
        <w:tc>
          <w:tcPr>
            <w:tcW w:w="2655" w:type="dxa"/>
            <w:gridSpan w:val="4"/>
            <w:tcBorders>
              <w:top w:val="single" w:color="auto" w:sz="4" w:space="0"/>
              <w:left w:val="single" w:color="auto" w:sz="4" w:space="0"/>
              <w:bottom w:val="single" w:color="auto" w:sz="4" w:space="0"/>
              <w:right w:val="single" w:color="auto" w:sz="4" w:space="0"/>
            </w:tcBorders>
            <w:vAlign w:val="center"/>
          </w:tcPr>
          <w:p w14:paraId="74987063">
            <w:pPr>
              <w:topLinePunct/>
              <w:adjustRightInd w:val="0"/>
              <w:snapToGrid w:val="0"/>
              <w:jc w:val="center"/>
              <w:rPr>
                <w:rFonts w:ascii="宋体" w:hAnsi="宋体" w:cs="宋体"/>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DFCDA6B">
            <w:pPr>
              <w:topLinePunct/>
              <w:adjustRightInd w:val="0"/>
              <w:snapToGrid w:val="0"/>
              <w:jc w:val="center"/>
              <w:rPr>
                <w:rFonts w:ascii="宋体" w:hAnsi="宋体" w:cs="宋体"/>
                <w:sz w:val="21"/>
                <w:szCs w:val="21"/>
              </w:rPr>
            </w:pPr>
            <w:r>
              <w:rPr>
                <w:rFonts w:hint="eastAsia" w:ascii="宋体" w:hAnsi="宋体" w:cs="宋体"/>
                <w:sz w:val="21"/>
                <w:szCs w:val="21"/>
              </w:rPr>
              <w:t>电 话</w:t>
            </w:r>
          </w:p>
        </w:tc>
        <w:tc>
          <w:tcPr>
            <w:tcW w:w="2766" w:type="dxa"/>
            <w:gridSpan w:val="3"/>
            <w:tcBorders>
              <w:top w:val="single" w:color="auto" w:sz="4" w:space="0"/>
              <w:left w:val="single" w:color="auto" w:sz="4" w:space="0"/>
              <w:bottom w:val="single" w:color="auto" w:sz="4" w:space="0"/>
              <w:right w:val="single" w:color="auto" w:sz="4" w:space="0"/>
            </w:tcBorders>
            <w:vAlign w:val="center"/>
          </w:tcPr>
          <w:p w14:paraId="13F23EAC">
            <w:pPr>
              <w:topLinePunct/>
              <w:adjustRightInd w:val="0"/>
              <w:snapToGrid w:val="0"/>
              <w:jc w:val="center"/>
              <w:rPr>
                <w:rFonts w:ascii="宋体" w:hAnsi="宋体" w:cs="宋体"/>
                <w:sz w:val="21"/>
                <w:szCs w:val="21"/>
              </w:rPr>
            </w:pPr>
          </w:p>
        </w:tc>
      </w:tr>
      <w:tr w14:paraId="6030C5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vMerge w:val="continue"/>
            <w:tcBorders>
              <w:top w:val="single" w:color="auto" w:sz="4" w:space="0"/>
              <w:left w:val="single" w:color="auto" w:sz="4" w:space="0"/>
              <w:bottom w:val="single" w:color="auto" w:sz="4" w:space="0"/>
              <w:right w:val="single" w:color="auto" w:sz="4" w:space="0"/>
            </w:tcBorders>
            <w:vAlign w:val="center"/>
          </w:tcPr>
          <w:p w14:paraId="6277860E">
            <w:pPr>
              <w:topLinePunct/>
              <w:adjustRightInd w:val="0"/>
              <w:snapToGrid w:val="0"/>
              <w:jc w:val="center"/>
              <w:rPr>
                <w:rFonts w:ascii="宋体" w:hAnsi="宋体" w:cs="宋体"/>
                <w:sz w:val="21"/>
                <w:szCs w:val="21"/>
              </w:rPr>
            </w:pPr>
          </w:p>
        </w:tc>
        <w:tc>
          <w:tcPr>
            <w:tcW w:w="944" w:type="dxa"/>
            <w:tcBorders>
              <w:top w:val="single" w:color="auto" w:sz="4" w:space="0"/>
              <w:left w:val="single" w:color="auto" w:sz="4" w:space="0"/>
              <w:bottom w:val="single" w:color="auto" w:sz="4" w:space="0"/>
              <w:right w:val="single" w:color="auto" w:sz="4" w:space="0"/>
            </w:tcBorders>
            <w:vAlign w:val="center"/>
          </w:tcPr>
          <w:p w14:paraId="462090FE">
            <w:pPr>
              <w:topLinePunct/>
              <w:adjustRightInd w:val="0"/>
              <w:snapToGrid w:val="0"/>
              <w:jc w:val="center"/>
              <w:rPr>
                <w:rFonts w:ascii="宋体" w:hAnsi="宋体" w:cs="宋体"/>
                <w:sz w:val="21"/>
                <w:szCs w:val="21"/>
              </w:rPr>
            </w:pPr>
            <w:r>
              <w:rPr>
                <w:rFonts w:hint="eastAsia" w:ascii="宋体" w:hAnsi="宋体" w:cs="宋体"/>
                <w:sz w:val="21"/>
                <w:szCs w:val="21"/>
              </w:rPr>
              <w:t>传  真</w:t>
            </w:r>
          </w:p>
        </w:tc>
        <w:tc>
          <w:tcPr>
            <w:tcW w:w="2655" w:type="dxa"/>
            <w:gridSpan w:val="4"/>
            <w:tcBorders>
              <w:top w:val="single" w:color="auto" w:sz="4" w:space="0"/>
              <w:left w:val="single" w:color="auto" w:sz="4" w:space="0"/>
              <w:bottom w:val="single" w:color="auto" w:sz="4" w:space="0"/>
              <w:right w:val="single" w:color="auto" w:sz="4" w:space="0"/>
            </w:tcBorders>
            <w:vAlign w:val="center"/>
          </w:tcPr>
          <w:p w14:paraId="62FA3274">
            <w:pPr>
              <w:topLinePunct/>
              <w:adjustRightInd w:val="0"/>
              <w:snapToGrid w:val="0"/>
              <w:jc w:val="center"/>
              <w:rPr>
                <w:rFonts w:ascii="宋体" w:hAnsi="宋体" w:cs="宋体"/>
                <w:sz w:val="2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3A763271">
            <w:pPr>
              <w:topLinePunct/>
              <w:adjustRightInd w:val="0"/>
              <w:snapToGrid w:val="0"/>
              <w:jc w:val="center"/>
              <w:rPr>
                <w:rFonts w:ascii="宋体" w:hAnsi="宋体" w:cs="宋体"/>
                <w:sz w:val="21"/>
                <w:szCs w:val="21"/>
              </w:rPr>
            </w:pPr>
            <w:r>
              <w:rPr>
                <w:rFonts w:hint="eastAsia" w:ascii="宋体" w:hAnsi="宋体" w:cs="宋体"/>
                <w:sz w:val="21"/>
                <w:szCs w:val="21"/>
              </w:rPr>
              <w:t>网 址</w:t>
            </w:r>
          </w:p>
        </w:tc>
        <w:tc>
          <w:tcPr>
            <w:tcW w:w="2766" w:type="dxa"/>
            <w:gridSpan w:val="3"/>
            <w:tcBorders>
              <w:top w:val="single" w:color="auto" w:sz="4" w:space="0"/>
              <w:left w:val="single" w:color="auto" w:sz="4" w:space="0"/>
              <w:bottom w:val="single" w:color="auto" w:sz="4" w:space="0"/>
              <w:right w:val="single" w:color="auto" w:sz="4" w:space="0"/>
            </w:tcBorders>
            <w:vAlign w:val="center"/>
          </w:tcPr>
          <w:p w14:paraId="2256448B">
            <w:pPr>
              <w:topLinePunct/>
              <w:adjustRightInd w:val="0"/>
              <w:snapToGrid w:val="0"/>
              <w:jc w:val="center"/>
              <w:rPr>
                <w:rFonts w:ascii="宋体" w:hAnsi="宋体" w:cs="宋体"/>
                <w:sz w:val="21"/>
                <w:szCs w:val="21"/>
              </w:rPr>
            </w:pPr>
          </w:p>
        </w:tc>
      </w:tr>
      <w:tr w14:paraId="1430B9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788E541D">
            <w:pPr>
              <w:topLinePunct/>
              <w:adjustRightInd w:val="0"/>
              <w:snapToGrid w:val="0"/>
              <w:jc w:val="center"/>
              <w:rPr>
                <w:rFonts w:ascii="宋体" w:hAnsi="宋体" w:cs="宋体"/>
                <w:sz w:val="21"/>
                <w:szCs w:val="21"/>
              </w:rPr>
            </w:pPr>
            <w:r>
              <w:rPr>
                <w:rFonts w:hint="eastAsia" w:ascii="宋体" w:hAnsi="宋体" w:cs="宋体"/>
                <w:sz w:val="21"/>
                <w:szCs w:val="21"/>
              </w:rPr>
              <w:t>组织结构</w:t>
            </w:r>
          </w:p>
        </w:tc>
        <w:tc>
          <w:tcPr>
            <w:tcW w:w="7499" w:type="dxa"/>
            <w:gridSpan w:val="9"/>
            <w:tcBorders>
              <w:top w:val="single" w:color="auto" w:sz="4" w:space="0"/>
              <w:left w:val="single" w:color="auto" w:sz="4" w:space="0"/>
              <w:bottom w:val="single" w:color="auto" w:sz="4" w:space="0"/>
              <w:right w:val="single" w:color="auto" w:sz="4" w:space="0"/>
            </w:tcBorders>
            <w:vAlign w:val="center"/>
          </w:tcPr>
          <w:p w14:paraId="5FA4C105">
            <w:pPr>
              <w:topLinePunct/>
              <w:adjustRightInd w:val="0"/>
              <w:snapToGrid w:val="0"/>
              <w:jc w:val="center"/>
              <w:rPr>
                <w:rFonts w:ascii="宋体" w:hAnsi="宋体" w:cs="宋体"/>
                <w:sz w:val="21"/>
                <w:szCs w:val="21"/>
              </w:rPr>
            </w:pPr>
          </w:p>
        </w:tc>
      </w:tr>
      <w:tr w14:paraId="45D50C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13B84C3A">
            <w:pPr>
              <w:topLinePunct/>
              <w:adjustRightInd w:val="0"/>
              <w:snapToGrid w:val="0"/>
              <w:jc w:val="center"/>
              <w:rPr>
                <w:rFonts w:ascii="宋体" w:hAnsi="宋体" w:cs="宋体"/>
                <w:sz w:val="21"/>
                <w:szCs w:val="21"/>
              </w:rPr>
            </w:pPr>
            <w:r>
              <w:rPr>
                <w:rFonts w:hint="eastAsia" w:ascii="宋体" w:hAnsi="宋体" w:cs="宋体"/>
                <w:sz w:val="21"/>
                <w:szCs w:val="21"/>
              </w:rPr>
              <w:t>法定代表人</w:t>
            </w:r>
          </w:p>
        </w:tc>
        <w:tc>
          <w:tcPr>
            <w:tcW w:w="944" w:type="dxa"/>
            <w:tcBorders>
              <w:top w:val="single" w:color="auto" w:sz="4" w:space="0"/>
              <w:left w:val="single" w:color="auto" w:sz="4" w:space="0"/>
              <w:bottom w:val="single" w:color="auto" w:sz="4" w:space="0"/>
              <w:right w:val="single" w:color="auto" w:sz="4" w:space="0"/>
            </w:tcBorders>
            <w:vAlign w:val="center"/>
          </w:tcPr>
          <w:p w14:paraId="0E0A339E">
            <w:pPr>
              <w:topLinePunct/>
              <w:adjustRightInd w:val="0"/>
              <w:snapToGrid w:val="0"/>
              <w:jc w:val="center"/>
              <w:rPr>
                <w:rFonts w:ascii="宋体" w:hAnsi="宋体" w:cs="宋体"/>
                <w:sz w:val="21"/>
                <w:szCs w:val="21"/>
              </w:rPr>
            </w:pPr>
            <w:r>
              <w:rPr>
                <w:rFonts w:hint="eastAsia" w:ascii="宋体" w:hAnsi="宋体" w:cs="宋体"/>
                <w:sz w:val="21"/>
                <w:szCs w:val="21"/>
              </w:rPr>
              <w:t>姓名</w:t>
            </w:r>
          </w:p>
        </w:tc>
        <w:tc>
          <w:tcPr>
            <w:tcW w:w="1002" w:type="dxa"/>
            <w:tcBorders>
              <w:top w:val="single" w:color="auto" w:sz="4" w:space="0"/>
              <w:left w:val="single" w:color="auto" w:sz="4" w:space="0"/>
              <w:bottom w:val="single" w:color="auto" w:sz="4" w:space="0"/>
              <w:right w:val="single" w:color="auto" w:sz="4" w:space="0"/>
            </w:tcBorders>
            <w:vAlign w:val="center"/>
          </w:tcPr>
          <w:p w14:paraId="7FCAF51F">
            <w:pPr>
              <w:topLinePunct/>
              <w:adjustRightInd w:val="0"/>
              <w:snapToGrid w:val="0"/>
              <w:jc w:val="center"/>
              <w:rPr>
                <w:rFonts w:ascii="宋体" w:hAnsi="宋体" w:cs="宋体"/>
                <w:sz w:val="21"/>
                <w:szCs w:val="21"/>
              </w:rPr>
            </w:pPr>
          </w:p>
        </w:tc>
        <w:tc>
          <w:tcPr>
            <w:tcW w:w="1325" w:type="dxa"/>
            <w:gridSpan w:val="2"/>
            <w:tcBorders>
              <w:top w:val="single" w:color="auto" w:sz="4" w:space="0"/>
              <w:left w:val="single" w:color="auto" w:sz="4" w:space="0"/>
              <w:bottom w:val="single" w:color="auto" w:sz="4" w:space="0"/>
              <w:right w:val="single" w:color="auto" w:sz="4" w:space="0"/>
            </w:tcBorders>
            <w:vAlign w:val="center"/>
          </w:tcPr>
          <w:p w14:paraId="2B3EB309">
            <w:pPr>
              <w:topLinePunct/>
              <w:adjustRightInd w:val="0"/>
              <w:snapToGrid w:val="0"/>
              <w:jc w:val="center"/>
              <w:rPr>
                <w:rFonts w:ascii="宋体" w:hAnsi="宋体" w:cs="宋体"/>
                <w:sz w:val="21"/>
                <w:szCs w:val="21"/>
              </w:rPr>
            </w:pPr>
            <w:r>
              <w:rPr>
                <w:rFonts w:hint="eastAsia" w:ascii="宋体" w:hAnsi="宋体" w:cs="宋体"/>
                <w:sz w:val="21"/>
                <w:szCs w:val="21"/>
              </w:rPr>
              <w:t>技术职称</w:t>
            </w:r>
          </w:p>
        </w:tc>
        <w:tc>
          <w:tcPr>
            <w:tcW w:w="1978" w:type="dxa"/>
            <w:gridSpan w:val="3"/>
            <w:tcBorders>
              <w:top w:val="single" w:color="auto" w:sz="4" w:space="0"/>
              <w:left w:val="single" w:color="auto" w:sz="4" w:space="0"/>
              <w:bottom w:val="single" w:color="auto" w:sz="4" w:space="0"/>
              <w:right w:val="single" w:color="auto" w:sz="4" w:space="0"/>
            </w:tcBorders>
            <w:vAlign w:val="center"/>
          </w:tcPr>
          <w:p w14:paraId="5B7A3CDA">
            <w:pPr>
              <w:topLinePunct/>
              <w:adjustRightInd w:val="0"/>
              <w:snapToGrid w:val="0"/>
              <w:jc w:val="center"/>
              <w:rPr>
                <w:rFonts w:ascii="宋体" w:hAnsi="宋体" w:cs="宋体"/>
                <w:sz w:val="21"/>
                <w:szCs w:val="21"/>
              </w:rPr>
            </w:pPr>
          </w:p>
        </w:tc>
        <w:tc>
          <w:tcPr>
            <w:tcW w:w="905" w:type="dxa"/>
            <w:tcBorders>
              <w:top w:val="single" w:color="auto" w:sz="4" w:space="0"/>
              <w:left w:val="single" w:color="auto" w:sz="4" w:space="0"/>
              <w:bottom w:val="single" w:color="auto" w:sz="4" w:space="0"/>
              <w:right w:val="single" w:color="auto" w:sz="4" w:space="0"/>
            </w:tcBorders>
            <w:vAlign w:val="center"/>
          </w:tcPr>
          <w:p w14:paraId="26FB3D58">
            <w:pPr>
              <w:topLinePunct/>
              <w:adjustRightInd w:val="0"/>
              <w:snapToGrid w:val="0"/>
              <w:jc w:val="center"/>
              <w:rPr>
                <w:rFonts w:ascii="宋体" w:hAnsi="宋体" w:cs="宋体"/>
                <w:sz w:val="21"/>
                <w:szCs w:val="21"/>
              </w:rPr>
            </w:pPr>
            <w:r>
              <w:rPr>
                <w:rFonts w:hint="eastAsia" w:ascii="宋体" w:hAnsi="宋体" w:cs="宋体"/>
                <w:sz w:val="21"/>
                <w:szCs w:val="21"/>
              </w:rPr>
              <w:t>电话</w:t>
            </w:r>
          </w:p>
        </w:tc>
        <w:tc>
          <w:tcPr>
            <w:tcW w:w="1345" w:type="dxa"/>
            <w:tcBorders>
              <w:top w:val="single" w:color="auto" w:sz="4" w:space="0"/>
              <w:left w:val="single" w:color="auto" w:sz="4" w:space="0"/>
              <w:bottom w:val="single" w:color="auto" w:sz="4" w:space="0"/>
              <w:right w:val="single" w:color="auto" w:sz="4" w:space="0"/>
            </w:tcBorders>
            <w:vAlign w:val="center"/>
          </w:tcPr>
          <w:p w14:paraId="11A22486">
            <w:pPr>
              <w:topLinePunct/>
              <w:adjustRightInd w:val="0"/>
              <w:snapToGrid w:val="0"/>
              <w:jc w:val="center"/>
              <w:rPr>
                <w:rFonts w:ascii="宋体" w:hAnsi="宋体" w:cs="宋体"/>
                <w:sz w:val="21"/>
                <w:szCs w:val="21"/>
              </w:rPr>
            </w:pPr>
          </w:p>
        </w:tc>
      </w:tr>
      <w:tr w14:paraId="475B6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09A5CB6E">
            <w:pPr>
              <w:topLinePunct/>
              <w:adjustRightInd w:val="0"/>
              <w:snapToGrid w:val="0"/>
              <w:jc w:val="center"/>
              <w:rPr>
                <w:rFonts w:ascii="宋体" w:hAnsi="宋体" w:cs="宋体"/>
                <w:sz w:val="21"/>
                <w:szCs w:val="21"/>
              </w:rPr>
            </w:pPr>
            <w:r>
              <w:rPr>
                <w:rFonts w:hint="eastAsia" w:ascii="宋体" w:hAnsi="宋体" w:cs="宋体"/>
                <w:sz w:val="21"/>
                <w:szCs w:val="21"/>
              </w:rPr>
              <w:t>技术负责人</w:t>
            </w:r>
          </w:p>
        </w:tc>
        <w:tc>
          <w:tcPr>
            <w:tcW w:w="944" w:type="dxa"/>
            <w:tcBorders>
              <w:top w:val="single" w:color="auto" w:sz="4" w:space="0"/>
              <w:left w:val="single" w:color="auto" w:sz="4" w:space="0"/>
              <w:bottom w:val="single" w:color="auto" w:sz="4" w:space="0"/>
              <w:right w:val="single" w:color="auto" w:sz="4" w:space="0"/>
            </w:tcBorders>
            <w:vAlign w:val="center"/>
          </w:tcPr>
          <w:p w14:paraId="12FDC079">
            <w:pPr>
              <w:topLinePunct/>
              <w:adjustRightInd w:val="0"/>
              <w:snapToGrid w:val="0"/>
              <w:jc w:val="center"/>
              <w:rPr>
                <w:rFonts w:ascii="宋体" w:hAnsi="宋体" w:cs="宋体"/>
                <w:sz w:val="21"/>
                <w:szCs w:val="21"/>
              </w:rPr>
            </w:pPr>
            <w:r>
              <w:rPr>
                <w:rFonts w:hint="eastAsia" w:ascii="宋体" w:hAnsi="宋体" w:cs="宋体"/>
                <w:sz w:val="21"/>
                <w:szCs w:val="21"/>
              </w:rPr>
              <w:t>姓名</w:t>
            </w:r>
          </w:p>
        </w:tc>
        <w:tc>
          <w:tcPr>
            <w:tcW w:w="1002" w:type="dxa"/>
            <w:tcBorders>
              <w:top w:val="single" w:color="auto" w:sz="4" w:space="0"/>
              <w:left w:val="single" w:color="auto" w:sz="4" w:space="0"/>
              <w:bottom w:val="single" w:color="auto" w:sz="4" w:space="0"/>
              <w:right w:val="single" w:color="auto" w:sz="4" w:space="0"/>
            </w:tcBorders>
            <w:vAlign w:val="center"/>
          </w:tcPr>
          <w:p w14:paraId="54F65FC8">
            <w:pPr>
              <w:topLinePunct/>
              <w:adjustRightInd w:val="0"/>
              <w:snapToGrid w:val="0"/>
              <w:jc w:val="center"/>
              <w:rPr>
                <w:rFonts w:ascii="宋体" w:hAnsi="宋体" w:cs="宋体"/>
                <w:sz w:val="21"/>
                <w:szCs w:val="21"/>
              </w:rPr>
            </w:pPr>
          </w:p>
        </w:tc>
        <w:tc>
          <w:tcPr>
            <w:tcW w:w="1325" w:type="dxa"/>
            <w:gridSpan w:val="2"/>
            <w:tcBorders>
              <w:top w:val="single" w:color="auto" w:sz="4" w:space="0"/>
              <w:left w:val="single" w:color="auto" w:sz="4" w:space="0"/>
              <w:bottom w:val="single" w:color="auto" w:sz="4" w:space="0"/>
              <w:right w:val="single" w:color="auto" w:sz="4" w:space="0"/>
            </w:tcBorders>
            <w:vAlign w:val="center"/>
          </w:tcPr>
          <w:p w14:paraId="2D187F32">
            <w:pPr>
              <w:topLinePunct/>
              <w:adjustRightInd w:val="0"/>
              <w:snapToGrid w:val="0"/>
              <w:jc w:val="center"/>
              <w:rPr>
                <w:rFonts w:ascii="宋体" w:hAnsi="宋体" w:cs="宋体"/>
                <w:sz w:val="21"/>
                <w:szCs w:val="21"/>
              </w:rPr>
            </w:pPr>
            <w:r>
              <w:rPr>
                <w:rFonts w:hint="eastAsia" w:ascii="宋体" w:hAnsi="宋体" w:cs="宋体"/>
                <w:sz w:val="21"/>
                <w:szCs w:val="21"/>
              </w:rPr>
              <w:t>技术职称</w:t>
            </w:r>
          </w:p>
        </w:tc>
        <w:tc>
          <w:tcPr>
            <w:tcW w:w="1978" w:type="dxa"/>
            <w:gridSpan w:val="3"/>
            <w:tcBorders>
              <w:top w:val="single" w:color="auto" w:sz="4" w:space="0"/>
              <w:left w:val="single" w:color="auto" w:sz="4" w:space="0"/>
              <w:bottom w:val="single" w:color="auto" w:sz="4" w:space="0"/>
              <w:right w:val="single" w:color="auto" w:sz="4" w:space="0"/>
            </w:tcBorders>
            <w:vAlign w:val="center"/>
          </w:tcPr>
          <w:p w14:paraId="61A9F552">
            <w:pPr>
              <w:topLinePunct/>
              <w:adjustRightInd w:val="0"/>
              <w:snapToGrid w:val="0"/>
              <w:jc w:val="center"/>
              <w:rPr>
                <w:rFonts w:ascii="宋体" w:hAnsi="宋体" w:cs="宋体"/>
                <w:sz w:val="21"/>
                <w:szCs w:val="21"/>
              </w:rPr>
            </w:pPr>
          </w:p>
        </w:tc>
        <w:tc>
          <w:tcPr>
            <w:tcW w:w="905" w:type="dxa"/>
            <w:tcBorders>
              <w:top w:val="single" w:color="auto" w:sz="4" w:space="0"/>
              <w:left w:val="single" w:color="auto" w:sz="4" w:space="0"/>
              <w:bottom w:val="single" w:color="auto" w:sz="4" w:space="0"/>
              <w:right w:val="single" w:color="auto" w:sz="4" w:space="0"/>
            </w:tcBorders>
            <w:vAlign w:val="center"/>
          </w:tcPr>
          <w:p w14:paraId="10BF47F6">
            <w:pPr>
              <w:topLinePunct/>
              <w:adjustRightInd w:val="0"/>
              <w:snapToGrid w:val="0"/>
              <w:jc w:val="center"/>
              <w:rPr>
                <w:rFonts w:ascii="宋体" w:hAnsi="宋体" w:cs="宋体"/>
                <w:sz w:val="21"/>
                <w:szCs w:val="21"/>
              </w:rPr>
            </w:pPr>
            <w:r>
              <w:rPr>
                <w:rFonts w:hint="eastAsia" w:ascii="宋体" w:hAnsi="宋体" w:cs="宋体"/>
                <w:sz w:val="21"/>
                <w:szCs w:val="21"/>
              </w:rPr>
              <w:t>电话</w:t>
            </w:r>
          </w:p>
        </w:tc>
        <w:tc>
          <w:tcPr>
            <w:tcW w:w="1345" w:type="dxa"/>
            <w:tcBorders>
              <w:top w:val="single" w:color="auto" w:sz="4" w:space="0"/>
              <w:left w:val="single" w:color="auto" w:sz="4" w:space="0"/>
              <w:bottom w:val="single" w:color="auto" w:sz="4" w:space="0"/>
              <w:right w:val="single" w:color="auto" w:sz="4" w:space="0"/>
            </w:tcBorders>
            <w:vAlign w:val="center"/>
          </w:tcPr>
          <w:p w14:paraId="4639721D">
            <w:pPr>
              <w:topLinePunct/>
              <w:adjustRightInd w:val="0"/>
              <w:snapToGrid w:val="0"/>
              <w:jc w:val="center"/>
              <w:rPr>
                <w:rFonts w:ascii="宋体" w:hAnsi="宋体" w:cs="宋体"/>
                <w:sz w:val="21"/>
                <w:szCs w:val="21"/>
              </w:rPr>
            </w:pPr>
          </w:p>
        </w:tc>
      </w:tr>
      <w:tr w14:paraId="7E8FB0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54AE0931">
            <w:pPr>
              <w:topLinePunct/>
              <w:adjustRightInd w:val="0"/>
              <w:snapToGrid w:val="0"/>
              <w:jc w:val="center"/>
              <w:rPr>
                <w:rFonts w:ascii="宋体" w:hAnsi="宋体" w:cs="宋体"/>
                <w:sz w:val="21"/>
                <w:szCs w:val="21"/>
              </w:rPr>
            </w:pPr>
            <w:r>
              <w:rPr>
                <w:rFonts w:hint="eastAsia" w:ascii="宋体" w:hAnsi="宋体" w:cs="宋体"/>
                <w:sz w:val="21"/>
                <w:szCs w:val="21"/>
              </w:rPr>
              <w:t>成立时间</w:t>
            </w: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5BC007CD">
            <w:pPr>
              <w:topLinePunct/>
              <w:adjustRightInd w:val="0"/>
              <w:snapToGrid w:val="0"/>
              <w:jc w:val="center"/>
              <w:rPr>
                <w:rFonts w:ascii="宋体" w:hAnsi="宋体" w:cs="宋体"/>
                <w:sz w:val="21"/>
                <w:szCs w:val="21"/>
              </w:rPr>
            </w:pPr>
          </w:p>
        </w:tc>
        <w:tc>
          <w:tcPr>
            <w:tcW w:w="5553" w:type="dxa"/>
            <w:gridSpan w:val="7"/>
            <w:tcBorders>
              <w:top w:val="single" w:color="auto" w:sz="4" w:space="0"/>
              <w:left w:val="single" w:color="auto" w:sz="4" w:space="0"/>
              <w:bottom w:val="single" w:color="auto" w:sz="4" w:space="0"/>
              <w:right w:val="single" w:color="auto" w:sz="4" w:space="0"/>
            </w:tcBorders>
            <w:vAlign w:val="center"/>
          </w:tcPr>
          <w:p w14:paraId="7B935303">
            <w:pPr>
              <w:topLinePunct/>
              <w:adjustRightInd w:val="0"/>
              <w:snapToGrid w:val="0"/>
              <w:ind w:firstLine="105" w:firstLineChars="50"/>
              <w:rPr>
                <w:rFonts w:ascii="宋体" w:hAnsi="宋体" w:cs="宋体"/>
                <w:sz w:val="21"/>
                <w:szCs w:val="21"/>
              </w:rPr>
            </w:pPr>
            <w:r>
              <w:rPr>
                <w:rFonts w:hint="eastAsia" w:ascii="宋体" w:hAnsi="宋体" w:cs="宋体"/>
                <w:sz w:val="21"/>
                <w:szCs w:val="21"/>
              </w:rPr>
              <w:t>员工总人数：</w:t>
            </w:r>
            <w:r>
              <w:rPr>
                <w:rFonts w:hint="eastAsia" w:ascii="宋体" w:hAnsi="宋体" w:cs="宋体"/>
                <w:sz w:val="21"/>
                <w:szCs w:val="21"/>
                <w:u w:val="single"/>
              </w:rPr>
              <w:t xml:space="preserve">  </w:t>
            </w:r>
            <w:r>
              <w:rPr>
                <w:rFonts w:hint="eastAsia" w:ascii="宋体" w:hAnsi="宋体" w:cs="宋体"/>
                <w:sz w:val="21"/>
                <w:szCs w:val="21"/>
              </w:rPr>
              <w:t>人</w:t>
            </w:r>
          </w:p>
        </w:tc>
      </w:tr>
      <w:tr w14:paraId="787D6E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vMerge w:val="restart"/>
            <w:tcBorders>
              <w:top w:val="single" w:color="auto" w:sz="4" w:space="0"/>
              <w:left w:val="single" w:color="auto" w:sz="4" w:space="0"/>
              <w:right w:val="single" w:color="auto" w:sz="4" w:space="0"/>
            </w:tcBorders>
            <w:vAlign w:val="center"/>
          </w:tcPr>
          <w:p w14:paraId="454B10EB">
            <w:pPr>
              <w:topLinePunct/>
              <w:adjustRightInd w:val="0"/>
              <w:snapToGrid w:val="0"/>
              <w:jc w:val="center"/>
              <w:rPr>
                <w:rFonts w:ascii="宋体" w:hAnsi="宋体" w:cs="宋体"/>
                <w:sz w:val="21"/>
                <w:szCs w:val="21"/>
              </w:rPr>
            </w:pPr>
            <w:r>
              <w:rPr>
                <w:rFonts w:hint="eastAsia" w:ascii="宋体" w:hAnsi="宋体" w:cs="宋体"/>
                <w:sz w:val="21"/>
                <w:szCs w:val="21"/>
              </w:rPr>
              <w:t>企业资质等级</w:t>
            </w: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0C4B8595">
            <w:pPr>
              <w:topLinePunct/>
              <w:adjustRightInd w:val="0"/>
              <w:snapToGrid w:val="0"/>
              <w:jc w:val="center"/>
              <w:rPr>
                <w:rFonts w:ascii="宋体" w:hAnsi="宋体" w:cs="宋体"/>
                <w:sz w:val="21"/>
                <w:szCs w:val="21"/>
              </w:rPr>
            </w:pPr>
          </w:p>
        </w:tc>
        <w:tc>
          <w:tcPr>
            <w:tcW w:w="883" w:type="dxa"/>
            <w:vMerge w:val="restart"/>
            <w:tcBorders>
              <w:top w:val="single" w:color="auto" w:sz="4" w:space="0"/>
              <w:left w:val="single" w:color="auto" w:sz="4" w:space="0"/>
              <w:bottom w:val="single" w:color="auto" w:sz="4" w:space="0"/>
              <w:right w:val="single" w:color="auto" w:sz="4" w:space="0"/>
            </w:tcBorders>
            <w:vAlign w:val="center"/>
          </w:tcPr>
          <w:p w14:paraId="656F493D">
            <w:pPr>
              <w:topLinePunct/>
              <w:adjustRightInd w:val="0"/>
              <w:snapToGrid w:val="0"/>
              <w:jc w:val="center"/>
              <w:rPr>
                <w:rFonts w:ascii="宋体" w:hAnsi="宋体" w:cs="宋体"/>
                <w:sz w:val="21"/>
                <w:szCs w:val="21"/>
              </w:rPr>
            </w:pPr>
            <w:r>
              <w:rPr>
                <w:rFonts w:hint="eastAsia" w:ascii="宋体" w:hAnsi="宋体" w:cs="宋体"/>
                <w:sz w:val="21"/>
                <w:szCs w:val="21"/>
              </w:rPr>
              <w:t>其中</w:t>
            </w:r>
          </w:p>
        </w:tc>
        <w:tc>
          <w:tcPr>
            <w:tcW w:w="2420" w:type="dxa"/>
            <w:gridSpan w:val="4"/>
            <w:tcBorders>
              <w:top w:val="single" w:color="auto" w:sz="4" w:space="0"/>
              <w:left w:val="single" w:color="auto" w:sz="4" w:space="0"/>
              <w:bottom w:val="single" w:color="auto" w:sz="4" w:space="0"/>
              <w:right w:val="single" w:color="auto" w:sz="4" w:space="0"/>
            </w:tcBorders>
            <w:vAlign w:val="center"/>
          </w:tcPr>
          <w:p w14:paraId="60E2A9FB">
            <w:pPr>
              <w:topLinePunct/>
              <w:adjustRightInd w:val="0"/>
              <w:snapToGrid w:val="0"/>
              <w:jc w:val="center"/>
              <w:rPr>
                <w:rFonts w:ascii="宋体" w:hAnsi="宋体" w:cs="宋体"/>
                <w:sz w:val="21"/>
                <w:szCs w:val="21"/>
              </w:rPr>
            </w:pPr>
            <w:r>
              <w:rPr>
                <w:rFonts w:hint="eastAsia" w:ascii="宋体" w:hAnsi="宋体" w:cs="宋体"/>
                <w:sz w:val="21"/>
                <w:szCs w:val="21"/>
              </w:rPr>
              <w:t>项目经理</w:t>
            </w:r>
          </w:p>
        </w:tc>
        <w:tc>
          <w:tcPr>
            <w:tcW w:w="2250" w:type="dxa"/>
            <w:gridSpan w:val="2"/>
            <w:tcBorders>
              <w:top w:val="single" w:color="auto" w:sz="4" w:space="0"/>
              <w:left w:val="single" w:color="auto" w:sz="4" w:space="0"/>
              <w:bottom w:val="single" w:color="auto" w:sz="4" w:space="0"/>
              <w:right w:val="single" w:color="auto" w:sz="4" w:space="0"/>
            </w:tcBorders>
            <w:vAlign w:val="center"/>
          </w:tcPr>
          <w:p w14:paraId="30F16B08">
            <w:pPr>
              <w:topLinePunct/>
              <w:adjustRightInd w:val="0"/>
              <w:snapToGrid w:val="0"/>
              <w:jc w:val="center"/>
              <w:rPr>
                <w:rFonts w:ascii="宋体" w:hAnsi="宋体" w:cs="宋体"/>
                <w:sz w:val="21"/>
                <w:szCs w:val="21"/>
              </w:rPr>
            </w:pPr>
          </w:p>
        </w:tc>
      </w:tr>
      <w:tr w14:paraId="5D41F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vMerge w:val="continue"/>
            <w:tcBorders>
              <w:left w:val="single" w:color="auto" w:sz="4" w:space="0"/>
              <w:right w:val="single" w:color="auto" w:sz="4" w:space="0"/>
            </w:tcBorders>
            <w:vAlign w:val="center"/>
          </w:tcPr>
          <w:p w14:paraId="00450559">
            <w:pPr>
              <w:topLinePunct/>
              <w:adjustRightInd w:val="0"/>
              <w:snapToGrid w:val="0"/>
              <w:jc w:val="center"/>
              <w:rPr>
                <w:rFonts w:ascii="宋体" w:hAnsi="宋体" w:cs="宋体"/>
                <w:sz w:val="21"/>
                <w:szCs w:val="21"/>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0AA16148">
            <w:pPr>
              <w:topLinePunct/>
              <w:adjustRightInd w:val="0"/>
              <w:snapToGrid w:val="0"/>
              <w:jc w:val="center"/>
              <w:rPr>
                <w:rFonts w:ascii="宋体" w:hAnsi="宋体" w:cs="宋体"/>
                <w:sz w:val="21"/>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14:paraId="2F5673FB">
            <w:pPr>
              <w:topLinePunct/>
              <w:adjustRightInd w:val="0"/>
              <w:snapToGrid w:val="0"/>
              <w:jc w:val="center"/>
              <w:rPr>
                <w:rFonts w:ascii="宋体" w:hAnsi="宋体" w:cs="宋体"/>
                <w:sz w:val="21"/>
                <w:szCs w:val="21"/>
              </w:rPr>
            </w:pPr>
          </w:p>
        </w:tc>
        <w:tc>
          <w:tcPr>
            <w:tcW w:w="2420" w:type="dxa"/>
            <w:gridSpan w:val="4"/>
            <w:tcBorders>
              <w:top w:val="single" w:color="auto" w:sz="4" w:space="0"/>
              <w:left w:val="single" w:color="auto" w:sz="4" w:space="0"/>
              <w:bottom w:val="single" w:color="auto" w:sz="4" w:space="0"/>
              <w:right w:val="single" w:color="auto" w:sz="4" w:space="0"/>
            </w:tcBorders>
            <w:vAlign w:val="center"/>
          </w:tcPr>
          <w:p w14:paraId="312D3B60">
            <w:pPr>
              <w:topLinePunct/>
              <w:adjustRightInd w:val="0"/>
              <w:snapToGrid w:val="0"/>
              <w:jc w:val="center"/>
              <w:rPr>
                <w:rFonts w:ascii="宋体" w:hAnsi="宋体" w:cs="宋体"/>
                <w:sz w:val="21"/>
                <w:szCs w:val="21"/>
              </w:rPr>
            </w:pPr>
            <w:r>
              <w:rPr>
                <w:rFonts w:hint="eastAsia" w:ascii="宋体" w:hAnsi="宋体" w:cs="宋体"/>
                <w:sz w:val="21"/>
                <w:szCs w:val="21"/>
              </w:rPr>
              <w:t>高级职称人员</w:t>
            </w:r>
          </w:p>
        </w:tc>
        <w:tc>
          <w:tcPr>
            <w:tcW w:w="2250" w:type="dxa"/>
            <w:gridSpan w:val="2"/>
            <w:tcBorders>
              <w:top w:val="single" w:color="auto" w:sz="4" w:space="0"/>
              <w:left w:val="single" w:color="auto" w:sz="4" w:space="0"/>
              <w:bottom w:val="single" w:color="auto" w:sz="4" w:space="0"/>
              <w:right w:val="single" w:color="auto" w:sz="4" w:space="0"/>
            </w:tcBorders>
            <w:vAlign w:val="center"/>
          </w:tcPr>
          <w:p w14:paraId="3B9EC969">
            <w:pPr>
              <w:topLinePunct/>
              <w:adjustRightInd w:val="0"/>
              <w:snapToGrid w:val="0"/>
              <w:jc w:val="center"/>
              <w:rPr>
                <w:rFonts w:ascii="宋体" w:hAnsi="宋体" w:cs="宋体"/>
                <w:sz w:val="21"/>
                <w:szCs w:val="21"/>
              </w:rPr>
            </w:pPr>
          </w:p>
        </w:tc>
      </w:tr>
      <w:tr w14:paraId="5D0A7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vMerge w:val="continue"/>
            <w:tcBorders>
              <w:left w:val="single" w:color="auto" w:sz="4" w:space="0"/>
              <w:bottom w:val="single" w:color="auto" w:sz="4" w:space="0"/>
              <w:right w:val="single" w:color="auto" w:sz="4" w:space="0"/>
            </w:tcBorders>
            <w:vAlign w:val="center"/>
          </w:tcPr>
          <w:p w14:paraId="38EE78DA">
            <w:pPr>
              <w:topLinePunct/>
              <w:adjustRightInd w:val="0"/>
              <w:snapToGrid w:val="0"/>
              <w:jc w:val="center"/>
              <w:rPr>
                <w:rFonts w:ascii="宋体" w:hAnsi="宋体" w:cs="宋体"/>
                <w:sz w:val="21"/>
                <w:szCs w:val="21"/>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1925368D">
            <w:pPr>
              <w:topLinePunct/>
              <w:adjustRightInd w:val="0"/>
              <w:snapToGrid w:val="0"/>
              <w:jc w:val="center"/>
              <w:rPr>
                <w:rFonts w:ascii="宋体" w:hAnsi="宋体" w:cs="宋体"/>
                <w:sz w:val="21"/>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14:paraId="2536391A">
            <w:pPr>
              <w:topLinePunct/>
              <w:adjustRightInd w:val="0"/>
              <w:snapToGrid w:val="0"/>
              <w:jc w:val="center"/>
              <w:rPr>
                <w:rFonts w:ascii="宋体" w:hAnsi="宋体" w:cs="宋体"/>
                <w:sz w:val="21"/>
                <w:szCs w:val="21"/>
              </w:rPr>
            </w:pPr>
          </w:p>
        </w:tc>
        <w:tc>
          <w:tcPr>
            <w:tcW w:w="2420" w:type="dxa"/>
            <w:gridSpan w:val="4"/>
            <w:tcBorders>
              <w:top w:val="single" w:color="auto" w:sz="4" w:space="0"/>
              <w:left w:val="single" w:color="auto" w:sz="4" w:space="0"/>
              <w:bottom w:val="single" w:color="auto" w:sz="4" w:space="0"/>
              <w:right w:val="single" w:color="auto" w:sz="4" w:space="0"/>
            </w:tcBorders>
            <w:vAlign w:val="center"/>
          </w:tcPr>
          <w:p w14:paraId="6BF8CBCC">
            <w:pPr>
              <w:topLinePunct/>
              <w:adjustRightInd w:val="0"/>
              <w:snapToGrid w:val="0"/>
              <w:jc w:val="center"/>
              <w:rPr>
                <w:rFonts w:ascii="宋体" w:hAnsi="宋体" w:cs="宋体"/>
                <w:sz w:val="21"/>
                <w:szCs w:val="21"/>
              </w:rPr>
            </w:pPr>
            <w:r>
              <w:rPr>
                <w:rFonts w:hint="eastAsia" w:ascii="宋体" w:hAnsi="宋体" w:cs="宋体"/>
                <w:sz w:val="21"/>
                <w:szCs w:val="21"/>
              </w:rPr>
              <w:t>中级职称人员</w:t>
            </w:r>
          </w:p>
        </w:tc>
        <w:tc>
          <w:tcPr>
            <w:tcW w:w="2250" w:type="dxa"/>
            <w:gridSpan w:val="2"/>
            <w:tcBorders>
              <w:top w:val="single" w:color="auto" w:sz="4" w:space="0"/>
              <w:left w:val="single" w:color="auto" w:sz="4" w:space="0"/>
              <w:bottom w:val="single" w:color="auto" w:sz="4" w:space="0"/>
              <w:right w:val="single" w:color="auto" w:sz="4" w:space="0"/>
            </w:tcBorders>
            <w:vAlign w:val="center"/>
          </w:tcPr>
          <w:p w14:paraId="2614136A">
            <w:pPr>
              <w:topLinePunct/>
              <w:adjustRightInd w:val="0"/>
              <w:snapToGrid w:val="0"/>
              <w:jc w:val="center"/>
              <w:rPr>
                <w:rFonts w:ascii="宋体" w:hAnsi="宋体" w:cs="宋体"/>
                <w:sz w:val="21"/>
                <w:szCs w:val="21"/>
              </w:rPr>
            </w:pPr>
          </w:p>
        </w:tc>
      </w:tr>
      <w:tr w14:paraId="4463D1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0523D72B">
            <w:pPr>
              <w:topLinePunct/>
              <w:adjustRightInd w:val="0"/>
              <w:snapToGrid w:val="0"/>
              <w:jc w:val="center"/>
              <w:rPr>
                <w:rFonts w:ascii="宋体" w:hAnsi="宋体" w:cs="宋体"/>
                <w:sz w:val="21"/>
                <w:szCs w:val="21"/>
              </w:rPr>
            </w:pPr>
            <w:r>
              <w:rPr>
                <w:rFonts w:hint="eastAsia" w:ascii="宋体" w:hAnsi="宋体" w:cs="宋体"/>
                <w:sz w:val="21"/>
                <w:szCs w:val="21"/>
              </w:rPr>
              <w:t>营业执照号</w:t>
            </w: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43B5388E">
            <w:pPr>
              <w:topLinePunct/>
              <w:adjustRightInd w:val="0"/>
              <w:snapToGrid w:val="0"/>
              <w:jc w:val="center"/>
              <w:rPr>
                <w:rFonts w:ascii="宋体" w:hAnsi="宋体" w:cs="宋体"/>
                <w:sz w:val="21"/>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14:paraId="5922E457">
            <w:pPr>
              <w:topLinePunct/>
              <w:adjustRightInd w:val="0"/>
              <w:snapToGrid w:val="0"/>
              <w:jc w:val="center"/>
              <w:rPr>
                <w:rFonts w:ascii="宋体" w:hAnsi="宋体" w:cs="宋体"/>
                <w:sz w:val="21"/>
                <w:szCs w:val="21"/>
              </w:rPr>
            </w:pPr>
          </w:p>
        </w:tc>
        <w:tc>
          <w:tcPr>
            <w:tcW w:w="2420" w:type="dxa"/>
            <w:gridSpan w:val="4"/>
            <w:tcBorders>
              <w:top w:val="single" w:color="auto" w:sz="4" w:space="0"/>
              <w:left w:val="single" w:color="auto" w:sz="4" w:space="0"/>
              <w:bottom w:val="single" w:color="auto" w:sz="4" w:space="0"/>
              <w:right w:val="single" w:color="auto" w:sz="4" w:space="0"/>
            </w:tcBorders>
            <w:vAlign w:val="center"/>
          </w:tcPr>
          <w:p w14:paraId="6F927192">
            <w:pPr>
              <w:topLinePunct/>
              <w:adjustRightInd w:val="0"/>
              <w:snapToGrid w:val="0"/>
              <w:jc w:val="center"/>
              <w:rPr>
                <w:rFonts w:ascii="宋体" w:hAnsi="宋体" w:cs="宋体"/>
                <w:sz w:val="21"/>
                <w:szCs w:val="21"/>
              </w:rPr>
            </w:pPr>
            <w:r>
              <w:rPr>
                <w:rFonts w:hint="eastAsia" w:ascii="宋体" w:hAnsi="宋体" w:cs="宋体"/>
                <w:sz w:val="21"/>
                <w:szCs w:val="21"/>
              </w:rPr>
              <w:t>初级职称人员</w:t>
            </w:r>
          </w:p>
        </w:tc>
        <w:tc>
          <w:tcPr>
            <w:tcW w:w="2250" w:type="dxa"/>
            <w:gridSpan w:val="2"/>
            <w:tcBorders>
              <w:top w:val="single" w:color="auto" w:sz="4" w:space="0"/>
              <w:left w:val="single" w:color="auto" w:sz="4" w:space="0"/>
              <w:bottom w:val="single" w:color="auto" w:sz="4" w:space="0"/>
              <w:right w:val="single" w:color="auto" w:sz="4" w:space="0"/>
            </w:tcBorders>
            <w:vAlign w:val="center"/>
          </w:tcPr>
          <w:p w14:paraId="12888C1A">
            <w:pPr>
              <w:topLinePunct/>
              <w:adjustRightInd w:val="0"/>
              <w:snapToGrid w:val="0"/>
              <w:jc w:val="center"/>
              <w:rPr>
                <w:rFonts w:ascii="宋体" w:hAnsi="宋体" w:cs="宋体"/>
                <w:sz w:val="21"/>
                <w:szCs w:val="21"/>
              </w:rPr>
            </w:pPr>
          </w:p>
        </w:tc>
      </w:tr>
      <w:tr w14:paraId="1ACBE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54D02522">
            <w:pPr>
              <w:topLinePunct/>
              <w:adjustRightInd w:val="0"/>
              <w:snapToGrid w:val="0"/>
              <w:jc w:val="center"/>
              <w:rPr>
                <w:rFonts w:ascii="宋体" w:hAnsi="宋体" w:cs="宋体"/>
                <w:sz w:val="21"/>
                <w:szCs w:val="21"/>
              </w:rPr>
            </w:pPr>
            <w:r>
              <w:rPr>
                <w:rFonts w:hint="eastAsia" w:ascii="宋体" w:hAnsi="宋体" w:cs="宋体"/>
                <w:sz w:val="21"/>
                <w:szCs w:val="21"/>
              </w:rPr>
              <w:t>注册资金</w:t>
            </w: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49296D44">
            <w:pPr>
              <w:topLinePunct/>
              <w:adjustRightInd w:val="0"/>
              <w:snapToGrid w:val="0"/>
              <w:jc w:val="center"/>
              <w:rPr>
                <w:rFonts w:ascii="宋体" w:hAnsi="宋体" w:cs="宋体"/>
                <w:sz w:val="21"/>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14:paraId="348C01F2">
            <w:pPr>
              <w:topLinePunct/>
              <w:adjustRightInd w:val="0"/>
              <w:snapToGrid w:val="0"/>
              <w:jc w:val="center"/>
              <w:rPr>
                <w:rFonts w:ascii="宋体" w:hAnsi="宋体" w:cs="宋体"/>
                <w:sz w:val="21"/>
                <w:szCs w:val="21"/>
              </w:rPr>
            </w:pPr>
          </w:p>
        </w:tc>
        <w:tc>
          <w:tcPr>
            <w:tcW w:w="2420" w:type="dxa"/>
            <w:gridSpan w:val="4"/>
            <w:tcBorders>
              <w:top w:val="single" w:color="auto" w:sz="4" w:space="0"/>
              <w:left w:val="single" w:color="auto" w:sz="4" w:space="0"/>
              <w:bottom w:val="single" w:color="auto" w:sz="4" w:space="0"/>
              <w:right w:val="single" w:color="auto" w:sz="4" w:space="0"/>
            </w:tcBorders>
            <w:vAlign w:val="center"/>
          </w:tcPr>
          <w:p w14:paraId="66147B5A">
            <w:pPr>
              <w:pStyle w:val="43"/>
              <w:adjustRightInd w:val="0"/>
              <w:snapToGrid w:val="0"/>
              <w:spacing w:line="240" w:lineRule="auto"/>
              <w:jc w:val="center"/>
              <w:rPr>
                <w:rFonts w:ascii="宋体" w:hAnsi="宋体" w:cs="宋体"/>
                <w:sz w:val="21"/>
                <w:szCs w:val="21"/>
              </w:rPr>
            </w:pPr>
            <w:r>
              <w:rPr>
                <w:rFonts w:hint="eastAsia" w:ascii="宋体" w:hAnsi="宋体" w:cs="宋体"/>
                <w:b w:val="0"/>
                <w:bCs w:val="0"/>
                <w:sz w:val="21"/>
                <w:szCs w:val="21"/>
              </w:rPr>
              <w:t>技工</w:t>
            </w:r>
          </w:p>
        </w:tc>
        <w:tc>
          <w:tcPr>
            <w:tcW w:w="2250" w:type="dxa"/>
            <w:gridSpan w:val="2"/>
            <w:tcBorders>
              <w:top w:val="single" w:color="auto" w:sz="4" w:space="0"/>
              <w:left w:val="single" w:color="auto" w:sz="4" w:space="0"/>
              <w:bottom w:val="single" w:color="auto" w:sz="4" w:space="0"/>
              <w:right w:val="single" w:color="auto" w:sz="4" w:space="0"/>
            </w:tcBorders>
            <w:vAlign w:val="center"/>
          </w:tcPr>
          <w:p w14:paraId="1BFAA6FE">
            <w:pPr>
              <w:topLinePunct/>
              <w:adjustRightInd w:val="0"/>
              <w:snapToGrid w:val="0"/>
              <w:jc w:val="center"/>
              <w:rPr>
                <w:rFonts w:ascii="宋体" w:hAnsi="宋体" w:cs="宋体"/>
                <w:sz w:val="21"/>
                <w:szCs w:val="21"/>
              </w:rPr>
            </w:pPr>
          </w:p>
        </w:tc>
      </w:tr>
      <w:tr w14:paraId="5CE6A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1D08B786">
            <w:pPr>
              <w:topLinePunct/>
              <w:adjustRightInd w:val="0"/>
              <w:snapToGrid w:val="0"/>
              <w:jc w:val="center"/>
              <w:rPr>
                <w:rFonts w:ascii="宋体" w:hAnsi="宋体" w:cs="宋体"/>
                <w:sz w:val="21"/>
                <w:szCs w:val="21"/>
              </w:rPr>
            </w:pPr>
            <w:r>
              <w:rPr>
                <w:rFonts w:hint="eastAsia" w:ascii="宋体" w:hAnsi="宋体" w:cs="宋体"/>
                <w:sz w:val="21"/>
                <w:szCs w:val="21"/>
              </w:rPr>
              <w:t>开户银行</w:t>
            </w: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189E5E79">
            <w:pPr>
              <w:topLinePunct/>
              <w:adjustRightInd w:val="0"/>
              <w:snapToGrid w:val="0"/>
              <w:jc w:val="center"/>
              <w:rPr>
                <w:rFonts w:ascii="宋体" w:hAnsi="宋体" w:cs="宋体"/>
                <w:sz w:val="21"/>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14:paraId="682E8CAE">
            <w:pPr>
              <w:topLinePunct/>
              <w:adjustRightInd w:val="0"/>
              <w:snapToGrid w:val="0"/>
              <w:jc w:val="center"/>
              <w:rPr>
                <w:rFonts w:ascii="宋体" w:hAnsi="宋体" w:cs="宋体"/>
                <w:sz w:val="21"/>
                <w:szCs w:val="21"/>
              </w:rPr>
            </w:pPr>
          </w:p>
        </w:tc>
        <w:tc>
          <w:tcPr>
            <w:tcW w:w="4670" w:type="dxa"/>
            <w:gridSpan w:val="6"/>
            <w:vMerge w:val="restart"/>
            <w:tcBorders>
              <w:top w:val="single" w:color="auto" w:sz="4" w:space="0"/>
              <w:left w:val="single" w:color="auto" w:sz="4" w:space="0"/>
              <w:right w:val="single" w:color="auto" w:sz="4" w:space="0"/>
            </w:tcBorders>
            <w:vAlign w:val="center"/>
          </w:tcPr>
          <w:p w14:paraId="20C387C3">
            <w:pPr>
              <w:topLinePunct/>
              <w:adjustRightInd w:val="0"/>
              <w:snapToGrid w:val="0"/>
              <w:jc w:val="left"/>
              <w:rPr>
                <w:rFonts w:ascii="宋体" w:hAnsi="宋体" w:cs="宋体"/>
                <w:sz w:val="21"/>
                <w:szCs w:val="21"/>
              </w:rPr>
            </w:pPr>
            <w:r>
              <w:rPr>
                <w:rFonts w:hint="eastAsia" w:ascii="宋体" w:hAnsi="宋体" w:cs="宋体"/>
                <w:sz w:val="21"/>
                <w:szCs w:val="21"/>
              </w:rPr>
              <w:t>注册建造师：一级</w:t>
            </w:r>
            <w:r>
              <w:rPr>
                <w:rFonts w:hint="eastAsia" w:ascii="宋体" w:hAnsi="宋体" w:cs="宋体"/>
                <w:sz w:val="21"/>
                <w:szCs w:val="21"/>
                <w:u w:val="single"/>
              </w:rPr>
              <w:t xml:space="preserve">  </w:t>
            </w:r>
            <w:r>
              <w:rPr>
                <w:rFonts w:hint="eastAsia" w:ascii="宋体" w:hAnsi="宋体" w:cs="宋体"/>
                <w:sz w:val="21"/>
                <w:szCs w:val="21"/>
              </w:rPr>
              <w:t>人，二级</w:t>
            </w:r>
            <w:r>
              <w:rPr>
                <w:rFonts w:hint="eastAsia" w:ascii="宋体" w:hAnsi="宋体" w:cs="宋体"/>
                <w:sz w:val="21"/>
                <w:szCs w:val="21"/>
                <w:u w:val="single"/>
              </w:rPr>
              <w:t xml:space="preserve">  </w:t>
            </w:r>
            <w:r>
              <w:rPr>
                <w:rFonts w:hint="eastAsia" w:ascii="宋体" w:hAnsi="宋体" w:cs="宋体"/>
                <w:sz w:val="21"/>
                <w:szCs w:val="21"/>
              </w:rPr>
              <w:t>人</w:t>
            </w:r>
          </w:p>
          <w:p w14:paraId="24DE517E">
            <w:pPr>
              <w:topLinePunct/>
              <w:adjustRightInd w:val="0"/>
              <w:snapToGrid w:val="0"/>
              <w:jc w:val="left"/>
              <w:rPr>
                <w:rFonts w:ascii="宋体" w:hAnsi="宋体" w:cs="宋体"/>
                <w:sz w:val="21"/>
                <w:szCs w:val="21"/>
              </w:rPr>
            </w:pPr>
            <w:r>
              <w:rPr>
                <w:rFonts w:hint="eastAsia" w:ascii="宋体" w:hAnsi="宋体" w:cs="宋体"/>
                <w:sz w:val="21"/>
                <w:szCs w:val="21"/>
              </w:rPr>
              <w:t>国家注册工程师:</w:t>
            </w:r>
            <w:r>
              <w:rPr>
                <w:rFonts w:hint="eastAsia" w:ascii="宋体" w:hAnsi="宋体" w:cs="宋体"/>
                <w:sz w:val="21"/>
                <w:szCs w:val="21"/>
                <w:u w:val="single"/>
              </w:rPr>
              <w:t xml:space="preserve">  </w:t>
            </w:r>
            <w:r>
              <w:rPr>
                <w:rFonts w:hint="eastAsia" w:ascii="宋体" w:hAnsi="宋体" w:cs="宋体"/>
                <w:sz w:val="21"/>
                <w:szCs w:val="21"/>
              </w:rPr>
              <w:t>人</w:t>
            </w:r>
          </w:p>
          <w:p w14:paraId="1FFAFC74">
            <w:pPr>
              <w:topLinePunct/>
              <w:adjustRightInd w:val="0"/>
              <w:snapToGrid w:val="0"/>
              <w:jc w:val="left"/>
              <w:rPr>
                <w:rFonts w:ascii="宋体" w:hAnsi="宋体" w:cs="宋体"/>
                <w:sz w:val="21"/>
                <w:szCs w:val="21"/>
              </w:rPr>
            </w:pPr>
            <w:r>
              <w:rPr>
                <w:rFonts w:hint="eastAsia" w:ascii="宋体" w:hAnsi="宋体" w:cs="宋体"/>
                <w:sz w:val="21"/>
                <w:szCs w:val="21"/>
              </w:rPr>
              <w:t>注册安全工程师人：</w:t>
            </w:r>
            <w:r>
              <w:rPr>
                <w:rFonts w:hint="eastAsia" w:ascii="宋体" w:hAnsi="宋体" w:cs="宋体"/>
                <w:sz w:val="21"/>
                <w:szCs w:val="21"/>
                <w:u w:val="single"/>
              </w:rPr>
              <w:t xml:space="preserve">  </w:t>
            </w:r>
            <w:r>
              <w:rPr>
                <w:rFonts w:hint="eastAsia" w:ascii="宋体" w:hAnsi="宋体" w:cs="宋体"/>
                <w:sz w:val="21"/>
                <w:szCs w:val="21"/>
              </w:rPr>
              <w:t>人</w:t>
            </w:r>
          </w:p>
          <w:p w14:paraId="32B1C9D3">
            <w:pPr>
              <w:topLinePunct/>
              <w:adjustRightInd w:val="0"/>
              <w:snapToGrid w:val="0"/>
              <w:jc w:val="left"/>
              <w:rPr>
                <w:rFonts w:ascii="宋体" w:hAnsi="宋体" w:cs="宋体"/>
                <w:sz w:val="21"/>
                <w:szCs w:val="21"/>
                <w:u w:val="single"/>
              </w:rPr>
            </w:pPr>
            <w:r>
              <w:rPr>
                <w:rFonts w:hint="eastAsia" w:ascii="宋体" w:hAnsi="宋体" w:cs="宋体"/>
                <w:sz w:val="21"/>
                <w:szCs w:val="21"/>
              </w:rPr>
              <w:t>注册造价师人：</w:t>
            </w:r>
            <w:r>
              <w:rPr>
                <w:rFonts w:hint="eastAsia" w:ascii="宋体" w:hAnsi="宋体" w:cs="宋体"/>
                <w:sz w:val="21"/>
                <w:szCs w:val="21"/>
                <w:u w:val="single"/>
              </w:rPr>
              <w:t xml:space="preserve">  </w:t>
            </w:r>
            <w:r>
              <w:rPr>
                <w:rFonts w:hint="eastAsia" w:ascii="宋体" w:hAnsi="宋体" w:cs="宋体"/>
                <w:sz w:val="21"/>
                <w:szCs w:val="21"/>
              </w:rPr>
              <w:t>人</w:t>
            </w:r>
          </w:p>
        </w:tc>
      </w:tr>
      <w:tr w14:paraId="5875D9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51876729">
            <w:pPr>
              <w:topLinePunct/>
              <w:adjustRightInd w:val="0"/>
              <w:snapToGrid w:val="0"/>
              <w:jc w:val="center"/>
              <w:rPr>
                <w:rFonts w:ascii="宋体" w:hAnsi="宋体" w:cs="宋体"/>
                <w:sz w:val="21"/>
                <w:szCs w:val="21"/>
              </w:rPr>
            </w:pPr>
            <w:r>
              <w:rPr>
                <w:rFonts w:hint="eastAsia" w:ascii="宋体" w:hAnsi="宋体" w:cs="宋体"/>
                <w:sz w:val="21"/>
                <w:szCs w:val="21"/>
              </w:rPr>
              <w:t>银行账号</w:t>
            </w: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1D825CE8">
            <w:pPr>
              <w:topLinePunct/>
              <w:adjustRightInd w:val="0"/>
              <w:snapToGrid w:val="0"/>
              <w:jc w:val="center"/>
              <w:rPr>
                <w:rFonts w:ascii="宋体" w:hAnsi="宋体" w:cs="宋体"/>
                <w:sz w:val="21"/>
                <w:szCs w:val="21"/>
              </w:rPr>
            </w:pPr>
          </w:p>
        </w:tc>
        <w:tc>
          <w:tcPr>
            <w:tcW w:w="883" w:type="dxa"/>
            <w:vMerge w:val="continue"/>
            <w:tcBorders>
              <w:top w:val="single" w:color="auto" w:sz="4" w:space="0"/>
              <w:left w:val="single" w:color="auto" w:sz="4" w:space="0"/>
              <w:bottom w:val="single" w:color="auto" w:sz="4" w:space="0"/>
              <w:right w:val="single" w:color="auto" w:sz="4" w:space="0"/>
            </w:tcBorders>
            <w:vAlign w:val="center"/>
          </w:tcPr>
          <w:p w14:paraId="0C58F5AB">
            <w:pPr>
              <w:topLinePunct/>
              <w:adjustRightInd w:val="0"/>
              <w:snapToGrid w:val="0"/>
              <w:jc w:val="center"/>
              <w:rPr>
                <w:rFonts w:ascii="宋体" w:hAnsi="宋体" w:cs="宋体"/>
                <w:sz w:val="21"/>
                <w:szCs w:val="21"/>
              </w:rPr>
            </w:pPr>
          </w:p>
        </w:tc>
        <w:tc>
          <w:tcPr>
            <w:tcW w:w="4670" w:type="dxa"/>
            <w:gridSpan w:val="6"/>
            <w:vMerge w:val="continue"/>
            <w:tcBorders>
              <w:left w:val="single" w:color="auto" w:sz="4" w:space="0"/>
              <w:bottom w:val="single" w:color="auto" w:sz="4" w:space="0"/>
              <w:right w:val="single" w:color="auto" w:sz="4" w:space="0"/>
            </w:tcBorders>
            <w:vAlign w:val="center"/>
          </w:tcPr>
          <w:p w14:paraId="216D16E8">
            <w:pPr>
              <w:topLinePunct/>
              <w:adjustRightInd w:val="0"/>
              <w:snapToGrid w:val="0"/>
              <w:jc w:val="center"/>
              <w:rPr>
                <w:rFonts w:ascii="宋体" w:hAnsi="宋体" w:cs="宋体"/>
                <w:sz w:val="21"/>
                <w:szCs w:val="21"/>
              </w:rPr>
            </w:pPr>
          </w:p>
        </w:tc>
      </w:tr>
      <w:tr w14:paraId="2E5D3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right w:val="single" w:color="auto" w:sz="4" w:space="0"/>
            </w:tcBorders>
            <w:vAlign w:val="center"/>
          </w:tcPr>
          <w:p w14:paraId="53F1A04A">
            <w:pPr>
              <w:topLinePunct/>
              <w:adjustRightInd w:val="0"/>
              <w:snapToGrid w:val="0"/>
              <w:jc w:val="center"/>
              <w:rPr>
                <w:rFonts w:ascii="宋体" w:hAnsi="宋体" w:cs="宋体"/>
                <w:sz w:val="21"/>
                <w:szCs w:val="21"/>
              </w:rPr>
            </w:pPr>
            <w:r>
              <w:rPr>
                <w:rFonts w:hint="eastAsia" w:ascii="宋体" w:hAnsi="宋体" w:cs="宋体"/>
                <w:sz w:val="21"/>
                <w:szCs w:val="21"/>
              </w:rPr>
              <w:t>经营范围</w:t>
            </w:r>
          </w:p>
        </w:tc>
        <w:tc>
          <w:tcPr>
            <w:tcW w:w="7499" w:type="dxa"/>
            <w:gridSpan w:val="9"/>
            <w:tcBorders>
              <w:top w:val="single" w:color="auto" w:sz="4" w:space="0"/>
              <w:left w:val="single" w:color="auto" w:sz="4" w:space="0"/>
              <w:right w:val="single" w:color="auto" w:sz="4" w:space="0"/>
            </w:tcBorders>
            <w:vAlign w:val="center"/>
          </w:tcPr>
          <w:p w14:paraId="23EE3E61">
            <w:pPr>
              <w:topLinePunct/>
              <w:adjustRightInd w:val="0"/>
              <w:snapToGrid w:val="0"/>
              <w:rPr>
                <w:rFonts w:ascii="宋体" w:hAnsi="宋体" w:cs="宋体"/>
                <w:sz w:val="21"/>
                <w:szCs w:val="21"/>
              </w:rPr>
            </w:pPr>
          </w:p>
        </w:tc>
      </w:tr>
      <w:tr w14:paraId="6390F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right w:val="single" w:color="auto" w:sz="4" w:space="0"/>
            </w:tcBorders>
            <w:vAlign w:val="center"/>
          </w:tcPr>
          <w:p w14:paraId="2E31BA42">
            <w:pPr>
              <w:pStyle w:val="438"/>
              <w:snapToGrid w:val="0"/>
              <w:jc w:val="center"/>
              <w:rPr>
                <w:spacing w:val="-3"/>
                <w:sz w:val="21"/>
                <w:szCs w:val="21"/>
              </w:rPr>
            </w:pPr>
            <w:r>
              <w:rPr>
                <w:rFonts w:hint="eastAsia"/>
                <w:spacing w:val="-3"/>
                <w:sz w:val="21"/>
                <w:szCs w:val="21"/>
              </w:rPr>
              <w:t>投标人关联</w:t>
            </w:r>
          </w:p>
          <w:p w14:paraId="6D1B16FA">
            <w:pPr>
              <w:topLinePunct/>
              <w:adjustRightInd w:val="0"/>
              <w:snapToGrid w:val="0"/>
              <w:jc w:val="center"/>
              <w:rPr>
                <w:rFonts w:ascii="宋体" w:hAnsi="宋体" w:cs="宋体"/>
                <w:sz w:val="21"/>
                <w:szCs w:val="21"/>
              </w:rPr>
            </w:pPr>
            <w:r>
              <w:rPr>
                <w:rFonts w:hint="eastAsia" w:ascii="宋体" w:hAnsi="宋体" w:cs="宋体"/>
                <w:spacing w:val="-3"/>
                <w:sz w:val="21"/>
                <w:szCs w:val="21"/>
              </w:rPr>
              <w:t>企业情况</w:t>
            </w:r>
          </w:p>
        </w:tc>
        <w:tc>
          <w:tcPr>
            <w:tcW w:w="7499" w:type="dxa"/>
            <w:gridSpan w:val="9"/>
            <w:tcBorders>
              <w:top w:val="single" w:color="auto" w:sz="4" w:space="0"/>
              <w:left w:val="single" w:color="auto" w:sz="4" w:space="0"/>
              <w:right w:val="single" w:color="auto" w:sz="4" w:space="0"/>
            </w:tcBorders>
            <w:vAlign w:val="center"/>
          </w:tcPr>
          <w:p w14:paraId="060261F4">
            <w:pPr>
              <w:topLinePunct/>
              <w:adjustRightInd w:val="0"/>
              <w:jc w:val="left"/>
              <w:rPr>
                <w:rFonts w:ascii="宋体" w:hAnsi="宋体" w:cs="宋体"/>
                <w:sz w:val="21"/>
                <w:szCs w:val="21"/>
              </w:rPr>
            </w:pPr>
            <w:r>
              <w:rPr>
                <w:rFonts w:hint="eastAsia" w:ascii="宋体" w:hAnsi="宋体" w:cs="宋体"/>
                <w:sz w:val="21"/>
                <w:szCs w:val="21"/>
              </w:rPr>
              <w:t>投标人应提供关联企业情况，包括:</w:t>
            </w:r>
          </w:p>
          <w:p w14:paraId="11B467FB">
            <w:pPr>
              <w:topLinePunct/>
              <w:adjustRightInd w:val="0"/>
              <w:jc w:val="left"/>
              <w:rPr>
                <w:rFonts w:ascii="宋体" w:hAnsi="宋体" w:cs="宋体"/>
                <w:sz w:val="21"/>
                <w:szCs w:val="21"/>
              </w:rPr>
            </w:pPr>
            <w:r>
              <w:rPr>
                <w:rFonts w:hint="eastAsia" w:ascii="宋体" w:hAnsi="宋体" w:cs="宋体"/>
                <w:sz w:val="21"/>
                <w:szCs w:val="21"/>
              </w:rPr>
              <w:t>(1)投标人的所有股东名称及相应股权(出资额)比例；如投标人为上市公司,投标人应提供股权占公司股份总数10%以上的所有股东名称及相应股权比例：</w:t>
            </w:r>
            <w:r>
              <w:rPr>
                <w:rFonts w:hint="eastAsia" w:ascii="宋体" w:hAnsi="宋体" w:cs="宋体"/>
                <w:sz w:val="21"/>
                <w:szCs w:val="21"/>
                <w:u w:val="single"/>
              </w:rPr>
              <w:t xml:space="preserve">                             </w:t>
            </w:r>
          </w:p>
          <w:p w14:paraId="61553D76">
            <w:pPr>
              <w:topLinePunct/>
              <w:adjustRightInd w:val="0"/>
              <w:jc w:val="left"/>
              <w:rPr>
                <w:rFonts w:ascii="宋体" w:hAnsi="宋体" w:cs="宋体"/>
                <w:sz w:val="21"/>
                <w:szCs w:val="21"/>
              </w:rPr>
            </w:pPr>
            <w:r>
              <w:rPr>
                <w:rFonts w:hint="eastAsia" w:ascii="宋体" w:hAnsi="宋体" w:cs="宋体"/>
                <w:sz w:val="21"/>
                <w:szCs w:val="21"/>
                <w:u w:val="single"/>
              </w:rPr>
              <w:t xml:space="preserve">                                                                     </w:t>
            </w:r>
            <w:r>
              <w:rPr>
                <w:rFonts w:hint="eastAsia" w:ascii="宋体" w:hAnsi="宋体" w:cs="宋体"/>
                <w:sz w:val="21"/>
                <w:szCs w:val="21"/>
              </w:rPr>
              <w:t xml:space="preserve"> </w:t>
            </w:r>
          </w:p>
          <w:p w14:paraId="65695C65">
            <w:pPr>
              <w:topLinePunct/>
              <w:adjustRightInd w:val="0"/>
              <w:jc w:val="left"/>
              <w:rPr>
                <w:rFonts w:ascii="宋体" w:hAnsi="宋体" w:cs="宋体"/>
                <w:sz w:val="21"/>
                <w:szCs w:val="21"/>
              </w:rPr>
            </w:pPr>
            <w:r>
              <w:rPr>
                <w:rFonts w:hint="eastAsia" w:ascii="宋体" w:hAnsi="宋体" w:cs="宋体"/>
                <w:sz w:val="21"/>
                <w:szCs w:val="21"/>
              </w:rPr>
              <w:t>(2)投标人投资(控股)或管理的下属企业名称、持有股权(出资额)比例：</w:t>
            </w:r>
            <w:r>
              <w:rPr>
                <w:rFonts w:hint="eastAsia" w:ascii="宋体" w:hAnsi="宋体" w:cs="宋体"/>
                <w:sz w:val="21"/>
                <w:szCs w:val="21"/>
                <w:u w:val="single"/>
              </w:rPr>
              <w:t xml:space="preserve">                             </w:t>
            </w:r>
          </w:p>
          <w:p w14:paraId="4C38ADD4">
            <w:pPr>
              <w:topLinePunct/>
              <w:adjustRightInd w:val="0"/>
              <w:snapToGrid w:val="0"/>
              <w:jc w:val="left"/>
              <w:rPr>
                <w:rFonts w:ascii="宋体" w:hAnsi="宋体" w:cs="宋体"/>
                <w:sz w:val="21"/>
                <w:szCs w:val="21"/>
                <w:u w:val="single"/>
              </w:rPr>
            </w:pPr>
            <w:r>
              <w:rPr>
                <w:rFonts w:hint="eastAsia" w:ascii="宋体" w:hAnsi="宋体" w:cs="宋体"/>
                <w:sz w:val="21"/>
                <w:szCs w:val="21"/>
                <w:u w:val="single"/>
              </w:rPr>
              <w:t xml:space="preserve">                                                                     </w:t>
            </w:r>
            <w:r>
              <w:rPr>
                <w:rFonts w:hint="eastAsia" w:ascii="宋体" w:hAnsi="宋体" w:cs="宋体"/>
                <w:sz w:val="21"/>
                <w:szCs w:val="21"/>
              </w:rPr>
              <w:t>(3) 与投标人单位负责人(即法定代表人)为同一人的其他单位名称：</w:t>
            </w:r>
            <w:r>
              <w:rPr>
                <w:rFonts w:hint="eastAsia" w:ascii="宋体" w:hAnsi="宋体" w:cs="宋体"/>
                <w:sz w:val="21"/>
                <w:szCs w:val="21"/>
                <w:u w:val="single"/>
              </w:rPr>
              <w:t xml:space="preserve">          </w:t>
            </w:r>
          </w:p>
          <w:p w14:paraId="20AE583F">
            <w:pPr>
              <w:topLinePunct/>
              <w:adjustRightInd w:val="0"/>
              <w:snapToGrid w:val="0"/>
              <w:jc w:val="left"/>
              <w:rPr>
                <w:rFonts w:ascii="宋体" w:hAnsi="宋体" w:cs="宋体"/>
                <w:sz w:val="21"/>
                <w:szCs w:val="21"/>
              </w:rPr>
            </w:pPr>
            <w:r>
              <w:rPr>
                <w:rFonts w:hint="eastAsia" w:ascii="宋体" w:hAnsi="宋体" w:cs="宋体"/>
                <w:sz w:val="21"/>
                <w:szCs w:val="21"/>
                <w:u w:val="single"/>
              </w:rPr>
              <w:t xml:space="preserve">                                                                                        </w:t>
            </w:r>
          </w:p>
        </w:tc>
      </w:tr>
      <w:tr w14:paraId="743D9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78F9C69B">
            <w:pPr>
              <w:topLinePunct/>
              <w:adjustRightInd w:val="0"/>
              <w:snapToGrid w:val="0"/>
              <w:jc w:val="center"/>
              <w:rPr>
                <w:rFonts w:ascii="宋体" w:hAnsi="宋体" w:cs="宋体"/>
                <w:sz w:val="21"/>
                <w:szCs w:val="21"/>
              </w:rPr>
            </w:pPr>
            <w:r>
              <w:rPr>
                <w:rFonts w:hint="eastAsia" w:ascii="宋体" w:hAnsi="宋体"/>
                <w:sz w:val="21"/>
                <w:szCs w:val="21"/>
              </w:rPr>
              <w:t>体系认证情况</w:t>
            </w:r>
          </w:p>
        </w:tc>
        <w:tc>
          <w:tcPr>
            <w:tcW w:w="7499" w:type="dxa"/>
            <w:gridSpan w:val="9"/>
            <w:tcBorders>
              <w:top w:val="single" w:color="auto" w:sz="4" w:space="0"/>
              <w:left w:val="single" w:color="auto" w:sz="4" w:space="0"/>
              <w:bottom w:val="single" w:color="auto" w:sz="4" w:space="0"/>
              <w:right w:val="single" w:color="auto" w:sz="4" w:space="0"/>
            </w:tcBorders>
            <w:vAlign w:val="center"/>
          </w:tcPr>
          <w:p w14:paraId="54BB70CF">
            <w:pPr>
              <w:topLinePunct/>
              <w:adjustRightInd w:val="0"/>
              <w:snapToGrid w:val="0"/>
              <w:jc w:val="center"/>
              <w:rPr>
                <w:rFonts w:ascii="宋体" w:hAnsi="宋体" w:cs="宋体"/>
                <w:sz w:val="21"/>
                <w:szCs w:val="21"/>
              </w:rPr>
            </w:pPr>
            <w:r>
              <w:rPr>
                <w:rFonts w:hint="eastAsia" w:ascii="宋体" w:hAnsi="宋体"/>
                <w:sz w:val="21"/>
                <w:szCs w:val="21"/>
              </w:rPr>
              <w:t>说明：通过的认证体系、通过时间及运行状况</w:t>
            </w:r>
          </w:p>
        </w:tc>
      </w:tr>
      <w:tr w14:paraId="376F14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822" w:type="dxa"/>
            <w:tcBorders>
              <w:top w:val="single" w:color="auto" w:sz="4" w:space="0"/>
              <w:left w:val="single" w:color="auto" w:sz="4" w:space="0"/>
              <w:bottom w:val="single" w:color="auto" w:sz="4" w:space="0"/>
              <w:right w:val="single" w:color="auto" w:sz="4" w:space="0"/>
            </w:tcBorders>
            <w:vAlign w:val="center"/>
          </w:tcPr>
          <w:p w14:paraId="63F22472">
            <w:pPr>
              <w:topLinePunct/>
              <w:adjustRightInd w:val="0"/>
              <w:snapToGrid w:val="0"/>
              <w:jc w:val="center"/>
              <w:rPr>
                <w:rFonts w:ascii="宋体" w:hAnsi="宋体" w:cs="宋体"/>
                <w:sz w:val="21"/>
                <w:szCs w:val="21"/>
              </w:rPr>
            </w:pPr>
            <w:r>
              <w:rPr>
                <w:rFonts w:hint="eastAsia" w:ascii="宋体" w:hAnsi="宋体" w:cs="宋体"/>
                <w:sz w:val="21"/>
                <w:szCs w:val="21"/>
              </w:rPr>
              <w:t>备注</w:t>
            </w:r>
          </w:p>
        </w:tc>
        <w:tc>
          <w:tcPr>
            <w:tcW w:w="7499" w:type="dxa"/>
            <w:gridSpan w:val="9"/>
            <w:tcBorders>
              <w:top w:val="single" w:color="auto" w:sz="4" w:space="0"/>
              <w:left w:val="single" w:color="auto" w:sz="4" w:space="0"/>
              <w:bottom w:val="single" w:color="auto" w:sz="4" w:space="0"/>
              <w:right w:val="single" w:color="auto" w:sz="4" w:space="0"/>
            </w:tcBorders>
            <w:vAlign w:val="center"/>
          </w:tcPr>
          <w:p w14:paraId="31BCB9D5">
            <w:pPr>
              <w:topLinePunct/>
              <w:adjustRightInd w:val="0"/>
              <w:snapToGrid w:val="0"/>
              <w:jc w:val="left"/>
              <w:rPr>
                <w:rFonts w:ascii="宋体" w:hAnsi="宋体" w:cs="宋体"/>
                <w:sz w:val="21"/>
                <w:szCs w:val="21"/>
              </w:rPr>
            </w:pPr>
          </w:p>
        </w:tc>
      </w:tr>
    </w:tbl>
    <w:p w14:paraId="0819858D">
      <w:pPr>
        <w:spacing w:line="440" w:lineRule="exact"/>
        <w:jc w:val="center"/>
        <w:rPr>
          <w:rFonts w:ascii="宋体" w:hAnsi="宋体" w:cs="宋体"/>
          <w:sz w:val="21"/>
          <w:szCs w:val="21"/>
        </w:rPr>
      </w:pPr>
      <w:r>
        <w:rPr>
          <w:rFonts w:hint="eastAsia" w:ascii="宋体" w:hAnsi="宋体" w:cs="宋体"/>
          <w:sz w:val="21"/>
          <w:szCs w:val="21"/>
        </w:rPr>
        <w:t>注：投标人必须如实填写关联企业情况，如调查核实未如实填写的，按提供虚假材料对待。</w:t>
      </w:r>
    </w:p>
    <w:p w14:paraId="4489218F">
      <w:pPr>
        <w:spacing w:line="240" w:lineRule="auto"/>
        <w:outlineLvl w:val="1"/>
        <w:rPr>
          <w:rFonts w:ascii="宋体" w:hAnsi="宋体"/>
        </w:rPr>
      </w:pPr>
      <w:r>
        <w:rPr>
          <w:rFonts w:hint="eastAsia" w:ascii="宋体" w:hAnsi="宋体" w:cs="宋体"/>
          <w:sz w:val="21"/>
          <w:szCs w:val="21"/>
        </w:rPr>
        <w:br w:type="page"/>
      </w:r>
      <w:bookmarkStart w:id="1072" w:name="_Toc101375680"/>
      <w:r>
        <w:rPr>
          <w:rFonts w:hint="eastAsia" w:ascii="宋体" w:hAnsi="宋体"/>
        </w:rPr>
        <w:t>附件8：投标保证金银行保函</w:t>
      </w:r>
      <w:bookmarkEnd w:id="1072"/>
      <w:r>
        <w:rPr>
          <w:rFonts w:hint="eastAsia" w:ascii="华文楷体" w:hAnsi="华文楷体" w:eastAsia="楷体"/>
          <w:sz w:val="18"/>
          <w:szCs w:val="18"/>
        </w:rPr>
        <w:t>（适用于采用银行保函形式递交投标担保的情形）</w:t>
      </w:r>
    </w:p>
    <w:p w14:paraId="2A8FDE88">
      <w:pPr>
        <w:spacing w:line="440" w:lineRule="exact"/>
        <w:jc w:val="center"/>
        <w:rPr>
          <w:rFonts w:ascii="宋体" w:hAnsi="宋体"/>
          <w:b/>
          <w:sz w:val="28"/>
          <w:szCs w:val="28"/>
        </w:rPr>
      </w:pPr>
    </w:p>
    <w:p w14:paraId="6CA258F2">
      <w:pPr>
        <w:adjustRightInd w:val="0"/>
        <w:snapToGrid w:val="0"/>
        <w:spacing w:before="156" w:beforeLines="50" w:after="156" w:afterLines="50"/>
        <w:jc w:val="center"/>
        <w:rPr>
          <w:rFonts w:hAnsi="宋体"/>
          <w:sz w:val="30"/>
          <w:szCs w:val="30"/>
        </w:rPr>
      </w:pPr>
      <w:r>
        <w:rPr>
          <w:rFonts w:hint="eastAsia" w:ascii="宋体" w:hAnsi="宋体"/>
          <w:b/>
          <w:bCs/>
          <w:sz w:val="30"/>
          <w:szCs w:val="30"/>
        </w:rPr>
        <w:t>投标保证金银行保函</w:t>
      </w:r>
    </w:p>
    <w:p w14:paraId="6843892E">
      <w:pPr>
        <w:pStyle w:val="323"/>
        <w:rPr>
          <w:rFonts w:ascii="宋体" w:hAnsi="宋体" w:cs="宋体"/>
          <w:sz w:val="24"/>
          <w:szCs w:val="24"/>
        </w:rPr>
      </w:pPr>
    </w:p>
    <w:p w14:paraId="4A4D9B9A">
      <w:pPr>
        <w:adjustRightInd w:val="0"/>
        <w:snapToGrid w:val="0"/>
        <w:spacing w:line="300" w:lineRule="auto"/>
        <w:ind w:firstLine="480" w:firstLineChars="200"/>
        <w:rPr>
          <w:rFonts w:ascii="宋体" w:hAnsi="宋体" w:cs="宋体"/>
          <w:kern w:val="0"/>
        </w:rPr>
      </w:pPr>
      <w:r>
        <w:rPr>
          <w:rFonts w:hint="eastAsia" w:ascii="宋体" w:hAnsi="宋体" w:cs="宋体"/>
          <w:kern w:val="0"/>
        </w:rPr>
        <w:t>鉴于</w:t>
      </w:r>
      <w:r>
        <w:rPr>
          <w:rFonts w:hint="eastAsia" w:ascii="宋体" w:hAnsi="宋体" w:cs="宋体"/>
          <w:kern w:val="0"/>
          <w:u w:val="single"/>
        </w:rPr>
        <w:t>（投标人名称）</w:t>
      </w:r>
      <w:r>
        <w:rPr>
          <w:rFonts w:hint="eastAsia" w:ascii="宋体" w:hAnsi="宋体" w:cs="宋体"/>
          <w:kern w:val="0"/>
        </w:rPr>
        <w:t>（以下称“投标人”）于</w:t>
      </w:r>
      <w:r>
        <w:rPr>
          <w:rFonts w:hint="eastAsia" w:ascii="宋体" w:hAnsi="宋体" w:cs="宋体"/>
          <w:kern w:val="0"/>
          <w:u w:val="single"/>
        </w:rPr>
        <w:t xml:space="preserve">    </w:t>
      </w:r>
      <w:r>
        <w:rPr>
          <w:rFonts w:hint="eastAsia" w:ascii="宋体" w:hAnsi="宋体" w:cs="宋体"/>
          <w:kern w:val="0"/>
        </w:rPr>
        <w:t>年</w:t>
      </w:r>
      <w:r>
        <w:rPr>
          <w:rFonts w:hint="eastAsia" w:ascii="宋体" w:hAnsi="宋体" w:cs="宋体"/>
          <w:kern w:val="0"/>
          <w:u w:val="single"/>
        </w:rPr>
        <w:t xml:space="preserve">    </w:t>
      </w:r>
      <w:r>
        <w:rPr>
          <w:rFonts w:hint="eastAsia" w:ascii="宋体" w:hAnsi="宋体" w:cs="宋体"/>
          <w:kern w:val="0"/>
        </w:rPr>
        <w:t>月</w:t>
      </w:r>
      <w:r>
        <w:rPr>
          <w:rFonts w:hint="eastAsia" w:ascii="宋体" w:hAnsi="宋体" w:cs="宋体"/>
          <w:kern w:val="0"/>
          <w:u w:val="single"/>
        </w:rPr>
        <w:t xml:space="preserve">    </w:t>
      </w:r>
      <w:r>
        <w:rPr>
          <w:rFonts w:hint="eastAsia" w:ascii="宋体" w:hAnsi="宋体" w:cs="宋体"/>
          <w:kern w:val="0"/>
        </w:rPr>
        <w:t>日参加</w:t>
      </w:r>
      <w:r>
        <w:rPr>
          <w:rFonts w:hint="eastAsia" w:ascii="宋体" w:hAnsi="宋体" w:cs="宋体"/>
          <w:kern w:val="0"/>
          <w:u w:val="single"/>
        </w:rPr>
        <w:t>（招标人名称）</w:t>
      </w:r>
      <w:r>
        <w:rPr>
          <w:rFonts w:hint="eastAsia" w:ascii="宋体" w:hAnsi="宋体" w:cs="宋体"/>
          <w:kern w:val="0"/>
        </w:rPr>
        <w:t>（以下称“招标人”）</w:t>
      </w:r>
      <w:r>
        <w:rPr>
          <w:rFonts w:hint="eastAsia"/>
          <w:b/>
          <w:bCs/>
          <w:u w:val="single"/>
        </w:rPr>
        <w:t>广澳高速中山服务区西区加油站重建项目</w:t>
      </w:r>
      <w:r>
        <w:rPr>
          <w:rFonts w:hint="eastAsia"/>
          <w:b/>
          <w:bCs/>
          <w:highlight w:val="none"/>
          <w:u w:val="single"/>
        </w:rPr>
        <w:t>土建工程</w:t>
      </w:r>
      <w:r>
        <w:rPr>
          <w:rFonts w:hint="eastAsia" w:ascii="宋体" w:hAnsi="宋体" w:cs="宋体"/>
          <w:kern w:val="0"/>
        </w:rPr>
        <w:t>的投标。</w:t>
      </w:r>
    </w:p>
    <w:p w14:paraId="4495B3D3">
      <w:pPr>
        <w:adjustRightInd w:val="0"/>
        <w:snapToGrid w:val="0"/>
        <w:spacing w:line="300" w:lineRule="auto"/>
        <w:ind w:firstLine="520" w:firstLineChars="200"/>
        <w:rPr>
          <w:rFonts w:ascii="宋体" w:hAnsi="宋体" w:cs="宋体"/>
          <w:kern w:val="0"/>
        </w:rPr>
      </w:pPr>
      <w:r>
        <w:rPr>
          <w:rFonts w:hint="eastAsia" w:ascii="宋体" w:hAnsi="宋体" w:cs="宋体"/>
          <w:spacing w:val="10"/>
          <w:kern w:val="0"/>
        </w:rPr>
        <w:t>本银行</w:t>
      </w:r>
      <w:r>
        <w:rPr>
          <w:rFonts w:hint="eastAsia" w:ascii="宋体" w:hAnsi="宋体" w:cs="宋体"/>
          <w:spacing w:val="10"/>
          <w:kern w:val="0"/>
          <w:u w:val="single"/>
        </w:rPr>
        <w:t>（银行名称）</w:t>
      </w:r>
      <w:r>
        <w:rPr>
          <w:rFonts w:hint="eastAsia" w:ascii="宋体" w:hAnsi="宋体" w:cs="宋体"/>
          <w:spacing w:val="10"/>
          <w:kern w:val="0"/>
        </w:rPr>
        <w:t>（下称“本银行”）在此承担向招标人支付总金额人民币</w:t>
      </w:r>
      <w:r>
        <w:rPr>
          <w:rFonts w:hint="eastAsia" w:ascii="宋体" w:hAnsi="宋体" w:cs="宋体"/>
          <w:spacing w:val="10"/>
          <w:kern w:val="0"/>
          <w:u w:val="single"/>
        </w:rPr>
        <w:t xml:space="preserve">    </w:t>
      </w:r>
      <w:r>
        <w:rPr>
          <w:rFonts w:hint="eastAsia" w:ascii="宋体" w:hAnsi="宋体" w:cs="宋体"/>
          <w:kern w:val="0"/>
        </w:rPr>
        <w:t>元的责任。</w:t>
      </w:r>
    </w:p>
    <w:p w14:paraId="2C3FA16D">
      <w:pPr>
        <w:adjustRightInd w:val="0"/>
        <w:snapToGrid w:val="0"/>
        <w:spacing w:line="300" w:lineRule="auto"/>
        <w:ind w:firstLine="480" w:firstLineChars="200"/>
        <w:rPr>
          <w:rFonts w:ascii="宋体" w:hAnsi="宋体" w:cs="宋体"/>
          <w:kern w:val="0"/>
        </w:rPr>
      </w:pPr>
      <w:r>
        <w:rPr>
          <w:rFonts w:hint="eastAsia" w:ascii="宋体" w:hAnsi="宋体" w:cs="宋体"/>
          <w:kern w:val="0"/>
        </w:rPr>
        <w:t>本责任的条件是：</w:t>
      </w:r>
    </w:p>
    <w:p w14:paraId="0CD6BA33">
      <w:pPr>
        <w:snapToGrid w:val="0"/>
        <w:ind w:firstLine="480" w:firstLineChars="200"/>
        <w:rPr>
          <w:rFonts w:ascii="宋体" w:hAnsi="宋体"/>
        </w:rPr>
      </w:pPr>
      <w:r>
        <w:rPr>
          <w:rFonts w:hint="eastAsia" w:ascii="宋体" w:hAnsi="宋体"/>
        </w:rPr>
        <w:t>（1）投标人在投标有效期内撤销投标文件；</w:t>
      </w:r>
    </w:p>
    <w:p w14:paraId="2590CBD0">
      <w:pPr>
        <w:snapToGrid w:val="0"/>
        <w:ind w:firstLine="480" w:firstLineChars="200"/>
        <w:rPr>
          <w:rFonts w:ascii="宋体" w:hAnsi="宋体"/>
        </w:rPr>
      </w:pPr>
      <w:r>
        <w:rPr>
          <w:rFonts w:hint="eastAsia" w:ascii="宋体" w:hAnsi="宋体"/>
        </w:rPr>
        <w:t>（</w:t>
      </w:r>
      <w:r>
        <w:rPr>
          <w:rFonts w:ascii="宋体" w:hAnsi="宋体"/>
        </w:rPr>
        <w:t>2</w:t>
      </w:r>
      <w:r>
        <w:rPr>
          <w:rFonts w:hint="eastAsia" w:ascii="宋体" w:hAnsi="宋体"/>
        </w:rPr>
        <w:t>）中标</w:t>
      </w:r>
      <w:r>
        <w:rPr>
          <w:rFonts w:ascii="宋体" w:hAnsi="宋体"/>
        </w:rPr>
        <w:t>通知</w:t>
      </w:r>
      <w:r>
        <w:rPr>
          <w:rFonts w:hint="eastAsia" w:ascii="宋体" w:hAnsi="宋体"/>
        </w:rPr>
        <w:t>书</w:t>
      </w:r>
      <w:r>
        <w:rPr>
          <w:rFonts w:ascii="宋体" w:hAnsi="宋体"/>
        </w:rPr>
        <w:t>发出后</w:t>
      </w:r>
      <w:r>
        <w:rPr>
          <w:rFonts w:hint="eastAsia" w:ascii="宋体" w:hAnsi="宋体"/>
        </w:rPr>
        <w:t>投标人无正当理由放弃中标，或者无正当理由不与招标人</w:t>
      </w:r>
      <w:r>
        <w:rPr>
          <w:rFonts w:ascii="宋体" w:hAnsi="宋体"/>
        </w:rPr>
        <w:t>订立</w:t>
      </w:r>
      <w:r>
        <w:rPr>
          <w:rFonts w:hint="eastAsia" w:ascii="宋体" w:hAnsi="宋体"/>
        </w:rPr>
        <w:t>合同，或者在签订合同时向招标人提出附加条件，或</w:t>
      </w:r>
      <w:r>
        <w:rPr>
          <w:rFonts w:ascii="宋体" w:hAnsi="宋体"/>
        </w:rPr>
        <w:t>者</w:t>
      </w:r>
      <w:r>
        <w:rPr>
          <w:rFonts w:hint="eastAsia" w:ascii="宋体" w:hAnsi="宋体"/>
        </w:rPr>
        <w:t>提出变更投标文件实质性内容；</w:t>
      </w:r>
    </w:p>
    <w:p w14:paraId="0250770D">
      <w:pPr>
        <w:snapToGrid w:val="0"/>
        <w:ind w:firstLine="480" w:firstLineChars="200"/>
        <w:rPr>
          <w:rFonts w:ascii="宋体" w:hAnsi="宋体"/>
        </w:rPr>
      </w:pPr>
      <w:r>
        <w:rPr>
          <w:rFonts w:hint="eastAsia" w:ascii="宋体" w:hAnsi="宋体"/>
        </w:rPr>
        <w:t>（3）投标人不按照招标文件要求提交履约担保；</w:t>
      </w:r>
    </w:p>
    <w:p w14:paraId="68CC7186">
      <w:pPr>
        <w:snapToGrid w:val="0"/>
        <w:ind w:firstLine="480" w:firstLineChars="200"/>
        <w:rPr>
          <w:rFonts w:ascii="宋体" w:hAnsi="宋体"/>
        </w:rPr>
      </w:pPr>
      <w:r>
        <w:rPr>
          <w:rFonts w:hint="eastAsia" w:ascii="宋体" w:hAnsi="宋体"/>
        </w:rPr>
        <w:t>（</w:t>
      </w:r>
      <w:r>
        <w:rPr>
          <w:rFonts w:ascii="宋体" w:hAnsi="宋体"/>
        </w:rPr>
        <w:t>4</w:t>
      </w:r>
      <w:r>
        <w:rPr>
          <w:rFonts w:hint="eastAsia" w:ascii="宋体" w:hAnsi="宋体"/>
        </w:rPr>
        <w:t>）投标人在招投标过程中与他人串通投标；</w:t>
      </w:r>
    </w:p>
    <w:p w14:paraId="50BF2FDD">
      <w:pPr>
        <w:snapToGrid w:val="0"/>
        <w:ind w:firstLine="480" w:firstLineChars="200"/>
        <w:rPr>
          <w:rFonts w:ascii="宋体" w:hAnsi="宋体"/>
        </w:rPr>
      </w:pPr>
      <w:r>
        <w:rPr>
          <w:rFonts w:hint="eastAsia" w:ascii="宋体" w:hAnsi="宋体"/>
        </w:rPr>
        <w:t>（</w:t>
      </w:r>
      <w:r>
        <w:rPr>
          <w:rFonts w:ascii="宋体" w:hAnsi="宋体"/>
        </w:rPr>
        <w:t>5</w:t>
      </w:r>
      <w:r>
        <w:rPr>
          <w:rFonts w:hint="eastAsia" w:ascii="宋体" w:hAnsi="宋体"/>
        </w:rPr>
        <w:t>）投标人在招投标过程中提供了虚假资料；</w:t>
      </w:r>
    </w:p>
    <w:p w14:paraId="1AE6831F">
      <w:pPr>
        <w:adjustRightInd w:val="0"/>
        <w:snapToGrid w:val="0"/>
        <w:spacing w:line="300" w:lineRule="auto"/>
        <w:ind w:firstLine="480" w:firstLineChars="200"/>
        <w:outlineLvl w:val="2"/>
        <w:rPr>
          <w:rFonts w:ascii="宋体" w:hAnsi="宋体"/>
        </w:rPr>
      </w:pPr>
      <w:r>
        <w:rPr>
          <w:rFonts w:hint="eastAsia" w:ascii="宋体" w:hAnsi="宋体"/>
        </w:rPr>
        <w:t>（</w:t>
      </w:r>
      <w:r>
        <w:rPr>
          <w:rFonts w:ascii="宋体" w:hAnsi="宋体"/>
        </w:rPr>
        <w:t>6</w:t>
      </w:r>
      <w:r>
        <w:rPr>
          <w:rFonts w:hint="eastAsia" w:ascii="宋体" w:hAnsi="宋体"/>
        </w:rPr>
        <w:t>）投标人在招标投标过程中有其他违法违规行为；</w:t>
      </w:r>
    </w:p>
    <w:p w14:paraId="7013177E">
      <w:pPr>
        <w:adjustRightInd w:val="0"/>
        <w:snapToGrid w:val="0"/>
        <w:spacing w:line="300" w:lineRule="auto"/>
        <w:ind w:firstLine="480" w:firstLineChars="200"/>
        <w:outlineLvl w:val="2"/>
        <w:rPr>
          <w:rFonts w:ascii="宋体" w:hAnsi="宋体"/>
        </w:rPr>
      </w:pPr>
      <w:r>
        <w:rPr>
          <w:rFonts w:hint="eastAsia" w:ascii="宋体" w:hAnsi="宋体"/>
        </w:rPr>
        <w:t>（7）签订合同时提出变更投标文件实质性内容；</w:t>
      </w:r>
    </w:p>
    <w:p w14:paraId="191B4D5B">
      <w:pPr>
        <w:adjustRightInd w:val="0"/>
        <w:snapToGrid w:val="0"/>
        <w:spacing w:line="300" w:lineRule="auto"/>
        <w:ind w:firstLine="480" w:firstLineChars="200"/>
        <w:rPr>
          <w:rFonts w:ascii="宋体" w:hAnsi="宋体" w:cs="宋体"/>
          <w:spacing w:val="10"/>
          <w:kern w:val="0"/>
        </w:rPr>
      </w:pPr>
      <w:r>
        <w:rPr>
          <w:rFonts w:hint="eastAsia" w:ascii="宋体" w:hAnsi="宋体"/>
        </w:rPr>
        <w:t>（8）未按招标文件要求向交易中心缴纳交易服务费、向招标代理机构缴纳招标代理服务费</w:t>
      </w:r>
      <w:r>
        <w:rPr>
          <w:rFonts w:hint="eastAsia" w:ascii="宋体" w:hAnsi="宋体" w:cs="宋体"/>
          <w:spacing w:val="10"/>
          <w:kern w:val="0"/>
        </w:rPr>
        <w:t>。</w:t>
      </w:r>
    </w:p>
    <w:p w14:paraId="050D5FF9">
      <w:pPr>
        <w:adjustRightInd w:val="0"/>
        <w:snapToGrid w:val="0"/>
        <w:spacing w:line="300" w:lineRule="auto"/>
        <w:ind w:firstLine="520" w:firstLineChars="200"/>
        <w:rPr>
          <w:rFonts w:ascii="宋体" w:hAnsi="宋体" w:cs="宋体"/>
          <w:spacing w:val="10"/>
          <w:kern w:val="0"/>
        </w:rPr>
      </w:pPr>
      <w:r>
        <w:rPr>
          <w:rFonts w:hint="eastAsia" w:ascii="宋体" w:hAnsi="宋体" w:cs="宋体"/>
          <w:spacing w:val="10"/>
          <w:kern w:val="0"/>
        </w:rPr>
        <w:t>只要招标人指明投标人出现上述情况的条件，则本银行在接到招标人的通知后立即支付上述数额之内的任何金额，并不需要招标人申述和证实他的要求。</w:t>
      </w:r>
    </w:p>
    <w:p w14:paraId="3D332F15">
      <w:pPr>
        <w:adjustRightInd w:val="0"/>
        <w:snapToGrid w:val="0"/>
        <w:spacing w:line="300" w:lineRule="auto"/>
        <w:ind w:firstLine="520" w:firstLineChars="200"/>
        <w:rPr>
          <w:rFonts w:ascii="宋体" w:hAnsi="宋体" w:cs="宋体"/>
          <w:kern w:val="21"/>
        </w:rPr>
      </w:pPr>
      <w:r>
        <w:rPr>
          <w:rFonts w:hint="eastAsia" w:ascii="宋体" w:hAnsi="宋体" w:cs="宋体"/>
          <w:spacing w:val="10"/>
          <w:kern w:val="0"/>
        </w:rPr>
        <w:t>本保函在投标有效期后28天内保持有效。若投标人同意招标人延长投标有效期，则本保函的有效期与延长的投标有效期保持一致。银行不要求得到延长有效期的通知，但任何索</w:t>
      </w:r>
      <w:r>
        <w:rPr>
          <w:rFonts w:hint="eastAsia" w:ascii="宋体" w:hAnsi="宋体" w:cs="宋体"/>
          <w:kern w:val="0"/>
        </w:rPr>
        <w:t>款要求应在有效期内送达本银行</w:t>
      </w:r>
      <w:r>
        <w:rPr>
          <w:rFonts w:hint="eastAsia" w:ascii="宋体" w:hAnsi="宋体" w:cs="宋体"/>
          <w:kern w:val="21"/>
        </w:rPr>
        <w:t>。</w:t>
      </w:r>
    </w:p>
    <w:p w14:paraId="2BB5FC0A">
      <w:pPr>
        <w:adjustRightInd w:val="0"/>
        <w:snapToGrid w:val="0"/>
        <w:spacing w:line="300" w:lineRule="auto"/>
        <w:rPr>
          <w:rFonts w:ascii="宋体" w:hAnsi="宋体" w:cs="宋体"/>
          <w:kern w:val="21"/>
        </w:rPr>
      </w:pPr>
    </w:p>
    <w:p w14:paraId="4BF59F86">
      <w:pPr>
        <w:adjustRightInd w:val="0"/>
        <w:snapToGrid w:val="0"/>
        <w:spacing w:line="300" w:lineRule="auto"/>
        <w:ind w:firstLine="1980" w:firstLineChars="825"/>
        <w:rPr>
          <w:rFonts w:ascii="宋体" w:hAnsi="宋体" w:cs="宋体"/>
          <w:kern w:val="21"/>
        </w:rPr>
      </w:pPr>
      <w:r>
        <w:rPr>
          <w:rFonts w:hint="eastAsia" w:ascii="宋体" w:hAnsi="宋体" w:cs="宋体"/>
          <w:kern w:val="21"/>
        </w:rPr>
        <w:t>担保人名称：</w:t>
      </w:r>
      <w:r>
        <w:rPr>
          <w:rFonts w:hint="eastAsia" w:ascii="宋体" w:hAnsi="宋体" w:cs="宋体"/>
          <w:kern w:val="21"/>
          <w:u w:val="single"/>
        </w:rPr>
        <w:t xml:space="preserve">                              </w:t>
      </w:r>
      <w:r>
        <w:rPr>
          <w:rFonts w:hint="eastAsia" w:ascii="宋体" w:hAnsi="宋体" w:cs="宋体"/>
          <w:kern w:val="21"/>
        </w:rPr>
        <w:t>（盖单位章）</w:t>
      </w:r>
    </w:p>
    <w:p w14:paraId="60479785">
      <w:pPr>
        <w:adjustRightInd w:val="0"/>
        <w:snapToGrid w:val="0"/>
        <w:spacing w:line="300" w:lineRule="auto"/>
        <w:ind w:firstLine="1980" w:firstLineChars="825"/>
        <w:rPr>
          <w:rFonts w:ascii="宋体" w:hAnsi="宋体" w:cs="宋体"/>
          <w:kern w:val="21"/>
        </w:rPr>
      </w:pPr>
      <w:r>
        <w:rPr>
          <w:rFonts w:hint="eastAsia" w:ascii="宋体" w:hAnsi="宋体" w:cs="宋体"/>
          <w:kern w:val="21"/>
        </w:rPr>
        <w:t>法定代表人或其委托代理人：</w:t>
      </w:r>
      <w:r>
        <w:rPr>
          <w:rFonts w:hint="eastAsia" w:ascii="宋体" w:hAnsi="宋体" w:cs="宋体"/>
          <w:kern w:val="21"/>
          <w:u w:val="single"/>
        </w:rPr>
        <w:t xml:space="preserve">                    </w:t>
      </w:r>
      <w:r>
        <w:rPr>
          <w:rFonts w:hint="eastAsia" w:ascii="宋体" w:hAnsi="宋体" w:cs="宋体"/>
          <w:kern w:val="21"/>
        </w:rPr>
        <w:t>（</w:t>
      </w:r>
      <w:r>
        <w:rPr>
          <w:rFonts w:ascii="宋体" w:hAnsi="宋体"/>
          <w:kern w:val="0"/>
          <w:szCs w:val="21"/>
        </w:rPr>
        <w:t>签字</w:t>
      </w:r>
      <w:r>
        <w:rPr>
          <w:rFonts w:hint="eastAsia" w:ascii="宋体" w:hAnsi="宋体"/>
          <w:kern w:val="0"/>
        </w:rPr>
        <w:t>或签章</w:t>
      </w:r>
      <w:r>
        <w:rPr>
          <w:rFonts w:hint="eastAsia" w:ascii="宋体" w:hAnsi="宋体" w:cs="宋体"/>
          <w:kern w:val="21"/>
        </w:rPr>
        <w:t>）</w:t>
      </w:r>
    </w:p>
    <w:p w14:paraId="41FE57D6">
      <w:pPr>
        <w:adjustRightInd w:val="0"/>
        <w:snapToGrid w:val="0"/>
        <w:spacing w:line="300" w:lineRule="auto"/>
        <w:ind w:firstLine="1980" w:firstLineChars="825"/>
        <w:rPr>
          <w:rFonts w:ascii="宋体" w:hAnsi="宋体" w:cs="宋体"/>
          <w:kern w:val="21"/>
        </w:rPr>
      </w:pPr>
      <w:r>
        <w:rPr>
          <w:rFonts w:hint="eastAsia" w:ascii="宋体" w:hAnsi="宋体" w:cs="宋体"/>
          <w:kern w:val="21"/>
        </w:rPr>
        <w:t>银行地址：</w:t>
      </w:r>
      <w:r>
        <w:rPr>
          <w:rFonts w:hint="eastAsia" w:ascii="宋体" w:hAnsi="宋体" w:cs="宋体"/>
          <w:kern w:val="21"/>
          <w:u w:val="single"/>
        </w:rPr>
        <w:tab/>
      </w:r>
      <w:r>
        <w:rPr>
          <w:rFonts w:hint="eastAsia" w:ascii="宋体" w:hAnsi="宋体" w:cs="宋体"/>
          <w:kern w:val="21"/>
          <w:u w:val="single"/>
        </w:rPr>
        <w:t xml:space="preserve">                             </w:t>
      </w:r>
      <w:r>
        <w:rPr>
          <w:rFonts w:hint="eastAsia" w:ascii="宋体" w:hAnsi="宋体" w:cs="宋体"/>
          <w:kern w:val="21"/>
          <w:u w:val="single"/>
        </w:rPr>
        <w:tab/>
      </w:r>
      <w:r>
        <w:rPr>
          <w:rFonts w:hint="eastAsia" w:ascii="宋体" w:hAnsi="宋体" w:cs="宋体"/>
          <w:kern w:val="21"/>
        </w:rPr>
        <w:t xml:space="preserve"> </w:t>
      </w:r>
    </w:p>
    <w:p w14:paraId="1ACE36F5">
      <w:pPr>
        <w:adjustRightInd w:val="0"/>
        <w:snapToGrid w:val="0"/>
        <w:spacing w:line="300" w:lineRule="auto"/>
        <w:ind w:firstLine="1980" w:firstLineChars="825"/>
        <w:rPr>
          <w:rFonts w:ascii="宋体" w:hAnsi="宋体" w:cs="宋体"/>
          <w:kern w:val="21"/>
          <w:u w:val="single"/>
        </w:rPr>
      </w:pPr>
      <w:r>
        <w:rPr>
          <w:rFonts w:hint="eastAsia" w:ascii="宋体" w:hAnsi="宋体" w:cs="宋体"/>
          <w:kern w:val="21"/>
        </w:rPr>
        <w:t>邮政编码：</w:t>
      </w:r>
      <w:r>
        <w:rPr>
          <w:rFonts w:hint="eastAsia" w:ascii="宋体" w:hAnsi="宋体" w:cs="宋体"/>
          <w:kern w:val="21"/>
          <w:u w:val="single"/>
        </w:rPr>
        <w:tab/>
      </w:r>
      <w:r>
        <w:rPr>
          <w:rFonts w:hint="eastAsia" w:ascii="宋体" w:hAnsi="宋体" w:cs="宋体"/>
          <w:kern w:val="21"/>
          <w:u w:val="single"/>
        </w:rPr>
        <w:tab/>
      </w:r>
      <w:r>
        <w:rPr>
          <w:rFonts w:hint="eastAsia" w:ascii="宋体" w:hAnsi="宋体" w:cs="宋体"/>
          <w:kern w:val="21"/>
          <w:u w:val="single"/>
        </w:rPr>
        <w:t xml:space="preserve">                    </w:t>
      </w:r>
      <w:r>
        <w:rPr>
          <w:rFonts w:hint="eastAsia" w:ascii="宋体" w:hAnsi="宋体" w:cs="宋体"/>
          <w:kern w:val="21"/>
          <w:u w:val="single"/>
        </w:rPr>
        <w:tab/>
      </w:r>
    </w:p>
    <w:p w14:paraId="69129840">
      <w:pPr>
        <w:adjustRightInd w:val="0"/>
        <w:snapToGrid w:val="0"/>
        <w:spacing w:line="300" w:lineRule="auto"/>
        <w:ind w:firstLine="1980" w:firstLineChars="825"/>
        <w:rPr>
          <w:rFonts w:ascii="宋体" w:hAnsi="宋体" w:cs="宋体"/>
          <w:kern w:val="21"/>
        </w:rPr>
      </w:pPr>
      <w:r>
        <w:rPr>
          <w:rFonts w:hint="eastAsia" w:ascii="宋体" w:hAnsi="宋体" w:cs="宋体"/>
          <w:kern w:val="21"/>
        </w:rPr>
        <w:t>电    话：</w:t>
      </w:r>
      <w:r>
        <w:rPr>
          <w:rFonts w:hint="eastAsia" w:ascii="宋体" w:hAnsi="宋体" w:cs="宋体"/>
          <w:kern w:val="21"/>
          <w:u w:val="single"/>
        </w:rPr>
        <w:t xml:space="preserve">                                       </w:t>
      </w:r>
      <w:r>
        <w:rPr>
          <w:rFonts w:hint="eastAsia" w:ascii="宋体" w:hAnsi="宋体" w:cs="宋体"/>
          <w:kern w:val="21"/>
        </w:rPr>
        <w:t xml:space="preserve"> </w:t>
      </w:r>
    </w:p>
    <w:p w14:paraId="1CDF85A6">
      <w:pPr>
        <w:adjustRightInd w:val="0"/>
        <w:snapToGrid w:val="0"/>
        <w:spacing w:line="300" w:lineRule="auto"/>
        <w:ind w:firstLine="1980" w:firstLineChars="825"/>
        <w:rPr>
          <w:rFonts w:ascii="宋体" w:hAnsi="宋体" w:cs="宋体"/>
          <w:kern w:val="21"/>
        </w:rPr>
      </w:pPr>
      <w:r>
        <w:rPr>
          <w:rFonts w:hint="eastAsia" w:ascii="宋体" w:hAnsi="宋体" w:cs="宋体"/>
          <w:kern w:val="21"/>
        </w:rPr>
        <w:t>传    真：</w:t>
      </w:r>
      <w:r>
        <w:rPr>
          <w:rFonts w:hint="eastAsia" w:ascii="宋体" w:hAnsi="宋体" w:cs="宋体"/>
          <w:kern w:val="21"/>
          <w:u w:val="single"/>
        </w:rPr>
        <w:t xml:space="preserve">                                       </w:t>
      </w:r>
      <w:r>
        <w:rPr>
          <w:rFonts w:hint="eastAsia" w:ascii="宋体" w:hAnsi="宋体" w:cs="宋体"/>
          <w:kern w:val="21"/>
        </w:rPr>
        <w:t xml:space="preserve"> </w:t>
      </w:r>
    </w:p>
    <w:p w14:paraId="448DC32B">
      <w:pPr>
        <w:adjustRightInd w:val="0"/>
        <w:snapToGrid w:val="0"/>
        <w:spacing w:line="300" w:lineRule="auto"/>
        <w:ind w:firstLine="5040" w:firstLineChars="2100"/>
        <w:rPr>
          <w:rFonts w:ascii="宋体" w:hAnsi="宋体" w:cs="宋体"/>
          <w:kern w:val="21"/>
        </w:rPr>
      </w:pPr>
      <w:r>
        <w:rPr>
          <w:rFonts w:hint="eastAsia" w:ascii="宋体" w:hAnsi="宋体" w:cs="宋体"/>
          <w:kern w:val="21"/>
          <w:u w:val="single"/>
        </w:rPr>
        <w:t xml:space="preserve">        </w:t>
      </w:r>
      <w:r>
        <w:rPr>
          <w:rFonts w:hint="eastAsia" w:ascii="宋体" w:hAnsi="宋体" w:cs="宋体"/>
          <w:kern w:val="21"/>
        </w:rPr>
        <w:t>年</w:t>
      </w:r>
      <w:r>
        <w:rPr>
          <w:rFonts w:hint="eastAsia" w:ascii="宋体" w:hAnsi="宋体" w:cs="宋体"/>
          <w:kern w:val="21"/>
          <w:u w:val="single"/>
        </w:rPr>
        <w:t xml:space="preserve">      </w:t>
      </w:r>
      <w:r>
        <w:rPr>
          <w:rFonts w:hint="eastAsia" w:ascii="宋体" w:hAnsi="宋体" w:cs="宋体"/>
          <w:kern w:val="21"/>
        </w:rPr>
        <w:t>月</w:t>
      </w:r>
      <w:r>
        <w:rPr>
          <w:rFonts w:hint="eastAsia" w:ascii="宋体" w:hAnsi="宋体" w:cs="宋体"/>
          <w:kern w:val="21"/>
          <w:u w:val="single"/>
        </w:rPr>
        <w:t xml:space="preserve">      </w:t>
      </w:r>
      <w:r>
        <w:rPr>
          <w:rFonts w:hint="eastAsia" w:ascii="宋体" w:hAnsi="宋体" w:cs="宋体"/>
          <w:kern w:val="21"/>
        </w:rPr>
        <w:t>日</w:t>
      </w:r>
    </w:p>
    <w:p w14:paraId="63684F28">
      <w:pPr>
        <w:adjustRightInd w:val="0"/>
        <w:snapToGrid w:val="0"/>
        <w:spacing w:line="300" w:lineRule="auto"/>
        <w:jc w:val="left"/>
        <w:rPr>
          <w:kern w:val="21"/>
        </w:rPr>
      </w:pPr>
    </w:p>
    <w:p w14:paraId="35BF6299">
      <w:pPr>
        <w:adjustRightInd w:val="0"/>
        <w:snapToGrid w:val="0"/>
        <w:spacing w:after="156" w:afterLines="50"/>
        <w:jc w:val="left"/>
        <w:rPr>
          <w:rFonts w:ascii="宋体" w:hAnsi="宋体" w:cs="仿宋_GB2312"/>
          <w:sz w:val="22"/>
          <w:szCs w:val="22"/>
        </w:rPr>
      </w:pPr>
      <w:r>
        <w:rPr>
          <w:rFonts w:hint="eastAsia"/>
          <w:kern w:val="21"/>
          <w:sz w:val="22"/>
          <w:szCs w:val="22"/>
        </w:rPr>
        <w:t>注：投标人可采用招标人认可的投标保函格式，但相关内容不得背离招标文件约定的实质性内容。</w:t>
      </w:r>
    </w:p>
    <w:p w14:paraId="08431F99">
      <w:pPr>
        <w:spacing w:line="240" w:lineRule="auto"/>
        <w:outlineLvl w:val="1"/>
        <w:rPr>
          <w:rFonts w:ascii="宋体" w:hAnsi="宋体"/>
        </w:rPr>
      </w:pPr>
      <w:bookmarkStart w:id="1073" w:name="_Toc12633"/>
      <w:bookmarkStart w:id="1074" w:name="_Toc18424"/>
      <w:r>
        <w:rPr>
          <w:rFonts w:hint="eastAsia" w:ascii="宋体" w:hAnsi="宋体" w:cs="宋体"/>
          <w:szCs w:val="28"/>
        </w:rPr>
        <w:t>附件9</w:t>
      </w:r>
      <w:r>
        <w:rPr>
          <w:rFonts w:ascii="宋体" w:hAnsi="宋体" w:cs="宋体"/>
          <w:szCs w:val="28"/>
        </w:rPr>
        <w:t>：</w:t>
      </w:r>
      <w:bookmarkStart w:id="1075" w:name="_Toc168650061"/>
      <w:bookmarkStart w:id="1076" w:name="_Toc21113"/>
      <w:r>
        <w:rPr>
          <w:rFonts w:hint="eastAsia" w:ascii="宋体" w:hAnsi="宋体"/>
        </w:rPr>
        <w:t>投标保证金保险保单</w:t>
      </w:r>
      <w:bookmarkEnd w:id="1075"/>
      <w:bookmarkEnd w:id="1076"/>
    </w:p>
    <w:p w14:paraId="610E3B48">
      <w:pPr>
        <w:adjustRightInd w:val="0"/>
        <w:snapToGrid w:val="0"/>
        <w:spacing w:before="156" w:beforeLines="50" w:after="156" w:afterLines="50"/>
        <w:jc w:val="center"/>
        <w:rPr>
          <w:rFonts w:ascii="宋体" w:hAnsi="宋体"/>
          <w:sz w:val="30"/>
          <w:szCs w:val="30"/>
        </w:rPr>
      </w:pPr>
      <w:r>
        <w:rPr>
          <w:rFonts w:hint="eastAsia" w:ascii="宋体" w:hAnsi="宋体" w:cs="宋体"/>
          <w:b/>
          <w:bCs/>
          <w:kern w:val="0"/>
          <w:sz w:val="30"/>
          <w:szCs w:val="30"/>
        </w:rPr>
        <w:t>投标保证金保险保单</w:t>
      </w:r>
    </w:p>
    <w:tbl>
      <w:tblPr>
        <w:tblStyle w:val="63"/>
        <w:tblW w:w="9540" w:type="dxa"/>
        <w:tblInd w:w="-35" w:type="dxa"/>
        <w:tblLayout w:type="autofit"/>
        <w:tblCellMar>
          <w:top w:w="0" w:type="dxa"/>
          <w:left w:w="108" w:type="dxa"/>
          <w:bottom w:w="0" w:type="dxa"/>
          <w:right w:w="108" w:type="dxa"/>
        </w:tblCellMar>
      </w:tblPr>
      <w:tblGrid>
        <w:gridCol w:w="2733"/>
        <w:gridCol w:w="1833"/>
        <w:gridCol w:w="1194"/>
        <w:gridCol w:w="960"/>
        <w:gridCol w:w="1300"/>
        <w:gridCol w:w="1520"/>
      </w:tblGrid>
      <w:tr w14:paraId="6F763BD8">
        <w:tblPrEx>
          <w:tblCellMar>
            <w:top w:w="0" w:type="dxa"/>
            <w:left w:w="108" w:type="dxa"/>
            <w:bottom w:w="0" w:type="dxa"/>
            <w:right w:w="108" w:type="dxa"/>
          </w:tblCellMar>
        </w:tblPrEx>
        <w:trPr>
          <w:trHeight w:val="597" w:hRule="atLeast"/>
        </w:trPr>
        <w:tc>
          <w:tcPr>
            <w:tcW w:w="9540" w:type="dxa"/>
            <w:gridSpan w:val="6"/>
            <w:tcBorders>
              <w:top w:val="single" w:color="auto" w:sz="4" w:space="0"/>
              <w:left w:val="single" w:color="auto" w:sz="4" w:space="0"/>
              <w:bottom w:val="single" w:color="auto" w:sz="4" w:space="0"/>
              <w:right w:val="single" w:color="auto" w:sz="4" w:space="0"/>
            </w:tcBorders>
            <w:vAlign w:val="center"/>
          </w:tcPr>
          <w:p w14:paraId="137E2FB3">
            <w:pPr>
              <w:widowControl/>
              <w:spacing w:line="240" w:lineRule="auto"/>
              <w:jc w:val="center"/>
              <w:rPr>
                <w:rFonts w:ascii="宋体" w:hAnsi="宋体" w:cs="宋体"/>
                <w:b/>
                <w:bCs/>
                <w:kern w:val="0"/>
                <w:sz w:val="21"/>
                <w:szCs w:val="21"/>
              </w:rPr>
            </w:pPr>
            <w:r>
              <w:rPr>
                <w:rFonts w:hint="eastAsia" w:ascii="宋体" w:hAnsi="宋体" w:cs="宋体"/>
                <w:b/>
                <w:bCs/>
                <w:kern w:val="0"/>
                <w:sz w:val="21"/>
                <w:szCs w:val="21"/>
              </w:rPr>
              <w:t>投标保证金保险保单</w:t>
            </w:r>
          </w:p>
        </w:tc>
      </w:tr>
      <w:tr w14:paraId="17A4090F">
        <w:trPr>
          <w:trHeight w:val="419" w:hRule="atLeast"/>
        </w:trPr>
        <w:tc>
          <w:tcPr>
            <w:tcW w:w="2733" w:type="dxa"/>
            <w:tcBorders>
              <w:top w:val="nil"/>
              <w:left w:val="single" w:color="auto" w:sz="4" w:space="0"/>
              <w:bottom w:val="single" w:color="auto" w:sz="4" w:space="0"/>
              <w:right w:val="single" w:color="auto" w:sz="4" w:space="0"/>
            </w:tcBorders>
            <w:vAlign w:val="center"/>
          </w:tcPr>
          <w:p w14:paraId="250474DE">
            <w:pPr>
              <w:widowControl/>
              <w:spacing w:line="240" w:lineRule="auto"/>
              <w:jc w:val="center"/>
              <w:rPr>
                <w:rFonts w:ascii="宋体" w:hAnsi="宋体" w:cs="宋体"/>
                <w:kern w:val="0"/>
                <w:sz w:val="21"/>
                <w:szCs w:val="21"/>
              </w:rPr>
            </w:pPr>
            <w:r>
              <w:rPr>
                <w:rFonts w:hint="eastAsia" w:ascii="宋体" w:hAnsi="宋体" w:cs="宋体"/>
                <w:kern w:val="0"/>
                <w:sz w:val="21"/>
                <w:szCs w:val="21"/>
              </w:rPr>
              <w:t>　保险单号</w:t>
            </w:r>
          </w:p>
        </w:tc>
        <w:tc>
          <w:tcPr>
            <w:tcW w:w="6807" w:type="dxa"/>
            <w:gridSpan w:val="5"/>
            <w:tcBorders>
              <w:top w:val="nil"/>
              <w:left w:val="single" w:color="auto" w:sz="4" w:space="0"/>
              <w:bottom w:val="single" w:color="auto" w:sz="4" w:space="0"/>
              <w:right w:val="single" w:color="auto" w:sz="4" w:space="0"/>
            </w:tcBorders>
            <w:vAlign w:val="center"/>
          </w:tcPr>
          <w:p w14:paraId="46EDE652">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49A50F79">
        <w:tblPrEx>
          <w:tblCellMar>
            <w:top w:w="0" w:type="dxa"/>
            <w:left w:w="108" w:type="dxa"/>
            <w:bottom w:w="0" w:type="dxa"/>
            <w:right w:w="108" w:type="dxa"/>
          </w:tblCellMar>
        </w:tblPrEx>
        <w:trPr>
          <w:trHeight w:val="1076" w:hRule="atLeast"/>
        </w:trPr>
        <w:tc>
          <w:tcPr>
            <w:tcW w:w="9540" w:type="dxa"/>
            <w:gridSpan w:val="6"/>
            <w:tcBorders>
              <w:top w:val="single" w:color="auto" w:sz="4" w:space="0"/>
              <w:left w:val="single" w:color="auto" w:sz="4" w:space="0"/>
              <w:bottom w:val="single" w:color="auto" w:sz="4" w:space="0"/>
              <w:right w:val="single" w:color="auto" w:sz="4" w:space="0"/>
            </w:tcBorders>
            <w:vAlign w:val="center"/>
          </w:tcPr>
          <w:p w14:paraId="10802947">
            <w:pPr>
              <w:widowControl/>
              <w:spacing w:line="240" w:lineRule="auto"/>
              <w:jc w:val="left"/>
              <w:rPr>
                <w:rFonts w:ascii="宋体" w:hAnsi="宋体" w:cs="宋体"/>
                <w:kern w:val="0"/>
                <w:sz w:val="21"/>
                <w:szCs w:val="21"/>
              </w:rPr>
            </w:pPr>
            <w:r>
              <w:rPr>
                <w:rFonts w:hint="eastAsia" w:ascii="宋体" w:hAnsi="宋体" w:cs="宋体"/>
                <w:kern w:val="0"/>
                <w:sz w:val="21"/>
                <w:szCs w:val="21"/>
              </w:rPr>
              <w:t>鉴于投标人已向本公司递交了投保申请，并已交纳保险费，本公司依照承保险种及对应条款和特别约定，根据《中华人民共和国保险法》《中华人民共和国招标投标法》《中华人民共和国招标投标法实施条例》及投保人的要求，同意按下列条件订立本保险合同</w:t>
            </w:r>
          </w:p>
        </w:tc>
      </w:tr>
      <w:tr w14:paraId="4945A673">
        <w:tblPrEx>
          <w:tblCellMar>
            <w:top w:w="0" w:type="dxa"/>
            <w:left w:w="108" w:type="dxa"/>
            <w:bottom w:w="0" w:type="dxa"/>
            <w:right w:w="108" w:type="dxa"/>
          </w:tblCellMar>
        </w:tblPrEx>
        <w:trPr>
          <w:trHeight w:val="510" w:hRule="exact"/>
        </w:trPr>
        <w:tc>
          <w:tcPr>
            <w:tcW w:w="9540" w:type="dxa"/>
            <w:gridSpan w:val="6"/>
            <w:tcBorders>
              <w:top w:val="single" w:color="auto" w:sz="4" w:space="0"/>
              <w:left w:val="single" w:color="auto" w:sz="4" w:space="0"/>
              <w:bottom w:val="single" w:color="auto" w:sz="4" w:space="0"/>
              <w:right w:val="single" w:color="auto" w:sz="4" w:space="0"/>
            </w:tcBorders>
            <w:vAlign w:val="center"/>
          </w:tcPr>
          <w:p w14:paraId="1CB195A6">
            <w:pPr>
              <w:widowControl/>
              <w:spacing w:line="240" w:lineRule="auto"/>
              <w:jc w:val="center"/>
              <w:rPr>
                <w:rFonts w:ascii="宋体" w:hAnsi="宋体" w:cs="宋体"/>
                <w:b/>
                <w:bCs/>
                <w:kern w:val="0"/>
                <w:sz w:val="21"/>
                <w:szCs w:val="21"/>
              </w:rPr>
            </w:pPr>
            <w:r>
              <w:rPr>
                <w:rFonts w:hint="eastAsia" w:ascii="宋体" w:hAnsi="宋体" w:cs="宋体"/>
                <w:b/>
                <w:bCs/>
                <w:kern w:val="0"/>
                <w:sz w:val="21"/>
                <w:szCs w:val="21"/>
              </w:rPr>
              <w:t>投保人、被保险人、保险人基本信息</w:t>
            </w:r>
          </w:p>
        </w:tc>
      </w:tr>
      <w:tr w14:paraId="1AC70A6E">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7136698C">
            <w:pPr>
              <w:widowControl/>
              <w:spacing w:line="240" w:lineRule="auto"/>
              <w:jc w:val="left"/>
              <w:rPr>
                <w:rFonts w:ascii="宋体" w:hAnsi="宋体" w:cs="宋体"/>
                <w:kern w:val="0"/>
                <w:sz w:val="21"/>
                <w:szCs w:val="21"/>
              </w:rPr>
            </w:pPr>
            <w:r>
              <w:rPr>
                <w:rFonts w:hint="eastAsia" w:ascii="宋体" w:hAnsi="宋体" w:cs="宋体"/>
                <w:kern w:val="0"/>
                <w:sz w:val="21"/>
                <w:szCs w:val="21"/>
              </w:rPr>
              <w:t>▲投保人名称</w:t>
            </w:r>
          </w:p>
        </w:tc>
        <w:tc>
          <w:tcPr>
            <w:tcW w:w="6807" w:type="dxa"/>
            <w:gridSpan w:val="5"/>
            <w:tcBorders>
              <w:top w:val="single" w:color="auto" w:sz="4" w:space="0"/>
              <w:left w:val="nil"/>
              <w:bottom w:val="single" w:color="auto" w:sz="4" w:space="0"/>
              <w:right w:val="single" w:color="auto" w:sz="4" w:space="0"/>
            </w:tcBorders>
            <w:vAlign w:val="center"/>
          </w:tcPr>
          <w:p w14:paraId="422E8DB0">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6613BE29">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46FD106D">
            <w:pPr>
              <w:widowControl/>
              <w:spacing w:line="240" w:lineRule="auto"/>
              <w:jc w:val="left"/>
              <w:rPr>
                <w:rFonts w:ascii="宋体" w:hAnsi="宋体" w:cs="宋体"/>
                <w:kern w:val="0"/>
                <w:sz w:val="21"/>
                <w:szCs w:val="21"/>
              </w:rPr>
            </w:pPr>
            <w:r>
              <w:rPr>
                <w:rFonts w:hint="eastAsia" w:ascii="宋体" w:hAnsi="宋体" w:cs="宋体"/>
                <w:kern w:val="0"/>
                <w:sz w:val="21"/>
                <w:szCs w:val="21"/>
              </w:rPr>
              <w:t>投标人地址</w:t>
            </w:r>
          </w:p>
        </w:tc>
        <w:tc>
          <w:tcPr>
            <w:tcW w:w="6807" w:type="dxa"/>
            <w:gridSpan w:val="5"/>
            <w:tcBorders>
              <w:top w:val="single" w:color="auto" w:sz="4" w:space="0"/>
              <w:left w:val="nil"/>
              <w:bottom w:val="single" w:color="auto" w:sz="4" w:space="0"/>
              <w:right w:val="single" w:color="auto" w:sz="4" w:space="0"/>
            </w:tcBorders>
            <w:vAlign w:val="center"/>
          </w:tcPr>
          <w:p w14:paraId="72E3F116">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3E6D79C0">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21F24ADC">
            <w:pPr>
              <w:widowControl/>
              <w:spacing w:line="240" w:lineRule="auto"/>
              <w:jc w:val="left"/>
              <w:rPr>
                <w:rFonts w:ascii="宋体" w:hAnsi="宋体" w:cs="宋体"/>
                <w:kern w:val="0"/>
                <w:sz w:val="21"/>
                <w:szCs w:val="21"/>
              </w:rPr>
            </w:pPr>
            <w:r>
              <w:rPr>
                <w:rFonts w:hint="eastAsia" w:ascii="宋体" w:hAnsi="宋体" w:cs="宋体"/>
                <w:kern w:val="0"/>
                <w:sz w:val="21"/>
                <w:szCs w:val="21"/>
              </w:rPr>
              <w:t>投标人组织机构代码</w:t>
            </w:r>
          </w:p>
        </w:tc>
        <w:tc>
          <w:tcPr>
            <w:tcW w:w="1833" w:type="dxa"/>
            <w:tcBorders>
              <w:top w:val="nil"/>
              <w:left w:val="nil"/>
              <w:bottom w:val="single" w:color="auto" w:sz="4" w:space="0"/>
              <w:right w:val="single" w:color="auto" w:sz="4" w:space="0"/>
            </w:tcBorders>
            <w:vAlign w:val="center"/>
          </w:tcPr>
          <w:p w14:paraId="7F172550">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194" w:type="dxa"/>
            <w:tcBorders>
              <w:top w:val="nil"/>
              <w:left w:val="nil"/>
              <w:bottom w:val="single" w:color="auto" w:sz="4" w:space="0"/>
              <w:right w:val="single" w:color="auto" w:sz="4" w:space="0"/>
            </w:tcBorders>
            <w:vAlign w:val="center"/>
          </w:tcPr>
          <w:p w14:paraId="1121A717">
            <w:pPr>
              <w:widowControl/>
              <w:spacing w:line="240" w:lineRule="auto"/>
              <w:jc w:val="center"/>
              <w:rPr>
                <w:rFonts w:ascii="宋体" w:hAnsi="宋体" w:cs="宋体"/>
                <w:kern w:val="0"/>
                <w:sz w:val="21"/>
                <w:szCs w:val="21"/>
              </w:rPr>
            </w:pPr>
            <w:r>
              <w:rPr>
                <w:rFonts w:hint="eastAsia" w:ascii="宋体" w:hAnsi="宋体" w:cs="宋体"/>
                <w:kern w:val="0"/>
                <w:sz w:val="21"/>
                <w:szCs w:val="21"/>
              </w:rPr>
              <w:t>联系人</w:t>
            </w:r>
          </w:p>
        </w:tc>
        <w:tc>
          <w:tcPr>
            <w:tcW w:w="960" w:type="dxa"/>
            <w:tcBorders>
              <w:top w:val="nil"/>
              <w:left w:val="nil"/>
              <w:bottom w:val="single" w:color="auto" w:sz="4" w:space="0"/>
              <w:right w:val="single" w:color="auto" w:sz="4" w:space="0"/>
            </w:tcBorders>
            <w:vAlign w:val="center"/>
          </w:tcPr>
          <w:p w14:paraId="157B33FB">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300" w:type="dxa"/>
            <w:tcBorders>
              <w:top w:val="nil"/>
              <w:left w:val="nil"/>
              <w:bottom w:val="single" w:color="auto" w:sz="4" w:space="0"/>
              <w:right w:val="single" w:color="auto" w:sz="4" w:space="0"/>
            </w:tcBorders>
            <w:vAlign w:val="center"/>
          </w:tcPr>
          <w:p w14:paraId="1BC6715D">
            <w:pPr>
              <w:widowControl/>
              <w:spacing w:line="240" w:lineRule="auto"/>
              <w:jc w:val="center"/>
              <w:rPr>
                <w:rFonts w:ascii="宋体" w:hAnsi="宋体" w:cs="宋体"/>
                <w:kern w:val="0"/>
                <w:sz w:val="21"/>
                <w:szCs w:val="21"/>
              </w:rPr>
            </w:pPr>
            <w:r>
              <w:rPr>
                <w:rFonts w:hint="eastAsia" w:ascii="宋体" w:hAnsi="宋体" w:cs="宋体"/>
                <w:kern w:val="0"/>
                <w:sz w:val="21"/>
                <w:szCs w:val="21"/>
              </w:rPr>
              <w:t>联系电话</w:t>
            </w:r>
          </w:p>
        </w:tc>
        <w:tc>
          <w:tcPr>
            <w:tcW w:w="1520" w:type="dxa"/>
            <w:tcBorders>
              <w:top w:val="nil"/>
              <w:left w:val="nil"/>
              <w:bottom w:val="single" w:color="auto" w:sz="4" w:space="0"/>
              <w:right w:val="single" w:color="auto" w:sz="4" w:space="0"/>
            </w:tcBorders>
            <w:vAlign w:val="center"/>
          </w:tcPr>
          <w:p w14:paraId="19D06F96">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4CCCA056">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72D45E43">
            <w:pPr>
              <w:widowControl/>
              <w:spacing w:line="240" w:lineRule="auto"/>
              <w:jc w:val="left"/>
              <w:rPr>
                <w:rFonts w:ascii="宋体" w:hAnsi="宋体" w:cs="宋体"/>
                <w:kern w:val="0"/>
                <w:sz w:val="21"/>
                <w:szCs w:val="21"/>
              </w:rPr>
            </w:pPr>
            <w:r>
              <w:rPr>
                <w:rFonts w:hint="eastAsia" w:ascii="宋体" w:hAnsi="宋体" w:cs="宋体"/>
                <w:kern w:val="0"/>
                <w:sz w:val="21"/>
                <w:szCs w:val="21"/>
              </w:rPr>
              <w:t>▲被保险人名称</w:t>
            </w:r>
          </w:p>
        </w:tc>
        <w:tc>
          <w:tcPr>
            <w:tcW w:w="6807" w:type="dxa"/>
            <w:gridSpan w:val="5"/>
            <w:tcBorders>
              <w:top w:val="single" w:color="auto" w:sz="4" w:space="0"/>
              <w:left w:val="nil"/>
              <w:bottom w:val="single" w:color="auto" w:sz="4" w:space="0"/>
              <w:right w:val="single" w:color="auto" w:sz="4" w:space="0"/>
            </w:tcBorders>
            <w:vAlign w:val="center"/>
          </w:tcPr>
          <w:p w14:paraId="6BD244AC">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5486C76B">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4B827DD7">
            <w:pPr>
              <w:widowControl/>
              <w:spacing w:line="240" w:lineRule="auto"/>
              <w:jc w:val="left"/>
              <w:rPr>
                <w:rFonts w:ascii="宋体" w:hAnsi="宋体" w:cs="宋体"/>
                <w:kern w:val="0"/>
                <w:sz w:val="21"/>
                <w:szCs w:val="21"/>
              </w:rPr>
            </w:pPr>
            <w:r>
              <w:rPr>
                <w:rFonts w:hint="eastAsia" w:ascii="宋体" w:hAnsi="宋体" w:cs="宋体"/>
                <w:kern w:val="0"/>
                <w:sz w:val="21"/>
                <w:szCs w:val="21"/>
              </w:rPr>
              <w:t>被保险人地址</w:t>
            </w:r>
          </w:p>
        </w:tc>
        <w:tc>
          <w:tcPr>
            <w:tcW w:w="6807" w:type="dxa"/>
            <w:gridSpan w:val="5"/>
            <w:tcBorders>
              <w:top w:val="single" w:color="auto" w:sz="4" w:space="0"/>
              <w:left w:val="nil"/>
              <w:bottom w:val="single" w:color="auto" w:sz="4" w:space="0"/>
              <w:right w:val="single" w:color="auto" w:sz="4" w:space="0"/>
            </w:tcBorders>
            <w:vAlign w:val="center"/>
          </w:tcPr>
          <w:p w14:paraId="465C6C4F">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31B6FB21">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1AE21E35">
            <w:pPr>
              <w:widowControl/>
              <w:spacing w:line="240" w:lineRule="auto"/>
              <w:jc w:val="left"/>
              <w:rPr>
                <w:rFonts w:ascii="宋体" w:hAnsi="宋体" w:cs="宋体"/>
                <w:kern w:val="0"/>
                <w:sz w:val="21"/>
                <w:szCs w:val="21"/>
              </w:rPr>
            </w:pPr>
            <w:r>
              <w:rPr>
                <w:rFonts w:hint="eastAsia" w:ascii="宋体" w:hAnsi="宋体" w:cs="宋体"/>
                <w:kern w:val="0"/>
                <w:sz w:val="21"/>
                <w:szCs w:val="21"/>
              </w:rPr>
              <w:t>被保险人组织机构代码</w:t>
            </w:r>
          </w:p>
        </w:tc>
        <w:tc>
          <w:tcPr>
            <w:tcW w:w="1833" w:type="dxa"/>
            <w:tcBorders>
              <w:top w:val="nil"/>
              <w:left w:val="nil"/>
              <w:bottom w:val="single" w:color="auto" w:sz="4" w:space="0"/>
              <w:right w:val="single" w:color="auto" w:sz="4" w:space="0"/>
            </w:tcBorders>
            <w:vAlign w:val="center"/>
          </w:tcPr>
          <w:p w14:paraId="28DD764C">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194" w:type="dxa"/>
            <w:tcBorders>
              <w:top w:val="nil"/>
              <w:left w:val="nil"/>
              <w:bottom w:val="single" w:color="auto" w:sz="4" w:space="0"/>
              <w:right w:val="single" w:color="auto" w:sz="4" w:space="0"/>
            </w:tcBorders>
            <w:vAlign w:val="center"/>
          </w:tcPr>
          <w:p w14:paraId="3E457525">
            <w:pPr>
              <w:widowControl/>
              <w:spacing w:line="240" w:lineRule="auto"/>
              <w:jc w:val="center"/>
              <w:rPr>
                <w:rFonts w:ascii="宋体" w:hAnsi="宋体" w:cs="宋体"/>
                <w:kern w:val="0"/>
                <w:sz w:val="21"/>
                <w:szCs w:val="21"/>
              </w:rPr>
            </w:pPr>
            <w:r>
              <w:rPr>
                <w:rFonts w:hint="eastAsia" w:ascii="宋体" w:hAnsi="宋体" w:cs="宋体"/>
                <w:kern w:val="0"/>
                <w:sz w:val="21"/>
                <w:szCs w:val="21"/>
              </w:rPr>
              <w:t>联系人</w:t>
            </w:r>
          </w:p>
        </w:tc>
        <w:tc>
          <w:tcPr>
            <w:tcW w:w="960" w:type="dxa"/>
            <w:tcBorders>
              <w:top w:val="nil"/>
              <w:left w:val="nil"/>
              <w:bottom w:val="single" w:color="auto" w:sz="4" w:space="0"/>
              <w:right w:val="single" w:color="auto" w:sz="4" w:space="0"/>
            </w:tcBorders>
            <w:vAlign w:val="center"/>
          </w:tcPr>
          <w:p w14:paraId="6C6EDEB3">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300" w:type="dxa"/>
            <w:tcBorders>
              <w:top w:val="nil"/>
              <w:left w:val="nil"/>
              <w:bottom w:val="single" w:color="auto" w:sz="4" w:space="0"/>
              <w:right w:val="single" w:color="auto" w:sz="4" w:space="0"/>
            </w:tcBorders>
            <w:vAlign w:val="center"/>
          </w:tcPr>
          <w:p w14:paraId="7D2017C6">
            <w:pPr>
              <w:widowControl/>
              <w:spacing w:line="240" w:lineRule="auto"/>
              <w:jc w:val="center"/>
              <w:rPr>
                <w:rFonts w:ascii="宋体" w:hAnsi="宋体" w:cs="宋体"/>
                <w:kern w:val="0"/>
                <w:sz w:val="21"/>
                <w:szCs w:val="21"/>
              </w:rPr>
            </w:pPr>
            <w:r>
              <w:rPr>
                <w:rFonts w:hint="eastAsia" w:ascii="宋体" w:hAnsi="宋体" w:cs="宋体"/>
                <w:kern w:val="0"/>
                <w:sz w:val="21"/>
                <w:szCs w:val="21"/>
              </w:rPr>
              <w:t>联系电话</w:t>
            </w:r>
          </w:p>
        </w:tc>
        <w:tc>
          <w:tcPr>
            <w:tcW w:w="1520" w:type="dxa"/>
            <w:tcBorders>
              <w:top w:val="nil"/>
              <w:left w:val="nil"/>
              <w:bottom w:val="single" w:color="auto" w:sz="4" w:space="0"/>
              <w:right w:val="single" w:color="auto" w:sz="4" w:space="0"/>
            </w:tcBorders>
            <w:vAlign w:val="center"/>
          </w:tcPr>
          <w:p w14:paraId="46F90B0D">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09FDF3BF">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741F85D9">
            <w:pPr>
              <w:widowControl/>
              <w:spacing w:line="240" w:lineRule="auto"/>
              <w:jc w:val="left"/>
              <w:rPr>
                <w:rFonts w:ascii="宋体" w:hAnsi="宋体" w:cs="宋体"/>
                <w:kern w:val="0"/>
                <w:sz w:val="21"/>
                <w:szCs w:val="21"/>
              </w:rPr>
            </w:pPr>
            <w:r>
              <w:rPr>
                <w:rFonts w:hint="eastAsia" w:ascii="宋体" w:hAnsi="宋体" w:cs="宋体"/>
                <w:kern w:val="0"/>
                <w:sz w:val="21"/>
                <w:szCs w:val="21"/>
              </w:rPr>
              <w:t>▲保险人名称</w:t>
            </w:r>
          </w:p>
        </w:tc>
        <w:tc>
          <w:tcPr>
            <w:tcW w:w="6807" w:type="dxa"/>
            <w:gridSpan w:val="5"/>
            <w:tcBorders>
              <w:top w:val="single" w:color="auto" w:sz="4" w:space="0"/>
              <w:left w:val="nil"/>
              <w:bottom w:val="single" w:color="auto" w:sz="4" w:space="0"/>
              <w:right w:val="single" w:color="auto" w:sz="4" w:space="0"/>
            </w:tcBorders>
            <w:vAlign w:val="center"/>
          </w:tcPr>
          <w:p w14:paraId="3317E974">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6B0E0C4E">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7B4373B1">
            <w:pPr>
              <w:widowControl/>
              <w:spacing w:line="240" w:lineRule="auto"/>
              <w:jc w:val="left"/>
              <w:rPr>
                <w:rFonts w:ascii="宋体" w:hAnsi="宋体" w:cs="宋体"/>
                <w:kern w:val="0"/>
                <w:sz w:val="21"/>
                <w:szCs w:val="21"/>
              </w:rPr>
            </w:pPr>
            <w:r>
              <w:rPr>
                <w:rFonts w:hint="eastAsia" w:ascii="宋体" w:hAnsi="宋体" w:cs="宋体"/>
                <w:kern w:val="0"/>
                <w:sz w:val="21"/>
                <w:szCs w:val="21"/>
              </w:rPr>
              <w:t>保险人地址及办公场所</w:t>
            </w:r>
          </w:p>
        </w:tc>
        <w:tc>
          <w:tcPr>
            <w:tcW w:w="6807" w:type="dxa"/>
            <w:gridSpan w:val="5"/>
            <w:tcBorders>
              <w:top w:val="single" w:color="auto" w:sz="4" w:space="0"/>
              <w:left w:val="nil"/>
              <w:bottom w:val="single" w:color="auto" w:sz="4" w:space="0"/>
              <w:right w:val="single" w:color="auto" w:sz="4" w:space="0"/>
            </w:tcBorders>
            <w:vAlign w:val="center"/>
          </w:tcPr>
          <w:p w14:paraId="51B52354">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55FA8ECB">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5AF7D77B">
            <w:pPr>
              <w:widowControl/>
              <w:spacing w:line="240" w:lineRule="auto"/>
              <w:jc w:val="left"/>
              <w:rPr>
                <w:rFonts w:ascii="宋体" w:hAnsi="宋体" w:cs="宋体"/>
                <w:kern w:val="0"/>
                <w:sz w:val="21"/>
                <w:szCs w:val="21"/>
              </w:rPr>
            </w:pPr>
            <w:r>
              <w:rPr>
                <w:rFonts w:hint="eastAsia" w:ascii="宋体" w:hAnsi="宋体" w:cs="宋体"/>
                <w:kern w:val="0"/>
                <w:sz w:val="21"/>
                <w:szCs w:val="21"/>
              </w:rPr>
              <w:t>保险人投标人组织机构代码</w:t>
            </w:r>
          </w:p>
        </w:tc>
        <w:tc>
          <w:tcPr>
            <w:tcW w:w="1833" w:type="dxa"/>
            <w:tcBorders>
              <w:top w:val="nil"/>
              <w:left w:val="nil"/>
              <w:bottom w:val="single" w:color="auto" w:sz="4" w:space="0"/>
              <w:right w:val="single" w:color="auto" w:sz="4" w:space="0"/>
            </w:tcBorders>
            <w:vAlign w:val="center"/>
          </w:tcPr>
          <w:p w14:paraId="25B40337">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194" w:type="dxa"/>
            <w:tcBorders>
              <w:top w:val="nil"/>
              <w:left w:val="nil"/>
              <w:bottom w:val="single" w:color="auto" w:sz="4" w:space="0"/>
              <w:right w:val="single" w:color="auto" w:sz="4" w:space="0"/>
            </w:tcBorders>
            <w:vAlign w:val="center"/>
          </w:tcPr>
          <w:p w14:paraId="23F8E963">
            <w:pPr>
              <w:widowControl/>
              <w:spacing w:line="240" w:lineRule="auto"/>
              <w:jc w:val="center"/>
              <w:rPr>
                <w:rFonts w:ascii="宋体" w:hAnsi="宋体" w:cs="宋体"/>
                <w:kern w:val="0"/>
                <w:sz w:val="21"/>
                <w:szCs w:val="21"/>
              </w:rPr>
            </w:pPr>
            <w:r>
              <w:rPr>
                <w:rFonts w:hint="eastAsia" w:ascii="宋体" w:hAnsi="宋体" w:cs="宋体"/>
                <w:kern w:val="0"/>
                <w:sz w:val="21"/>
                <w:szCs w:val="21"/>
              </w:rPr>
              <w:t>网址</w:t>
            </w:r>
          </w:p>
        </w:tc>
        <w:tc>
          <w:tcPr>
            <w:tcW w:w="3780" w:type="dxa"/>
            <w:gridSpan w:val="3"/>
            <w:tcBorders>
              <w:top w:val="single" w:color="auto" w:sz="4" w:space="0"/>
              <w:left w:val="nil"/>
              <w:bottom w:val="single" w:color="auto" w:sz="4" w:space="0"/>
              <w:right w:val="single" w:color="auto" w:sz="4" w:space="0"/>
            </w:tcBorders>
            <w:vAlign w:val="center"/>
          </w:tcPr>
          <w:p w14:paraId="036D69ED">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227B081A">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244A53E1">
            <w:pPr>
              <w:widowControl/>
              <w:spacing w:line="240" w:lineRule="auto"/>
              <w:jc w:val="left"/>
              <w:rPr>
                <w:rFonts w:ascii="宋体" w:hAnsi="宋体" w:cs="宋体"/>
                <w:kern w:val="0"/>
                <w:sz w:val="21"/>
                <w:szCs w:val="21"/>
              </w:rPr>
            </w:pPr>
            <w:r>
              <w:rPr>
                <w:rFonts w:hint="eastAsia" w:ascii="宋体" w:hAnsi="宋体" w:cs="宋体"/>
                <w:kern w:val="0"/>
                <w:sz w:val="21"/>
                <w:szCs w:val="21"/>
              </w:rPr>
              <w:t>保险人接受索赔申请部门</w:t>
            </w:r>
          </w:p>
        </w:tc>
        <w:tc>
          <w:tcPr>
            <w:tcW w:w="1833" w:type="dxa"/>
            <w:tcBorders>
              <w:top w:val="nil"/>
              <w:left w:val="nil"/>
              <w:bottom w:val="single" w:color="auto" w:sz="4" w:space="0"/>
              <w:right w:val="single" w:color="auto" w:sz="4" w:space="0"/>
            </w:tcBorders>
            <w:vAlign w:val="center"/>
          </w:tcPr>
          <w:p w14:paraId="19E5952D">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194" w:type="dxa"/>
            <w:tcBorders>
              <w:top w:val="nil"/>
              <w:left w:val="nil"/>
              <w:bottom w:val="single" w:color="auto" w:sz="4" w:space="0"/>
              <w:right w:val="single" w:color="auto" w:sz="4" w:space="0"/>
            </w:tcBorders>
            <w:vAlign w:val="center"/>
          </w:tcPr>
          <w:p w14:paraId="23F72168">
            <w:pPr>
              <w:widowControl/>
              <w:spacing w:line="240" w:lineRule="auto"/>
              <w:jc w:val="center"/>
              <w:rPr>
                <w:rFonts w:ascii="宋体" w:hAnsi="宋体" w:cs="宋体"/>
                <w:kern w:val="0"/>
                <w:sz w:val="21"/>
                <w:szCs w:val="21"/>
              </w:rPr>
            </w:pPr>
            <w:r>
              <w:rPr>
                <w:rFonts w:hint="eastAsia" w:ascii="宋体" w:hAnsi="宋体" w:cs="宋体"/>
                <w:kern w:val="0"/>
                <w:sz w:val="21"/>
                <w:szCs w:val="21"/>
              </w:rPr>
              <w:t>联系人</w:t>
            </w:r>
          </w:p>
        </w:tc>
        <w:tc>
          <w:tcPr>
            <w:tcW w:w="960" w:type="dxa"/>
            <w:tcBorders>
              <w:top w:val="nil"/>
              <w:left w:val="nil"/>
              <w:bottom w:val="single" w:color="auto" w:sz="4" w:space="0"/>
              <w:right w:val="single" w:color="auto" w:sz="4" w:space="0"/>
            </w:tcBorders>
            <w:vAlign w:val="center"/>
          </w:tcPr>
          <w:p w14:paraId="60FE5396">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300" w:type="dxa"/>
            <w:tcBorders>
              <w:top w:val="nil"/>
              <w:left w:val="nil"/>
              <w:bottom w:val="single" w:color="auto" w:sz="4" w:space="0"/>
              <w:right w:val="single" w:color="auto" w:sz="4" w:space="0"/>
            </w:tcBorders>
            <w:vAlign w:val="center"/>
          </w:tcPr>
          <w:p w14:paraId="04A5B20A">
            <w:pPr>
              <w:widowControl/>
              <w:spacing w:line="240" w:lineRule="auto"/>
              <w:jc w:val="center"/>
              <w:rPr>
                <w:rFonts w:ascii="宋体" w:hAnsi="宋体" w:cs="宋体"/>
                <w:kern w:val="0"/>
                <w:sz w:val="21"/>
                <w:szCs w:val="21"/>
              </w:rPr>
            </w:pPr>
            <w:r>
              <w:rPr>
                <w:rFonts w:hint="eastAsia" w:ascii="宋体" w:hAnsi="宋体" w:cs="宋体"/>
                <w:kern w:val="0"/>
                <w:sz w:val="21"/>
                <w:szCs w:val="21"/>
              </w:rPr>
              <w:t>联系电话</w:t>
            </w:r>
          </w:p>
        </w:tc>
        <w:tc>
          <w:tcPr>
            <w:tcW w:w="1520" w:type="dxa"/>
            <w:tcBorders>
              <w:top w:val="nil"/>
              <w:left w:val="nil"/>
              <w:bottom w:val="single" w:color="auto" w:sz="4" w:space="0"/>
              <w:right w:val="single" w:color="auto" w:sz="4" w:space="0"/>
            </w:tcBorders>
            <w:vAlign w:val="center"/>
          </w:tcPr>
          <w:p w14:paraId="7DAA98F9">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23CC895F">
        <w:tblPrEx>
          <w:tblCellMar>
            <w:top w:w="0" w:type="dxa"/>
            <w:left w:w="108" w:type="dxa"/>
            <w:bottom w:w="0" w:type="dxa"/>
            <w:right w:w="108" w:type="dxa"/>
          </w:tblCellMar>
        </w:tblPrEx>
        <w:trPr>
          <w:trHeight w:val="345" w:hRule="atLeast"/>
        </w:trPr>
        <w:tc>
          <w:tcPr>
            <w:tcW w:w="2733" w:type="dxa"/>
            <w:tcBorders>
              <w:top w:val="nil"/>
              <w:left w:val="single" w:color="auto" w:sz="4" w:space="0"/>
              <w:bottom w:val="single" w:color="auto" w:sz="4" w:space="0"/>
              <w:right w:val="single" w:color="auto" w:sz="4" w:space="0"/>
            </w:tcBorders>
            <w:vAlign w:val="center"/>
          </w:tcPr>
          <w:p w14:paraId="2DAE1B59">
            <w:pPr>
              <w:widowControl/>
              <w:spacing w:line="240" w:lineRule="auto"/>
              <w:jc w:val="left"/>
              <w:rPr>
                <w:rFonts w:ascii="宋体" w:hAnsi="宋体" w:cs="宋体"/>
                <w:kern w:val="0"/>
                <w:sz w:val="21"/>
                <w:szCs w:val="21"/>
              </w:rPr>
            </w:pPr>
            <w:r>
              <w:rPr>
                <w:rFonts w:hint="eastAsia" w:ascii="宋体" w:hAnsi="宋体" w:cs="宋体"/>
                <w:kern w:val="0"/>
                <w:sz w:val="21"/>
                <w:szCs w:val="21"/>
              </w:rPr>
              <w:t>接受索赔申请部门联系人</w:t>
            </w:r>
          </w:p>
          <w:p w14:paraId="1B305BDD">
            <w:pPr>
              <w:widowControl/>
              <w:spacing w:line="240" w:lineRule="auto"/>
              <w:jc w:val="left"/>
              <w:rPr>
                <w:rFonts w:ascii="宋体" w:hAnsi="宋体" w:cs="宋体"/>
                <w:kern w:val="0"/>
                <w:sz w:val="21"/>
                <w:szCs w:val="21"/>
              </w:rPr>
            </w:pPr>
            <w:r>
              <w:rPr>
                <w:rFonts w:hint="eastAsia" w:ascii="宋体" w:hAnsi="宋体" w:cs="宋体"/>
                <w:kern w:val="0"/>
                <w:sz w:val="21"/>
                <w:szCs w:val="21"/>
              </w:rPr>
              <w:t>电子邮箱</w:t>
            </w:r>
          </w:p>
        </w:tc>
        <w:tc>
          <w:tcPr>
            <w:tcW w:w="3987" w:type="dxa"/>
            <w:gridSpan w:val="3"/>
            <w:tcBorders>
              <w:top w:val="single" w:color="auto" w:sz="4" w:space="0"/>
              <w:left w:val="nil"/>
              <w:bottom w:val="single" w:color="auto" w:sz="4" w:space="0"/>
              <w:right w:val="single" w:color="auto" w:sz="4" w:space="0"/>
            </w:tcBorders>
            <w:vAlign w:val="center"/>
          </w:tcPr>
          <w:p w14:paraId="5F6B65A2">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300" w:type="dxa"/>
            <w:tcBorders>
              <w:top w:val="nil"/>
              <w:left w:val="nil"/>
              <w:bottom w:val="single" w:color="auto" w:sz="4" w:space="0"/>
              <w:right w:val="single" w:color="auto" w:sz="4" w:space="0"/>
            </w:tcBorders>
            <w:vAlign w:val="center"/>
          </w:tcPr>
          <w:p w14:paraId="5437E305">
            <w:pPr>
              <w:widowControl/>
              <w:spacing w:line="240" w:lineRule="auto"/>
              <w:jc w:val="center"/>
              <w:rPr>
                <w:rFonts w:ascii="宋体" w:hAnsi="宋体" w:cs="宋体"/>
                <w:kern w:val="0"/>
                <w:sz w:val="21"/>
                <w:szCs w:val="21"/>
              </w:rPr>
            </w:pPr>
            <w:r>
              <w:rPr>
                <w:rFonts w:hint="eastAsia" w:ascii="宋体" w:hAnsi="宋体" w:cs="宋体"/>
                <w:kern w:val="0"/>
                <w:sz w:val="21"/>
                <w:szCs w:val="21"/>
              </w:rPr>
              <w:t>投诉电话</w:t>
            </w:r>
          </w:p>
        </w:tc>
        <w:tc>
          <w:tcPr>
            <w:tcW w:w="1520" w:type="dxa"/>
            <w:tcBorders>
              <w:top w:val="nil"/>
              <w:left w:val="nil"/>
              <w:bottom w:val="single" w:color="auto" w:sz="4" w:space="0"/>
              <w:right w:val="single" w:color="auto" w:sz="4" w:space="0"/>
            </w:tcBorders>
            <w:vAlign w:val="center"/>
          </w:tcPr>
          <w:p w14:paraId="2BAC5E87">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60E11FFC">
        <w:tblPrEx>
          <w:tblCellMar>
            <w:top w:w="0" w:type="dxa"/>
            <w:left w:w="108" w:type="dxa"/>
            <w:bottom w:w="0" w:type="dxa"/>
            <w:right w:w="108" w:type="dxa"/>
          </w:tblCellMar>
        </w:tblPrEx>
        <w:trPr>
          <w:trHeight w:val="510" w:hRule="exact"/>
        </w:trPr>
        <w:tc>
          <w:tcPr>
            <w:tcW w:w="9540" w:type="dxa"/>
            <w:gridSpan w:val="6"/>
            <w:tcBorders>
              <w:top w:val="single" w:color="auto" w:sz="4" w:space="0"/>
              <w:left w:val="single" w:color="auto" w:sz="4" w:space="0"/>
              <w:bottom w:val="single" w:color="auto" w:sz="4" w:space="0"/>
              <w:right w:val="single" w:color="000000" w:sz="4" w:space="0"/>
            </w:tcBorders>
            <w:vAlign w:val="center"/>
          </w:tcPr>
          <w:p w14:paraId="60AAD237">
            <w:pPr>
              <w:widowControl/>
              <w:spacing w:line="240" w:lineRule="auto"/>
              <w:jc w:val="center"/>
              <w:rPr>
                <w:rFonts w:ascii="宋体" w:hAnsi="宋体" w:cs="宋体"/>
                <w:b/>
                <w:bCs/>
                <w:kern w:val="0"/>
                <w:sz w:val="21"/>
                <w:szCs w:val="21"/>
              </w:rPr>
            </w:pPr>
            <w:r>
              <w:rPr>
                <w:rFonts w:hint="eastAsia" w:ascii="宋体" w:hAnsi="宋体" w:cs="宋体"/>
                <w:b/>
                <w:bCs/>
                <w:kern w:val="0"/>
                <w:sz w:val="21"/>
                <w:szCs w:val="21"/>
              </w:rPr>
              <w:t>保险基本信息</w:t>
            </w:r>
          </w:p>
        </w:tc>
      </w:tr>
      <w:tr w14:paraId="792877D9">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3D04FFF0">
            <w:pPr>
              <w:widowControl/>
              <w:spacing w:line="240" w:lineRule="auto"/>
              <w:jc w:val="left"/>
              <w:rPr>
                <w:rFonts w:ascii="宋体" w:hAnsi="宋体" w:cs="宋体"/>
                <w:kern w:val="0"/>
                <w:sz w:val="21"/>
                <w:szCs w:val="21"/>
              </w:rPr>
            </w:pPr>
            <w:r>
              <w:rPr>
                <w:rFonts w:hint="eastAsia" w:ascii="宋体" w:hAnsi="宋体" w:cs="宋体"/>
                <w:kern w:val="0"/>
                <w:sz w:val="21"/>
                <w:szCs w:val="21"/>
              </w:rPr>
              <w:t>投标信息</w:t>
            </w:r>
          </w:p>
        </w:tc>
        <w:tc>
          <w:tcPr>
            <w:tcW w:w="1833" w:type="dxa"/>
            <w:tcBorders>
              <w:top w:val="nil"/>
              <w:left w:val="nil"/>
              <w:bottom w:val="single" w:color="auto" w:sz="4" w:space="0"/>
              <w:right w:val="single" w:color="auto" w:sz="4" w:space="0"/>
            </w:tcBorders>
            <w:vAlign w:val="center"/>
          </w:tcPr>
          <w:p w14:paraId="5CF5540F">
            <w:pPr>
              <w:widowControl/>
              <w:spacing w:line="240" w:lineRule="auto"/>
              <w:jc w:val="center"/>
              <w:rPr>
                <w:rFonts w:ascii="宋体" w:hAnsi="宋体" w:cs="宋体"/>
                <w:kern w:val="0"/>
                <w:sz w:val="21"/>
                <w:szCs w:val="21"/>
              </w:rPr>
            </w:pPr>
            <w:r>
              <w:rPr>
                <w:rFonts w:hint="eastAsia" w:ascii="宋体" w:hAnsi="宋体" w:cs="宋体"/>
                <w:kern w:val="0"/>
                <w:sz w:val="21"/>
                <w:szCs w:val="21"/>
              </w:rPr>
              <w:t>▲投标项目名称</w:t>
            </w:r>
          </w:p>
        </w:tc>
        <w:tc>
          <w:tcPr>
            <w:tcW w:w="4974" w:type="dxa"/>
            <w:gridSpan w:val="4"/>
            <w:tcBorders>
              <w:top w:val="single" w:color="auto" w:sz="4" w:space="0"/>
              <w:left w:val="nil"/>
              <w:bottom w:val="single" w:color="auto" w:sz="4" w:space="0"/>
              <w:right w:val="single" w:color="000000" w:sz="4" w:space="0"/>
            </w:tcBorders>
            <w:vAlign w:val="center"/>
          </w:tcPr>
          <w:p w14:paraId="0F494774">
            <w:pPr>
              <w:widowControl/>
              <w:spacing w:line="240" w:lineRule="auto"/>
              <w:jc w:val="center"/>
              <w:rPr>
                <w:rFonts w:ascii="宋体" w:hAnsi="宋体" w:cs="宋体"/>
                <w:kern w:val="0"/>
                <w:sz w:val="21"/>
                <w:szCs w:val="21"/>
              </w:rPr>
            </w:pPr>
            <w:r>
              <w:rPr>
                <w:rFonts w:hint="eastAsia" w:ascii="宋体" w:hAnsi="宋体" w:cs="宋体"/>
                <w:kern w:val="0"/>
                <w:sz w:val="21"/>
                <w:szCs w:val="21"/>
              </w:rPr>
              <w:t>广澳高速中山服务区西区加油站重建项目</w:t>
            </w:r>
            <w:r>
              <w:rPr>
                <w:rFonts w:hint="eastAsia" w:ascii="宋体" w:hAnsi="宋体" w:cs="宋体"/>
                <w:kern w:val="0"/>
                <w:sz w:val="21"/>
                <w:szCs w:val="21"/>
                <w:highlight w:val="none"/>
              </w:rPr>
              <w:t>土建工程</w:t>
            </w:r>
          </w:p>
        </w:tc>
      </w:tr>
      <w:tr w14:paraId="52A560E1">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06C4A735">
            <w:pPr>
              <w:widowControl/>
              <w:spacing w:line="240" w:lineRule="auto"/>
              <w:jc w:val="left"/>
              <w:rPr>
                <w:rFonts w:ascii="宋体" w:hAnsi="宋体" w:cs="宋体"/>
                <w:kern w:val="0"/>
                <w:sz w:val="21"/>
                <w:szCs w:val="21"/>
              </w:rPr>
            </w:pPr>
            <w:r>
              <w:rPr>
                <w:rFonts w:hint="eastAsia" w:ascii="宋体" w:hAnsi="宋体" w:cs="宋体"/>
                <w:kern w:val="0"/>
                <w:sz w:val="21"/>
                <w:szCs w:val="21"/>
              </w:rPr>
              <w:t>招标文件编号</w:t>
            </w:r>
          </w:p>
        </w:tc>
        <w:tc>
          <w:tcPr>
            <w:tcW w:w="1833" w:type="dxa"/>
            <w:tcBorders>
              <w:top w:val="nil"/>
              <w:left w:val="nil"/>
              <w:bottom w:val="single" w:color="auto" w:sz="4" w:space="0"/>
              <w:right w:val="single" w:color="auto" w:sz="4" w:space="0"/>
            </w:tcBorders>
            <w:vAlign w:val="center"/>
          </w:tcPr>
          <w:p w14:paraId="12B8F5B9">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194" w:type="dxa"/>
            <w:tcBorders>
              <w:top w:val="nil"/>
              <w:left w:val="nil"/>
              <w:bottom w:val="single" w:color="auto" w:sz="4" w:space="0"/>
              <w:right w:val="single" w:color="auto" w:sz="4" w:space="0"/>
            </w:tcBorders>
            <w:vAlign w:val="center"/>
          </w:tcPr>
          <w:p w14:paraId="6AE1B162">
            <w:pPr>
              <w:widowControl/>
              <w:spacing w:line="240" w:lineRule="auto"/>
              <w:jc w:val="center"/>
              <w:rPr>
                <w:rFonts w:ascii="宋体" w:hAnsi="宋体" w:cs="宋体"/>
                <w:kern w:val="0"/>
                <w:sz w:val="21"/>
                <w:szCs w:val="21"/>
              </w:rPr>
            </w:pPr>
            <w:r>
              <w:rPr>
                <w:rFonts w:hint="eastAsia" w:ascii="宋体" w:hAnsi="宋体" w:cs="宋体"/>
                <w:kern w:val="0"/>
                <w:sz w:val="21"/>
                <w:szCs w:val="21"/>
              </w:rPr>
              <w:t>开标日期</w:t>
            </w:r>
          </w:p>
        </w:tc>
        <w:tc>
          <w:tcPr>
            <w:tcW w:w="960" w:type="dxa"/>
            <w:tcBorders>
              <w:top w:val="nil"/>
              <w:left w:val="nil"/>
              <w:bottom w:val="single" w:color="auto" w:sz="4" w:space="0"/>
              <w:right w:val="single" w:color="auto" w:sz="4" w:space="0"/>
            </w:tcBorders>
            <w:vAlign w:val="center"/>
          </w:tcPr>
          <w:p w14:paraId="4A1BADED">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c>
          <w:tcPr>
            <w:tcW w:w="1300" w:type="dxa"/>
            <w:tcBorders>
              <w:top w:val="nil"/>
              <w:left w:val="nil"/>
              <w:bottom w:val="single" w:color="auto" w:sz="4" w:space="0"/>
              <w:right w:val="single" w:color="auto" w:sz="4" w:space="0"/>
            </w:tcBorders>
            <w:vAlign w:val="center"/>
          </w:tcPr>
          <w:p w14:paraId="3A0C174F">
            <w:pPr>
              <w:widowControl/>
              <w:spacing w:line="240" w:lineRule="auto"/>
              <w:jc w:val="center"/>
              <w:rPr>
                <w:rFonts w:ascii="宋体" w:hAnsi="宋体" w:cs="宋体"/>
                <w:kern w:val="0"/>
                <w:sz w:val="21"/>
                <w:szCs w:val="21"/>
              </w:rPr>
            </w:pPr>
            <w:r>
              <w:rPr>
                <w:rFonts w:hint="eastAsia" w:ascii="宋体" w:hAnsi="宋体" w:cs="宋体"/>
                <w:kern w:val="0"/>
                <w:sz w:val="21"/>
                <w:szCs w:val="21"/>
              </w:rPr>
              <w:t>担保方式</w:t>
            </w:r>
          </w:p>
        </w:tc>
        <w:tc>
          <w:tcPr>
            <w:tcW w:w="1520" w:type="dxa"/>
            <w:tcBorders>
              <w:top w:val="nil"/>
              <w:left w:val="nil"/>
              <w:bottom w:val="single" w:color="auto" w:sz="4" w:space="0"/>
              <w:right w:val="single" w:color="auto" w:sz="4" w:space="0"/>
            </w:tcBorders>
            <w:vAlign w:val="center"/>
          </w:tcPr>
          <w:p w14:paraId="725A8D96">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0030FA72">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338E7675">
            <w:pPr>
              <w:widowControl/>
              <w:spacing w:line="240" w:lineRule="auto"/>
              <w:jc w:val="left"/>
              <w:rPr>
                <w:rFonts w:ascii="宋体" w:hAnsi="宋体" w:cs="宋体"/>
                <w:kern w:val="0"/>
                <w:sz w:val="21"/>
                <w:szCs w:val="21"/>
              </w:rPr>
            </w:pPr>
            <w:r>
              <w:rPr>
                <w:rFonts w:hint="eastAsia" w:ascii="宋体" w:hAnsi="宋体" w:cs="宋体"/>
                <w:kern w:val="0"/>
                <w:sz w:val="21"/>
                <w:szCs w:val="21"/>
              </w:rPr>
              <w:t>▲保险金额</w:t>
            </w:r>
          </w:p>
        </w:tc>
        <w:tc>
          <w:tcPr>
            <w:tcW w:w="6807" w:type="dxa"/>
            <w:gridSpan w:val="5"/>
            <w:tcBorders>
              <w:top w:val="single" w:color="auto" w:sz="4" w:space="0"/>
              <w:left w:val="nil"/>
              <w:bottom w:val="single" w:color="auto" w:sz="4" w:space="0"/>
              <w:right w:val="single" w:color="auto" w:sz="4" w:space="0"/>
            </w:tcBorders>
            <w:vAlign w:val="center"/>
          </w:tcPr>
          <w:p w14:paraId="66B8A657">
            <w:pPr>
              <w:widowControl/>
              <w:spacing w:line="240" w:lineRule="auto"/>
              <w:jc w:val="center"/>
              <w:rPr>
                <w:rFonts w:ascii="宋体" w:hAnsi="宋体" w:cs="宋体"/>
                <w:kern w:val="0"/>
                <w:sz w:val="21"/>
                <w:szCs w:val="21"/>
              </w:rPr>
            </w:pPr>
            <w:r>
              <w:rPr>
                <w:rFonts w:ascii="宋体" w:hAnsi="宋体" w:cs="宋体"/>
                <w:kern w:val="0"/>
                <w:sz w:val="21"/>
                <w:szCs w:val="21"/>
              </w:rPr>
              <w:t>x</w:t>
            </w:r>
            <w:r>
              <w:rPr>
                <w:rFonts w:hint="eastAsia" w:ascii="宋体" w:hAnsi="宋体" w:cs="宋体"/>
                <w:kern w:val="0"/>
                <w:sz w:val="21"/>
                <w:szCs w:val="21"/>
              </w:rPr>
              <w:t>xxx元</w:t>
            </w:r>
          </w:p>
        </w:tc>
      </w:tr>
      <w:tr w14:paraId="350BC7D5">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00E1B8DE">
            <w:pPr>
              <w:widowControl/>
              <w:spacing w:line="240" w:lineRule="auto"/>
              <w:jc w:val="left"/>
              <w:rPr>
                <w:rFonts w:ascii="宋体" w:hAnsi="宋体" w:cs="宋体"/>
                <w:kern w:val="0"/>
                <w:sz w:val="21"/>
                <w:szCs w:val="21"/>
              </w:rPr>
            </w:pPr>
            <w:r>
              <w:rPr>
                <w:rFonts w:hint="eastAsia" w:ascii="宋体" w:hAnsi="宋体" w:cs="宋体"/>
                <w:kern w:val="0"/>
                <w:sz w:val="21"/>
                <w:szCs w:val="21"/>
              </w:rPr>
              <w:t>▲绝对免赔额</w:t>
            </w:r>
          </w:p>
        </w:tc>
        <w:tc>
          <w:tcPr>
            <w:tcW w:w="6807" w:type="dxa"/>
            <w:gridSpan w:val="5"/>
            <w:tcBorders>
              <w:top w:val="single" w:color="auto" w:sz="4" w:space="0"/>
              <w:left w:val="nil"/>
              <w:bottom w:val="single" w:color="auto" w:sz="4" w:space="0"/>
              <w:right w:val="single" w:color="auto" w:sz="4" w:space="0"/>
            </w:tcBorders>
            <w:vAlign w:val="center"/>
          </w:tcPr>
          <w:p w14:paraId="7868F5B8">
            <w:pPr>
              <w:widowControl/>
              <w:spacing w:line="240" w:lineRule="auto"/>
              <w:jc w:val="center"/>
              <w:rPr>
                <w:rFonts w:ascii="宋体" w:hAnsi="宋体" w:cs="宋体"/>
                <w:kern w:val="0"/>
                <w:sz w:val="21"/>
                <w:szCs w:val="21"/>
              </w:rPr>
            </w:pPr>
            <w:r>
              <w:rPr>
                <w:rFonts w:hint="eastAsia" w:ascii="宋体" w:hAnsi="宋体" w:cs="宋体"/>
                <w:kern w:val="0"/>
                <w:sz w:val="21"/>
                <w:szCs w:val="21"/>
              </w:rPr>
              <w:t>0</w:t>
            </w:r>
          </w:p>
        </w:tc>
      </w:tr>
      <w:tr w14:paraId="50B5270B">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5820168D">
            <w:pPr>
              <w:widowControl/>
              <w:spacing w:line="240" w:lineRule="auto"/>
              <w:jc w:val="left"/>
              <w:rPr>
                <w:rFonts w:ascii="宋体" w:hAnsi="宋体" w:cs="宋体"/>
                <w:kern w:val="0"/>
                <w:sz w:val="21"/>
                <w:szCs w:val="21"/>
              </w:rPr>
            </w:pPr>
            <w:r>
              <w:rPr>
                <w:rFonts w:hint="eastAsia" w:ascii="宋体" w:hAnsi="宋体" w:cs="宋体"/>
                <w:kern w:val="0"/>
                <w:sz w:val="21"/>
                <w:szCs w:val="21"/>
              </w:rPr>
              <w:t>▲保险期间</w:t>
            </w:r>
          </w:p>
        </w:tc>
        <w:tc>
          <w:tcPr>
            <w:tcW w:w="6807" w:type="dxa"/>
            <w:gridSpan w:val="5"/>
            <w:tcBorders>
              <w:top w:val="single" w:color="auto" w:sz="4" w:space="0"/>
              <w:left w:val="nil"/>
              <w:bottom w:val="single" w:color="auto" w:sz="4" w:space="0"/>
              <w:right w:val="single" w:color="auto" w:sz="4" w:space="0"/>
            </w:tcBorders>
            <w:vAlign w:val="center"/>
          </w:tcPr>
          <w:p w14:paraId="6DCFF9D3">
            <w:pPr>
              <w:widowControl/>
              <w:spacing w:line="240" w:lineRule="auto"/>
              <w:jc w:val="center"/>
              <w:rPr>
                <w:rFonts w:ascii="宋体" w:hAnsi="宋体" w:cs="宋体"/>
                <w:kern w:val="0"/>
                <w:sz w:val="21"/>
                <w:szCs w:val="21"/>
              </w:rPr>
            </w:pPr>
            <w:r>
              <w:rPr>
                <w:rFonts w:hint="eastAsia" w:ascii="宋体" w:hAnsi="宋体" w:cs="宋体"/>
                <w:kern w:val="0"/>
                <w:sz w:val="21"/>
                <w:szCs w:val="21"/>
              </w:rPr>
              <w:t>自投标截止时间开始，至投标有效期后28天结束</w:t>
            </w:r>
          </w:p>
        </w:tc>
      </w:tr>
      <w:tr w14:paraId="5795CD16">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296D3F7A">
            <w:pPr>
              <w:widowControl/>
              <w:spacing w:line="240" w:lineRule="auto"/>
              <w:jc w:val="left"/>
              <w:rPr>
                <w:rFonts w:ascii="宋体" w:hAnsi="宋体" w:cs="宋体"/>
                <w:kern w:val="0"/>
                <w:sz w:val="21"/>
                <w:szCs w:val="21"/>
              </w:rPr>
            </w:pPr>
            <w:r>
              <w:rPr>
                <w:rFonts w:hint="eastAsia" w:ascii="宋体" w:hAnsi="宋体" w:cs="宋体"/>
                <w:kern w:val="0"/>
                <w:sz w:val="21"/>
                <w:szCs w:val="21"/>
              </w:rPr>
              <w:t>▲保险费</w:t>
            </w:r>
          </w:p>
        </w:tc>
        <w:tc>
          <w:tcPr>
            <w:tcW w:w="6807" w:type="dxa"/>
            <w:gridSpan w:val="5"/>
            <w:tcBorders>
              <w:top w:val="single" w:color="auto" w:sz="4" w:space="0"/>
              <w:left w:val="nil"/>
              <w:bottom w:val="single" w:color="auto" w:sz="4" w:space="0"/>
              <w:right w:val="single" w:color="auto" w:sz="4" w:space="0"/>
            </w:tcBorders>
            <w:vAlign w:val="center"/>
          </w:tcPr>
          <w:p w14:paraId="597C5CB0">
            <w:pPr>
              <w:widowControl/>
              <w:spacing w:line="240" w:lineRule="auto"/>
              <w:jc w:val="center"/>
              <w:rPr>
                <w:rFonts w:ascii="宋体" w:hAnsi="宋体" w:cs="宋体"/>
                <w:kern w:val="0"/>
                <w:sz w:val="21"/>
                <w:szCs w:val="21"/>
              </w:rPr>
            </w:pPr>
            <w:r>
              <w:rPr>
                <w:rFonts w:hint="eastAsia" w:ascii="宋体" w:hAnsi="宋体" w:cs="宋体"/>
                <w:kern w:val="0"/>
                <w:sz w:val="21"/>
                <w:szCs w:val="21"/>
              </w:rPr>
              <w:t>xxxx元</w:t>
            </w:r>
          </w:p>
        </w:tc>
      </w:tr>
      <w:tr w14:paraId="5B1E5E20">
        <w:tblPrEx>
          <w:tblCellMar>
            <w:top w:w="0" w:type="dxa"/>
            <w:left w:w="108" w:type="dxa"/>
            <w:bottom w:w="0" w:type="dxa"/>
            <w:right w:w="108" w:type="dxa"/>
          </w:tblCellMar>
        </w:tblPrEx>
        <w:trPr>
          <w:trHeight w:val="510" w:hRule="exact"/>
        </w:trPr>
        <w:tc>
          <w:tcPr>
            <w:tcW w:w="2733" w:type="dxa"/>
            <w:tcBorders>
              <w:top w:val="nil"/>
              <w:left w:val="single" w:color="auto" w:sz="4" w:space="0"/>
              <w:bottom w:val="single" w:color="auto" w:sz="4" w:space="0"/>
              <w:right w:val="single" w:color="auto" w:sz="4" w:space="0"/>
            </w:tcBorders>
            <w:vAlign w:val="center"/>
          </w:tcPr>
          <w:p w14:paraId="1EABEF24">
            <w:pPr>
              <w:widowControl/>
              <w:spacing w:line="240" w:lineRule="auto"/>
              <w:jc w:val="left"/>
              <w:rPr>
                <w:rFonts w:ascii="宋体" w:hAnsi="宋体" w:cs="宋体"/>
                <w:kern w:val="0"/>
                <w:sz w:val="21"/>
                <w:szCs w:val="21"/>
              </w:rPr>
            </w:pPr>
            <w:r>
              <w:rPr>
                <w:rFonts w:hint="eastAsia" w:ascii="宋体" w:hAnsi="宋体" w:cs="宋体"/>
                <w:kern w:val="0"/>
                <w:sz w:val="21"/>
                <w:szCs w:val="21"/>
              </w:rPr>
              <w:t>司法管辖</w:t>
            </w:r>
          </w:p>
        </w:tc>
        <w:tc>
          <w:tcPr>
            <w:tcW w:w="6807" w:type="dxa"/>
            <w:gridSpan w:val="5"/>
            <w:tcBorders>
              <w:top w:val="single" w:color="auto" w:sz="4" w:space="0"/>
              <w:left w:val="nil"/>
              <w:bottom w:val="single" w:color="auto" w:sz="4" w:space="0"/>
              <w:right w:val="single" w:color="auto" w:sz="4" w:space="0"/>
            </w:tcBorders>
            <w:vAlign w:val="center"/>
          </w:tcPr>
          <w:p w14:paraId="0F11063E">
            <w:pPr>
              <w:widowControl/>
              <w:spacing w:line="240" w:lineRule="auto"/>
              <w:jc w:val="center"/>
              <w:rPr>
                <w:rFonts w:ascii="宋体" w:hAnsi="宋体" w:cs="宋体"/>
                <w:kern w:val="0"/>
                <w:sz w:val="21"/>
                <w:szCs w:val="21"/>
              </w:rPr>
            </w:pPr>
            <w:r>
              <w:rPr>
                <w:rFonts w:hint="eastAsia" w:ascii="宋体" w:hAnsi="宋体" w:cs="宋体"/>
                <w:kern w:val="0"/>
                <w:sz w:val="21"/>
                <w:szCs w:val="21"/>
              </w:rPr>
              <w:t>xxxx</w:t>
            </w:r>
          </w:p>
        </w:tc>
      </w:tr>
      <w:tr w14:paraId="522C6068">
        <w:tblPrEx>
          <w:tblCellMar>
            <w:top w:w="0" w:type="dxa"/>
            <w:left w:w="108" w:type="dxa"/>
            <w:bottom w:w="0" w:type="dxa"/>
            <w:right w:w="108" w:type="dxa"/>
          </w:tblCellMar>
        </w:tblPrEx>
        <w:trPr>
          <w:trHeight w:val="586" w:hRule="exact"/>
        </w:trPr>
        <w:tc>
          <w:tcPr>
            <w:tcW w:w="9540" w:type="dxa"/>
            <w:gridSpan w:val="6"/>
            <w:tcBorders>
              <w:top w:val="single" w:color="auto" w:sz="4" w:space="0"/>
              <w:left w:val="single" w:color="auto" w:sz="4" w:space="0"/>
              <w:bottom w:val="single" w:color="auto" w:sz="4" w:space="0"/>
              <w:right w:val="single" w:color="auto" w:sz="4" w:space="0"/>
            </w:tcBorders>
            <w:vAlign w:val="center"/>
          </w:tcPr>
          <w:p w14:paraId="3A21E3C9">
            <w:pPr>
              <w:widowControl/>
              <w:spacing w:line="240" w:lineRule="auto"/>
              <w:jc w:val="center"/>
              <w:rPr>
                <w:rFonts w:ascii="宋体" w:hAnsi="宋体" w:cs="宋体"/>
                <w:b/>
                <w:bCs/>
                <w:kern w:val="0"/>
                <w:sz w:val="21"/>
                <w:szCs w:val="21"/>
              </w:rPr>
            </w:pPr>
            <w:r>
              <w:rPr>
                <w:rFonts w:hint="eastAsia" w:ascii="宋体" w:hAnsi="宋体" w:cs="宋体"/>
                <w:b/>
                <w:bCs/>
                <w:kern w:val="0"/>
                <w:sz w:val="21"/>
                <w:szCs w:val="21"/>
              </w:rPr>
              <w:t>▲特别约定</w:t>
            </w:r>
          </w:p>
        </w:tc>
      </w:tr>
      <w:tr w14:paraId="0921534B">
        <w:tblPrEx>
          <w:tblCellMar>
            <w:top w:w="0" w:type="dxa"/>
            <w:left w:w="108" w:type="dxa"/>
            <w:bottom w:w="0" w:type="dxa"/>
            <w:right w:w="108" w:type="dxa"/>
          </w:tblCellMar>
        </w:tblPrEx>
        <w:trPr>
          <w:trHeight w:val="8190" w:hRule="atLeast"/>
        </w:trPr>
        <w:tc>
          <w:tcPr>
            <w:tcW w:w="9540" w:type="dxa"/>
            <w:gridSpan w:val="6"/>
            <w:tcBorders>
              <w:top w:val="single" w:color="auto" w:sz="4" w:space="0"/>
              <w:left w:val="single" w:color="auto" w:sz="4" w:space="0"/>
              <w:bottom w:val="single" w:color="auto" w:sz="4" w:space="0"/>
              <w:right w:val="single" w:color="auto" w:sz="4" w:space="0"/>
            </w:tcBorders>
            <w:vAlign w:val="center"/>
          </w:tcPr>
          <w:p w14:paraId="04F2B37E">
            <w:pPr>
              <w:widowControl/>
              <w:spacing w:line="240" w:lineRule="auto"/>
              <w:jc w:val="left"/>
              <w:rPr>
                <w:rFonts w:ascii="宋体" w:hAnsi="宋体" w:cs="宋体"/>
                <w:kern w:val="0"/>
                <w:sz w:val="21"/>
                <w:szCs w:val="21"/>
              </w:rPr>
            </w:pPr>
            <w:r>
              <w:rPr>
                <w:rFonts w:hint="eastAsia" w:ascii="宋体" w:hAnsi="宋体" w:cs="宋体"/>
                <w:b/>
                <w:bCs/>
                <w:kern w:val="0"/>
                <w:sz w:val="21"/>
                <w:szCs w:val="21"/>
              </w:rPr>
              <w:t>一、本特别约定</w:t>
            </w:r>
            <w:r>
              <w:rPr>
                <w:rFonts w:hint="eastAsia" w:ascii="宋体" w:hAnsi="宋体" w:cs="宋体"/>
                <w:kern w:val="0"/>
                <w:sz w:val="21"/>
                <w:szCs w:val="21"/>
              </w:rPr>
              <w:br w:type="textWrapping"/>
            </w:r>
            <w:r>
              <w:rPr>
                <w:rFonts w:hint="eastAsia" w:ascii="宋体" w:hAnsi="宋体" w:cs="宋体"/>
                <w:kern w:val="0"/>
                <w:sz w:val="21"/>
                <w:szCs w:val="21"/>
              </w:rPr>
              <w:t>1.作为投标保证保险保单的有效组成部分，本特别约定与保险合同、投标保证金保险保单或其它保险凭证（包括索赔申请表）具有同等法律效力。</w:t>
            </w:r>
            <w:r>
              <w:rPr>
                <w:rFonts w:hint="eastAsia" w:ascii="宋体" w:hAnsi="宋体" w:cs="宋体"/>
                <w:kern w:val="0"/>
                <w:sz w:val="21"/>
                <w:szCs w:val="21"/>
              </w:rPr>
              <w:br w:type="textWrapping"/>
            </w:r>
            <w:r>
              <w:rPr>
                <w:rFonts w:hint="eastAsia" w:ascii="宋体" w:hAnsi="宋体" w:cs="宋体"/>
                <w:b/>
                <w:bCs/>
                <w:kern w:val="0"/>
                <w:sz w:val="21"/>
                <w:szCs w:val="21"/>
              </w:rPr>
              <w:t>2.本保险合同的组成及解释顺序如下：</w:t>
            </w:r>
            <w:r>
              <w:rPr>
                <w:rFonts w:hint="eastAsia" w:ascii="宋体" w:hAnsi="宋体" w:cs="宋体"/>
                <w:b/>
                <w:bCs/>
                <w:kern w:val="0"/>
                <w:sz w:val="21"/>
                <w:szCs w:val="21"/>
              </w:rPr>
              <w:br w:type="textWrapping"/>
            </w:r>
            <w:r>
              <w:rPr>
                <w:rFonts w:hint="eastAsia" w:ascii="宋体" w:hAnsi="宋体" w:cs="宋体"/>
                <w:b/>
                <w:bCs/>
                <w:kern w:val="0"/>
                <w:sz w:val="21"/>
                <w:szCs w:val="21"/>
              </w:rPr>
              <w:t>（1）投标保证金保险保单；</w:t>
            </w:r>
            <w:r>
              <w:rPr>
                <w:rFonts w:hint="eastAsia" w:ascii="宋体" w:hAnsi="宋体" w:cs="宋体"/>
                <w:b/>
                <w:bCs/>
                <w:kern w:val="0"/>
                <w:sz w:val="21"/>
                <w:szCs w:val="21"/>
              </w:rPr>
              <w:br w:type="textWrapping"/>
            </w:r>
            <w:r>
              <w:rPr>
                <w:rFonts w:hint="eastAsia" w:ascii="宋体" w:hAnsi="宋体" w:cs="宋体"/>
                <w:b/>
                <w:bCs/>
                <w:kern w:val="0"/>
                <w:sz w:val="21"/>
                <w:szCs w:val="21"/>
              </w:rPr>
              <w:t>（2）索赔申请表；</w:t>
            </w:r>
            <w:r>
              <w:rPr>
                <w:rFonts w:hint="eastAsia" w:ascii="宋体" w:hAnsi="宋体" w:cs="宋体"/>
                <w:b/>
                <w:bCs/>
                <w:kern w:val="0"/>
                <w:sz w:val="21"/>
                <w:szCs w:val="21"/>
              </w:rPr>
              <w:br w:type="textWrapping"/>
            </w:r>
            <w:r>
              <w:rPr>
                <w:rFonts w:hint="eastAsia" w:ascii="宋体" w:hAnsi="宋体" w:cs="宋体"/>
                <w:b/>
                <w:bCs/>
                <w:kern w:val="0"/>
                <w:sz w:val="21"/>
                <w:szCs w:val="21"/>
              </w:rPr>
              <w:t>（3）保险公司投标保证保险条款。</w:t>
            </w:r>
            <w:r>
              <w:rPr>
                <w:rFonts w:hint="eastAsia" w:ascii="宋体" w:hAnsi="宋体" w:cs="宋体"/>
                <w:b/>
                <w:bCs/>
                <w:kern w:val="0"/>
                <w:sz w:val="21"/>
                <w:szCs w:val="21"/>
              </w:rPr>
              <w:br w:type="textWrapping"/>
            </w:r>
            <w:r>
              <w:rPr>
                <w:rFonts w:hint="eastAsia" w:ascii="宋体" w:hAnsi="宋体" w:cs="宋体"/>
                <w:b/>
                <w:bCs/>
                <w:kern w:val="0"/>
                <w:sz w:val="21"/>
                <w:szCs w:val="21"/>
              </w:rPr>
              <w:t>当本条第（3）款相关内容与第（1）款和（或）第（2）款相关内容不一致时，以第（1）款和（或）第（2）款相关内容为准；当第（3）款中的相关内容在第（1）款和（或）第（2）款中没有明确体现或与其抵触的，以第（1）款和（或）第（2）款相关内容为准。</w:t>
            </w:r>
            <w:r>
              <w:rPr>
                <w:rFonts w:hint="eastAsia" w:ascii="宋体" w:hAnsi="宋体" w:cs="宋体"/>
                <w:kern w:val="0"/>
                <w:sz w:val="21"/>
                <w:szCs w:val="21"/>
              </w:rPr>
              <w:br w:type="textWrapping"/>
            </w:r>
            <w:r>
              <w:rPr>
                <w:rFonts w:hint="eastAsia" w:ascii="宋体" w:hAnsi="宋体" w:cs="宋体"/>
                <w:b/>
                <w:bCs/>
                <w:kern w:val="0"/>
                <w:sz w:val="21"/>
                <w:szCs w:val="21"/>
              </w:rPr>
              <w:t>二、保险责任的范围</w:t>
            </w:r>
            <w:r>
              <w:rPr>
                <w:rFonts w:hint="eastAsia" w:ascii="宋体" w:hAnsi="宋体" w:cs="宋体"/>
                <w:kern w:val="0"/>
                <w:sz w:val="21"/>
                <w:szCs w:val="21"/>
              </w:rPr>
              <w:br w:type="textWrapping"/>
            </w:r>
            <w:r>
              <w:rPr>
                <w:rFonts w:hint="eastAsia" w:ascii="宋体" w:hAnsi="宋体" w:cs="宋体"/>
                <w:kern w:val="0"/>
                <w:sz w:val="21"/>
                <w:szCs w:val="21"/>
              </w:rPr>
              <w:t xml:space="preserve">在投保人发生以下被保险人依法不退还保证金的情形时承担保险责任： </w:t>
            </w:r>
            <w:r>
              <w:rPr>
                <w:rFonts w:hint="eastAsia" w:ascii="宋体" w:hAnsi="宋体" w:cs="宋体"/>
                <w:kern w:val="0"/>
                <w:sz w:val="21"/>
                <w:szCs w:val="21"/>
              </w:rPr>
              <w:br w:type="textWrapping"/>
            </w:r>
            <w:r>
              <w:rPr>
                <w:rFonts w:hint="eastAsia" w:ascii="宋体" w:hAnsi="宋体" w:cs="宋体"/>
                <w:kern w:val="0"/>
                <w:sz w:val="21"/>
                <w:szCs w:val="21"/>
              </w:rPr>
              <w:t>（1）投标人在投标有效期内撤销投标文件；</w:t>
            </w:r>
          </w:p>
          <w:p w14:paraId="631A765B">
            <w:pPr>
              <w:widowControl/>
              <w:spacing w:line="240" w:lineRule="auto"/>
              <w:jc w:val="left"/>
              <w:rPr>
                <w:rFonts w:ascii="宋体" w:hAnsi="宋体" w:cs="宋体"/>
                <w:kern w:val="0"/>
                <w:sz w:val="21"/>
                <w:szCs w:val="21"/>
              </w:rPr>
            </w:pPr>
            <w:r>
              <w:rPr>
                <w:rFonts w:hint="eastAsia" w:ascii="宋体" w:hAnsi="宋体" w:cs="宋体"/>
                <w:kern w:val="0"/>
                <w:sz w:val="21"/>
                <w:szCs w:val="21"/>
              </w:rPr>
              <w:t>（2）中标通知书发出后投标人无正当理由放弃中标，或者无正当理由不与招标人订立合同，或者在签订合同时向招标人提出附加条件，或者提出变更投标文件实质性内容；</w:t>
            </w:r>
          </w:p>
          <w:p w14:paraId="0976AC24">
            <w:pPr>
              <w:widowControl/>
              <w:spacing w:line="240" w:lineRule="auto"/>
              <w:jc w:val="left"/>
              <w:rPr>
                <w:rFonts w:ascii="宋体" w:hAnsi="宋体" w:cs="宋体"/>
                <w:kern w:val="0"/>
                <w:sz w:val="21"/>
                <w:szCs w:val="21"/>
              </w:rPr>
            </w:pPr>
            <w:r>
              <w:rPr>
                <w:rFonts w:hint="eastAsia" w:ascii="宋体" w:hAnsi="宋体" w:cs="宋体"/>
                <w:kern w:val="0"/>
                <w:sz w:val="21"/>
                <w:szCs w:val="21"/>
              </w:rPr>
              <w:t>（3）投标人不按照招标文件要求提交履约担保；</w:t>
            </w:r>
          </w:p>
          <w:p w14:paraId="79663D87">
            <w:pPr>
              <w:widowControl/>
              <w:spacing w:line="240" w:lineRule="auto"/>
              <w:jc w:val="left"/>
              <w:rPr>
                <w:rFonts w:ascii="宋体" w:hAnsi="宋体" w:cs="宋体"/>
                <w:kern w:val="0"/>
                <w:sz w:val="21"/>
                <w:szCs w:val="21"/>
              </w:rPr>
            </w:pPr>
            <w:r>
              <w:rPr>
                <w:rFonts w:hint="eastAsia" w:ascii="宋体" w:hAnsi="宋体" w:cs="宋体"/>
                <w:kern w:val="0"/>
                <w:sz w:val="21"/>
                <w:szCs w:val="21"/>
              </w:rPr>
              <w:t>（4）投标人在招投标过程中与他人串通投标；</w:t>
            </w:r>
          </w:p>
          <w:p w14:paraId="732D13C4">
            <w:pPr>
              <w:widowControl/>
              <w:spacing w:line="240" w:lineRule="auto"/>
              <w:jc w:val="left"/>
              <w:rPr>
                <w:rFonts w:ascii="宋体" w:hAnsi="宋体" w:cs="宋体"/>
                <w:kern w:val="0"/>
                <w:sz w:val="21"/>
                <w:szCs w:val="21"/>
              </w:rPr>
            </w:pPr>
            <w:r>
              <w:rPr>
                <w:rFonts w:hint="eastAsia" w:ascii="宋体" w:hAnsi="宋体" w:cs="宋体"/>
                <w:kern w:val="0"/>
                <w:sz w:val="21"/>
                <w:szCs w:val="21"/>
              </w:rPr>
              <w:t>（5）投标人在招投标过程中提供了虚假资料；</w:t>
            </w:r>
          </w:p>
          <w:p w14:paraId="3C446AAB">
            <w:pPr>
              <w:widowControl/>
              <w:spacing w:line="240" w:lineRule="auto"/>
              <w:jc w:val="left"/>
              <w:rPr>
                <w:rFonts w:ascii="宋体" w:hAnsi="宋体" w:cs="宋体"/>
                <w:kern w:val="0"/>
                <w:sz w:val="21"/>
                <w:szCs w:val="21"/>
              </w:rPr>
            </w:pPr>
            <w:r>
              <w:rPr>
                <w:rFonts w:hint="eastAsia" w:ascii="宋体" w:hAnsi="宋体" w:cs="宋体"/>
                <w:kern w:val="0"/>
                <w:sz w:val="21"/>
                <w:szCs w:val="21"/>
              </w:rPr>
              <w:t>（6）投标人在招标投标过程中有其他违法违规行为；</w:t>
            </w:r>
          </w:p>
          <w:p w14:paraId="531B216E">
            <w:pPr>
              <w:widowControl/>
              <w:spacing w:line="240" w:lineRule="auto"/>
              <w:jc w:val="left"/>
              <w:rPr>
                <w:rFonts w:ascii="宋体" w:hAnsi="宋体" w:cs="宋体"/>
                <w:kern w:val="0"/>
                <w:sz w:val="21"/>
                <w:szCs w:val="21"/>
              </w:rPr>
            </w:pPr>
            <w:r>
              <w:rPr>
                <w:rFonts w:hint="eastAsia" w:ascii="宋体" w:hAnsi="宋体" w:cs="宋体"/>
                <w:kern w:val="0"/>
                <w:sz w:val="21"/>
                <w:szCs w:val="21"/>
              </w:rPr>
              <w:t>（7）签订合同时提出变更投标文件实质性内容；</w:t>
            </w:r>
          </w:p>
          <w:p w14:paraId="51C38B0C">
            <w:pPr>
              <w:widowControl/>
              <w:spacing w:line="240" w:lineRule="auto"/>
              <w:jc w:val="left"/>
              <w:rPr>
                <w:rFonts w:ascii="宋体" w:hAnsi="宋体" w:cs="宋体"/>
                <w:b/>
                <w:bCs/>
                <w:kern w:val="0"/>
                <w:sz w:val="21"/>
                <w:szCs w:val="21"/>
              </w:rPr>
            </w:pPr>
            <w:r>
              <w:rPr>
                <w:rFonts w:hint="eastAsia" w:ascii="宋体" w:hAnsi="宋体" w:cs="宋体"/>
                <w:kern w:val="0"/>
                <w:sz w:val="21"/>
                <w:szCs w:val="21"/>
              </w:rPr>
              <w:t>（8）未按招标文件要求向交易中心缴纳交易服务费、向招标代理机构缴纳招标代理服务费。</w:t>
            </w:r>
          </w:p>
          <w:p w14:paraId="36B479A3">
            <w:pPr>
              <w:widowControl/>
              <w:spacing w:line="240" w:lineRule="auto"/>
              <w:jc w:val="left"/>
              <w:rPr>
                <w:rFonts w:ascii="宋体" w:hAnsi="宋体" w:cs="宋体"/>
                <w:kern w:val="0"/>
                <w:sz w:val="21"/>
                <w:szCs w:val="21"/>
              </w:rPr>
            </w:pPr>
            <w:r>
              <w:rPr>
                <w:rFonts w:hint="eastAsia" w:ascii="宋体" w:hAnsi="宋体" w:cs="宋体"/>
                <w:b/>
                <w:bCs/>
                <w:kern w:val="0"/>
                <w:sz w:val="21"/>
                <w:szCs w:val="21"/>
              </w:rPr>
              <w:t>三、保险的方式及保险期间</w:t>
            </w:r>
            <w:r>
              <w:rPr>
                <w:rFonts w:hint="eastAsia" w:ascii="宋体" w:hAnsi="宋体" w:cs="宋体"/>
                <w:kern w:val="0"/>
                <w:sz w:val="21"/>
                <w:szCs w:val="21"/>
              </w:rPr>
              <w:br w:type="textWrapping"/>
            </w:r>
            <w:r>
              <w:rPr>
                <w:rFonts w:hint="eastAsia" w:ascii="宋体" w:hAnsi="宋体" w:cs="宋体"/>
                <w:kern w:val="0"/>
                <w:sz w:val="21"/>
                <w:szCs w:val="21"/>
              </w:rPr>
              <w:t xml:space="preserve">1.保险方式：保险人向被保险人赔偿后，保险人享有向投保人追偿的权利。 </w:t>
            </w:r>
            <w:r>
              <w:rPr>
                <w:rFonts w:hint="eastAsia" w:ascii="宋体" w:hAnsi="宋体" w:cs="宋体"/>
                <w:kern w:val="0"/>
                <w:sz w:val="21"/>
                <w:szCs w:val="21"/>
              </w:rPr>
              <w:br w:type="textWrapping"/>
            </w:r>
            <w:r>
              <w:rPr>
                <w:rFonts w:hint="eastAsia" w:ascii="宋体" w:hAnsi="宋体" w:cs="宋体"/>
                <w:kern w:val="0"/>
                <w:sz w:val="21"/>
                <w:szCs w:val="21"/>
              </w:rPr>
              <w:t>2.保险期间：保单生效时间为投保项目投标截止时间，保险期间为自投标截止时间开始，至投标有效期后28天结束。被保险人如果延长投标有效期的，投保人应当及时通知保险人，保单的有效期相应延长，但最长不超过1年。</w:t>
            </w:r>
            <w:r>
              <w:rPr>
                <w:rFonts w:hint="eastAsia" w:ascii="宋体" w:hAnsi="宋体" w:cs="宋体"/>
                <w:kern w:val="0"/>
                <w:sz w:val="21"/>
                <w:szCs w:val="21"/>
              </w:rPr>
              <w:br w:type="textWrapping"/>
            </w:r>
            <w:r>
              <w:rPr>
                <w:rFonts w:hint="eastAsia" w:ascii="宋体" w:hAnsi="宋体" w:cs="宋体"/>
                <w:b/>
                <w:bCs/>
                <w:kern w:val="0"/>
                <w:sz w:val="21"/>
                <w:szCs w:val="21"/>
              </w:rPr>
              <w:t>四、理赔</w:t>
            </w:r>
            <w:r>
              <w:rPr>
                <w:rFonts w:hint="eastAsia" w:ascii="宋体" w:hAnsi="宋体" w:cs="宋体"/>
                <w:kern w:val="0"/>
                <w:sz w:val="21"/>
                <w:szCs w:val="21"/>
              </w:rPr>
              <w:br w:type="textWrapping"/>
            </w:r>
            <w:r>
              <w:rPr>
                <w:rFonts w:hint="eastAsia" w:ascii="宋体" w:hAnsi="宋体" w:cs="宋体"/>
                <w:b/>
                <w:bCs/>
                <w:kern w:val="0"/>
                <w:sz w:val="21"/>
                <w:szCs w:val="21"/>
              </w:rPr>
              <w:t>1.在保险责任范围内，保险人要求的索赔材料齐全的情况下及时赔付。</w:t>
            </w:r>
            <w:r>
              <w:rPr>
                <w:rFonts w:hint="eastAsia" w:ascii="宋体" w:hAnsi="宋体" w:cs="宋体"/>
                <w:kern w:val="0"/>
                <w:sz w:val="21"/>
                <w:szCs w:val="21"/>
              </w:rPr>
              <w:br w:type="textWrapping"/>
            </w:r>
            <w:r>
              <w:rPr>
                <w:rFonts w:hint="eastAsia" w:ascii="宋体" w:hAnsi="宋体" w:cs="宋体"/>
                <w:kern w:val="0"/>
                <w:sz w:val="21"/>
                <w:szCs w:val="21"/>
              </w:rPr>
              <w:t>2.保险人应在收到索赔材料（详见索赔申请表相关内容）后5个工作日内，确定属于保险责任的，按照保险金额全额理赔。保险期间内未结案的，应于保险期间结束后继续处理。</w:t>
            </w:r>
            <w:r>
              <w:rPr>
                <w:rFonts w:hint="eastAsia" w:ascii="宋体" w:hAnsi="宋体" w:cs="宋体"/>
                <w:kern w:val="0"/>
                <w:sz w:val="21"/>
                <w:szCs w:val="21"/>
              </w:rPr>
              <w:br w:type="textWrapping"/>
            </w:r>
            <w:r>
              <w:rPr>
                <w:rFonts w:hint="eastAsia" w:ascii="宋体" w:hAnsi="宋体" w:cs="宋体"/>
                <w:b/>
                <w:bCs/>
                <w:kern w:val="0"/>
                <w:sz w:val="21"/>
                <w:szCs w:val="21"/>
              </w:rPr>
              <w:t>五、退保处理</w:t>
            </w:r>
            <w:r>
              <w:rPr>
                <w:rFonts w:hint="eastAsia" w:ascii="宋体" w:hAnsi="宋体" w:cs="宋体"/>
                <w:kern w:val="0"/>
                <w:sz w:val="21"/>
                <w:szCs w:val="21"/>
              </w:rPr>
              <w:br w:type="textWrapping"/>
            </w:r>
            <w:r>
              <w:rPr>
                <w:rFonts w:hint="eastAsia" w:ascii="宋体" w:hAnsi="宋体" w:cs="宋体"/>
                <w:kern w:val="0"/>
                <w:sz w:val="21"/>
                <w:szCs w:val="21"/>
              </w:rPr>
              <w:t>1.开标前投保人放弃投保或项目发生中止、暂停的，可进行退保。</w:t>
            </w:r>
            <w:r>
              <w:rPr>
                <w:rFonts w:hint="eastAsia" w:ascii="宋体" w:hAnsi="宋体" w:cs="宋体"/>
                <w:kern w:val="0"/>
                <w:sz w:val="21"/>
                <w:szCs w:val="21"/>
              </w:rPr>
              <w:br w:type="textWrapping"/>
            </w:r>
            <w:r>
              <w:rPr>
                <w:rFonts w:hint="eastAsia" w:ascii="宋体" w:hAnsi="宋体" w:cs="宋体"/>
                <w:kern w:val="0"/>
                <w:sz w:val="21"/>
                <w:szCs w:val="21"/>
              </w:rPr>
              <w:t>2.开标前项目发生终止的，可进行退保。</w:t>
            </w:r>
            <w:r>
              <w:rPr>
                <w:rFonts w:hint="eastAsia" w:ascii="宋体" w:hAnsi="宋体" w:cs="宋体"/>
                <w:kern w:val="0"/>
                <w:sz w:val="21"/>
                <w:szCs w:val="21"/>
              </w:rPr>
              <w:br w:type="textWrapping"/>
            </w:r>
            <w:r>
              <w:rPr>
                <w:rFonts w:hint="eastAsia" w:ascii="宋体" w:hAnsi="宋体" w:cs="宋体"/>
                <w:kern w:val="0"/>
                <w:sz w:val="21"/>
                <w:szCs w:val="21"/>
              </w:rPr>
              <w:t>3.投标、开标、评标及过程中项目发生流标或开标后项目发生异常情况重新招标的，可进行退保。投保人已出现保险责任范围内、投标保证金不予退还情形之一的除外。</w:t>
            </w:r>
            <w:r>
              <w:rPr>
                <w:rFonts w:hint="eastAsia" w:ascii="宋体" w:hAnsi="宋体" w:cs="宋体"/>
                <w:kern w:val="0"/>
                <w:sz w:val="21"/>
                <w:szCs w:val="21"/>
              </w:rPr>
              <w:br w:type="textWrapping"/>
            </w:r>
            <w:r>
              <w:rPr>
                <w:rFonts w:hint="eastAsia" w:ascii="宋体" w:hAnsi="宋体" w:cs="宋体"/>
                <w:kern w:val="0"/>
                <w:sz w:val="21"/>
                <w:szCs w:val="21"/>
              </w:rPr>
              <w:t xml:space="preserve">4.除上述3种情形外均不予退保。 </w:t>
            </w:r>
            <w:r>
              <w:rPr>
                <w:rFonts w:hint="eastAsia" w:ascii="宋体" w:hAnsi="宋体" w:cs="宋体"/>
                <w:kern w:val="0"/>
                <w:sz w:val="21"/>
                <w:szCs w:val="21"/>
              </w:rPr>
              <w:br w:type="textWrapping"/>
            </w:r>
            <w:r>
              <w:rPr>
                <w:rFonts w:hint="eastAsia" w:ascii="宋体" w:hAnsi="宋体" w:cs="宋体"/>
                <w:kern w:val="0"/>
                <w:sz w:val="21"/>
                <w:szCs w:val="21"/>
              </w:rPr>
              <w:t>5.投保人办理退保事宜，满足退保条件的，保险费全额退还。</w:t>
            </w:r>
          </w:p>
        </w:tc>
      </w:tr>
      <w:tr w14:paraId="538F3562">
        <w:tblPrEx>
          <w:tblCellMar>
            <w:top w:w="0" w:type="dxa"/>
            <w:left w:w="108" w:type="dxa"/>
            <w:bottom w:w="0" w:type="dxa"/>
            <w:right w:w="108" w:type="dxa"/>
          </w:tblCellMar>
        </w:tblPrEx>
        <w:trPr>
          <w:trHeight w:val="330" w:hRule="atLeast"/>
        </w:trPr>
        <w:tc>
          <w:tcPr>
            <w:tcW w:w="9540" w:type="dxa"/>
            <w:gridSpan w:val="6"/>
            <w:tcBorders>
              <w:top w:val="single" w:color="auto" w:sz="4" w:space="0"/>
              <w:left w:val="single" w:color="auto" w:sz="4" w:space="0"/>
              <w:bottom w:val="single" w:color="auto" w:sz="4" w:space="0"/>
              <w:right w:val="single" w:color="auto" w:sz="4" w:space="0"/>
            </w:tcBorders>
            <w:vAlign w:val="center"/>
          </w:tcPr>
          <w:p w14:paraId="764000AA">
            <w:pPr>
              <w:widowControl/>
              <w:spacing w:line="240" w:lineRule="auto"/>
              <w:jc w:val="center"/>
              <w:rPr>
                <w:rFonts w:ascii="宋体" w:hAnsi="宋体" w:cs="宋体"/>
                <w:b/>
                <w:bCs/>
                <w:kern w:val="0"/>
                <w:sz w:val="21"/>
                <w:szCs w:val="21"/>
              </w:rPr>
            </w:pPr>
            <w:r>
              <w:rPr>
                <w:rFonts w:hint="eastAsia" w:ascii="宋体" w:hAnsi="宋体" w:cs="宋体"/>
                <w:b/>
                <w:bCs/>
                <w:kern w:val="0"/>
                <w:sz w:val="21"/>
                <w:szCs w:val="21"/>
              </w:rPr>
              <w:t>保险公司盖保单专用章</w:t>
            </w:r>
          </w:p>
        </w:tc>
      </w:tr>
      <w:tr w14:paraId="78CED684">
        <w:tblPrEx>
          <w:tblCellMar>
            <w:top w:w="0" w:type="dxa"/>
            <w:left w:w="108" w:type="dxa"/>
            <w:bottom w:w="0" w:type="dxa"/>
            <w:right w:w="108" w:type="dxa"/>
          </w:tblCellMar>
        </w:tblPrEx>
        <w:trPr>
          <w:trHeight w:val="780" w:hRule="atLeast"/>
        </w:trPr>
        <w:tc>
          <w:tcPr>
            <w:tcW w:w="9540" w:type="dxa"/>
            <w:gridSpan w:val="6"/>
            <w:tcBorders>
              <w:top w:val="nil"/>
              <w:left w:val="nil"/>
              <w:bottom w:val="nil"/>
              <w:right w:val="nil"/>
            </w:tcBorders>
            <w:vAlign w:val="center"/>
          </w:tcPr>
          <w:p w14:paraId="65B6FF5B">
            <w:pPr>
              <w:widowControl/>
              <w:spacing w:line="240" w:lineRule="auto"/>
              <w:jc w:val="left"/>
              <w:rPr>
                <w:rFonts w:ascii="宋体" w:hAnsi="宋体" w:cs="宋体"/>
                <w:kern w:val="0"/>
                <w:sz w:val="21"/>
                <w:szCs w:val="21"/>
              </w:rPr>
            </w:pPr>
            <w:r>
              <w:rPr>
                <w:rFonts w:hint="eastAsia" w:ascii="宋体" w:hAnsi="宋体" w:cs="宋体"/>
                <w:kern w:val="0"/>
                <w:sz w:val="21"/>
                <w:szCs w:val="21"/>
              </w:rPr>
              <w:t>特别说明：①本保单以上内容是招标文件的组成部分②实际投保的保单中应包含以上内容③保单中以“▲”标注的内容是保单的实质性内容，投标文件中的保单实质性内容若经评标委员会评审判定为与此不符的，其投标将被否决。</w:t>
            </w:r>
          </w:p>
        </w:tc>
      </w:tr>
    </w:tbl>
    <w:p w14:paraId="01D7DB73">
      <w:pPr>
        <w:jc w:val="left"/>
        <w:outlineLvl w:val="1"/>
        <w:rPr>
          <w:rFonts w:ascii="宋体" w:hAnsi="宋体" w:cs="宋体"/>
          <w:szCs w:val="28"/>
        </w:rPr>
      </w:pPr>
    </w:p>
    <w:p w14:paraId="04B385B5">
      <w:pPr>
        <w:jc w:val="left"/>
        <w:outlineLvl w:val="1"/>
        <w:rPr>
          <w:rFonts w:ascii="宋体" w:hAnsi="宋体" w:cs="宋体"/>
          <w:sz w:val="23"/>
        </w:rPr>
      </w:pPr>
      <w:r>
        <w:rPr>
          <w:rFonts w:ascii="宋体" w:hAnsi="宋体" w:cs="宋体"/>
          <w:szCs w:val="28"/>
        </w:rPr>
        <w:br w:type="page"/>
      </w:r>
      <w:r>
        <w:rPr>
          <w:rFonts w:hint="eastAsia" w:ascii="宋体" w:hAnsi="宋体" w:cs="宋体"/>
          <w:szCs w:val="28"/>
        </w:rPr>
        <w:t>附件10：项目经理部人员配置表</w:t>
      </w:r>
      <w:bookmarkEnd w:id="1073"/>
      <w:bookmarkEnd w:id="1074"/>
    </w:p>
    <w:p w14:paraId="4126316E">
      <w:pPr>
        <w:jc w:val="center"/>
        <w:rPr>
          <w:rFonts w:ascii="宋体" w:hAnsi="宋体" w:cs="宋体"/>
          <w:b/>
          <w:sz w:val="30"/>
        </w:rPr>
      </w:pPr>
    </w:p>
    <w:p w14:paraId="7A231066">
      <w:pPr>
        <w:jc w:val="center"/>
        <w:outlineLvl w:val="1"/>
        <w:rPr>
          <w:rFonts w:ascii="宋体" w:hAnsi="宋体" w:cs="宋体"/>
        </w:rPr>
      </w:pPr>
      <w:bookmarkStart w:id="1077" w:name="_Toc24516"/>
      <w:bookmarkStart w:id="1078" w:name="_Toc14892"/>
      <w:r>
        <w:rPr>
          <w:rFonts w:hint="eastAsia" w:ascii="宋体" w:hAnsi="宋体" w:cs="宋体"/>
          <w:b/>
          <w:sz w:val="30"/>
        </w:rPr>
        <w:t>项目经理部人员配置表</w:t>
      </w:r>
      <w:bookmarkEnd w:id="1077"/>
      <w:bookmarkEnd w:id="1078"/>
    </w:p>
    <w:tbl>
      <w:tblPr>
        <w:tblStyle w:val="63"/>
        <w:tblW w:w="10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408"/>
        <w:gridCol w:w="2034"/>
        <w:gridCol w:w="789"/>
        <w:gridCol w:w="789"/>
        <w:gridCol w:w="791"/>
        <w:gridCol w:w="1435"/>
        <w:gridCol w:w="872"/>
        <w:gridCol w:w="944"/>
        <w:gridCol w:w="647"/>
      </w:tblGrid>
      <w:tr w14:paraId="32A1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vAlign w:val="center"/>
          </w:tcPr>
          <w:p w14:paraId="27E53031">
            <w:pPr>
              <w:spacing w:line="240" w:lineRule="auto"/>
              <w:jc w:val="left"/>
              <w:rPr>
                <w:rFonts w:ascii="宋体" w:hAnsi="宋体"/>
              </w:rPr>
            </w:pPr>
            <w:r>
              <w:rPr>
                <w:rFonts w:hint="eastAsia" w:ascii="宋体" w:hAnsi="宋体"/>
                <w:sz w:val="21"/>
                <w:szCs w:val="21"/>
              </w:rPr>
              <w:t>序号</w:t>
            </w:r>
          </w:p>
        </w:tc>
        <w:tc>
          <w:tcPr>
            <w:tcW w:w="1408" w:type="dxa"/>
            <w:vAlign w:val="center"/>
          </w:tcPr>
          <w:p w14:paraId="228B1CEC">
            <w:pPr>
              <w:spacing w:line="240" w:lineRule="auto"/>
              <w:jc w:val="center"/>
              <w:rPr>
                <w:rFonts w:ascii="宋体" w:hAnsi="宋体"/>
              </w:rPr>
            </w:pPr>
            <w:r>
              <w:rPr>
                <w:rFonts w:hint="eastAsia" w:ascii="宋体" w:hAnsi="宋体"/>
                <w:sz w:val="21"/>
                <w:szCs w:val="21"/>
              </w:rPr>
              <w:t>本项目岗位职务</w:t>
            </w:r>
          </w:p>
        </w:tc>
        <w:tc>
          <w:tcPr>
            <w:tcW w:w="2034" w:type="dxa"/>
            <w:vAlign w:val="center"/>
          </w:tcPr>
          <w:p w14:paraId="2D869808">
            <w:pPr>
              <w:spacing w:line="240" w:lineRule="auto"/>
              <w:jc w:val="center"/>
              <w:rPr>
                <w:rFonts w:ascii="宋体" w:hAnsi="宋体"/>
                <w:b/>
              </w:rPr>
            </w:pPr>
            <w:r>
              <w:rPr>
                <w:rFonts w:hint="eastAsia" w:ascii="宋体" w:hAnsi="宋体"/>
                <w:bCs/>
                <w:sz w:val="21"/>
                <w:szCs w:val="21"/>
              </w:rPr>
              <w:t>主要</w:t>
            </w:r>
            <w:r>
              <w:rPr>
                <w:rFonts w:ascii="宋体" w:hAnsi="宋体"/>
                <w:bCs/>
                <w:sz w:val="21"/>
                <w:szCs w:val="21"/>
              </w:rPr>
              <w:t>岗位职责</w:t>
            </w:r>
          </w:p>
        </w:tc>
        <w:tc>
          <w:tcPr>
            <w:tcW w:w="789" w:type="dxa"/>
            <w:vAlign w:val="center"/>
          </w:tcPr>
          <w:p w14:paraId="11070AB8">
            <w:pPr>
              <w:spacing w:line="240" w:lineRule="auto"/>
              <w:jc w:val="center"/>
              <w:rPr>
                <w:rFonts w:ascii="宋体" w:hAnsi="宋体"/>
              </w:rPr>
            </w:pPr>
            <w:r>
              <w:rPr>
                <w:rFonts w:hint="eastAsia" w:ascii="宋体" w:hAnsi="宋体"/>
                <w:sz w:val="21"/>
                <w:szCs w:val="21"/>
              </w:rPr>
              <w:t>姓名</w:t>
            </w:r>
          </w:p>
        </w:tc>
        <w:tc>
          <w:tcPr>
            <w:tcW w:w="789" w:type="dxa"/>
            <w:vAlign w:val="center"/>
          </w:tcPr>
          <w:p w14:paraId="0DF8E152">
            <w:pPr>
              <w:spacing w:line="240" w:lineRule="auto"/>
              <w:jc w:val="center"/>
              <w:rPr>
                <w:rFonts w:ascii="宋体" w:hAnsi="宋体"/>
              </w:rPr>
            </w:pPr>
            <w:r>
              <w:rPr>
                <w:rFonts w:hint="eastAsia" w:ascii="宋体" w:hAnsi="宋体"/>
                <w:sz w:val="21"/>
                <w:szCs w:val="21"/>
              </w:rPr>
              <w:t>性别</w:t>
            </w:r>
          </w:p>
        </w:tc>
        <w:tc>
          <w:tcPr>
            <w:tcW w:w="791" w:type="dxa"/>
            <w:vAlign w:val="center"/>
          </w:tcPr>
          <w:p w14:paraId="0D9AE0B1">
            <w:pPr>
              <w:spacing w:line="240" w:lineRule="auto"/>
              <w:jc w:val="center"/>
              <w:rPr>
                <w:rFonts w:ascii="宋体" w:hAnsi="宋体"/>
              </w:rPr>
            </w:pPr>
            <w:r>
              <w:rPr>
                <w:rFonts w:hint="eastAsia" w:ascii="宋体" w:hAnsi="宋体"/>
                <w:sz w:val="21"/>
                <w:szCs w:val="21"/>
              </w:rPr>
              <w:t>年龄</w:t>
            </w:r>
          </w:p>
        </w:tc>
        <w:tc>
          <w:tcPr>
            <w:tcW w:w="1435" w:type="dxa"/>
            <w:vAlign w:val="center"/>
          </w:tcPr>
          <w:p w14:paraId="0AD7EB46">
            <w:pPr>
              <w:spacing w:line="240" w:lineRule="auto"/>
              <w:jc w:val="center"/>
              <w:rPr>
                <w:rFonts w:hAnsi="宋体"/>
              </w:rPr>
            </w:pPr>
            <w:r>
              <w:rPr>
                <w:rFonts w:hint="eastAsia" w:hAnsi="宋体"/>
                <w:sz w:val="21"/>
                <w:szCs w:val="21"/>
              </w:rPr>
              <w:t>国家注册执业证书名称及编号</w:t>
            </w:r>
          </w:p>
        </w:tc>
        <w:tc>
          <w:tcPr>
            <w:tcW w:w="872" w:type="dxa"/>
            <w:vAlign w:val="center"/>
          </w:tcPr>
          <w:p w14:paraId="165D80D0">
            <w:pPr>
              <w:spacing w:line="240" w:lineRule="auto"/>
              <w:jc w:val="center"/>
              <w:rPr>
                <w:rFonts w:hAnsi="宋体"/>
              </w:rPr>
            </w:pPr>
            <w:r>
              <w:rPr>
                <w:rFonts w:hint="eastAsia" w:hAnsi="宋体"/>
                <w:sz w:val="21"/>
                <w:szCs w:val="21"/>
              </w:rPr>
              <w:t>职称证书名称及编号</w:t>
            </w:r>
          </w:p>
        </w:tc>
        <w:tc>
          <w:tcPr>
            <w:tcW w:w="944" w:type="dxa"/>
            <w:vAlign w:val="center"/>
          </w:tcPr>
          <w:p w14:paraId="22B6E395">
            <w:pPr>
              <w:spacing w:line="240" w:lineRule="auto"/>
              <w:jc w:val="center"/>
              <w:rPr>
                <w:rFonts w:hAnsi="宋体"/>
              </w:rPr>
            </w:pPr>
            <w:r>
              <w:rPr>
                <w:rFonts w:hint="eastAsia" w:hAnsi="宋体"/>
                <w:sz w:val="21"/>
                <w:szCs w:val="21"/>
              </w:rPr>
              <w:t>其他证书名称及编号</w:t>
            </w:r>
          </w:p>
        </w:tc>
        <w:tc>
          <w:tcPr>
            <w:tcW w:w="647" w:type="dxa"/>
            <w:vAlign w:val="center"/>
          </w:tcPr>
          <w:p w14:paraId="6BA1BBBB">
            <w:pPr>
              <w:spacing w:line="240" w:lineRule="auto"/>
              <w:jc w:val="center"/>
              <w:rPr>
                <w:rFonts w:ascii="宋体" w:hAnsi="宋体"/>
              </w:rPr>
            </w:pPr>
            <w:r>
              <w:rPr>
                <w:rFonts w:hint="eastAsia" w:ascii="宋体" w:hAnsi="宋体"/>
                <w:sz w:val="21"/>
                <w:szCs w:val="21"/>
              </w:rPr>
              <w:t>备注</w:t>
            </w:r>
          </w:p>
        </w:tc>
      </w:tr>
      <w:tr w14:paraId="49A7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vAlign w:val="center"/>
          </w:tcPr>
          <w:p w14:paraId="6AD165BC">
            <w:pPr>
              <w:spacing w:line="240" w:lineRule="auto"/>
              <w:jc w:val="left"/>
              <w:rPr>
                <w:rFonts w:ascii="宋体" w:hAnsi="宋体"/>
              </w:rPr>
            </w:pPr>
            <w:r>
              <w:rPr>
                <w:rFonts w:hint="eastAsia" w:ascii="宋体" w:hAnsi="宋体"/>
                <w:sz w:val="21"/>
                <w:szCs w:val="21"/>
              </w:rPr>
              <w:t>1</w:t>
            </w:r>
          </w:p>
        </w:tc>
        <w:tc>
          <w:tcPr>
            <w:tcW w:w="1408" w:type="dxa"/>
            <w:vAlign w:val="center"/>
          </w:tcPr>
          <w:p w14:paraId="284D0BA6">
            <w:pPr>
              <w:spacing w:line="240" w:lineRule="auto"/>
              <w:jc w:val="left"/>
              <w:rPr>
                <w:rFonts w:ascii="宋体" w:hAnsi="宋体"/>
              </w:rPr>
            </w:pPr>
            <w:r>
              <w:rPr>
                <w:rFonts w:hint="eastAsia" w:ascii="宋体" w:hAnsi="宋体"/>
                <w:sz w:val="21"/>
                <w:szCs w:val="21"/>
              </w:rPr>
              <w:t>项目经理</w:t>
            </w:r>
          </w:p>
        </w:tc>
        <w:tc>
          <w:tcPr>
            <w:tcW w:w="2034" w:type="dxa"/>
          </w:tcPr>
          <w:p w14:paraId="32B8F2EA">
            <w:pPr>
              <w:keepNext/>
              <w:keepLines/>
              <w:spacing w:line="240" w:lineRule="auto"/>
              <w:jc w:val="left"/>
              <w:outlineLvl w:val="0"/>
              <w:rPr>
                <w:rFonts w:ascii="宋体" w:hAnsi="宋体"/>
                <w:sz w:val="21"/>
                <w:szCs w:val="21"/>
              </w:rPr>
            </w:pPr>
          </w:p>
        </w:tc>
        <w:tc>
          <w:tcPr>
            <w:tcW w:w="789" w:type="dxa"/>
          </w:tcPr>
          <w:p w14:paraId="5EA8FB87">
            <w:pPr>
              <w:keepNext/>
              <w:keepLines/>
              <w:spacing w:line="240" w:lineRule="auto"/>
              <w:jc w:val="left"/>
              <w:outlineLvl w:val="0"/>
              <w:rPr>
                <w:rFonts w:ascii="宋体" w:hAnsi="宋体"/>
                <w:sz w:val="21"/>
                <w:szCs w:val="21"/>
              </w:rPr>
            </w:pPr>
          </w:p>
        </w:tc>
        <w:tc>
          <w:tcPr>
            <w:tcW w:w="789" w:type="dxa"/>
          </w:tcPr>
          <w:p w14:paraId="55E70793">
            <w:pPr>
              <w:keepNext/>
              <w:keepLines/>
              <w:spacing w:line="240" w:lineRule="auto"/>
              <w:jc w:val="left"/>
              <w:outlineLvl w:val="0"/>
              <w:rPr>
                <w:rFonts w:ascii="宋体" w:hAnsi="宋体"/>
                <w:sz w:val="21"/>
                <w:szCs w:val="21"/>
              </w:rPr>
            </w:pPr>
          </w:p>
        </w:tc>
        <w:tc>
          <w:tcPr>
            <w:tcW w:w="791" w:type="dxa"/>
          </w:tcPr>
          <w:p w14:paraId="6D004DC4">
            <w:pPr>
              <w:keepNext/>
              <w:keepLines/>
              <w:spacing w:line="240" w:lineRule="auto"/>
              <w:jc w:val="left"/>
              <w:outlineLvl w:val="0"/>
              <w:rPr>
                <w:rFonts w:ascii="宋体" w:hAnsi="宋体"/>
                <w:sz w:val="21"/>
                <w:szCs w:val="21"/>
              </w:rPr>
            </w:pPr>
          </w:p>
        </w:tc>
        <w:tc>
          <w:tcPr>
            <w:tcW w:w="1435" w:type="dxa"/>
          </w:tcPr>
          <w:p w14:paraId="06CE33E2">
            <w:pPr>
              <w:keepNext/>
              <w:keepLines/>
              <w:spacing w:line="240" w:lineRule="auto"/>
              <w:jc w:val="left"/>
              <w:outlineLvl w:val="0"/>
              <w:rPr>
                <w:rFonts w:ascii="宋体" w:hAnsi="宋体"/>
                <w:sz w:val="21"/>
                <w:szCs w:val="21"/>
              </w:rPr>
            </w:pPr>
          </w:p>
        </w:tc>
        <w:tc>
          <w:tcPr>
            <w:tcW w:w="872" w:type="dxa"/>
          </w:tcPr>
          <w:p w14:paraId="743C2ED0">
            <w:pPr>
              <w:keepNext/>
              <w:keepLines/>
              <w:spacing w:line="240" w:lineRule="auto"/>
              <w:jc w:val="left"/>
              <w:outlineLvl w:val="0"/>
              <w:rPr>
                <w:rFonts w:ascii="宋体" w:hAnsi="宋体"/>
                <w:sz w:val="21"/>
                <w:szCs w:val="21"/>
              </w:rPr>
            </w:pPr>
          </w:p>
        </w:tc>
        <w:tc>
          <w:tcPr>
            <w:tcW w:w="944" w:type="dxa"/>
          </w:tcPr>
          <w:p w14:paraId="4CDFC98B">
            <w:pPr>
              <w:keepNext/>
              <w:keepLines/>
              <w:spacing w:line="240" w:lineRule="auto"/>
              <w:jc w:val="left"/>
              <w:outlineLvl w:val="0"/>
              <w:rPr>
                <w:rFonts w:ascii="宋体" w:hAnsi="宋体"/>
                <w:sz w:val="21"/>
                <w:szCs w:val="21"/>
              </w:rPr>
            </w:pPr>
          </w:p>
        </w:tc>
        <w:tc>
          <w:tcPr>
            <w:tcW w:w="647" w:type="dxa"/>
          </w:tcPr>
          <w:p w14:paraId="35ED032E">
            <w:pPr>
              <w:rPr>
                <w:rFonts w:ascii="宋体" w:hAnsi="宋体" w:cs="宋体"/>
                <w:sz w:val="21"/>
                <w:szCs w:val="21"/>
              </w:rPr>
            </w:pPr>
            <w:bookmarkStart w:id="1079" w:name="_Toc24485"/>
            <w:r>
              <w:rPr>
                <w:rFonts w:hint="eastAsia" w:ascii="宋体" w:hAnsi="宋体" w:cs="宋体"/>
                <w:sz w:val="21"/>
                <w:szCs w:val="21"/>
              </w:rPr>
              <w:t>1名</w:t>
            </w:r>
            <w:bookmarkEnd w:id="1079"/>
          </w:p>
        </w:tc>
      </w:tr>
      <w:tr w14:paraId="4ED6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vAlign w:val="center"/>
          </w:tcPr>
          <w:p w14:paraId="0B661022">
            <w:pPr>
              <w:spacing w:line="240" w:lineRule="auto"/>
              <w:jc w:val="left"/>
              <w:rPr>
                <w:rFonts w:ascii="宋体" w:hAnsi="宋体"/>
                <w:sz w:val="21"/>
                <w:szCs w:val="21"/>
              </w:rPr>
            </w:pPr>
            <w:r>
              <w:rPr>
                <w:rFonts w:hint="eastAsia" w:ascii="宋体" w:hAnsi="宋体"/>
                <w:sz w:val="21"/>
                <w:szCs w:val="21"/>
              </w:rPr>
              <w:t>2</w:t>
            </w:r>
          </w:p>
        </w:tc>
        <w:tc>
          <w:tcPr>
            <w:tcW w:w="1408" w:type="dxa"/>
            <w:vAlign w:val="center"/>
          </w:tcPr>
          <w:p w14:paraId="266A7A1C">
            <w:pPr>
              <w:spacing w:line="240" w:lineRule="auto"/>
              <w:jc w:val="left"/>
              <w:rPr>
                <w:rFonts w:ascii="宋体" w:hAnsi="宋体"/>
                <w:sz w:val="21"/>
                <w:szCs w:val="21"/>
              </w:rPr>
            </w:pPr>
            <w:r>
              <w:rPr>
                <w:rFonts w:hint="eastAsia" w:ascii="宋体" w:hAnsi="宋体"/>
                <w:sz w:val="21"/>
                <w:szCs w:val="21"/>
              </w:rPr>
              <w:t>技术</w:t>
            </w:r>
            <w:r>
              <w:rPr>
                <w:rFonts w:ascii="宋体" w:hAnsi="宋体"/>
                <w:sz w:val="21"/>
                <w:szCs w:val="21"/>
              </w:rPr>
              <w:t>负责人</w:t>
            </w:r>
          </w:p>
        </w:tc>
        <w:tc>
          <w:tcPr>
            <w:tcW w:w="2034" w:type="dxa"/>
          </w:tcPr>
          <w:p w14:paraId="3C2B787F">
            <w:pPr>
              <w:keepNext/>
              <w:keepLines/>
              <w:spacing w:line="240" w:lineRule="auto"/>
              <w:jc w:val="left"/>
              <w:outlineLvl w:val="0"/>
              <w:rPr>
                <w:rFonts w:ascii="宋体" w:hAnsi="宋体"/>
                <w:sz w:val="21"/>
                <w:szCs w:val="21"/>
              </w:rPr>
            </w:pPr>
          </w:p>
        </w:tc>
        <w:tc>
          <w:tcPr>
            <w:tcW w:w="789" w:type="dxa"/>
          </w:tcPr>
          <w:p w14:paraId="29D4A2D6">
            <w:pPr>
              <w:keepNext/>
              <w:keepLines/>
              <w:spacing w:line="240" w:lineRule="auto"/>
              <w:jc w:val="left"/>
              <w:outlineLvl w:val="0"/>
              <w:rPr>
                <w:rFonts w:ascii="宋体" w:hAnsi="宋体"/>
                <w:sz w:val="21"/>
                <w:szCs w:val="21"/>
              </w:rPr>
            </w:pPr>
          </w:p>
        </w:tc>
        <w:tc>
          <w:tcPr>
            <w:tcW w:w="789" w:type="dxa"/>
          </w:tcPr>
          <w:p w14:paraId="6FD729B8">
            <w:pPr>
              <w:keepNext/>
              <w:keepLines/>
              <w:spacing w:line="240" w:lineRule="auto"/>
              <w:jc w:val="left"/>
              <w:outlineLvl w:val="0"/>
              <w:rPr>
                <w:rFonts w:ascii="宋体" w:hAnsi="宋体"/>
                <w:sz w:val="21"/>
                <w:szCs w:val="21"/>
              </w:rPr>
            </w:pPr>
          </w:p>
        </w:tc>
        <w:tc>
          <w:tcPr>
            <w:tcW w:w="791" w:type="dxa"/>
          </w:tcPr>
          <w:p w14:paraId="684C2712">
            <w:pPr>
              <w:keepNext/>
              <w:keepLines/>
              <w:spacing w:line="240" w:lineRule="auto"/>
              <w:jc w:val="left"/>
              <w:outlineLvl w:val="0"/>
              <w:rPr>
                <w:rFonts w:ascii="宋体" w:hAnsi="宋体"/>
                <w:sz w:val="21"/>
                <w:szCs w:val="21"/>
              </w:rPr>
            </w:pPr>
          </w:p>
        </w:tc>
        <w:tc>
          <w:tcPr>
            <w:tcW w:w="1435" w:type="dxa"/>
          </w:tcPr>
          <w:p w14:paraId="42C59B8B">
            <w:pPr>
              <w:keepNext/>
              <w:keepLines/>
              <w:spacing w:line="240" w:lineRule="auto"/>
              <w:jc w:val="left"/>
              <w:outlineLvl w:val="0"/>
              <w:rPr>
                <w:rFonts w:ascii="宋体" w:hAnsi="宋体"/>
                <w:sz w:val="21"/>
                <w:szCs w:val="21"/>
              </w:rPr>
            </w:pPr>
          </w:p>
        </w:tc>
        <w:tc>
          <w:tcPr>
            <w:tcW w:w="872" w:type="dxa"/>
          </w:tcPr>
          <w:p w14:paraId="0AACE798">
            <w:pPr>
              <w:keepNext/>
              <w:keepLines/>
              <w:spacing w:line="240" w:lineRule="auto"/>
              <w:jc w:val="left"/>
              <w:outlineLvl w:val="0"/>
              <w:rPr>
                <w:rFonts w:ascii="宋体" w:hAnsi="宋体"/>
                <w:sz w:val="21"/>
                <w:szCs w:val="21"/>
              </w:rPr>
            </w:pPr>
          </w:p>
        </w:tc>
        <w:tc>
          <w:tcPr>
            <w:tcW w:w="944" w:type="dxa"/>
          </w:tcPr>
          <w:p w14:paraId="0D7E5E03">
            <w:pPr>
              <w:keepNext/>
              <w:keepLines/>
              <w:spacing w:line="240" w:lineRule="auto"/>
              <w:jc w:val="left"/>
              <w:outlineLvl w:val="0"/>
              <w:rPr>
                <w:rFonts w:ascii="宋体" w:hAnsi="宋体"/>
                <w:sz w:val="21"/>
                <w:szCs w:val="21"/>
              </w:rPr>
            </w:pPr>
          </w:p>
        </w:tc>
        <w:tc>
          <w:tcPr>
            <w:tcW w:w="647" w:type="dxa"/>
          </w:tcPr>
          <w:p w14:paraId="1EF51F35">
            <w:pPr>
              <w:rPr>
                <w:rFonts w:ascii="宋体" w:hAnsi="宋体" w:cs="宋体"/>
                <w:sz w:val="21"/>
                <w:szCs w:val="21"/>
              </w:rPr>
            </w:pPr>
            <w:bookmarkStart w:id="1080" w:name="_Toc22182"/>
            <w:r>
              <w:rPr>
                <w:rFonts w:hint="eastAsia" w:ascii="宋体" w:hAnsi="宋体" w:cs="宋体"/>
                <w:sz w:val="21"/>
                <w:szCs w:val="21"/>
              </w:rPr>
              <w:t>1名</w:t>
            </w:r>
            <w:bookmarkEnd w:id="1080"/>
          </w:p>
        </w:tc>
      </w:tr>
      <w:tr w14:paraId="4282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vAlign w:val="center"/>
          </w:tcPr>
          <w:p w14:paraId="70A574A3">
            <w:pPr>
              <w:spacing w:line="240" w:lineRule="auto"/>
              <w:jc w:val="left"/>
              <w:rPr>
                <w:rFonts w:ascii="宋体" w:hAnsi="宋体"/>
                <w:szCs w:val="21"/>
              </w:rPr>
            </w:pPr>
            <w:r>
              <w:rPr>
                <w:rFonts w:ascii="宋体" w:hAnsi="宋体"/>
                <w:sz w:val="21"/>
                <w:szCs w:val="21"/>
              </w:rPr>
              <w:t>3</w:t>
            </w:r>
          </w:p>
        </w:tc>
        <w:tc>
          <w:tcPr>
            <w:tcW w:w="1408" w:type="dxa"/>
            <w:vAlign w:val="center"/>
          </w:tcPr>
          <w:p w14:paraId="27BADA04">
            <w:pPr>
              <w:spacing w:line="240" w:lineRule="auto"/>
              <w:jc w:val="left"/>
              <w:rPr>
                <w:rFonts w:ascii="宋体" w:hAnsi="宋体"/>
                <w:sz w:val="21"/>
                <w:szCs w:val="21"/>
              </w:rPr>
            </w:pPr>
            <w:r>
              <w:rPr>
                <w:rFonts w:hint="eastAsia" w:ascii="宋体" w:hAnsi="宋体"/>
                <w:sz w:val="21"/>
                <w:szCs w:val="21"/>
              </w:rPr>
              <w:t>安全</w:t>
            </w:r>
            <w:r>
              <w:rPr>
                <w:rFonts w:ascii="宋体" w:hAnsi="宋体"/>
                <w:sz w:val="21"/>
                <w:szCs w:val="21"/>
              </w:rPr>
              <w:t>负责人</w:t>
            </w:r>
          </w:p>
        </w:tc>
        <w:tc>
          <w:tcPr>
            <w:tcW w:w="2034" w:type="dxa"/>
          </w:tcPr>
          <w:p w14:paraId="2B8E2105">
            <w:pPr>
              <w:keepNext/>
              <w:keepLines/>
              <w:spacing w:line="240" w:lineRule="auto"/>
              <w:jc w:val="left"/>
              <w:outlineLvl w:val="0"/>
              <w:rPr>
                <w:rFonts w:ascii="宋体" w:hAnsi="宋体"/>
                <w:szCs w:val="21"/>
              </w:rPr>
            </w:pPr>
          </w:p>
        </w:tc>
        <w:tc>
          <w:tcPr>
            <w:tcW w:w="789" w:type="dxa"/>
          </w:tcPr>
          <w:p w14:paraId="2BB1984C">
            <w:pPr>
              <w:keepNext/>
              <w:keepLines/>
              <w:spacing w:line="240" w:lineRule="auto"/>
              <w:jc w:val="left"/>
              <w:outlineLvl w:val="0"/>
              <w:rPr>
                <w:rFonts w:ascii="宋体" w:hAnsi="宋体"/>
                <w:szCs w:val="21"/>
              </w:rPr>
            </w:pPr>
          </w:p>
        </w:tc>
        <w:tc>
          <w:tcPr>
            <w:tcW w:w="789" w:type="dxa"/>
          </w:tcPr>
          <w:p w14:paraId="31E5FD56">
            <w:pPr>
              <w:keepNext/>
              <w:keepLines/>
              <w:spacing w:line="240" w:lineRule="auto"/>
              <w:jc w:val="left"/>
              <w:outlineLvl w:val="0"/>
              <w:rPr>
                <w:rFonts w:ascii="宋体" w:hAnsi="宋体"/>
                <w:szCs w:val="21"/>
              </w:rPr>
            </w:pPr>
          </w:p>
        </w:tc>
        <w:tc>
          <w:tcPr>
            <w:tcW w:w="791" w:type="dxa"/>
          </w:tcPr>
          <w:p w14:paraId="37015C11">
            <w:pPr>
              <w:keepNext/>
              <w:keepLines/>
              <w:spacing w:line="240" w:lineRule="auto"/>
              <w:jc w:val="left"/>
              <w:outlineLvl w:val="0"/>
              <w:rPr>
                <w:rFonts w:ascii="宋体" w:hAnsi="宋体"/>
                <w:szCs w:val="21"/>
              </w:rPr>
            </w:pPr>
          </w:p>
        </w:tc>
        <w:tc>
          <w:tcPr>
            <w:tcW w:w="1435" w:type="dxa"/>
          </w:tcPr>
          <w:p w14:paraId="5E76BD33">
            <w:pPr>
              <w:keepNext/>
              <w:keepLines/>
              <w:spacing w:line="240" w:lineRule="auto"/>
              <w:jc w:val="left"/>
              <w:outlineLvl w:val="0"/>
              <w:rPr>
                <w:rFonts w:ascii="宋体" w:hAnsi="宋体"/>
                <w:szCs w:val="21"/>
              </w:rPr>
            </w:pPr>
          </w:p>
        </w:tc>
        <w:tc>
          <w:tcPr>
            <w:tcW w:w="872" w:type="dxa"/>
          </w:tcPr>
          <w:p w14:paraId="19FCAC04">
            <w:pPr>
              <w:keepNext/>
              <w:keepLines/>
              <w:spacing w:line="240" w:lineRule="auto"/>
              <w:jc w:val="left"/>
              <w:outlineLvl w:val="0"/>
              <w:rPr>
                <w:rFonts w:ascii="宋体" w:hAnsi="宋体"/>
                <w:szCs w:val="21"/>
              </w:rPr>
            </w:pPr>
          </w:p>
        </w:tc>
        <w:tc>
          <w:tcPr>
            <w:tcW w:w="944" w:type="dxa"/>
          </w:tcPr>
          <w:p w14:paraId="4CFCB908">
            <w:pPr>
              <w:keepNext/>
              <w:keepLines/>
              <w:spacing w:line="240" w:lineRule="auto"/>
              <w:jc w:val="left"/>
              <w:outlineLvl w:val="0"/>
              <w:rPr>
                <w:rFonts w:ascii="宋体" w:hAnsi="宋体"/>
                <w:szCs w:val="21"/>
              </w:rPr>
            </w:pPr>
          </w:p>
        </w:tc>
        <w:tc>
          <w:tcPr>
            <w:tcW w:w="647" w:type="dxa"/>
          </w:tcPr>
          <w:p w14:paraId="441527ED">
            <w:pPr>
              <w:rPr>
                <w:rFonts w:ascii="宋体" w:hAnsi="宋体" w:cs="宋体"/>
                <w:sz w:val="21"/>
                <w:szCs w:val="21"/>
              </w:rPr>
            </w:pPr>
            <w:bookmarkStart w:id="1081" w:name="_Toc32663"/>
            <w:r>
              <w:rPr>
                <w:rFonts w:hint="eastAsia" w:ascii="宋体" w:hAnsi="宋体" w:cs="宋体"/>
                <w:sz w:val="21"/>
                <w:szCs w:val="21"/>
              </w:rPr>
              <w:t>1名</w:t>
            </w:r>
            <w:bookmarkEnd w:id="1081"/>
          </w:p>
        </w:tc>
      </w:tr>
      <w:tr w14:paraId="7016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tcPr>
          <w:p w14:paraId="468E5F10">
            <w:pPr>
              <w:keepNext/>
              <w:keepLines/>
              <w:spacing w:line="240" w:lineRule="auto"/>
              <w:jc w:val="left"/>
              <w:outlineLvl w:val="0"/>
              <w:rPr>
                <w:rFonts w:ascii="宋体" w:hAnsi="宋体"/>
                <w:szCs w:val="21"/>
              </w:rPr>
            </w:pPr>
          </w:p>
        </w:tc>
        <w:tc>
          <w:tcPr>
            <w:tcW w:w="1408" w:type="dxa"/>
            <w:vAlign w:val="center"/>
          </w:tcPr>
          <w:p w14:paraId="3A334BD5">
            <w:pPr>
              <w:keepNext/>
              <w:keepLines/>
              <w:spacing w:line="240" w:lineRule="auto"/>
              <w:jc w:val="left"/>
              <w:outlineLvl w:val="0"/>
              <w:rPr>
                <w:rFonts w:ascii="宋体" w:hAnsi="宋体"/>
                <w:sz w:val="21"/>
                <w:szCs w:val="21"/>
              </w:rPr>
            </w:pPr>
            <w:r>
              <w:rPr>
                <w:rFonts w:ascii="宋体" w:hAnsi="宋体"/>
                <w:sz w:val="21"/>
                <w:szCs w:val="21"/>
              </w:rPr>
              <w:t>…</w:t>
            </w:r>
          </w:p>
        </w:tc>
        <w:tc>
          <w:tcPr>
            <w:tcW w:w="2034" w:type="dxa"/>
          </w:tcPr>
          <w:p w14:paraId="2C4C319D">
            <w:pPr>
              <w:keepNext/>
              <w:keepLines/>
              <w:spacing w:line="240" w:lineRule="auto"/>
              <w:jc w:val="left"/>
              <w:outlineLvl w:val="0"/>
              <w:rPr>
                <w:rFonts w:ascii="宋体" w:hAnsi="宋体"/>
                <w:szCs w:val="21"/>
              </w:rPr>
            </w:pPr>
          </w:p>
        </w:tc>
        <w:tc>
          <w:tcPr>
            <w:tcW w:w="789" w:type="dxa"/>
          </w:tcPr>
          <w:p w14:paraId="0336A201">
            <w:pPr>
              <w:keepNext/>
              <w:keepLines/>
              <w:spacing w:line="240" w:lineRule="auto"/>
              <w:jc w:val="left"/>
              <w:outlineLvl w:val="0"/>
              <w:rPr>
                <w:rFonts w:ascii="宋体" w:hAnsi="宋体"/>
                <w:szCs w:val="21"/>
              </w:rPr>
            </w:pPr>
          </w:p>
        </w:tc>
        <w:tc>
          <w:tcPr>
            <w:tcW w:w="789" w:type="dxa"/>
          </w:tcPr>
          <w:p w14:paraId="0245AC77">
            <w:pPr>
              <w:keepNext/>
              <w:keepLines/>
              <w:spacing w:line="240" w:lineRule="auto"/>
              <w:jc w:val="left"/>
              <w:outlineLvl w:val="0"/>
              <w:rPr>
                <w:rFonts w:ascii="宋体" w:hAnsi="宋体"/>
                <w:szCs w:val="21"/>
              </w:rPr>
            </w:pPr>
          </w:p>
        </w:tc>
        <w:tc>
          <w:tcPr>
            <w:tcW w:w="791" w:type="dxa"/>
          </w:tcPr>
          <w:p w14:paraId="03E517D8">
            <w:pPr>
              <w:keepNext/>
              <w:keepLines/>
              <w:spacing w:line="240" w:lineRule="auto"/>
              <w:jc w:val="left"/>
              <w:outlineLvl w:val="0"/>
              <w:rPr>
                <w:rFonts w:ascii="宋体" w:hAnsi="宋体"/>
                <w:szCs w:val="21"/>
              </w:rPr>
            </w:pPr>
          </w:p>
        </w:tc>
        <w:tc>
          <w:tcPr>
            <w:tcW w:w="1435" w:type="dxa"/>
          </w:tcPr>
          <w:p w14:paraId="04A97CD2">
            <w:pPr>
              <w:keepNext/>
              <w:keepLines/>
              <w:spacing w:line="240" w:lineRule="auto"/>
              <w:jc w:val="left"/>
              <w:outlineLvl w:val="0"/>
              <w:rPr>
                <w:rFonts w:ascii="宋体" w:hAnsi="宋体"/>
                <w:szCs w:val="21"/>
              </w:rPr>
            </w:pPr>
          </w:p>
        </w:tc>
        <w:tc>
          <w:tcPr>
            <w:tcW w:w="872" w:type="dxa"/>
          </w:tcPr>
          <w:p w14:paraId="6AF136FC">
            <w:pPr>
              <w:keepNext/>
              <w:keepLines/>
              <w:spacing w:line="240" w:lineRule="auto"/>
              <w:jc w:val="left"/>
              <w:outlineLvl w:val="0"/>
              <w:rPr>
                <w:rFonts w:ascii="宋体" w:hAnsi="宋体"/>
                <w:szCs w:val="21"/>
              </w:rPr>
            </w:pPr>
          </w:p>
        </w:tc>
        <w:tc>
          <w:tcPr>
            <w:tcW w:w="944" w:type="dxa"/>
          </w:tcPr>
          <w:p w14:paraId="2177CD5C">
            <w:pPr>
              <w:keepNext/>
              <w:keepLines/>
              <w:spacing w:line="240" w:lineRule="auto"/>
              <w:jc w:val="left"/>
              <w:outlineLvl w:val="0"/>
              <w:rPr>
                <w:rFonts w:ascii="宋体" w:hAnsi="宋体"/>
                <w:szCs w:val="21"/>
              </w:rPr>
            </w:pPr>
          </w:p>
        </w:tc>
        <w:tc>
          <w:tcPr>
            <w:tcW w:w="647" w:type="dxa"/>
          </w:tcPr>
          <w:p w14:paraId="5C84BB6D">
            <w:pPr>
              <w:keepNext/>
              <w:keepLines/>
              <w:spacing w:line="240" w:lineRule="auto"/>
              <w:jc w:val="left"/>
              <w:outlineLvl w:val="0"/>
              <w:rPr>
                <w:rFonts w:ascii="宋体" w:hAnsi="宋体"/>
                <w:szCs w:val="21"/>
              </w:rPr>
            </w:pPr>
          </w:p>
        </w:tc>
      </w:tr>
      <w:tr w14:paraId="5D03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tcPr>
          <w:p w14:paraId="5EF74C80">
            <w:pPr>
              <w:keepNext/>
              <w:keepLines/>
              <w:spacing w:line="240" w:lineRule="auto"/>
              <w:jc w:val="left"/>
              <w:outlineLvl w:val="0"/>
              <w:rPr>
                <w:rFonts w:ascii="宋体" w:hAnsi="宋体"/>
                <w:szCs w:val="21"/>
              </w:rPr>
            </w:pPr>
          </w:p>
        </w:tc>
        <w:tc>
          <w:tcPr>
            <w:tcW w:w="1408" w:type="dxa"/>
          </w:tcPr>
          <w:p w14:paraId="75307F7C">
            <w:pPr>
              <w:keepNext/>
              <w:keepLines/>
              <w:spacing w:line="240" w:lineRule="auto"/>
              <w:jc w:val="left"/>
              <w:outlineLvl w:val="0"/>
              <w:rPr>
                <w:rFonts w:ascii="宋体" w:hAnsi="宋体"/>
                <w:szCs w:val="21"/>
              </w:rPr>
            </w:pPr>
          </w:p>
        </w:tc>
        <w:tc>
          <w:tcPr>
            <w:tcW w:w="2034" w:type="dxa"/>
          </w:tcPr>
          <w:p w14:paraId="4D389FAF">
            <w:pPr>
              <w:keepNext/>
              <w:keepLines/>
              <w:spacing w:line="240" w:lineRule="auto"/>
              <w:jc w:val="left"/>
              <w:outlineLvl w:val="0"/>
              <w:rPr>
                <w:rFonts w:ascii="宋体" w:hAnsi="宋体"/>
                <w:szCs w:val="21"/>
              </w:rPr>
            </w:pPr>
          </w:p>
        </w:tc>
        <w:tc>
          <w:tcPr>
            <w:tcW w:w="789" w:type="dxa"/>
          </w:tcPr>
          <w:p w14:paraId="4D704A1C">
            <w:pPr>
              <w:keepNext/>
              <w:keepLines/>
              <w:spacing w:line="240" w:lineRule="auto"/>
              <w:jc w:val="left"/>
              <w:outlineLvl w:val="0"/>
              <w:rPr>
                <w:rFonts w:ascii="宋体" w:hAnsi="宋体"/>
                <w:szCs w:val="21"/>
              </w:rPr>
            </w:pPr>
          </w:p>
        </w:tc>
        <w:tc>
          <w:tcPr>
            <w:tcW w:w="789" w:type="dxa"/>
          </w:tcPr>
          <w:p w14:paraId="6E89D449">
            <w:pPr>
              <w:keepNext/>
              <w:keepLines/>
              <w:spacing w:line="240" w:lineRule="auto"/>
              <w:jc w:val="left"/>
              <w:outlineLvl w:val="0"/>
              <w:rPr>
                <w:rFonts w:ascii="宋体" w:hAnsi="宋体"/>
                <w:szCs w:val="21"/>
              </w:rPr>
            </w:pPr>
          </w:p>
        </w:tc>
        <w:tc>
          <w:tcPr>
            <w:tcW w:w="791" w:type="dxa"/>
          </w:tcPr>
          <w:p w14:paraId="0A1641CD">
            <w:pPr>
              <w:keepNext/>
              <w:keepLines/>
              <w:spacing w:line="240" w:lineRule="auto"/>
              <w:jc w:val="left"/>
              <w:outlineLvl w:val="0"/>
              <w:rPr>
                <w:rFonts w:ascii="宋体" w:hAnsi="宋体"/>
                <w:szCs w:val="21"/>
              </w:rPr>
            </w:pPr>
          </w:p>
        </w:tc>
        <w:tc>
          <w:tcPr>
            <w:tcW w:w="1435" w:type="dxa"/>
          </w:tcPr>
          <w:p w14:paraId="4A239ECB">
            <w:pPr>
              <w:keepNext/>
              <w:keepLines/>
              <w:spacing w:line="240" w:lineRule="auto"/>
              <w:jc w:val="left"/>
              <w:outlineLvl w:val="0"/>
              <w:rPr>
                <w:rFonts w:ascii="宋体" w:hAnsi="宋体"/>
                <w:szCs w:val="21"/>
              </w:rPr>
            </w:pPr>
          </w:p>
        </w:tc>
        <w:tc>
          <w:tcPr>
            <w:tcW w:w="872" w:type="dxa"/>
          </w:tcPr>
          <w:p w14:paraId="526498B6">
            <w:pPr>
              <w:keepNext/>
              <w:keepLines/>
              <w:spacing w:line="240" w:lineRule="auto"/>
              <w:jc w:val="left"/>
              <w:outlineLvl w:val="0"/>
              <w:rPr>
                <w:rFonts w:ascii="宋体" w:hAnsi="宋体"/>
                <w:szCs w:val="21"/>
              </w:rPr>
            </w:pPr>
          </w:p>
        </w:tc>
        <w:tc>
          <w:tcPr>
            <w:tcW w:w="944" w:type="dxa"/>
          </w:tcPr>
          <w:p w14:paraId="709181EE">
            <w:pPr>
              <w:keepNext/>
              <w:keepLines/>
              <w:spacing w:line="240" w:lineRule="auto"/>
              <w:jc w:val="left"/>
              <w:outlineLvl w:val="0"/>
              <w:rPr>
                <w:rFonts w:ascii="宋体" w:hAnsi="宋体"/>
                <w:szCs w:val="21"/>
              </w:rPr>
            </w:pPr>
          </w:p>
        </w:tc>
        <w:tc>
          <w:tcPr>
            <w:tcW w:w="647" w:type="dxa"/>
          </w:tcPr>
          <w:p w14:paraId="2CC7EFA8">
            <w:pPr>
              <w:keepNext/>
              <w:keepLines/>
              <w:spacing w:line="240" w:lineRule="auto"/>
              <w:jc w:val="left"/>
              <w:outlineLvl w:val="0"/>
              <w:rPr>
                <w:rFonts w:ascii="宋体" w:hAnsi="宋体"/>
                <w:szCs w:val="21"/>
              </w:rPr>
            </w:pPr>
          </w:p>
        </w:tc>
      </w:tr>
      <w:tr w14:paraId="05AC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tcPr>
          <w:p w14:paraId="3AEF08A3">
            <w:pPr>
              <w:keepNext/>
              <w:keepLines/>
              <w:spacing w:line="240" w:lineRule="auto"/>
              <w:jc w:val="left"/>
              <w:outlineLvl w:val="0"/>
              <w:rPr>
                <w:rFonts w:ascii="宋体" w:hAnsi="宋体"/>
                <w:szCs w:val="21"/>
              </w:rPr>
            </w:pPr>
          </w:p>
        </w:tc>
        <w:tc>
          <w:tcPr>
            <w:tcW w:w="1408" w:type="dxa"/>
          </w:tcPr>
          <w:p w14:paraId="267CCED8">
            <w:pPr>
              <w:keepNext/>
              <w:keepLines/>
              <w:spacing w:line="240" w:lineRule="auto"/>
              <w:jc w:val="left"/>
              <w:outlineLvl w:val="0"/>
              <w:rPr>
                <w:rFonts w:ascii="宋体" w:hAnsi="宋体"/>
                <w:szCs w:val="21"/>
              </w:rPr>
            </w:pPr>
          </w:p>
        </w:tc>
        <w:tc>
          <w:tcPr>
            <w:tcW w:w="2034" w:type="dxa"/>
          </w:tcPr>
          <w:p w14:paraId="4036199F">
            <w:pPr>
              <w:keepNext/>
              <w:keepLines/>
              <w:spacing w:line="240" w:lineRule="auto"/>
              <w:jc w:val="left"/>
              <w:outlineLvl w:val="0"/>
              <w:rPr>
                <w:rFonts w:ascii="宋体" w:hAnsi="宋体"/>
                <w:szCs w:val="21"/>
              </w:rPr>
            </w:pPr>
          </w:p>
        </w:tc>
        <w:tc>
          <w:tcPr>
            <w:tcW w:w="789" w:type="dxa"/>
          </w:tcPr>
          <w:p w14:paraId="5E9BB327">
            <w:pPr>
              <w:keepNext/>
              <w:keepLines/>
              <w:spacing w:line="240" w:lineRule="auto"/>
              <w:jc w:val="left"/>
              <w:outlineLvl w:val="0"/>
              <w:rPr>
                <w:rFonts w:ascii="宋体" w:hAnsi="宋体"/>
                <w:szCs w:val="21"/>
              </w:rPr>
            </w:pPr>
          </w:p>
        </w:tc>
        <w:tc>
          <w:tcPr>
            <w:tcW w:w="789" w:type="dxa"/>
          </w:tcPr>
          <w:p w14:paraId="07D73783">
            <w:pPr>
              <w:keepNext/>
              <w:keepLines/>
              <w:spacing w:line="240" w:lineRule="auto"/>
              <w:jc w:val="left"/>
              <w:outlineLvl w:val="0"/>
              <w:rPr>
                <w:rFonts w:ascii="宋体" w:hAnsi="宋体"/>
                <w:szCs w:val="21"/>
              </w:rPr>
            </w:pPr>
          </w:p>
        </w:tc>
        <w:tc>
          <w:tcPr>
            <w:tcW w:w="791" w:type="dxa"/>
          </w:tcPr>
          <w:p w14:paraId="265D0FD0">
            <w:pPr>
              <w:keepNext/>
              <w:keepLines/>
              <w:spacing w:line="240" w:lineRule="auto"/>
              <w:jc w:val="left"/>
              <w:outlineLvl w:val="0"/>
              <w:rPr>
                <w:rFonts w:ascii="宋体" w:hAnsi="宋体"/>
                <w:szCs w:val="21"/>
              </w:rPr>
            </w:pPr>
          </w:p>
        </w:tc>
        <w:tc>
          <w:tcPr>
            <w:tcW w:w="1435" w:type="dxa"/>
          </w:tcPr>
          <w:p w14:paraId="6A2D8FF7">
            <w:pPr>
              <w:keepNext/>
              <w:keepLines/>
              <w:spacing w:line="240" w:lineRule="auto"/>
              <w:jc w:val="left"/>
              <w:outlineLvl w:val="0"/>
              <w:rPr>
                <w:rFonts w:ascii="宋体" w:hAnsi="宋体"/>
                <w:szCs w:val="21"/>
              </w:rPr>
            </w:pPr>
          </w:p>
        </w:tc>
        <w:tc>
          <w:tcPr>
            <w:tcW w:w="872" w:type="dxa"/>
          </w:tcPr>
          <w:p w14:paraId="3B4515AD">
            <w:pPr>
              <w:keepNext/>
              <w:keepLines/>
              <w:spacing w:line="240" w:lineRule="auto"/>
              <w:jc w:val="left"/>
              <w:outlineLvl w:val="0"/>
              <w:rPr>
                <w:rFonts w:ascii="宋体" w:hAnsi="宋体"/>
                <w:szCs w:val="21"/>
              </w:rPr>
            </w:pPr>
          </w:p>
        </w:tc>
        <w:tc>
          <w:tcPr>
            <w:tcW w:w="944" w:type="dxa"/>
          </w:tcPr>
          <w:p w14:paraId="6C0763BD">
            <w:pPr>
              <w:keepNext/>
              <w:keepLines/>
              <w:spacing w:line="240" w:lineRule="auto"/>
              <w:jc w:val="left"/>
              <w:outlineLvl w:val="0"/>
              <w:rPr>
                <w:rFonts w:ascii="宋体" w:hAnsi="宋体"/>
                <w:szCs w:val="21"/>
              </w:rPr>
            </w:pPr>
          </w:p>
        </w:tc>
        <w:tc>
          <w:tcPr>
            <w:tcW w:w="647" w:type="dxa"/>
          </w:tcPr>
          <w:p w14:paraId="40F93113">
            <w:pPr>
              <w:keepNext/>
              <w:keepLines/>
              <w:spacing w:line="240" w:lineRule="auto"/>
              <w:jc w:val="left"/>
              <w:outlineLvl w:val="0"/>
              <w:rPr>
                <w:rFonts w:ascii="宋体" w:hAnsi="宋体"/>
                <w:szCs w:val="21"/>
              </w:rPr>
            </w:pPr>
          </w:p>
        </w:tc>
      </w:tr>
      <w:tr w14:paraId="1DAC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tcPr>
          <w:p w14:paraId="081E7A85">
            <w:pPr>
              <w:keepNext/>
              <w:keepLines/>
              <w:spacing w:line="240" w:lineRule="auto"/>
              <w:jc w:val="left"/>
              <w:outlineLvl w:val="0"/>
              <w:rPr>
                <w:rFonts w:ascii="宋体" w:hAnsi="宋体"/>
                <w:szCs w:val="21"/>
              </w:rPr>
            </w:pPr>
          </w:p>
        </w:tc>
        <w:tc>
          <w:tcPr>
            <w:tcW w:w="1408" w:type="dxa"/>
          </w:tcPr>
          <w:p w14:paraId="4AF64950">
            <w:pPr>
              <w:keepNext/>
              <w:keepLines/>
              <w:spacing w:line="240" w:lineRule="auto"/>
              <w:jc w:val="left"/>
              <w:outlineLvl w:val="0"/>
              <w:rPr>
                <w:rFonts w:ascii="宋体" w:hAnsi="宋体"/>
                <w:szCs w:val="21"/>
              </w:rPr>
            </w:pPr>
          </w:p>
        </w:tc>
        <w:tc>
          <w:tcPr>
            <w:tcW w:w="2034" w:type="dxa"/>
          </w:tcPr>
          <w:p w14:paraId="44133D49">
            <w:pPr>
              <w:keepNext/>
              <w:keepLines/>
              <w:spacing w:line="240" w:lineRule="auto"/>
              <w:jc w:val="left"/>
              <w:outlineLvl w:val="0"/>
              <w:rPr>
                <w:rFonts w:ascii="宋体" w:hAnsi="宋体"/>
                <w:szCs w:val="21"/>
              </w:rPr>
            </w:pPr>
          </w:p>
        </w:tc>
        <w:tc>
          <w:tcPr>
            <w:tcW w:w="789" w:type="dxa"/>
          </w:tcPr>
          <w:p w14:paraId="7B13C171">
            <w:pPr>
              <w:keepNext/>
              <w:keepLines/>
              <w:spacing w:line="240" w:lineRule="auto"/>
              <w:jc w:val="left"/>
              <w:outlineLvl w:val="0"/>
              <w:rPr>
                <w:rFonts w:ascii="宋体" w:hAnsi="宋体"/>
                <w:szCs w:val="21"/>
              </w:rPr>
            </w:pPr>
          </w:p>
        </w:tc>
        <w:tc>
          <w:tcPr>
            <w:tcW w:w="789" w:type="dxa"/>
          </w:tcPr>
          <w:p w14:paraId="69CDB4AF">
            <w:pPr>
              <w:keepNext/>
              <w:keepLines/>
              <w:spacing w:line="240" w:lineRule="auto"/>
              <w:jc w:val="left"/>
              <w:outlineLvl w:val="0"/>
              <w:rPr>
                <w:rFonts w:ascii="宋体" w:hAnsi="宋体"/>
                <w:szCs w:val="21"/>
              </w:rPr>
            </w:pPr>
          </w:p>
        </w:tc>
        <w:tc>
          <w:tcPr>
            <w:tcW w:w="791" w:type="dxa"/>
          </w:tcPr>
          <w:p w14:paraId="59EFB5B7">
            <w:pPr>
              <w:keepNext/>
              <w:keepLines/>
              <w:spacing w:line="240" w:lineRule="auto"/>
              <w:jc w:val="left"/>
              <w:outlineLvl w:val="0"/>
              <w:rPr>
                <w:rFonts w:ascii="宋体" w:hAnsi="宋体"/>
                <w:szCs w:val="21"/>
              </w:rPr>
            </w:pPr>
          </w:p>
        </w:tc>
        <w:tc>
          <w:tcPr>
            <w:tcW w:w="1435" w:type="dxa"/>
          </w:tcPr>
          <w:p w14:paraId="3A9604D5">
            <w:pPr>
              <w:keepNext/>
              <w:keepLines/>
              <w:spacing w:line="240" w:lineRule="auto"/>
              <w:jc w:val="left"/>
              <w:outlineLvl w:val="0"/>
              <w:rPr>
                <w:rFonts w:ascii="宋体" w:hAnsi="宋体"/>
                <w:szCs w:val="21"/>
              </w:rPr>
            </w:pPr>
          </w:p>
        </w:tc>
        <w:tc>
          <w:tcPr>
            <w:tcW w:w="872" w:type="dxa"/>
          </w:tcPr>
          <w:p w14:paraId="34C2CE65">
            <w:pPr>
              <w:keepNext/>
              <w:keepLines/>
              <w:spacing w:line="240" w:lineRule="auto"/>
              <w:jc w:val="left"/>
              <w:outlineLvl w:val="0"/>
              <w:rPr>
                <w:rFonts w:ascii="宋体" w:hAnsi="宋体"/>
                <w:szCs w:val="21"/>
              </w:rPr>
            </w:pPr>
          </w:p>
        </w:tc>
        <w:tc>
          <w:tcPr>
            <w:tcW w:w="944" w:type="dxa"/>
          </w:tcPr>
          <w:p w14:paraId="554D4397">
            <w:pPr>
              <w:keepNext/>
              <w:keepLines/>
              <w:spacing w:line="240" w:lineRule="auto"/>
              <w:jc w:val="left"/>
              <w:outlineLvl w:val="0"/>
              <w:rPr>
                <w:rFonts w:ascii="宋体" w:hAnsi="宋体"/>
                <w:szCs w:val="21"/>
              </w:rPr>
            </w:pPr>
          </w:p>
        </w:tc>
        <w:tc>
          <w:tcPr>
            <w:tcW w:w="647" w:type="dxa"/>
          </w:tcPr>
          <w:p w14:paraId="54708251">
            <w:pPr>
              <w:keepNext/>
              <w:keepLines/>
              <w:spacing w:line="240" w:lineRule="auto"/>
              <w:jc w:val="left"/>
              <w:outlineLvl w:val="0"/>
              <w:rPr>
                <w:rFonts w:ascii="宋体" w:hAnsi="宋体"/>
                <w:szCs w:val="21"/>
              </w:rPr>
            </w:pPr>
          </w:p>
        </w:tc>
      </w:tr>
      <w:tr w14:paraId="08D1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tcPr>
          <w:p w14:paraId="603B73F6">
            <w:pPr>
              <w:keepNext/>
              <w:keepLines/>
              <w:spacing w:line="240" w:lineRule="auto"/>
              <w:jc w:val="left"/>
              <w:outlineLvl w:val="0"/>
              <w:rPr>
                <w:rFonts w:ascii="宋体" w:hAnsi="宋体"/>
                <w:szCs w:val="21"/>
              </w:rPr>
            </w:pPr>
          </w:p>
        </w:tc>
        <w:tc>
          <w:tcPr>
            <w:tcW w:w="1408" w:type="dxa"/>
          </w:tcPr>
          <w:p w14:paraId="34CC1649">
            <w:pPr>
              <w:keepNext/>
              <w:keepLines/>
              <w:spacing w:line="240" w:lineRule="auto"/>
              <w:jc w:val="left"/>
              <w:outlineLvl w:val="0"/>
              <w:rPr>
                <w:rFonts w:ascii="宋体" w:hAnsi="宋体"/>
                <w:szCs w:val="21"/>
              </w:rPr>
            </w:pPr>
          </w:p>
        </w:tc>
        <w:tc>
          <w:tcPr>
            <w:tcW w:w="2034" w:type="dxa"/>
          </w:tcPr>
          <w:p w14:paraId="3A6E2809">
            <w:pPr>
              <w:keepNext/>
              <w:keepLines/>
              <w:spacing w:line="240" w:lineRule="auto"/>
              <w:jc w:val="left"/>
              <w:outlineLvl w:val="0"/>
              <w:rPr>
                <w:rFonts w:ascii="宋体" w:hAnsi="宋体"/>
                <w:szCs w:val="21"/>
              </w:rPr>
            </w:pPr>
          </w:p>
        </w:tc>
        <w:tc>
          <w:tcPr>
            <w:tcW w:w="789" w:type="dxa"/>
          </w:tcPr>
          <w:p w14:paraId="583244B8">
            <w:pPr>
              <w:keepNext/>
              <w:keepLines/>
              <w:spacing w:line="240" w:lineRule="auto"/>
              <w:jc w:val="left"/>
              <w:outlineLvl w:val="0"/>
              <w:rPr>
                <w:rFonts w:ascii="宋体" w:hAnsi="宋体"/>
                <w:szCs w:val="21"/>
              </w:rPr>
            </w:pPr>
          </w:p>
        </w:tc>
        <w:tc>
          <w:tcPr>
            <w:tcW w:w="789" w:type="dxa"/>
          </w:tcPr>
          <w:p w14:paraId="3A198CFD">
            <w:pPr>
              <w:keepNext/>
              <w:keepLines/>
              <w:spacing w:line="240" w:lineRule="auto"/>
              <w:jc w:val="left"/>
              <w:outlineLvl w:val="0"/>
              <w:rPr>
                <w:rFonts w:ascii="宋体" w:hAnsi="宋体"/>
                <w:szCs w:val="21"/>
              </w:rPr>
            </w:pPr>
          </w:p>
        </w:tc>
        <w:tc>
          <w:tcPr>
            <w:tcW w:w="791" w:type="dxa"/>
          </w:tcPr>
          <w:p w14:paraId="019005DA">
            <w:pPr>
              <w:keepNext/>
              <w:keepLines/>
              <w:spacing w:line="240" w:lineRule="auto"/>
              <w:jc w:val="left"/>
              <w:outlineLvl w:val="0"/>
              <w:rPr>
                <w:rFonts w:ascii="宋体" w:hAnsi="宋体"/>
                <w:szCs w:val="21"/>
              </w:rPr>
            </w:pPr>
          </w:p>
        </w:tc>
        <w:tc>
          <w:tcPr>
            <w:tcW w:w="1435" w:type="dxa"/>
          </w:tcPr>
          <w:p w14:paraId="67679F2E">
            <w:pPr>
              <w:keepNext/>
              <w:keepLines/>
              <w:spacing w:line="240" w:lineRule="auto"/>
              <w:jc w:val="left"/>
              <w:outlineLvl w:val="0"/>
              <w:rPr>
                <w:rFonts w:ascii="宋体" w:hAnsi="宋体"/>
                <w:szCs w:val="21"/>
              </w:rPr>
            </w:pPr>
          </w:p>
        </w:tc>
        <w:tc>
          <w:tcPr>
            <w:tcW w:w="872" w:type="dxa"/>
          </w:tcPr>
          <w:p w14:paraId="2325D059">
            <w:pPr>
              <w:keepNext/>
              <w:keepLines/>
              <w:spacing w:line="240" w:lineRule="auto"/>
              <w:jc w:val="left"/>
              <w:outlineLvl w:val="0"/>
              <w:rPr>
                <w:rFonts w:ascii="宋体" w:hAnsi="宋体"/>
                <w:szCs w:val="21"/>
              </w:rPr>
            </w:pPr>
          </w:p>
        </w:tc>
        <w:tc>
          <w:tcPr>
            <w:tcW w:w="944" w:type="dxa"/>
          </w:tcPr>
          <w:p w14:paraId="44EB07B4">
            <w:pPr>
              <w:keepNext/>
              <w:keepLines/>
              <w:spacing w:line="240" w:lineRule="auto"/>
              <w:jc w:val="left"/>
              <w:outlineLvl w:val="0"/>
              <w:rPr>
                <w:rFonts w:ascii="宋体" w:hAnsi="宋体"/>
                <w:szCs w:val="21"/>
              </w:rPr>
            </w:pPr>
          </w:p>
        </w:tc>
        <w:tc>
          <w:tcPr>
            <w:tcW w:w="647" w:type="dxa"/>
          </w:tcPr>
          <w:p w14:paraId="5566B003">
            <w:pPr>
              <w:keepNext/>
              <w:keepLines/>
              <w:spacing w:line="240" w:lineRule="auto"/>
              <w:jc w:val="left"/>
              <w:outlineLvl w:val="0"/>
              <w:rPr>
                <w:rFonts w:ascii="宋体" w:hAnsi="宋体"/>
                <w:szCs w:val="21"/>
              </w:rPr>
            </w:pPr>
          </w:p>
        </w:tc>
      </w:tr>
      <w:tr w14:paraId="7C84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tcPr>
          <w:p w14:paraId="7C800308">
            <w:pPr>
              <w:keepNext/>
              <w:keepLines/>
              <w:spacing w:line="240" w:lineRule="auto"/>
              <w:jc w:val="left"/>
              <w:outlineLvl w:val="0"/>
              <w:rPr>
                <w:rFonts w:ascii="宋体" w:hAnsi="宋体"/>
                <w:szCs w:val="21"/>
              </w:rPr>
            </w:pPr>
          </w:p>
        </w:tc>
        <w:tc>
          <w:tcPr>
            <w:tcW w:w="1408" w:type="dxa"/>
          </w:tcPr>
          <w:p w14:paraId="4DF4E998">
            <w:pPr>
              <w:keepNext/>
              <w:keepLines/>
              <w:spacing w:line="240" w:lineRule="auto"/>
              <w:jc w:val="left"/>
              <w:outlineLvl w:val="0"/>
              <w:rPr>
                <w:rFonts w:ascii="宋体" w:hAnsi="宋体"/>
                <w:szCs w:val="21"/>
              </w:rPr>
            </w:pPr>
          </w:p>
        </w:tc>
        <w:tc>
          <w:tcPr>
            <w:tcW w:w="2034" w:type="dxa"/>
          </w:tcPr>
          <w:p w14:paraId="001D855B">
            <w:pPr>
              <w:keepNext/>
              <w:keepLines/>
              <w:spacing w:line="240" w:lineRule="auto"/>
              <w:jc w:val="left"/>
              <w:outlineLvl w:val="0"/>
              <w:rPr>
                <w:rFonts w:ascii="宋体" w:hAnsi="宋体"/>
                <w:szCs w:val="21"/>
              </w:rPr>
            </w:pPr>
          </w:p>
        </w:tc>
        <w:tc>
          <w:tcPr>
            <w:tcW w:w="789" w:type="dxa"/>
          </w:tcPr>
          <w:p w14:paraId="7C984CE8">
            <w:pPr>
              <w:keepNext/>
              <w:keepLines/>
              <w:spacing w:line="240" w:lineRule="auto"/>
              <w:jc w:val="left"/>
              <w:outlineLvl w:val="0"/>
              <w:rPr>
                <w:rFonts w:ascii="宋体" w:hAnsi="宋体"/>
                <w:szCs w:val="21"/>
              </w:rPr>
            </w:pPr>
          </w:p>
        </w:tc>
        <w:tc>
          <w:tcPr>
            <w:tcW w:w="789" w:type="dxa"/>
          </w:tcPr>
          <w:p w14:paraId="7AA3F20C">
            <w:pPr>
              <w:keepNext/>
              <w:keepLines/>
              <w:spacing w:line="240" w:lineRule="auto"/>
              <w:jc w:val="left"/>
              <w:outlineLvl w:val="0"/>
              <w:rPr>
                <w:rFonts w:ascii="宋体" w:hAnsi="宋体"/>
                <w:szCs w:val="21"/>
              </w:rPr>
            </w:pPr>
          </w:p>
        </w:tc>
        <w:tc>
          <w:tcPr>
            <w:tcW w:w="791" w:type="dxa"/>
          </w:tcPr>
          <w:p w14:paraId="48516340">
            <w:pPr>
              <w:keepNext/>
              <w:keepLines/>
              <w:spacing w:line="240" w:lineRule="auto"/>
              <w:jc w:val="left"/>
              <w:outlineLvl w:val="0"/>
              <w:rPr>
                <w:rFonts w:ascii="宋体" w:hAnsi="宋体"/>
                <w:szCs w:val="21"/>
              </w:rPr>
            </w:pPr>
          </w:p>
        </w:tc>
        <w:tc>
          <w:tcPr>
            <w:tcW w:w="1435" w:type="dxa"/>
          </w:tcPr>
          <w:p w14:paraId="0C921A8E">
            <w:pPr>
              <w:keepNext/>
              <w:keepLines/>
              <w:spacing w:line="240" w:lineRule="auto"/>
              <w:jc w:val="left"/>
              <w:outlineLvl w:val="0"/>
              <w:rPr>
                <w:rFonts w:ascii="宋体" w:hAnsi="宋体"/>
                <w:szCs w:val="21"/>
              </w:rPr>
            </w:pPr>
          </w:p>
        </w:tc>
        <w:tc>
          <w:tcPr>
            <w:tcW w:w="872" w:type="dxa"/>
          </w:tcPr>
          <w:p w14:paraId="0D814132">
            <w:pPr>
              <w:keepNext/>
              <w:keepLines/>
              <w:spacing w:line="240" w:lineRule="auto"/>
              <w:jc w:val="left"/>
              <w:outlineLvl w:val="0"/>
              <w:rPr>
                <w:rFonts w:ascii="宋体" w:hAnsi="宋体"/>
                <w:szCs w:val="21"/>
              </w:rPr>
            </w:pPr>
          </w:p>
        </w:tc>
        <w:tc>
          <w:tcPr>
            <w:tcW w:w="944" w:type="dxa"/>
          </w:tcPr>
          <w:p w14:paraId="6882E814">
            <w:pPr>
              <w:keepNext/>
              <w:keepLines/>
              <w:spacing w:line="240" w:lineRule="auto"/>
              <w:jc w:val="left"/>
              <w:outlineLvl w:val="0"/>
              <w:rPr>
                <w:rFonts w:ascii="宋体" w:hAnsi="宋体"/>
                <w:szCs w:val="21"/>
              </w:rPr>
            </w:pPr>
          </w:p>
        </w:tc>
        <w:tc>
          <w:tcPr>
            <w:tcW w:w="647" w:type="dxa"/>
          </w:tcPr>
          <w:p w14:paraId="59A77A81">
            <w:pPr>
              <w:keepNext/>
              <w:keepLines/>
              <w:spacing w:line="240" w:lineRule="auto"/>
              <w:jc w:val="left"/>
              <w:outlineLvl w:val="0"/>
              <w:rPr>
                <w:rFonts w:ascii="宋体" w:hAnsi="宋体"/>
                <w:szCs w:val="21"/>
              </w:rPr>
            </w:pPr>
          </w:p>
        </w:tc>
      </w:tr>
      <w:tr w14:paraId="49EB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6" w:type="dxa"/>
          </w:tcPr>
          <w:p w14:paraId="11F44ED6">
            <w:pPr>
              <w:keepNext/>
              <w:keepLines/>
              <w:spacing w:line="240" w:lineRule="auto"/>
              <w:jc w:val="left"/>
              <w:outlineLvl w:val="0"/>
              <w:rPr>
                <w:rFonts w:ascii="宋体" w:hAnsi="宋体"/>
                <w:szCs w:val="21"/>
              </w:rPr>
            </w:pPr>
          </w:p>
        </w:tc>
        <w:tc>
          <w:tcPr>
            <w:tcW w:w="1408" w:type="dxa"/>
          </w:tcPr>
          <w:p w14:paraId="6C301EDF">
            <w:pPr>
              <w:keepNext/>
              <w:keepLines/>
              <w:spacing w:line="240" w:lineRule="auto"/>
              <w:jc w:val="left"/>
              <w:outlineLvl w:val="0"/>
              <w:rPr>
                <w:rFonts w:ascii="宋体" w:hAnsi="宋体"/>
                <w:szCs w:val="21"/>
              </w:rPr>
            </w:pPr>
          </w:p>
        </w:tc>
        <w:tc>
          <w:tcPr>
            <w:tcW w:w="2034" w:type="dxa"/>
          </w:tcPr>
          <w:p w14:paraId="2475B9A2">
            <w:pPr>
              <w:keepNext/>
              <w:keepLines/>
              <w:spacing w:line="240" w:lineRule="auto"/>
              <w:jc w:val="left"/>
              <w:outlineLvl w:val="0"/>
              <w:rPr>
                <w:rFonts w:ascii="宋体" w:hAnsi="宋体"/>
                <w:szCs w:val="21"/>
              </w:rPr>
            </w:pPr>
          </w:p>
        </w:tc>
        <w:tc>
          <w:tcPr>
            <w:tcW w:w="789" w:type="dxa"/>
          </w:tcPr>
          <w:p w14:paraId="5EE23278">
            <w:pPr>
              <w:keepNext/>
              <w:keepLines/>
              <w:spacing w:line="240" w:lineRule="auto"/>
              <w:jc w:val="left"/>
              <w:outlineLvl w:val="0"/>
              <w:rPr>
                <w:rFonts w:ascii="宋体" w:hAnsi="宋体"/>
                <w:szCs w:val="21"/>
              </w:rPr>
            </w:pPr>
          </w:p>
        </w:tc>
        <w:tc>
          <w:tcPr>
            <w:tcW w:w="789" w:type="dxa"/>
          </w:tcPr>
          <w:p w14:paraId="461D17F0">
            <w:pPr>
              <w:keepNext/>
              <w:keepLines/>
              <w:spacing w:line="240" w:lineRule="auto"/>
              <w:jc w:val="left"/>
              <w:outlineLvl w:val="0"/>
              <w:rPr>
                <w:rFonts w:ascii="宋体" w:hAnsi="宋体"/>
                <w:szCs w:val="21"/>
              </w:rPr>
            </w:pPr>
          </w:p>
        </w:tc>
        <w:tc>
          <w:tcPr>
            <w:tcW w:w="791" w:type="dxa"/>
          </w:tcPr>
          <w:p w14:paraId="2E33EAB0">
            <w:pPr>
              <w:keepNext/>
              <w:keepLines/>
              <w:spacing w:line="240" w:lineRule="auto"/>
              <w:jc w:val="left"/>
              <w:outlineLvl w:val="0"/>
              <w:rPr>
                <w:rFonts w:ascii="宋体" w:hAnsi="宋体"/>
                <w:szCs w:val="21"/>
              </w:rPr>
            </w:pPr>
          </w:p>
        </w:tc>
        <w:tc>
          <w:tcPr>
            <w:tcW w:w="1435" w:type="dxa"/>
          </w:tcPr>
          <w:p w14:paraId="639C3908">
            <w:pPr>
              <w:keepNext/>
              <w:keepLines/>
              <w:spacing w:line="240" w:lineRule="auto"/>
              <w:jc w:val="left"/>
              <w:outlineLvl w:val="0"/>
              <w:rPr>
                <w:rFonts w:ascii="宋体" w:hAnsi="宋体"/>
                <w:szCs w:val="21"/>
              </w:rPr>
            </w:pPr>
          </w:p>
        </w:tc>
        <w:tc>
          <w:tcPr>
            <w:tcW w:w="872" w:type="dxa"/>
          </w:tcPr>
          <w:p w14:paraId="250C540A">
            <w:pPr>
              <w:keepNext/>
              <w:keepLines/>
              <w:spacing w:line="240" w:lineRule="auto"/>
              <w:jc w:val="left"/>
              <w:outlineLvl w:val="0"/>
              <w:rPr>
                <w:rFonts w:ascii="宋体" w:hAnsi="宋体"/>
                <w:szCs w:val="21"/>
              </w:rPr>
            </w:pPr>
          </w:p>
        </w:tc>
        <w:tc>
          <w:tcPr>
            <w:tcW w:w="944" w:type="dxa"/>
          </w:tcPr>
          <w:p w14:paraId="49905ABB">
            <w:pPr>
              <w:keepNext/>
              <w:keepLines/>
              <w:spacing w:line="240" w:lineRule="auto"/>
              <w:jc w:val="left"/>
              <w:outlineLvl w:val="0"/>
              <w:rPr>
                <w:rFonts w:ascii="宋体" w:hAnsi="宋体"/>
                <w:szCs w:val="21"/>
              </w:rPr>
            </w:pPr>
          </w:p>
        </w:tc>
        <w:tc>
          <w:tcPr>
            <w:tcW w:w="647" w:type="dxa"/>
          </w:tcPr>
          <w:p w14:paraId="1588B0BE">
            <w:pPr>
              <w:keepNext/>
              <w:keepLines/>
              <w:spacing w:line="240" w:lineRule="auto"/>
              <w:jc w:val="left"/>
              <w:outlineLvl w:val="0"/>
              <w:rPr>
                <w:rFonts w:ascii="宋体" w:hAnsi="宋体"/>
                <w:szCs w:val="21"/>
              </w:rPr>
            </w:pPr>
          </w:p>
        </w:tc>
      </w:tr>
    </w:tbl>
    <w:p w14:paraId="64B863EC">
      <w:pPr>
        <w:adjustRightInd w:val="0"/>
        <w:snapToGrid w:val="0"/>
        <w:spacing w:before="93" w:beforeLines="30"/>
        <w:ind w:left="480" w:leftChars="200"/>
        <w:rPr>
          <w:rFonts w:ascii="宋体" w:hAnsi="宋体"/>
          <w:b/>
          <w:bCs/>
          <w:sz w:val="21"/>
          <w:szCs w:val="21"/>
        </w:rPr>
      </w:pPr>
      <w:r>
        <w:rPr>
          <w:rFonts w:hint="eastAsia" w:ascii="宋体" w:hAnsi="宋体"/>
          <w:bCs/>
          <w:sz w:val="21"/>
          <w:szCs w:val="21"/>
        </w:rPr>
        <w:t>说明：主要人员同第一章相关内容，其他人员按照本招标项目情况自行配置。</w:t>
      </w:r>
    </w:p>
    <w:p w14:paraId="48CA98BC">
      <w:pPr>
        <w:autoSpaceDE w:val="0"/>
        <w:autoSpaceDN w:val="0"/>
        <w:adjustRightInd w:val="0"/>
        <w:snapToGrid w:val="0"/>
        <w:spacing w:before="93" w:beforeLines="30"/>
        <w:jc w:val="left"/>
        <w:rPr>
          <w:rFonts w:ascii="宋体" w:hAnsi="宋体"/>
          <w:bCs/>
          <w:sz w:val="18"/>
          <w:szCs w:val="18"/>
        </w:rPr>
      </w:pPr>
      <w:r>
        <w:rPr>
          <w:rFonts w:hint="eastAsia" w:ascii="宋体" w:hAnsi="宋体"/>
          <w:bCs/>
          <w:sz w:val="18"/>
          <w:szCs w:val="18"/>
        </w:rPr>
        <w:t>。</w:t>
      </w:r>
    </w:p>
    <w:p w14:paraId="021B1AFC">
      <w:pPr>
        <w:autoSpaceDE w:val="0"/>
        <w:autoSpaceDN w:val="0"/>
        <w:adjustRightInd w:val="0"/>
        <w:snapToGrid w:val="0"/>
        <w:jc w:val="left"/>
        <w:rPr>
          <w:rFonts w:ascii="宋体" w:hAnsi="宋体"/>
          <w:bCs/>
          <w:sz w:val="18"/>
          <w:szCs w:val="18"/>
        </w:rPr>
      </w:pPr>
    </w:p>
    <w:p w14:paraId="3D0F2E96">
      <w:pPr>
        <w:autoSpaceDE w:val="0"/>
        <w:autoSpaceDN w:val="0"/>
        <w:adjustRightInd w:val="0"/>
        <w:snapToGrid w:val="0"/>
        <w:ind w:left="720" w:hanging="720" w:hangingChars="400"/>
        <w:jc w:val="left"/>
        <w:rPr>
          <w:rFonts w:ascii="宋体" w:hAnsi="宋体"/>
          <w:bCs/>
          <w:sz w:val="18"/>
          <w:szCs w:val="18"/>
        </w:rPr>
      </w:pPr>
    </w:p>
    <w:p w14:paraId="643467C1">
      <w:pPr>
        <w:spacing w:line="312" w:lineRule="auto"/>
        <w:jc w:val="left"/>
        <w:rPr>
          <w:rFonts w:ascii="宋体" w:hAnsi="宋体" w:cs="宋体"/>
        </w:rPr>
      </w:pPr>
      <w:r>
        <w:rPr>
          <w:rFonts w:ascii="宋体" w:hAnsi="宋体"/>
        </w:rPr>
        <w:br w:type="page"/>
      </w:r>
      <w:r>
        <w:rPr>
          <w:rFonts w:hint="eastAsia" w:ascii="宋体" w:hAnsi="宋体" w:cs="宋体"/>
          <w:szCs w:val="28"/>
        </w:rPr>
        <w:t>附件11.投标人主要人员业绩合同清单</w:t>
      </w:r>
    </w:p>
    <w:p w14:paraId="701B54F0">
      <w:pPr>
        <w:adjustRightInd w:val="0"/>
        <w:snapToGrid w:val="0"/>
        <w:spacing w:before="156" w:beforeLines="50" w:after="156" w:afterLines="50" w:line="240" w:lineRule="auto"/>
        <w:jc w:val="center"/>
        <w:rPr>
          <w:rFonts w:ascii="宋体" w:hAnsi="宋体"/>
          <w:b/>
          <w:bCs/>
          <w:sz w:val="30"/>
          <w:szCs w:val="30"/>
        </w:rPr>
      </w:pPr>
      <w:r>
        <w:rPr>
          <w:rFonts w:hint="eastAsia" w:ascii="宋体" w:hAnsi="宋体"/>
          <w:b/>
          <w:bCs/>
          <w:sz w:val="30"/>
          <w:szCs w:val="30"/>
        </w:rPr>
        <w:t>投标人主要人员业绩合同清单</w:t>
      </w:r>
    </w:p>
    <w:tbl>
      <w:tblPr>
        <w:tblStyle w:val="6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982"/>
        <w:gridCol w:w="1299"/>
        <w:gridCol w:w="1615"/>
        <w:gridCol w:w="1961"/>
        <w:gridCol w:w="1494"/>
      </w:tblGrid>
      <w:tr w14:paraId="15297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1ED8875E">
            <w:pPr>
              <w:adjustRightInd w:val="0"/>
              <w:snapToGrid w:val="0"/>
              <w:spacing w:line="240" w:lineRule="auto"/>
              <w:jc w:val="center"/>
              <w:rPr>
                <w:rFonts w:ascii="宋体" w:hAnsi="宋体"/>
                <w:kern w:val="0"/>
                <w:sz w:val="21"/>
                <w:szCs w:val="21"/>
              </w:rPr>
            </w:pPr>
            <w:r>
              <w:rPr>
                <w:rFonts w:ascii="宋体" w:hAnsi="宋体"/>
                <w:kern w:val="0"/>
                <w:sz w:val="21"/>
                <w:szCs w:val="21"/>
              </w:rPr>
              <w:t>姓名</w:t>
            </w:r>
          </w:p>
        </w:tc>
        <w:tc>
          <w:tcPr>
            <w:tcW w:w="1982" w:type="dxa"/>
            <w:tcBorders>
              <w:top w:val="single" w:color="auto" w:sz="4" w:space="0"/>
              <w:bottom w:val="single" w:color="auto" w:sz="4" w:space="0"/>
            </w:tcBorders>
            <w:vAlign w:val="center"/>
          </w:tcPr>
          <w:p w14:paraId="7E4C82BF">
            <w:pPr>
              <w:adjustRightInd w:val="0"/>
              <w:snapToGrid w:val="0"/>
              <w:spacing w:line="240" w:lineRule="auto"/>
              <w:jc w:val="center"/>
              <w:rPr>
                <w:rFonts w:ascii="宋体" w:hAnsi="宋体"/>
                <w:kern w:val="0"/>
                <w:sz w:val="21"/>
                <w:szCs w:val="21"/>
              </w:rPr>
            </w:pPr>
          </w:p>
        </w:tc>
        <w:tc>
          <w:tcPr>
            <w:tcW w:w="1299" w:type="dxa"/>
            <w:tcBorders>
              <w:top w:val="single" w:color="auto" w:sz="4" w:space="0"/>
              <w:bottom w:val="single" w:color="auto" w:sz="4" w:space="0"/>
            </w:tcBorders>
            <w:vAlign w:val="center"/>
          </w:tcPr>
          <w:p w14:paraId="6CD5382A">
            <w:pPr>
              <w:adjustRightInd w:val="0"/>
              <w:snapToGrid w:val="0"/>
              <w:spacing w:line="240" w:lineRule="auto"/>
              <w:jc w:val="center"/>
              <w:rPr>
                <w:rFonts w:ascii="宋体" w:hAnsi="宋体"/>
                <w:kern w:val="0"/>
                <w:sz w:val="21"/>
                <w:szCs w:val="21"/>
              </w:rPr>
            </w:pPr>
            <w:r>
              <w:rPr>
                <w:rFonts w:ascii="宋体" w:hAnsi="宋体"/>
                <w:kern w:val="0"/>
                <w:sz w:val="21"/>
                <w:szCs w:val="21"/>
              </w:rPr>
              <w:t>学历</w:t>
            </w:r>
          </w:p>
        </w:tc>
        <w:tc>
          <w:tcPr>
            <w:tcW w:w="1615" w:type="dxa"/>
            <w:tcBorders>
              <w:top w:val="single" w:color="auto" w:sz="4" w:space="0"/>
              <w:bottom w:val="single" w:color="auto" w:sz="4" w:space="0"/>
            </w:tcBorders>
            <w:vAlign w:val="center"/>
          </w:tcPr>
          <w:p w14:paraId="1D68249F">
            <w:pPr>
              <w:adjustRightInd w:val="0"/>
              <w:snapToGrid w:val="0"/>
              <w:spacing w:line="240" w:lineRule="auto"/>
              <w:ind w:left="1005" w:hanging="525"/>
              <w:jc w:val="center"/>
              <w:rPr>
                <w:rFonts w:ascii="宋体" w:hAnsi="宋体"/>
                <w:kern w:val="0"/>
                <w:sz w:val="21"/>
                <w:szCs w:val="21"/>
              </w:rPr>
            </w:pPr>
          </w:p>
        </w:tc>
        <w:tc>
          <w:tcPr>
            <w:tcW w:w="1961" w:type="dxa"/>
            <w:tcBorders>
              <w:top w:val="single" w:color="auto" w:sz="4" w:space="0"/>
              <w:bottom w:val="single" w:color="auto" w:sz="4" w:space="0"/>
            </w:tcBorders>
            <w:vAlign w:val="center"/>
          </w:tcPr>
          <w:p w14:paraId="112CF59E">
            <w:pPr>
              <w:adjustRightInd w:val="0"/>
              <w:snapToGrid w:val="0"/>
              <w:spacing w:line="240" w:lineRule="auto"/>
              <w:jc w:val="center"/>
              <w:rPr>
                <w:rFonts w:ascii="宋体" w:hAnsi="宋体"/>
                <w:kern w:val="0"/>
                <w:sz w:val="21"/>
                <w:szCs w:val="21"/>
              </w:rPr>
            </w:pPr>
            <w:r>
              <w:rPr>
                <w:rFonts w:ascii="宋体" w:hAnsi="宋体"/>
                <w:kern w:val="0"/>
                <w:sz w:val="21"/>
                <w:szCs w:val="21"/>
              </w:rPr>
              <w:t>参加工作时间</w:t>
            </w:r>
          </w:p>
        </w:tc>
        <w:tc>
          <w:tcPr>
            <w:tcW w:w="1494" w:type="dxa"/>
            <w:tcBorders>
              <w:top w:val="single" w:color="auto" w:sz="4" w:space="0"/>
              <w:bottom w:val="single" w:color="auto" w:sz="4" w:space="0"/>
              <w:right w:val="single" w:color="auto" w:sz="4" w:space="0"/>
            </w:tcBorders>
          </w:tcPr>
          <w:p w14:paraId="01081C99">
            <w:pPr>
              <w:adjustRightInd w:val="0"/>
              <w:snapToGrid w:val="0"/>
              <w:spacing w:line="240" w:lineRule="auto"/>
              <w:ind w:left="1005" w:hanging="525"/>
              <w:rPr>
                <w:rFonts w:ascii="宋体" w:hAnsi="宋体"/>
                <w:kern w:val="0"/>
                <w:sz w:val="21"/>
                <w:szCs w:val="21"/>
              </w:rPr>
            </w:pPr>
          </w:p>
        </w:tc>
      </w:tr>
      <w:tr w14:paraId="77640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18" w:type="dxa"/>
            <w:tcBorders>
              <w:top w:val="single" w:color="auto" w:sz="4" w:space="0"/>
              <w:left w:val="single" w:color="auto" w:sz="4" w:space="0"/>
              <w:bottom w:val="single" w:color="auto" w:sz="4" w:space="0"/>
            </w:tcBorders>
            <w:vAlign w:val="center"/>
          </w:tcPr>
          <w:p w14:paraId="0B905DF8">
            <w:pPr>
              <w:adjustRightInd w:val="0"/>
              <w:snapToGrid w:val="0"/>
              <w:spacing w:line="240" w:lineRule="auto"/>
              <w:jc w:val="center"/>
              <w:rPr>
                <w:rFonts w:ascii="宋体" w:hAnsi="宋体"/>
                <w:kern w:val="0"/>
                <w:sz w:val="21"/>
                <w:szCs w:val="21"/>
              </w:rPr>
            </w:pPr>
            <w:r>
              <w:rPr>
                <w:rFonts w:hint="eastAsia" w:ascii="宋体" w:hAnsi="宋体"/>
                <w:kern w:val="0"/>
                <w:sz w:val="21"/>
                <w:szCs w:val="21"/>
              </w:rPr>
              <w:t>本项目岗位职务</w:t>
            </w:r>
          </w:p>
        </w:tc>
        <w:tc>
          <w:tcPr>
            <w:tcW w:w="1982" w:type="dxa"/>
            <w:tcBorders>
              <w:top w:val="single" w:color="auto" w:sz="4" w:space="0"/>
              <w:bottom w:val="single" w:color="auto" w:sz="4" w:space="0"/>
            </w:tcBorders>
            <w:vAlign w:val="center"/>
          </w:tcPr>
          <w:p w14:paraId="6DADB59F">
            <w:pPr>
              <w:adjustRightInd w:val="0"/>
              <w:snapToGrid w:val="0"/>
              <w:spacing w:line="240" w:lineRule="auto"/>
              <w:jc w:val="center"/>
              <w:rPr>
                <w:rFonts w:ascii="宋体" w:hAnsi="宋体"/>
                <w:kern w:val="0"/>
                <w:sz w:val="21"/>
                <w:szCs w:val="21"/>
              </w:rPr>
            </w:pPr>
          </w:p>
        </w:tc>
        <w:tc>
          <w:tcPr>
            <w:tcW w:w="1299" w:type="dxa"/>
            <w:tcBorders>
              <w:top w:val="single" w:color="auto" w:sz="4" w:space="0"/>
              <w:bottom w:val="single" w:color="auto" w:sz="4" w:space="0"/>
            </w:tcBorders>
            <w:vAlign w:val="center"/>
          </w:tcPr>
          <w:p w14:paraId="0805C949">
            <w:pPr>
              <w:adjustRightInd w:val="0"/>
              <w:snapToGrid w:val="0"/>
              <w:spacing w:line="240" w:lineRule="auto"/>
              <w:jc w:val="center"/>
              <w:rPr>
                <w:rFonts w:ascii="宋体" w:hAnsi="宋体"/>
                <w:kern w:val="0"/>
                <w:sz w:val="21"/>
                <w:szCs w:val="21"/>
              </w:rPr>
            </w:pPr>
            <w:r>
              <w:rPr>
                <w:rFonts w:ascii="宋体" w:hAnsi="宋体"/>
                <w:kern w:val="0"/>
                <w:sz w:val="21"/>
                <w:szCs w:val="21"/>
              </w:rPr>
              <w:t>职称</w:t>
            </w:r>
          </w:p>
        </w:tc>
        <w:tc>
          <w:tcPr>
            <w:tcW w:w="1615" w:type="dxa"/>
            <w:tcBorders>
              <w:top w:val="single" w:color="auto" w:sz="4" w:space="0"/>
              <w:bottom w:val="single" w:color="auto" w:sz="4" w:space="0"/>
            </w:tcBorders>
            <w:vAlign w:val="center"/>
          </w:tcPr>
          <w:p w14:paraId="4A0761E6">
            <w:pPr>
              <w:adjustRightInd w:val="0"/>
              <w:snapToGrid w:val="0"/>
              <w:spacing w:line="240" w:lineRule="auto"/>
              <w:ind w:left="1005" w:hanging="525"/>
              <w:jc w:val="center"/>
              <w:rPr>
                <w:rFonts w:ascii="宋体" w:hAnsi="宋体"/>
                <w:kern w:val="0"/>
                <w:sz w:val="21"/>
                <w:szCs w:val="21"/>
              </w:rPr>
            </w:pPr>
          </w:p>
        </w:tc>
        <w:tc>
          <w:tcPr>
            <w:tcW w:w="1961" w:type="dxa"/>
            <w:tcBorders>
              <w:top w:val="single" w:color="auto" w:sz="4" w:space="0"/>
              <w:bottom w:val="single" w:color="auto" w:sz="4" w:space="0"/>
            </w:tcBorders>
            <w:vAlign w:val="center"/>
          </w:tcPr>
          <w:p w14:paraId="2881CA08">
            <w:pPr>
              <w:adjustRightInd w:val="0"/>
              <w:snapToGrid w:val="0"/>
              <w:spacing w:line="240" w:lineRule="auto"/>
              <w:jc w:val="center"/>
              <w:rPr>
                <w:rFonts w:ascii="宋体" w:hAnsi="宋体"/>
                <w:kern w:val="0"/>
                <w:sz w:val="21"/>
                <w:szCs w:val="21"/>
              </w:rPr>
            </w:pPr>
            <w:r>
              <w:rPr>
                <w:rFonts w:ascii="宋体" w:hAnsi="宋体"/>
                <w:kern w:val="0"/>
                <w:sz w:val="21"/>
                <w:szCs w:val="21"/>
              </w:rPr>
              <w:t>从事</w:t>
            </w:r>
            <w:r>
              <w:rPr>
                <w:rFonts w:hint="eastAsia" w:ascii="宋体" w:hAnsi="宋体"/>
                <w:kern w:val="0"/>
                <w:sz w:val="21"/>
                <w:szCs w:val="21"/>
              </w:rPr>
              <w:t>工程建设</w:t>
            </w:r>
            <w:r>
              <w:rPr>
                <w:rFonts w:ascii="宋体" w:hAnsi="宋体"/>
                <w:kern w:val="0"/>
                <w:sz w:val="21"/>
                <w:szCs w:val="21"/>
              </w:rPr>
              <w:t>工作年限</w:t>
            </w:r>
          </w:p>
        </w:tc>
        <w:tc>
          <w:tcPr>
            <w:tcW w:w="1494" w:type="dxa"/>
            <w:tcBorders>
              <w:top w:val="single" w:color="auto" w:sz="4" w:space="0"/>
              <w:bottom w:val="single" w:color="auto" w:sz="4" w:space="0"/>
              <w:right w:val="single" w:color="auto" w:sz="4" w:space="0"/>
            </w:tcBorders>
          </w:tcPr>
          <w:p w14:paraId="241C330B">
            <w:pPr>
              <w:adjustRightInd w:val="0"/>
              <w:snapToGrid w:val="0"/>
              <w:spacing w:line="240" w:lineRule="auto"/>
              <w:ind w:left="1005" w:hanging="525"/>
              <w:rPr>
                <w:rFonts w:ascii="宋体" w:hAnsi="宋体"/>
                <w:kern w:val="0"/>
                <w:sz w:val="21"/>
                <w:szCs w:val="21"/>
              </w:rPr>
            </w:pPr>
          </w:p>
        </w:tc>
      </w:tr>
      <w:tr w14:paraId="461B5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69" w:type="dxa"/>
            <w:gridSpan w:val="6"/>
            <w:tcBorders>
              <w:top w:val="single" w:color="auto" w:sz="4" w:space="0"/>
              <w:left w:val="single" w:color="auto" w:sz="4" w:space="0"/>
              <w:bottom w:val="single" w:color="auto" w:sz="4" w:space="0"/>
              <w:right w:val="single" w:color="auto" w:sz="4" w:space="0"/>
            </w:tcBorders>
            <w:vAlign w:val="center"/>
          </w:tcPr>
          <w:p w14:paraId="7939CB94">
            <w:pPr>
              <w:adjustRightInd w:val="0"/>
              <w:snapToGrid w:val="0"/>
              <w:ind w:left="1005" w:hanging="525"/>
              <w:jc w:val="center"/>
              <w:rPr>
                <w:rFonts w:ascii="宋体" w:hAnsi="宋体"/>
                <w:kern w:val="0"/>
                <w:sz w:val="21"/>
                <w:szCs w:val="21"/>
              </w:rPr>
            </w:pPr>
            <w:r>
              <w:rPr>
                <w:rFonts w:hint="eastAsia" w:ascii="宋体" w:hAnsi="宋体"/>
                <w:kern w:val="0"/>
                <w:sz w:val="21"/>
                <w:szCs w:val="21"/>
                <w:u w:val="single"/>
              </w:rPr>
              <w:t>202</w:t>
            </w:r>
            <w:r>
              <w:rPr>
                <w:rFonts w:hint="eastAsia" w:ascii="宋体" w:hAnsi="宋体"/>
                <w:kern w:val="0"/>
                <w:sz w:val="21"/>
                <w:szCs w:val="21"/>
                <w:u w:val="single"/>
                <w:lang w:val="en-US" w:eastAsia="zh-CN"/>
              </w:rPr>
              <w:t>1</w:t>
            </w:r>
            <w:r>
              <w:rPr>
                <w:rFonts w:ascii="宋体" w:hAnsi="宋体"/>
                <w:kern w:val="0"/>
                <w:sz w:val="21"/>
                <w:szCs w:val="21"/>
                <w:u w:val="single"/>
              </w:rPr>
              <w:t>年</w:t>
            </w:r>
            <w:r>
              <w:rPr>
                <w:rFonts w:ascii="宋体" w:hAnsi="宋体"/>
                <w:kern w:val="0"/>
                <w:sz w:val="21"/>
                <w:szCs w:val="21"/>
              </w:rPr>
              <w:t>以来</w:t>
            </w:r>
            <w:r>
              <w:rPr>
                <w:rFonts w:hint="eastAsia" w:ascii="宋体" w:hAnsi="宋体"/>
                <w:kern w:val="0"/>
                <w:sz w:val="21"/>
                <w:szCs w:val="21"/>
                <w:u w:val="single"/>
              </w:rPr>
              <w:t>类似工程</w:t>
            </w:r>
            <w:r>
              <w:rPr>
                <w:rFonts w:hint="eastAsia" w:ascii="宋体" w:hAnsi="宋体"/>
                <w:kern w:val="0"/>
                <w:sz w:val="21"/>
                <w:szCs w:val="21"/>
              </w:rPr>
              <w:t>施工</w:t>
            </w:r>
            <w:r>
              <w:rPr>
                <w:rFonts w:ascii="宋体" w:hAnsi="宋体"/>
                <w:kern w:val="0"/>
                <w:sz w:val="21"/>
                <w:szCs w:val="21"/>
              </w:rPr>
              <w:t>业绩</w:t>
            </w:r>
          </w:p>
        </w:tc>
      </w:tr>
      <w:tr w14:paraId="3F964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1C88A488">
            <w:pPr>
              <w:spacing w:line="240" w:lineRule="auto"/>
              <w:jc w:val="center"/>
              <w:rPr>
                <w:rFonts w:ascii="宋体" w:hAnsi="宋体"/>
                <w:kern w:val="0"/>
                <w:sz w:val="21"/>
                <w:szCs w:val="21"/>
              </w:rPr>
            </w:pPr>
            <w:r>
              <w:rPr>
                <w:rFonts w:hint="eastAsia" w:ascii="宋体" w:hAnsi="宋体"/>
                <w:sz w:val="21"/>
                <w:szCs w:val="21"/>
              </w:rPr>
              <w:t>序号</w:t>
            </w:r>
          </w:p>
        </w:tc>
        <w:tc>
          <w:tcPr>
            <w:tcW w:w="1982" w:type="dxa"/>
            <w:tcBorders>
              <w:top w:val="single" w:color="auto" w:sz="4" w:space="0"/>
              <w:bottom w:val="single" w:color="auto" w:sz="4" w:space="0"/>
            </w:tcBorders>
            <w:vAlign w:val="center"/>
          </w:tcPr>
          <w:p w14:paraId="07DDDB9A">
            <w:pPr>
              <w:spacing w:line="240" w:lineRule="auto"/>
              <w:jc w:val="center"/>
              <w:rPr>
                <w:rFonts w:ascii="宋体" w:hAnsi="宋体"/>
                <w:sz w:val="21"/>
                <w:szCs w:val="21"/>
              </w:rPr>
            </w:pPr>
            <w:r>
              <w:rPr>
                <w:rFonts w:hint="eastAsia" w:ascii="宋体" w:hAnsi="宋体"/>
                <w:sz w:val="21"/>
                <w:szCs w:val="21"/>
              </w:rPr>
              <w:t>合同名称和</w:t>
            </w:r>
          </w:p>
          <w:p w14:paraId="56D06106">
            <w:pPr>
              <w:spacing w:line="240" w:lineRule="auto"/>
              <w:jc w:val="center"/>
              <w:rPr>
                <w:rFonts w:ascii="宋体" w:hAnsi="宋体"/>
                <w:kern w:val="0"/>
                <w:sz w:val="21"/>
                <w:szCs w:val="21"/>
              </w:rPr>
            </w:pPr>
            <w:r>
              <w:rPr>
                <w:rFonts w:hint="eastAsia" w:ascii="宋体" w:hAnsi="宋体"/>
                <w:sz w:val="21"/>
                <w:szCs w:val="21"/>
              </w:rPr>
              <w:t>与</w:t>
            </w:r>
            <w:r>
              <w:rPr>
                <w:rFonts w:ascii="宋体" w:hAnsi="宋体"/>
                <w:sz w:val="21"/>
                <w:szCs w:val="21"/>
              </w:rPr>
              <w:t>该合同有关</w:t>
            </w:r>
            <w:r>
              <w:rPr>
                <w:rFonts w:hint="eastAsia" w:ascii="宋体" w:hAnsi="宋体"/>
                <w:sz w:val="21"/>
                <w:szCs w:val="21"/>
              </w:rPr>
              <w:t>的发票等</w:t>
            </w:r>
            <w:r>
              <w:rPr>
                <w:rFonts w:ascii="宋体" w:hAnsi="宋体"/>
                <w:sz w:val="21"/>
                <w:szCs w:val="21"/>
              </w:rPr>
              <w:t>名称</w:t>
            </w:r>
          </w:p>
        </w:tc>
        <w:tc>
          <w:tcPr>
            <w:tcW w:w="1299" w:type="dxa"/>
            <w:tcBorders>
              <w:top w:val="single" w:color="auto" w:sz="4" w:space="0"/>
              <w:left w:val="single" w:color="auto" w:sz="4" w:space="0"/>
              <w:bottom w:val="single" w:color="auto" w:sz="4" w:space="0"/>
            </w:tcBorders>
            <w:vAlign w:val="center"/>
          </w:tcPr>
          <w:p w14:paraId="308502F8">
            <w:pPr>
              <w:spacing w:line="240" w:lineRule="auto"/>
              <w:jc w:val="center"/>
              <w:rPr>
                <w:rFonts w:ascii="宋体" w:hAnsi="宋体"/>
                <w:sz w:val="21"/>
                <w:szCs w:val="21"/>
              </w:rPr>
            </w:pPr>
            <w:r>
              <w:rPr>
                <w:rFonts w:hint="eastAsia" w:ascii="宋体" w:hAnsi="宋体"/>
                <w:sz w:val="21"/>
                <w:szCs w:val="21"/>
              </w:rPr>
              <w:t>合同金额</w:t>
            </w:r>
          </w:p>
          <w:p w14:paraId="6EBC4606">
            <w:pPr>
              <w:spacing w:line="240" w:lineRule="auto"/>
              <w:jc w:val="center"/>
              <w:rPr>
                <w:rFonts w:ascii="宋体" w:hAnsi="宋体"/>
                <w:kern w:val="0"/>
                <w:sz w:val="21"/>
                <w:szCs w:val="21"/>
              </w:rPr>
            </w:pPr>
            <w:r>
              <w:rPr>
                <w:rFonts w:hint="eastAsia" w:ascii="宋体" w:hAnsi="宋体"/>
                <w:sz w:val="21"/>
                <w:szCs w:val="21"/>
              </w:rPr>
              <w:t>（万元）</w:t>
            </w:r>
          </w:p>
        </w:tc>
        <w:tc>
          <w:tcPr>
            <w:tcW w:w="1615" w:type="dxa"/>
            <w:tcBorders>
              <w:top w:val="single" w:color="auto" w:sz="4" w:space="0"/>
              <w:left w:val="single" w:color="auto" w:sz="4" w:space="0"/>
              <w:bottom w:val="single" w:color="auto" w:sz="4" w:space="0"/>
            </w:tcBorders>
            <w:vAlign w:val="center"/>
          </w:tcPr>
          <w:p w14:paraId="464A736F">
            <w:pPr>
              <w:spacing w:line="240" w:lineRule="auto"/>
              <w:jc w:val="center"/>
              <w:rPr>
                <w:rFonts w:ascii="宋体" w:hAnsi="宋体"/>
                <w:sz w:val="21"/>
                <w:szCs w:val="21"/>
              </w:rPr>
            </w:pPr>
            <w:r>
              <w:rPr>
                <w:rFonts w:hint="eastAsia" w:ascii="宋体" w:hAnsi="宋体"/>
                <w:sz w:val="21"/>
                <w:szCs w:val="21"/>
              </w:rPr>
              <w:t>合同签订</w:t>
            </w:r>
          </w:p>
          <w:p w14:paraId="103C1023">
            <w:pPr>
              <w:spacing w:line="240" w:lineRule="auto"/>
              <w:jc w:val="center"/>
              <w:rPr>
                <w:rFonts w:ascii="宋体" w:hAnsi="宋体"/>
                <w:kern w:val="0"/>
                <w:sz w:val="21"/>
                <w:szCs w:val="21"/>
              </w:rPr>
            </w:pPr>
            <w:r>
              <w:rPr>
                <w:rFonts w:hint="eastAsia" w:ascii="宋体" w:hAnsi="宋体"/>
                <w:sz w:val="21"/>
                <w:szCs w:val="21"/>
              </w:rPr>
              <w:t>日期</w:t>
            </w:r>
          </w:p>
        </w:tc>
        <w:tc>
          <w:tcPr>
            <w:tcW w:w="1961" w:type="dxa"/>
            <w:tcBorders>
              <w:top w:val="single" w:color="auto" w:sz="4" w:space="0"/>
              <w:bottom w:val="single" w:color="auto" w:sz="4" w:space="0"/>
            </w:tcBorders>
            <w:vAlign w:val="center"/>
          </w:tcPr>
          <w:p w14:paraId="6CE2337C">
            <w:pPr>
              <w:spacing w:line="240" w:lineRule="auto"/>
              <w:jc w:val="center"/>
              <w:rPr>
                <w:rFonts w:ascii="宋体" w:hAnsi="宋体"/>
                <w:kern w:val="0"/>
                <w:sz w:val="21"/>
                <w:szCs w:val="21"/>
              </w:rPr>
            </w:pPr>
            <w:r>
              <w:rPr>
                <w:rFonts w:hint="eastAsia" w:ascii="宋体" w:hAnsi="宋体"/>
                <w:sz w:val="21"/>
                <w:szCs w:val="21"/>
              </w:rPr>
              <w:t>发包人名称</w:t>
            </w:r>
          </w:p>
        </w:tc>
        <w:tc>
          <w:tcPr>
            <w:tcW w:w="1494" w:type="dxa"/>
            <w:tcBorders>
              <w:top w:val="single" w:color="auto" w:sz="4" w:space="0"/>
              <w:bottom w:val="single" w:color="auto" w:sz="4" w:space="0"/>
              <w:right w:val="single" w:color="auto" w:sz="4" w:space="0"/>
            </w:tcBorders>
            <w:vAlign w:val="center"/>
          </w:tcPr>
          <w:p w14:paraId="5BA518CE">
            <w:pPr>
              <w:spacing w:line="240" w:lineRule="auto"/>
              <w:jc w:val="center"/>
              <w:rPr>
                <w:rFonts w:ascii="宋体" w:hAnsi="宋体"/>
                <w:kern w:val="0"/>
                <w:sz w:val="21"/>
                <w:szCs w:val="21"/>
              </w:rPr>
            </w:pPr>
            <w:r>
              <w:rPr>
                <w:rFonts w:hint="eastAsia" w:ascii="宋体" w:hAnsi="宋体"/>
                <w:sz w:val="21"/>
                <w:szCs w:val="21"/>
              </w:rPr>
              <w:t>证明资料页码</w:t>
            </w:r>
          </w:p>
        </w:tc>
      </w:tr>
      <w:tr w14:paraId="7C8B7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121CD661">
            <w:pPr>
              <w:spacing w:line="240" w:lineRule="auto"/>
              <w:jc w:val="center"/>
              <w:rPr>
                <w:rFonts w:ascii="宋体" w:hAnsi="宋体"/>
                <w:b/>
                <w:bCs/>
                <w:sz w:val="21"/>
                <w:szCs w:val="21"/>
              </w:rPr>
            </w:pPr>
            <w:r>
              <w:rPr>
                <w:rFonts w:hint="eastAsia" w:ascii="宋体" w:hAnsi="宋体"/>
                <w:b/>
                <w:bCs/>
                <w:sz w:val="21"/>
                <w:szCs w:val="21"/>
              </w:rPr>
              <w:t>一</w:t>
            </w:r>
          </w:p>
        </w:tc>
        <w:tc>
          <w:tcPr>
            <w:tcW w:w="8351" w:type="dxa"/>
            <w:gridSpan w:val="5"/>
            <w:tcBorders>
              <w:top w:val="single" w:color="auto" w:sz="4" w:space="0"/>
              <w:bottom w:val="single" w:color="auto" w:sz="4" w:space="0"/>
              <w:right w:val="single" w:color="auto" w:sz="4" w:space="0"/>
            </w:tcBorders>
            <w:vAlign w:val="center"/>
          </w:tcPr>
          <w:p w14:paraId="39865EEE">
            <w:pPr>
              <w:spacing w:line="240" w:lineRule="auto"/>
              <w:jc w:val="left"/>
              <w:rPr>
                <w:rFonts w:ascii="宋体" w:hAnsi="宋体"/>
                <w:b/>
                <w:bCs/>
                <w:kern w:val="0"/>
                <w:sz w:val="21"/>
                <w:szCs w:val="21"/>
              </w:rPr>
            </w:pPr>
            <w:r>
              <w:rPr>
                <w:rFonts w:hint="eastAsia" w:ascii="宋体" w:hAnsi="宋体"/>
                <w:b/>
                <w:bCs/>
                <w:sz w:val="21"/>
                <w:szCs w:val="21"/>
              </w:rPr>
              <w:t>详细评审</w:t>
            </w:r>
          </w:p>
        </w:tc>
      </w:tr>
      <w:tr w14:paraId="2D10C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223AA3FE">
            <w:pPr>
              <w:adjustRightInd w:val="0"/>
              <w:snapToGrid w:val="0"/>
              <w:spacing w:line="240" w:lineRule="auto"/>
              <w:jc w:val="center"/>
              <w:rPr>
                <w:rFonts w:ascii="宋体" w:hAnsi="宋体"/>
                <w:sz w:val="21"/>
                <w:szCs w:val="21"/>
              </w:rPr>
            </w:pPr>
            <w:r>
              <w:rPr>
                <w:rFonts w:hint="eastAsia" w:ascii="宋体" w:hAnsi="宋体"/>
                <w:kern w:val="0"/>
                <w:sz w:val="21"/>
                <w:szCs w:val="21"/>
              </w:rPr>
              <w:t>1</w:t>
            </w:r>
          </w:p>
        </w:tc>
        <w:tc>
          <w:tcPr>
            <w:tcW w:w="1982" w:type="dxa"/>
            <w:tcBorders>
              <w:top w:val="single" w:color="auto" w:sz="4" w:space="0"/>
              <w:bottom w:val="single" w:color="auto" w:sz="4" w:space="0"/>
            </w:tcBorders>
            <w:vAlign w:val="center"/>
          </w:tcPr>
          <w:p w14:paraId="5D4F5783">
            <w:pPr>
              <w:adjustRightInd w:val="0"/>
              <w:snapToGrid w:val="0"/>
              <w:spacing w:line="240" w:lineRule="auto"/>
              <w:jc w:val="center"/>
              <w:rPr>
                <w:rFonts w:ascii="宋体" w:hAnsi="宋体"/>
                <w:sz w:val="21"/>
                <w:szCs w:val="21"/>
              </w:rPr>
            </w:pPr>
            <w:r>
              <w:rPr>
                <w:rFonts w:hint="eastAsia" w:ascii="宋体" w:hAnsi="宋体"/>
                <w:sz w:val="21"/>
                <w:szCs w:val="21"/>
              </w:rPr>
              <w:t>xxx</w:t>
            </w:r>
            <w:r>
              <w:rPr>
                <w:rFonts w:ascii="宋体" w:hAnsi="宋体"/>
                <w:sz w:val="21"/>
                <w:szCs w:val="21"/>
              </w:rPr>
              <w:t>x</w:t>
            </w:r>
            <w:r>
              <w:rPr>
                <w:rFonts w:hint="eastAsia" w:ascii="宋体" w:hAnsi="宋体"/>
                <w:sz w:val="18"/>
                <w:szCs w:val="18"/>
              </w:rPr>
              <w:t>（</w:t>
            </w:r>
            <w:r>
              <w:rPr>
                <w:rFonts w:ascii="宋体" w:hAnsi="宋体"/>
                <w:sz w:val="18"/>
                <w:szCs w:val="18"/>
              </w:rPr>
              <w:t>合同名称</w:t>
            </w:r>
            <w:r>
              <w:rPr>
                <w:rFonts w:hint="eastAsia" w:ascii="宋体" w:hAnsi="宋体"/>
                <w:sz w:val="18"/>
                <w:szCs w:val="18"/>
              </w:rPr>
              <w:t>）</w:t>
            </w:r>
          </w:p>
        </w:tc>
        <w:tc>
          <w:tcPr>
            <w:tcW w:w="1299" w:type="dxa"/>
            <w:tcBorders>
              <w:top w:val="single" w:color="auto" w:sz="4" w:space="0"/>
              <w:left w:val="single" w:color="auto" w:sz="4" w:space="0"/>
              <w:bottom w:val="single" w:color="auto" w:sz="4" w:space="0"/>
            </w:tcBorders>
            <w:vAlign w:val="center"/>
          </w:tcPr>
          <w:p w14:paraId="3B85E899">
            <w:pPr>
              <w:adjustRightInd w:val="0"/>
              <w:snapToGrid w:val="0"/>
              <w:spacing w:line="240" w:lineRule="auto"/>
              <w:jc w:val="center"/>
              <w:rPr>
                <w:rFonts w:ascii="宋体" w:hAnsi="宋体"/>
                <w:kern w:val="0"/>
                <w:sz w:val="21"/>
                <w:szCs w:val="21"/>
              </w:rPr>
            </w:pPr>
          </w:p>
        </w:tc>
        <w:tc>
          <w:tcPr>
            <w:tcW w:w="1615" w:type="dxa"/>
            <w:tcBorders>
              <w:top w:val="single" w:color="auto" w:sz="4" w:space="0"/>
              <w:left w:val="single" w:color="auto" w:sz="4" w:space="0"/>
              <w:bottom w:val="single" w:color="auto" w:sz="4" w:space="0"/>
            </w:tcBorders>
            <w:vAlign w:val="center"/>
          </w:tcPr>
          <w:p w14:paraId="6D571DF2">
            <w:pPr>
              <w:adjustRightInd w:val="0"/>
              <w:snapToGrid w:val="0"/>
              <w:spacing w:line="240" w:lineRule="auto"/>
              <w:jc w:val="center"/>
              <w:rPr>
                <w:rFonts w:ascii="宋体" w:hAnsi="宋体"/>
                <w:kern w:val="0"/>
                <w:sz w:val="21"/>
                <w:szCs w:val="21"/>
              </w:rPr>
            </w:pPr>
          </w:p>
        </w:tc>
        <w:tc>
          <w:tcPr>
            <w:tcW w:w="1961" w:type="dxa"/>
            <w:tcBorders>
              <w:top w:val="single" w:color="auto" w:sz="4" w:space="0"/>
              <w:bottom w:val="single" w:color="auto" w:sz="4" w:space="0"/>
            </w:tcBorders>
            <w:vAlign w:val="center"/>
          </w:tcPr>
          <w:p w14:paraId="130FF928">
            <w:pPr>
              <w:adjustRightInd w:val="0"/>
              <w:snapToGrid w:val="0"/>
              <w:spacing w:line="240" w:lineRule="auto"/>
              <w:jc w:val="center"/>
              <w:rPr>
                <w:rFonts w:ascii="宋体" w:hAnsi="宋体"/>
                <w:kern w:val="0"/>
                <w:sz w:val="21"/>
                <w:szCs w:val="21"/>
              </w:rPr>
            </w:pPr>
          </w:p>
        </w:tc>
        <w:tc>
          <w:tcPr>
            <w:tcW w:w="1494" w:type="dxa"/>
            <w:tcBorders>
              <w:top w:val="single" w:color="auto" w:sz="4" w:space="0"/>
              <w:bottom w:val="single" w:color="auto" w:sz="4" w:space="0"/>
              <w:right w:val="single" w:color="auto" w:sz="4" w:space="0"/>
            </w:tcBorders>
            <w:vAlign w:val="center"/>
          </w:tcPr>
          <w:p w14:paraId="0061641A">
            <w:pPr>
              <w:adjustRightInd w:val="0"/>
              <w:snapToGrid w:val="0"/>
              <w:spacing w:line="240" w:lineRule="auto"/>
              <w:jc w:val="center"/>
              <w:rPr>
                <w:rFonts w:ascii="宋体" w:hAnsi="宋体"/>
                <w:kern w:val="0"/>
                <w:sz w:val="21"/>
                <w:szCs w:val="21"/>
              </w:rPr>
            </w:pPr>
          </w:p>
        </w:tc>
      </w:tr>
      <w:tr w14:paraId="1F030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0AE6BE82">
            <w:pPr>
              <w:spacing w:line="240" w:lineRule="auto"/>
              <w:jc w:val="center"/>
              <w:rPr>
                <w:rFonts w:ascii="宋体" w:hAnsi="宋体"/>
                <w:sz w:val="21"/>
                <w:szCs w:val="21"/>
              </w:rPr>
            </w:pPr>
            <w:r>
              <w:rPr>
                <w:rFonts w:hint="eastAsia" w:ascii="宋体" w:hAnsi="宋体"/>
                <w:sz w:val="21"/>
                <w:szCs w:val="21"/>
              </w:rPr>
              <w:t>（1）</w:t>
            </w:r>
          </w:p>
        </w:tc>
        <w:tc>
          <w:tcPr>
            <w:tcW w:w="6857" w:type="dxa"/>
            <w:gridSpan w:val="4"/>
            <w:tcBorders>
              <w:top w:val="single" w:color="auto" w:sz="4" w:space="0"/>
              <w:bottom w:val="single" w:color="auto" w:sz="4" w:space="0"/>
            </w:tcBorders>
            <w:vAlign w:val="center"/>
          </w:tcPr>
          <w:p w14:paraId="3792A136">
            <w:pPr>
              <w:adjustRightInd w:val="0"/>
              <w:snapToGrid w:val="0"/>
              <w:spacing w:line="240" w:lineRule="auto"/>
              <w:jc w:val="left"/>
              <w:rPr>
                <w:rFonts w:ascii="宋体" w:hAnsi="宋体"/>
                <w:kern w:val="0"/>
                <w:sz w:val="21"/>
                <w:szCs w:val="21"/>
              </w:rPr>
            </w:pPr>
            <w:r>
              <w:rPr>
                <w:rFonts w:hint="eastAsia" w:ascii="宋体" w:hAnsi="宋体"/>
                <w:sz w:val="21"/>
                <w:szCs w:val="21"/>
              </w:rPr>
              <w:t>xx</w:t>
            </w:r>
            <w:r>
              <w:rPr>
                <w:rFonts w:ascii="宋体" w:hAnsi="宋体"/>
                <w:sz w:val="21"/>
                <w:szCs w:val="21"/>
              </w:rPr>
              <w:t>xx</w:t>
            </w:r>
            <w:r>
              <w:rPr>
                <w:rFonts w:hint="eastAsia" w:ascii="宋体" w:hAnsi="宋体"/>
                <w:sz w:val="18"/>
                <w:szCs w:val="18"/>
              </w:rPr>
              <w:t>（发票</w:t>
            </w:r>
            <w:r>
              <w:rPr>
                <w:rFonts w:ascii="宋体" w:hAnsi="宋体"/>
                <w:sz w:val="18"/>
                <w:szCs w:val="18"/>
              </w:rPr>
              <w:t>名称</w:t>
            </w:r>
            <w:r>
              <w:rPr>
                <w:rFonts w:hint="eastAsia" w:ascii="宋体" w:hAnsi="宋体"/>
                <w:sz w:val="18"/>
                <w:szCs w:val="18"/>
              </w:rPr>
              <w:t>）</w:t>
            </w:r>
          </w:p>
        </w:tc>
        <w:tc>
          <w:tcPr>
            <w:tcW w:w="1494" w:type="dxa"/>
            <w:tcBorders>
              <w:top w:val="single" w:color="auto" w:sz="4" w:space="0"/>
              <w:bottom w:val="single" w:color="auto" w:sz="4" w:space="0"/>
              <w:right w:val="single" w:color="auto" w:sz="4" w:space="0"/>
            </w:tcBorders>
            <w:vAlign w:val="center"/>
          </w:tcPr>
          <w:p w14:paraId="0A95E296">
            <w:pPr>
              <w:adjustRightInd w:val="0"/>
              <w:snapToGrid w:val="0"/>
              <w:spacing w:line="240" w:lineRule="auto"/>
              <w:jc w:val="center"/>
              <w:rPr>
                <w:rFonts w:ascii="宋体" w:hAnsi="宋体"/>
                <w:kern w:val="0"/>
                <w:sz w:val="21"/>
                <w:szCs w:val="21"/>
              </w:rPr>
            </w:pPr>
          </w:p>
        </w:tc>
      </w:tr>
      <w:tr w14:paraId="4D5DE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6156F0F6">
            <w:pPr>
              <w:spacing w:line="240" w:lineRule="auto"/>
              <w:jc w:val="center"/>
              <w:rPr>
                <w:rFonts w:ascii="宋体" w:hAnsi="宋体"/>
                <w:sz w:val="21"/>
                <w:szCs w:val="21"/>
              </w:rPr>
            </w:pPr>
            <w:r>
              <w:rPr>
                <w:rFonts w:hint="eastAsia" w:ascii="宋体" w:hAnsi="宋体"/>
                <w:sz w:val="21"/>
                <w:szCs w:val="21"/>
              </w:rPr>
              <w:t>（2）</w:t>
            </w:r>
          </w:p>
        </w:tc>
        <w:tc>
          <w:tcPr>
            <w:tcW w:w="6857" w:type="dxa"/>
            <w:gridSpan w:val="4"/>
            <w:tcBorders>
              <w:top w:val="single" w:color="auto" w:sz="4" w:space="0"/>
              <w:bottom w:val="single" w:color="auto" w:sz="4" w:space="0"/>
            </w:tcBorders>
            <w:vAlign w:val="center"/>
          </w:tcPr>
          <w:p w14:paraId="49FB5FF3">
            <w:pPr>
              <w:adjustRightInd w:val="0"/>
              <w:snapToGrid w:val="0"/>
              <w:spacing w:line="240" w:lineRule="auto"/>
              <w:jc w:val="left"/>
              <w:rPr>
                <w:rFonts w:ascii="宋体" w:hAnsi="宋体"/>
                <w:kern w:val="0"/>
                <w:sz w:val="21"/>
                <w:szCs w:val="21"/>
              </w:rPr>
            </w:pPr>
            <w:r>
              <w:rPr>
                <w:rFonts w:hint="eastAsia" w:ascii="宋体" w:hAnsi="宋体"/>
                <w:sz w:val="21"/>
                <w:szCs w:val="21"/>
              </w:rPr>
              <w:t>xx</w:t>
            </w:r>
            <w:r>
              <w:rPr>
                <w:rFonts w:ascii="宋体" w:hAnsi="宋体"/>
                <w:sz w:val="21"/>
                <w:szCs w:val="21"/>
              </w:rPr>
              <w:t>xx</w:t>
            </w:r>
            <w:r>
              <w:rPr>
                <w:rFonts w:hint="eastAsia" w:ascii="宋体" w:hAnsi="宋体"/>
                <w:sz w:val="21"/>
                <w:szCs w:val="21"/>
              </w:rPr>
              <w:t>（</w:t>
            </w:r>
            <w:r>
              <w:rPr>
                <w:rFonts w:hint="eastAsia" w:ascii="宋体" w:hAnsi="宋体"/>
                <w:sz w:val="18"/>
                <w:szCs w:val="18"/>
              </w:rPr>
              <w:t>交工/</w:t>
            </w:r>
            <w:r>
              <w:rPr>
                <w:rFonts w:ascii="宋体" w:hAnsi="宋体"/>
                <w:sz w:val="18"/>
                <w:szCs w:val="18"/>
              </w:rPr>
              <w:t>竣工</w:t>
            </w:r>
            <w:r>
              <w:rPr>
                <w:rFonts w:hint="eastAsia" w:ascii="宋体" w:hAnsi="宋体"/>
                <w:sz w:val="18"/>
                <w:szCs w:val="18"/>
              </w:rPr>
              <w:t>验收证书名称</w:t>
            </w:r>
            <w:r>
              <w:rPr>
                <w:rFonts w:hint="eastAsia" w:ascii="宋体" w:hAnsi="宋体"/>
                <w:sz w:val="21"/>
                <w:szCs w:val="21"/>
              </w:rPr>
              <w:t>）</w:t>
            </w:r>
          </w:p>
        </w:tc>
        <w:tc>
          <w:tcPr>
            <w:tcW w:w="1494" w:type="dxa"/>
            <w:tcBorders>
              <w:top w:val="single" w:color="auto" w:sz="4" w:space="0"/>
              <w:bottom w:val="single" w:color="auto" w:sz="4" w:space="0"/>
              <w:right w:val="single" w:color="auto" w:sz="4" w:space="0"/>
            </w:tcBorders>
            <w:vAlign w:val="center"/>
          </w:tcPr>
          <w:p w14:paraId="6EB64A93">
            <w:pPr>
              <w:adjustRightInd w:val="0"/>
              <w:snapToGrid w:val="0"/>
              <w:spacing w:line="240" w:lineRule="auto"/>
              <w:jc w:val="center"/>
              <w:rPr>
                <w:rFonts w:ascii="宋体" w:hAnsi="宋体"/>
                <w:kern w:val="0"/>
                <w:sz w:val="21"/>
                <w:szCs w:val="21"/>
              </w:rPr>
            </w:pPr>
          </w:p>
        </w:tc>
      </w:tr>
      <w:tr w14:paraId="4887B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5705CF4E">
            <w:pPr>
              <w:adjustRightInd w:val="0"/>
              <w:snapToGrid w:val="0"/>
              <w:spacing w:line="240" w:lineRule="auto"/>
              <w:jc w:val="center"/>
              <w:rPr>
                <w:rFonts w:ascii="宋体" w:hAnsi="宋体"/>
                <w:sz w:val="21"/>
                <w:szCs w:val="21"/>
              </w:rPr>
            </w:pPr>
            <w:r>
              <w:rPr>
                <w:rFonts w:hint="eastAsia" w:ascii="宋体" w:hAnsi="宋体"/>
                <w:sz w:val="21"/>
                <w:szCs w:val="21"/>
              </w:rPr>
              <w:t>（3）</w:t>
            </w:r>
          </w:p>
        </w:tc>
        <w:tc>
          <w:tcPr>
            <w:tcW w:w="6857" w:type="dxa"/>
            <w:gridSpan w:val="4"/>
            <w:tcBorders>
              <w:top w:val="single" w:color="auto" w:sz="4" w:space="0"/>
              <w:bottom w:val="single" w:color="auto" w:sz="4" w:space="0"/>
            </w:tcBorders>
            <w:vAlign w:val="center"/>
          </w:tcPr>
          <w:p w14:paraId="6E040AEB">
            <w:pPr>
              <w:adjustRightInd w:val="0"/>
              <w:snapToGrid w:val="0"/>
              <w:spacing w:line="240" w:lineRule="auto"/>
              <w:jc w:val="left"/>
              <w:rPr>
                <w:rFonts w:ascii="宋体" w:hAnsi="宋体"/>
                <w:sz w:val="21"/>
                <w:szCs w:val="21"/>
              </w:rPr>
            </w:pPr>
            <w:r>
              <w:rPr>
                <w:rFonts w:hint="eastAsia" w:ascii="宋体" w:hAnsi="宋体"/>
                <w:sz w:val="21"/>
                <w:szCs w:val="21"/>
              </w:rPr>
              <w:t>xx</w:t>
            </w:r>
            <w:r>
              <w:rPr>
                <w:rFonts w:ascii="宋体" w:hAnsi="宋体"/>
                <w:sz w:val="21"/>
                <w:szCs w:val="21"/>
              </w:rPr>
              <w:t>xx</w:t>
            </w:r>
            <w:r>
              <w:rPr>
                <w:rFonts w:ascii="宋体" w:hAnsi="宋体"/>
                <w:sz w:val="18"/>
                <w:szCs w:val="18"/>
              </w:rPr>
              <w:t>（</w:t>
            </w:r>
            <w:r>
              <w:rPr>
                <w:rFonts w:hint="eastAsia" w:ascii="宋体" w:hAnsi="宋体"/>
                <w:sz w:val="18"/>
                <w:szCs w:val="18"/>
              </w:rPr>
              <w:t>相关</w:t>
            </w:r>
            <w:r>
              <w:rPr>
                <w:rFonts w:ascii="宋体" w:hAnsi="宋体"/>
                <w:sz w:val="18"/>
                <w:szCs w:val="18"/>
              </w:rPr>
              <w:t>证明材料</w:t>
            </w:r>
            <w:r>
              <w:rPr>
                <w:rFonts w:hint="eastAsia" w:ascii="宋体" w:hAnsi="宋体"/>
                <w:sz w:val="18"/>
                <w:szCs w:val="18"/>
              </w:rPr>
              <w:t>名称</w:t>
            </w:r>
            <w:r>
              <w:rPr>
                <w:rFonts w:ascii="宋体" w:hAnsi="宋体"/>
                <w:sz w:val="18"/>
                <w:szCs w:val="18"/>
              </w:rPr>
              <w:t>）</w:t>
            </w:r>
            <w:r>
              <w:rPr>
                <w:rFonts w:hint="eastAsia" w:ascii="宋体" w:hAnsi="宋体"/>
                <w:sz w:val="18"/>
                <w:szCs w:val="18"/>
              </w:rPr>
              <w:t>（</w:t>
            </w:r>
            <w:r>
              <w:rPr>
                <w:rFonts w:hint="eastAsia" w:ascii="楷体" w:hAnsi="楷体" w:eastAsia="楷体"/>
                <w:sz w:val="18"/>
                <w:szCs w:val="18"/>
              </w:rPr>
              <w:t>详</w:t>
            </w:r>
            <w:r>
              <w:rPr>
                <w:rFonts w:ascii="楷体" w:hAnsi="楷体" w:eastAsia="楷体"/>
                <w:sz w:val="18"/>
                <w:szCs w:val="18"/>
              </w:rPr>
              <w:t>见：</w:t>
            </w:r>
            <w:r>
              <w:rPr>
                <w:rFonts w:hint="eastAsia" w:ascii="楷体" w:hAnsi="楷体" w:eastAsia="楷体"/>
                <w:sz w:val="18"/>
                <w:szCs w:val="18"/>
              </w:rPr>
              <w:t>评审/评分</w:t>
            </w:r>
            <w:r>
              <w:rPr>
                <w:rFonts w:ascii="楷体" w:hAnsi="楷体" w:eastAsia="楷体"/>
                <w:sz w:val="18"/>
                <w:szCs w:val="18"/>
              </w:rPr>
              <w:t>标准</w:t>
            </w:r>
            <w:r>
              <w:rPr>
                <w:rFonts w:hint="eastAsia" w:ascii="楷体" w:hAnsi="楷体" w:eastAsia="楷体"/>
                <w:sz w:val="18"/>
                <w:szCs w:val="18"/>
              </w:rPr>
              <w:t>中楷体字的</w:t>
            </w:r>
            <w:r>
              <w:rPr>
                <w:rFonts w:ascii="楷体" w:hAnsi="楷体" w:eastAsia="楷体"/>
                <w:sz w:val="18"/>
                <w:szCs w:val="18"/>
              </w:rPr>
              <w:t>相关说明</w:t>
            </w:r>
            <w:r>
              <w:rPr>
                <w:rFonts w:hint="eastAsia" w:ascii="宋体" w:hAnsi="宋体"/>
                <w:sz w:val="18"/>
                <w:szCs w:val="18"/>
              </w:rPr>
              <w:t>）</w:t>
            </w:r>
          </w:p>
        </w:tc>
        <w:tc>
          <w:tcPr>
            <w:tcW w:w="1494" w:type="dxa"/>
            <w:tcBorders>
              <w:top w:val="single" w:color="auto" w:sz="4" w:space="0"/>
              <w:bottom w:val="single" w:color="auto" w:sz="4" w:space="0"/>
              <w:right w:val="single" w:color="auto" w:sz="4" w:space="0"/>
            </w:tcBorders>
            <w:vAlign w:val="center"/>
          </w:tcPr>
          <w:p w14:paraId="5BD0C063">
            <w:pPr>
              <w:adjustRightInd w:val="0"/>
              <w:snapToGrid w:val="0"/>
              <w:spacing w:line="240" w:lineRule="auto"/>
              <w:jc w:val="center"/>
              <w:rPr>
                <w:rFonts w:ascii="宋体" w:hAnsi="宋体"/>
                <w:kern w:val="0"/>
                <w:sz w:val="21"/>
                <w:szCs w:val="21"/>
              </w:rPr>
            </w:pPr>
          </w:p>
        </w:tc>
      </w:tr>
      <w:tr w14:paraId="3A0D6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318" w:type="dxa"/>
            <w:tcBorders>
              <w:top w:val="single" w:color="auto" w:sz="4" w:space="0"/>
              <w:left w:val="single" w:color="auto" w:sz="4" w:space="0"/>
              <w:bottom w:val="single" w:color="auto" w:sz="4" w:space="0"/>
            </w:tcBorders>
            <w:vAlign w:val="center"/>
          </w:tcPr>
          <w:p w14:paraId="389005AC">
            <w:pPr>
              <w:adjustRightInd w:val="0"/>
              <w:snapToGrid w:val="0"/>
              <w:spacing w:line="240" w:lineRule="auto"/>
              <w:jc w:val="center"/>
              <w:rPr>
                <w:rFonts w:ascii="宋体" w:hAnsi="宋体"/>
                <w:sz w:val="21"/>
                <w:szCs w:val="21"/>
              </w:rPr>
            </w:pPr>
            <w:r>
              <w:rPr>
                <w:rFonts w:ascii="宋体" w:hAnsi="宋体"/>
                <w:sz w:val="21"/>
                <w:szCs w:val="21"/>
              </w:rPr>
              <w:t>…</w:t>
            </w:r>
          </w:p>
        </w:tc>
        <w:tc>
          <w:tcPr>
            <w:tcW w:w="6857" w:type="dxa"/>
            <w:gridSpan w:val="4"/>
            <w:tcBorders>
              <w:top w:val="single" w:color="auto" w:sz="4" w:space="0"/>
              <w:bottom w:val="single" w:color="auto" w:sz="4" w:space="0"/>
            </w:tcBorders>
            <w:vAlign w:val="center"/>
          </w:tcPr>
          <w:p w14:paraId="01E0740A">
            <w:pPr>
              <w:adjustRightInd w:val="0"/>
              <w:snapToGrid w:val="0"/>
              <w:spacing w:line="240" w:lineRule="auto"/>
              <w:jc w:val="left"/>
              <w:rPr>
                <w:rFonts w:ascii="宋体" w:hAnsi="宋体"/>
                <w:kern w:val="0"/>
                <w:sz w:val="21"/>
                <w:szCs w:val="21"/>
              </w:rPr>
            </w:pPr>
            <w:r>
              <w:rPr>
                <w:rFonts w:ascii="宋体" w:hAnsi="宋体"/>
                <w:sz w:val="21"/>
                <w:szCs w:val="21"/>
              </w:rPr>
              <w:t>…</w:t>
            </w:r>
          </w:p>
        </w:tc>
        <w:tc>
          <w:tcPr>
            <w:tcW w:w="1494" w:type="dxa"/>
            <w:tcBorders>
              <w:top w:val="single" w:color="auto" w:sz="4" w:space="0"/>
              <w:bottom w:val="single" w:color="auto" w:sz="4" w:space="0"/>
              <w:right w:val="single" w:color="auto" w:sz="4" w:space="0"/>
            </w:tcBorders>
            <w:vAlign w:val="center"/>
          </w:tcPr>
          <w:p w14:paraId="6F5DE564">
            <w:pPr>
              <w:adjustRightInd w:val="0"/>
              <w:snapToGrid w:val="0"/>
              <w:spacing w:line="240" w:lineRule="auto"/>
              <w:jc w:val="center"/>
              <w:rPr>
                <w:rFonts w:ascii="宋体" w:hAnsi="宋体"/>
                <w:kern w:val="0"/>
                <w:sz w:val="21"/>
                <w:szCs w:val="21"/>
              </w:rPr>
            </w:pPr>
          </w:p>
        </w:tc>
      </w:tr>
      <w:tr w14:paraId="21E76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2AB61394">
            <w:pPr>
              <w:adjustRightInd w:val="0"/>
              <w:snapToGrid w:val="0"/>
              <w:spacing w:line="240" w:lineRule="auto"/>
              <w:jc w:val="center"/>
              <w:rPr>
                <w:rFonts w:ascii="宋体" w:hAnsi="宋体"/>
                <w:kern w:val="0"/>
                <w:sz w:val="21"/>
                <w:szCs w:val="21"/>
              </w:rPr>
            </w:pPr>
            <w:r>
              <w:rPr>
                <w:rFonts w:hint="eastAsia" w:ascii="宋体" w:hAnsi="宋体"/>
                <w:sz w:val="21"/>
                <w:szCs w:val="21"/>
              </w:rPr>
              <w:t>2</w:t>
            </w:r>
          </w:p>
        </w:tc>
        <w:tc>
          <w:tcPr>
            <w:tcW w:w="1982" w:type="dxa"/>
            <w:tcBorders>
              <w:top w:val="single" w:color="auto" w:sz="4" w:space="0"/>
              <w:bottom w:val="single" w:color="auto" w:sz="4" w:space="0"/>
            </w:tcBorders>
            <w:vAlign w:val="center"/>
          </w:tcPr>
          <w:p w14:paraId="058E03ED">
            <w:pPr>
              <w:adjustRightInd w:val="0"/>
              <w:snapToGrid w:val="0"/>
              <w:spacing w:line="240" w:lineRule="auto"/>
              <w:jc w:val="left"/>
              <w:rPr>
                <w:rFonts w:ascii="宋体" w:hAnsi="宋体"/>
                <w:kern w:val="0"/>
                <w:sz w:val="21"/>
                <w:szCs w:val="21"/>
              </w:rPr>
            </w:pPr>
            <w:r>
              <w:rPr>
                <w:rFonts w:hint="eastAsia" w:ascii="宋体" w:hAnsi="宋体"/>
                <w:sz w:val="21"/>
                <w:szCs w:val="21"/>
              </w:rPr>
              <w:t>xxx</w:t>
            </w:r>
            <w:r>
              <w:rPr>
                <w:rFonts w:ascii="宋体" w:hAnsi="宋体"/>
                <w:sz w:val="21"/>
                <w:szCs w:val="21"/>
              </w:rPr>
              <w:t>x</w:t>
            </w:r>
            <w:r>
              <w:rPr>
                <w:rFonts w:hint="eastAsia" w:ascii="宋体" w:hAnsi="宋体"/>
                <w:sz w:val="18"/>
                <w:szCs w:val="18"/>
              </w:rPr>
              <w:t>（</w:t>
            </w:r>
            <w:r>
              <w:rPr>
                <w:rFonts w:ascii="宋体" w:hAnsi="宋体"/>
                <w:sz w:val="18"/>
                <w:szCs w:val="18"/>
              </w:rPr>
              <w:t>合同名称</w:t>
            </w:r>
            <w:r>
              <w:rPr>
                <w:rFonts w:hint="eastAsia" w:ascii="宋体" w:hAnsi="宋体"/>
                <w:sz w:val="18"/>
                <w:szCs w:val="18"/>
              </w:rPr>
              <w:t>）</w:t>
            </w:r>
          </w:p>
        </w:tc>
        <w:tc>
          <w:tcPr>
            <w:tcW w:w="1299" w:type="dxa"/>
            <w:tcBorders>
              <w:top w:val="single" w:color="auto" w:sz="4" w:space="0"/>
              <w:left w:val="single" w:color="auto" w:sz="4" w:space="0"/>
              <w:bottom w:val="single" w:color="auto" w:sz="4" w:space="0"/>
            </w:tcBorders>
            <w:vAlign w:val="center"/>
          </w:tcPr>
          <w:p w14:paraId="76837965">
            <w:pPr>
              <w:adjustRightInd w:val="0"/>
              <w:snapToGrid w:val="0"/>
              <w:spacing w:line="240" w:lineRule="auto"/>
              <w:jc w:val="center"/>
              <w:rPr>
                <w:rFonts w:ascii="宋体" w:hAnsi="宋体"/>
                <w:kern w:val="0"/>
                <w:sz w:val="21"/>
                <w:szCs w:val="21"/>
              </w:rPr>
            </w:pPr>
          </w:p>
        </w:tc>
        <w:tc>
          <w:tcPr>
            <w:tcW w:w="1615" w:type="dxa"/>
            <w:tcBorders>
              <w:top w:val="single" w:color="auto" w:sz="4" w:space="0"/>
              <w:left w:val="single" w:color="auto" w:sz="4" w:space="0"/>
              <w:bottom w:val="single" w:color="auto" w:sz="4" w:space="0"/>
            </w:tcBorders>
            <w:vAlign w:val="center"/>
          </w:tcPr>
          <w:p w14:paraId="46966F08">
            <w:pPr>
              <w:adjustRightInd w:val="0"/>
              <w:snapToGrid w:val="0"/>
              <w:spacing w:line="240" w:lineRule="auto"/>
              <w:jc w:val="center"/>
              <w:rPr>
                <w:rFonts w:ascii="宋体" w:hAnsi="宋体"/>
                <w:kern w:val="0"/>
                <w:sz w:val="21"/>
                <w:szCs w:val="21"/>
              </w:rPr>
            </w:pPr>
          </w:p>
        </w:tc>
        <w:tc>
          <w:tcPr>
            <w:tcW w:w="1961" w:type="dxa"/>
            <w:tcBorders>
              <w:top w:val="single" w:color="auto" w:sz="4" w:space="0"/>
              <w:bottom w:val="single" w:color="auto" w:sz="4" w:space="0"/>
            </w:tcBorders>
            <w:vAlign w:val="center"/>
          </w:tcPr>
          <w:p w14:paraId="63D0B23A">
            <w:pPr>
              <w:adjustRightInd w:val="0"/>
              <w:snapToGrid w:val="0"/>
              <w:spacing w:line="240" w:lineRule="auto"/>
              <w:jc w:val="center"/>
              <w:rPr>
                <w:rFonts w:ascii="宋体" w:hAnsi="宋体"/>
                <w:kern w:val="0"/>
                <w:sz w:val="21"/>
                <w:szCs w:val="21"/>
              </w:rPr>
            </w:pPr>
          </w:p>
        </w:tc>
        <w:tc>
          <w:tcPr>
            <w:tcW w:w="1494" w:type="dxa"/>
            <w:tcBorders>
              <w:top w:val="single" w:color="auto" w:sz="4" w:space="0"/>
              <w:bottom w:val="single" w:color="auto" w:sz="4" w:space="0"/>
              <w:right w:val="single" w:color="auto" w:sz="4" w:space="0"/>
            </w:tcBorders>
            <w:vAlign w:val="center"/>
          </w:tcPr>
          <w:p w14:paraId="6BFC3083">
            <w:pPr>
              <w:adjustRightInd w:val="0"/>
              <w:snapToGrid w:val="0"/>
              <w:spacing w:line="240" w:lineRule="auto"/>
              <w:jc w:val="center"/>
              <w:rPr>
                <w:rFonts w:ascii="宋体" w:hAnsi="宋体"/>
                <w:kern w:val="0"/>
                <w:sz w:val="21"/>
                <w:szCs w:val="21"/>
              </w:rPr>
            </w:pPr>
          </w:p>
        </w:tc>
      </w:tr>
      <w:tr w14:paraId="64A9F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18" w:type="dxa"/>
            <w:tcBorders>
              <w:top w:val="single" w:color="auto" w:sz="4" w:space="0"/>
              <w:left w:val="single" w:color="auto" w:sz="4" w:space="0"/>
              <w:bottom w:val="single" w:color="auto" w:sz="4" w:space="0"/>
            </w:tcBorders>
            <w:vAlign w:val="center"/>
          </w:tcPr>
          <w:p w14:paraId="3BA2B511">
            <w:pPr>
              <w:spacing w:line="240" w:lineRule="auto"/>
              <w:jc w:val="center"/>
              <w:rPr>
                <w:rFonts w:ascii="宋体" w:hAnsi="宋体"/>
                <w:kern w:val="0"/>
                <w:sz w:val="21"/>
                <w:szCs w:val="21"/>
              </w:rPr>
            </w:pPr>
            <w:r>
              <w:rPr>
                <w:rFonts w:hint="eastAsia" w:ascii="宋体" w:hAnsi="宋体"/>
                <w:sz w:val="21"/>
                <w:szCs w:val="21"/>
              </w:rPr>
              <w:t>（1）</w:t>
            </w:r>
          </w:p>
        </w:tc>
        <w:tc>
          <w:tcPr>
            <w:tcW w:w="6857" w:type="dxa"/>
            <w:gridSpan w:val="4"/>
            <w:tcBorders>
              <w:top w:val="single" w:color="auto" w:sz="4" w:space="0"/>
              <w:bottom w:val="single" w:color="auto" w:sz="4" w:space="0"/>
            </w:tcBorders>
            <w:vAlign w:val="center"/>
          </w:tcPr>
          <w:p w14:paraId="4749A095">
            <w:pPr>
              <w:adjustRightInd w:val="0"/>
              <w:snapToGrid w:val="0"/>
              <w:spacing w:line="240" w:lineRule="auto"/>
              <w:jc w:val="left"/>
              <w:rPr>
                <w:rFonts w:ascii="宋体" w:hAnsi="宋体"/>
                <w:kern w:val="0"/>
                <w:sz w:val="21"/>
                <w:szCs w:val="21"/>
              </w:rPr>
            </w:pPr>
            <w:r>
              <w:rPr>
                <w:rFonts w:hint="eastAsia" w:ascii="宋体" w:hAnsi="宋体"/>
                <w:sz w:val="21"/>
                <w:szCs w:val="21"/>
              </w:rPr>
              <w:t>xx</w:t>
            </w:r>
            <w:r>
              <w:rPr>
                <w:rFonts w:ascii="宋体" w:hAnsi="宋体"/>
                <w:sz w:val="21"/>
                <w:szCs w:val="21"/>
              </w:rPr>
              <w:t>xx</w:t>
            </w:r>
            <w:r>
              <w:rPr>
                <w:rFonts w:hint="eastAsia" w:ascii="宋体" w:hAnsi="宋体"/>
                <w:sz w:val="18"/>
                <w:szCs w:val="18"/>
              </w:rPr>
              <w:t>（发票</w:t>
            </w:r>
            <w:r>
              <w:rPr>
                <w:rFonts w:ascii="宋体" w:hAnsi="宋体"/>
                <w:sz w:val="18"/>
                <w:szCs w:val="18"/>
              </w:rPr>
              <w:t>名称</w:t>
            </w:r>
            <w:r>
              <w:rPr>
                <w:rFonts w:hint="eastAsia" w:ascii="宋体" w:hAnsi="宋体"/>
                <w:sz w:val="18"/>
                <w:szCs w:val="18"/>
              </w:rPr>
              <w:t>）</w:t>
            </w:r>
          </w:p>
        </w:tc>
        <w:tc>
          <w:tcPr>
            <w:tcW w:w="1494" w:type="dxa"/>
            <w:tcBorders>
              <w:top w:val="single" w:color="auto" w:sz="4" w:space="0"/>
              <w:bottom w:val="single" w:color="auto" w:sz="4" w:space="0"/>
              <w:right w:val="single" w:color="auto" w:sz="4" w:space="0"/>
            </w:tcBorders>
            <w:vAlign w:val="center"/>
          </w:tcPr>
          <w:p w14:paraId="1E24D5A2">
            <w:pPr>
              <w:adjustRightInd w:val="0"/>
              <w:snapToGrid w:val="0"/>
              <w:spacing w:line="240" w:lineRule="auto"/>
              <w:jc w:val="center"/>
              <w:rPr>
                <w:rFonts w:ascii="宋体" w:hAnsi="宋体"/>
                <w:kern w:val="0"/>
                <w:sz w:val="21"/>
                <w:szCs w:val="21"/>
              </w:rPr>
            </w:pPr>
          </w:p>
        </w:tc>
      </w:tr>
      <w:tr w14:paraId="6ED64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318" w:type="dxa"/>
            <w:tcBorders>
              <w:top w:val="single" w:color="auto" w:sz="4" w:space="0"/>
              <w:left w:val="single" w:color="auto" w:sz="4" w:space="0"/>
              <w:bottom w:val="single" w:color="auto" w:sz="4" w:space="0"/>
            </w:tcBorders>
            <w:vAlign w:val="center"/>
          </w:tcPr>
          <w:p w14:paraId="2C5318C6">
            <w:pPr>
              <w:adjustRightInd w:val="0"/>
              <w:snapToGrid w:val="0"/>
              <w:spacing w:line="240" w:lineRule="auto"/>
              <w:jc w:val="center"/>
              <w:rPr>
                <w:rFonts w:ascii="宋体" w:hAnsi="宋体"/>
                <w:kern w:val="0"/>
                <w:sz w:val="21"/>
                <w:szCs w:val="21"/>
              </w:rPr>
            </w:pPr>
            <w:r>
              <w:rPr>
                <w:rFonts w:ascii="宋体" w:hAnsi="宋体"/>
                <w:sz w:val="21"/>
                <w:szCs w:val="21"/>
              </w:rPr>
              <w:t>…</w:t>
            </w:r>
          </w:p>
        </w:tc>
        <w:tc>
          <w:tcPr>
            <w:tcW w:w="6857" w:type="dxa"/>
            <w:gridSpan w:val="4"/>
            <w:tcBorders>
              <w:top w:val="single" w:color="auto" w:sz="4" w:space="0"/>
              <w:bottom w:val="single" w:color="auto" w:sz="4" w:space="0"/>
            </w:tcBorders>
            <w:vAlign w:val="center"/>
          </w:tcPr>
          <w:p w14:paraId="73CA8794">
            <w:pPr>
              <w:adjustRightInd w:val="0"/>
              <w:snapToGrid w:val="0"/>
              <w:spacing w:line="240" w:lineRule="auto"/>
              <w:jc w:val="left"/>
              <w:rPr>
                <w:rFonts w:ascii="宋体" w:hAnsi="宋体"/>
                <w:kern w:val="0"/>
                <w:sz w:val="21"/>
                <w:szCs w:val="21"/>
              </w:rPr>
            </w:pPr>
            <w:r>
              <w:rPr>
                <w:rFonts w:ascii="宋体" w:hAnsi="宋体"/>
                <w:sz w:val="21"/>
                <w:szCs w:val="21"/>
              </w:rPr>
              <w:t>…</w:t>
            </w:r>
          </w:p>
        </w:tc>
        <w:tc>
          <w:tcPr>
            <w:tcW w:w="1494" w:type="dxa"/>
            <w:tcBorders>
              <w:top w:val="single" w:color="auto" w:sz="4" w:space="0"/>
              <w:bottom w:val="single" w:color="auto" w:sz="4" w:space="0"/>
              <w:right w:val="single" w:color="auto" w:sz="4" w:space="0"/>
            </w:tcBorders>
            <w:vAlign w:val="center"/>
          </w:tcPr>
          <w:p w14:paraId="06CF01AD">
            <w:pPr>
              <w:adjustRightInd w:val="0"/>
              <w:snapToGrid w:val="0"/>
              <w:spacing w:line="240" w:lineRule="auto"/>
              <w:jc w:val="center"/>
              <w:rPr>
                <w:rFonts w:ascii="宋体" w:hAnsi="宋体"/>
                <w:kern w:val="0"/>
                <w:sz w:val="21"/>
                <w:szCs w:val="21"/>
              </w:rPr>
            </w:pPr>
          </w:p>
        </w:tc>
      </w:tr>
    </w:tbl>
    <w:p w14:paraId="67B2A282">
      <w:pPr>
        <w:adjustRightInd w:val="0"/>
        <w:snapToGrid w:val="0"/>
        <w:spacing w:line="264" w:lineRule="auto"/>
        <w:rPr>
          <w:rFonts w:ascii="宋体" w:hAnsi="宋体"/>
          <w:sz w:val="21"/>
          <w:szCs w:val="21"/>
        </w:rPr>
      </w:pPr>
      <w:r>
        <w:rPr>
          <w:rFonts w:hint="eastAsia" w:ascii="宋体" w:hAnsi="宋体"/>
          <w:sz w:val="21"/>
          <w:szCs w:val="21"/>
        </w:rPr>
        <w:t>说明： 1.投标人应按《项目经理部等人员配置表》中配置的主要人员分别编制本表内容，其相应人员的证件及相关证明材料的复印件（不限于身份证、资格证书（如有）、注册执业证书（如有）、职称证书、社保证明等），附在相应人员表后。</w:t>
      </w:r>
    </w:p>
    <w:p w14:paraId="29C75C57">
      <w:pPr>
        <w:adjustRightInd w:val="0"/>
        <w:snapToGrid w:val="0"/>
        <w:spacing w:line="264" w:lineRule="auto"/>
        <w:rPr>
          <w:rFonts w:ascii="宋体" w:hAnsi="宋体"/>
          <w:sz w:val="21"/>
          <w:szCs w:val="21"/>
        </w:rPr>
      </w:pPr>
      <w:r>
        <w:rPr>
          <w:rFonts w:hint="eastAsia" w:ascii="宋体" w:hAnsi="宋体"/>
          <w:sz w:val="21"/>
          <w:szCs w:val="21"/>
        </w:rPr>
        <w:t>2.投标人应提供符合详细评审（评分）标准要求的人员业绩合同，每个单项业绩合同后附与该合同有关的：</w:t>
      </w:r>
    </w:p>
    <w:p w14:paraId="253547B1">
      <w:pPr>
        <w:adjustRightInd w:val="0"/>
        <w:snapToGrid w:val="0"/>
        <w:spacing w:line="264" w:lineRule="auto"/>
        <w:rPr>
          <w:rFonts w:ascii="宋体" w:hAnsi="宋体"/>
          <w:sz w:val="21"/>
          <w:szCs w:val="21"/>
        </w:rPr>
      </w:pPr>
      <w:r>
        <w:rPr>
          <w:rFonts w:hint="eastAsia" w:ascii="宋体" w:hAnsi="宋体"/>
          <w:sz w:val="21"/>
          <w:szCs w:val="21"/>
        </w:rPr>
        <w:t>（1）合同关键页（</w:t>
      </w:r>
      <w:r>
        <w:rPr>
          <w:rFonts w:hint="eastAsia" w:ascii="楷体" w:hAnsi="楷体" w:eastAsia="楷体" w:cs="楷体"/>
          <w:sz w:val="21"/>
          <w:szCs w:val="21"/>
        </w:rPr>
        <w:t>若项目业绩为框架合同项目须同时提供框架合同和单项工程委托书关键页）</w:t>
      </w:r>
      <w:r>
        <w:rPr>
          <w:rFonts w:hint="eastAsia" w:ascii="宋体" w:hAnsi="宋体"/>
          <w:sz w:val="21"/>
          <w:szCs w:val="21"/>
        </w:rPr>
        <w:t>；</w:t>
      </w:r>
    </w:p>
    <w:p w14:paraId="3B4DB4C4">
      <w:pPr>
        <w:adjustRightInd w:val="0"/>
        <w:snapToGrid w:val="0"/>
        <w:spacing w:line="264" w:lineRule="auto"/>
        <w:rPr>
          <w:rFonts w:ascii="楷体" w:hAnsi="楷体" w:eastAsia="楷体" w:cs="楷体"/>
          <w:sz w:val="21"/>
          <w:szCs w:val="21"/>
        </w:rPr>
      </w:pPr>
      <w:r>
        <w:rPr>
          <w:rFonts w:hint="eastAsia" w:ascii="宋体" w:hAnsi="宋体"/>
          <w:sz w:val="21"/>
          <w:szCs w:val="21"/>
        </w:rPr>
        <w:t>（2）1张增值税发票</w:t>
      </w:r>
      <w:r>
        <w:rPr>
          <w:rFonts w:hint="eastAsia" w:ascii="楷体" w:hAnsi="楷体" w:eastAsia="楷体" w:cs="楷体"/>
          <w:sz w:val="21"/>
          <w:szCs w:val="21"/>
        </w:rPr>
        <w:t>（详见：评审/评分标准中楷体字的相关说明）；</w:t>
      </w:r>
    </w:p>
    <w:p w14:paraId="663B8A23">
      <w:pPr>
        <w:adjustRightInd w:val="0"/>
        <w:snapToGrid w:val="0"/>
        <w:spacing w:line="264" w:lineRule="auto"/>
        <w:rPr>
          <w:rFonts w:ascii="宋体" w:hAnsi="宋体" w:eastAsia="楷体"/>
          <w:sz w:val="18"/>
          <w:szCs w:val="18"/>
        </w:rPr>
      </w:pPr>
      <w:r>
        <w:rPr>
          <w:rFonts w:hint="eastAsia" w:ascii="宋体" w:hAnsi="宋体"/>
          <w:sz w:val="21"/>
          <w:szCs w:val="21"/>
        </w:rPr>
        <w:t>（3）相关证明材料</w:t>
      </w:r>
      <w:r>
        <w:rPr>
          <w:rFonts w:hint="eastAsia" w:ascii="楷体" w:hAnsi="楷体" w:eastAsia="楷体" w:cs="楷体"/>
          <w:sz w:val="21"/>
          <w:szCs w:val="21"/>
        </w:rPr>
        <w:t>（详见：评审/评分标准中楷体字的相关说明）。</w:t>
      </w:r>
    </w:p>
    <w:p w14:paraId="3C3DDE66">
      <w:pPr>
        <w:tabs>
          <w:tab w:val="left" w:pos="312"/>
        </w:tabs>
        <w:adjustRightInd w:val="0"/>
        <w:snapToGrid w:val="0"/>
        <w:rPr>
          <w:rFonts w:ascii="宋体" w:hAnsi="宋体"/>
          <w:kern w:val="0"/>
          <w:sz w:val="18"/>
          <w:szCs w:val="18"/>
        </w:rPr>
      </w:pPr>
      <w:r>
        <w:rPr>
          <w:rFonts w:hint="eastAsia" w:ascii="宋体" w:hAnsi="宋体"/>
          <w:sz w:val="18"/>
          <w:szCs w:val="18"/>
        </w:rPr>
        <w:br w:type="page"/>
      </w:r>
      <w:r>
        <w:rPr>
          <w:rFonts w:hint="eastAsia" w:ascii="宋体" w:hAnsi="宋体" w:cs="宋体"/>
          <w:szCs w:val="28"/>
        </w:rPr>
        <w:t>附件12.投标人单位业绩合同清单</w:t>
      </w:r>
    </w:p>
    <w:p w14:paraId="2AD7ACDD">
      <w:pPr>
        <w:adjustRightInd w:val="0"/>
        <w:snapToGrid w:val="0"/>
        <w:spacing w:before="156" w:beforeLines="50" w:after="156" w:afterLines="50" w:line="240" w:lineRule="auto"/>
        <w:jc w:val="center"/>
        <w:rPr>
          <w:rFonts w:ascii="宋体" w:hAnsi="宋体"/>
          <w:b/>
          <w:bCs/>
          <w:sz w:val="30"/>
          <w:szCs w:val="30"/>
        </w:rPr>
      </w:pPr>
      <w:r>
        <w:rPr>
          <w:rFonts w:hint="eastAsia" w:ascii="宋体" w:hAnsi="宋体"/>
          <w:b/>
          <w:bCs/>
          <w:sz w:val="30"/>
          <w:szCs w:val="30"/>
        </w:rPr>
        <w:t>投标人单位业绩合同清单</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903"/>
        <w:gridCol w:w="1395"/>
        <w:gridCol w:w="1454"/>
        <w:gridCol w:w="1612"/>
        <w:gridCol w:w="1673"/>
      </w:tblGrid>
      <w:tr w14:paraId="4877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20982BBD">
            <w:pPr>
              <w:spacing w:line="240" w:lineRule="auto"/>
              <w:jc w:val="center"/>
              <w:rPr>
                <w:rFonts w:ascii="宋体" w:hAnsi="宋体"/>
                <w:sz w:val="21"/>
                <w:szCs w:val="21"/>
              </w:rPr>
            </w:pPr>
            <w:r>
              <w:rPr>
                <w:rFonts w:hint="eastAsia" w:ascii="宋体" w:hAnsi="宋体"/>
                <w:sz w:val="21"/>
                <w:szCs w:val="21"/>
              </w:rPr>
              <w:t>序号</w:t>
            </w:r>
          </w:p>
        </w:tc>
        <w:tc>
          <w:tcPr>
            <w:tcW w:w="2903" w:type="dxa"/>
            <w:vAlign w:val="center"/>
          </w:tcPr>
          <w:p w14:paraId="21CE7181">
            <w:pPr>
              <w:spacing w:line="240" w:lineRule="auto"/>
              <w:jc w:val="center"/>
              <w:rPr>
                <w:rFonts w:ascii="宋体" w:hAnsi="宋体"/>
                <w:sz w:val="21"/>
                <w:szCs w:val="21"/>
              </w:rPr>
            </w:pPr>
            <w:r>
              <w:rPr>
                <w:rFonts w:hint="eastAsia" w:ascii="宋体" w:hAnsi="宋体"/>
                <w:sz w:val="21"/>
                <w:szCs w:val="21"/>
              </w:rPr>
              <w:t>合同名称和</w:t>
            </w:r>
          </w:p>
          <w:p w14:paraId="16DA4E15">
            <w:pPr>
              <w:spacing w:line="240" w:lineRule="auto"/>
              <w:jc w:val="center"/>
              <w:rPr>
                <w:rFonts w:ascii="宋体" w:hAnsi="宋体"/>
                <w:sz w:val="21"/>
                <w:szCs w:val="21"/>
              </w:rPr>
            </w:pPr>
            <w:r>
              <w:rPr>
                <w:rFonts w:hint="eastAsia" w:ascii="宋体" w:hAnsi="宋体"/>
                <w:sz w:val="21"/>
                <w:szCs w:val="21"/>
              </w:rPr>
              <w:t>与</w:t>
            </w:r>
            <w:r>
              <w:rPr>
                <w:rFonts w:ascii="宋体" w:hAnsi="宋体"/>
                <w:sz w:val="21"/>
                <w:szCs w:val="21"/>
              </w:rPr>
              <w:t>该合同有关</w:t>
            </w:r>
            <w:r>
              <w:rPr>
                <w:rFonts w:hint="eastAsia" w:ascii="宋体" w:hAnsi="宋体"/>
                <w:sz w:val="21"/>
                <w:szCs w:val="21"/>
              </w:rPr>
              <w:t>的发票等</w:t>
            </w:r>
            <w:r>
              <w:rPr>
                <w:rFonts w:ascii="宋体" w:hAnsi="宋体"/>
                <w:sz w:val="21"/>
                <w:szCs w:val="21"/>
              </w:rPr>
              <w:t>名称</w:t>
            </w:r>
          </w:p>
        </w:tc>
        <w:tc>
          <w:tcPr>
            <w:tcW w:w="1395" w:type="dxa"/>
            <w:vAlign w:val="center"/>
          </w:tcPr>
          <w:p w14:paraId="0929B6DD">
            <w:pPr>
              <w:spacing w:line="240" w:lineRule="auto"/>
              <w:jc w:val="center"/>
              <w:rPr>
                <w:rFonts w:ascii="宋体" w:hAnsi="宋体"/>
                <w:sz w:val="21"/>
                <w:szCs w:val="21"/>
              </w:rPr>
            </w:pPr>
            <w:r>
              <w:rPr>
                <w:rFonts w:hint="eastAsia" w:ascii="宋体" w:hAnsi="宋体"/>
                <w:sz w:val="21"/>
                <w:szCs w:val="21"/>
              </w:rPr>
              <w:t>合同金额</w:t>
            </w:r>
          </w:p>
          <w:p w14:paraId="52584AFE">
            <w:pPr>
              <w:spacing w:line="240" w:lineRule="auto"/>
              <w:jc w:val="center"/>
              <w:rPr>
                <w:rFonts w:ascii="宋体" w:hAnsi="宋体"/>
                <w:sz w:val="21"/>
                <w:szCs w:val="21"/>
              </w:rPr>
            </w:pPr>
            <w:r>
              <w:rPr>
                <w:rFonts w:hint="eastAsia" w:ascii="宋体" w:hAnsi="宋体"/>
                <w:sz w:val="21"/>
                <w:szCs w:val="21"/>
              </w:rPr>
              <w:t>（万元）</w:t>
            </w:r>
          </w:p>
        </w:tc>
        <w:tc>
          <w:tcPr>
            <w:tcW w:w="1454" w:type="dxa"/>
            <w:vAlign w:val="center"/>
          </w:tcPr>
          <w:p w14:paraId="080AC090">
            <w:pPr>
              <w:spacing w:line="240" w:lineRule="auto"/>
              <w:jc w:val="center"/>
              <w:rPr>
                <w:rFonts w:ascii="宋体" w:hAnsi="宋体"/>
                <w:sz w:val="21"/>
                <w:szCs w:val="21"/>
              </w:rPr>
            </w:pPr>
            <w:r>
              <w:rPr>
                <w:rFonts w:hint="eastAsia" w:ascii="宋体" w:hAnsi="宋体"/>
                <w:sz w:val="21"/>
                <w:szCs w:val="21"/>
              </w:rPr>
              <w:t>合同签订</w:t>
            </w:r>
          </w:p>
          <w:p w14:paraId="7F3BDCA9">
            <w:pPr>
              <w:spacing w:line="240" w:lineRule="auto"/>
              <w:jc w:val="center"/>
              <w:rPr>
                <w:rFonts w:ascii="宋体" w:hAnsi="宋体"/>
                <w:sz w:val="21"/>
                <w:szCs w:val="21"/>
              </w:rPr>
            </w:pPr>
            <w:r>
              <w:rPr>
                <w:rFonts w:hint="eastAsia" w:ascii="宋体" w:hAnsi="宋体"/>
                <w:sz w:val="21"/>
                <w:szCs w:val="21"/>
              </w:rPr>
              <w:t>日期</w:t>
            </w:r>
          </w:p>
        </w:tc>
        <w:tc>
          <w:tcPr>
            <w:tcW w:w="1612" w:type="dxa"/>
            <w:vAlign w:val="center"/>
          </w:tcPr>
          <w:p w14:paraId="3821377B">
            <w:pPr>
              <w:spacing w:line="240" w:lineRule="auto"/>
              <w:jc w:val="center"/>
              <w:rPr>
                <w:rFonts w:ascii="宋体" w:hAnsi="宋体"/>
                <w:sz w:val="21"/>
                <w:szCs w:val="21"/>
              </w:rPr>
            </w:pPr>
            <w:r>
              <w:rPr>
                <w:rFonts w:hint="eastAsia" w:ascii="宋体" w:hAnsi="宋体"/>
                <w:sz w:val="21"/>
                <w:szCs w:val="21"/>
              </w:rPr>
              <w:t>发包人名称</w:t>
            </w:r>
          </w:p>
        </w:tc>
        <w:tc>
          <w:tcPr>
            <w:tcW w:w="1673" w:type="dxa"/>
            <w:vAlign w:val="center"/>
          </w:tcPr>
          <w:p w14:paraId="14D94133">
            <w:pPr>
              <w:spacing w:line="240" w:lineRule="auto"/>
              <w:jc w:val="center"/>
              <w:rPr>
                <w:rFonts w:ascii="宋体" w:hAnsi="宋体"/>
                <w:sz w:val="21"/>
                <w:szCs w:val="21"/>
              </w:rPr>
            </w:pPr>
            <w:r>
              <w:rPr>
                <w:rFonts w:hint="eastAsia" w:ascii="宋体" w:hAnsi="宋体"/>
                <w:sz w:val="21"/>
                <w:szCs w:val="21"/>
              </w:rPr>
              <w:t>证明资料页码</w:t>
            </w:r>
          </w:p>
        </w:tc>
      </w:tr>
      <w:tr w14:paraId="604B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66F61898">
            <w:pPr>
              <w:spacing w:line="240" w:lineRule="auto"/>
              <w:jc w:val="center"/>
              <w:rPr>
                <w:rFonts w:ascii="宋体" w:hAnsi="宋体"/>
                <w:b/>
                <w:bCs/>
                <w:sz w:val="21"/>
                <w:szCs w:val="21"/>
              </w:rPr>
            </w:pPr>
            <w:r>
              <w:rPr>
                <w:rFonts w:hint="eastAsia" w:ascii="宋体" w:hAnsi="宋体"/>
                <w:b/>
                <w:bCs/>
                <w:sz w:val="21"/>
                <w:szCs w:val="21"/>
              </w:rPr>
              <w:t>一</w:t>
            </w:r>
          </w:p>
        </w:tc>
        <w:tc>
          <w:tcPr>
            <w:tcW w:w="9037" w:type="dxa"/>
            <w:gridSpan w:val="5"/>
            <w:vAlign w:val="center"/>
          </w:tcPr>
          <w:p w14:paraId="7A983D3E">
            <w:pPr>
              <w:spacing w:line="240" w:lineRule="auto"/>
              <w:jc w:val="left"/>
              <w:rPr>
                <w:rFonts w:ascii="宋体" w:hAnsi="宋体"/>
                <w:b/>
                <w:bCs/>
                <w:sz w:val="21"/>
                <w:szCs w:val="21"/>
              </w:rPr>
            </w:pPr>
            <w:r>
              <w:rPr>
                <w:rFonts w:hint="eastAsia" w:ascii="宋体" w:hAnsi="宋体"/>
                <w:b/>
                <w:bCs/>
                <w:sz w:val="21"/>
                <w:szCs w:val="21"/>
              </w:rPr>
              <w:t>详细评审</w:t>
            </w:r>
          </w:p>
        </w:tc>
      </w:tr>
      <w:tr w14:paraId="1A98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2E2CDE51">
            <w:pPr>
              <w:spacing w:line="240" w:lineRule="auto"/>
              <w:jc w:val="center"/>
              <w:rPr>
                <w:rFonts w:ascii="宋体" w:hAnsi="宋体"/>
                <w:sz w:val="21"/>
                <w:szCs w:val="21"/>
              </w:rPr>
            </w:pPr>
            <w:r>
              <w:rPr>
                <w:rFonts w:hint="eastAsia" w:ascii="宋体" w:hAnsi="宋体"/>
                <w:sz w:val="21"/>
                <w:szCs w:val="21"/>
              </w:rPr>
              <w:t>1</w:t>
            </w:r>
          </w:p>
        </w:tc>
        <w:tc>
          <w:tcPr>
            <w:tcW w:w="2903" w:type="dxa"/>
            <w:vAlign w:val="center"/>
          </w:tcPr>
          <w:p w14:paraId="2A697605">
            <w:pPr>
              <w:spacing w:line="240" w:lineRule="auto"/>
              <w:jc w:val="left"/>
              <w:rPr>
                <w:rFonts w:ascii="宋体" w:hAnsi="宋体"/>
                <w:sz w:val="21"/>
                <w:szCs w:val="21"/>
              </w:rPr>
            </w:pPr>
            <w:r>
              <w:rPr>
                <w:rFonts w:hint="eastAsia" w:ascii="宋体" w:hAnsi="宋体"/>
                <w:sz w:val="21"/>
                <w:szCs w:val="21"/>
              </w:rPr>
              <w:t>xxx</w:t>
            </w:r>
            <w:r>
              <w:rPr>
                <w:rFonts w:ascii="宋体" w:hAnsi="宋体"/>
                <w:sz w:val="21"/>
                <w:szCs w:val="21"/>
              </w:rPr>
              <w:t>x</w:t>
            </w:r>
            <w:r>
              <w:rPr>
                <w:rFonts w:hint="eastAsia" w:ascii="宋体" w:hAnsi="宋体"/>
                <w:sz w:val="18"/>
                <w:szCs w:val="18"/>
              </w:rPr>
              <w:t>（</w:t>
            </w:r>
            <w:r>
              <w:rPr>
                <w:rFonts w:ascii="宋体" w:hAnsi="宋体"/>
                <w:sz w:val="18"/>
                <w:szCs w:val="18"/>
              </w:rPr>
              <w:t>合同名称</w:t>
            </w:r>
            <w:r>
              <w:rPr>
                <w:rFonts w:hint="eastAsia" w:ascii="宋体" w:hAnsi="宋体"/>
                <w:sz w:val="18"/>
                <w:szCs w:val="18"/>
              </w:rPr>
              <w:t>）</w:t>
            </w:r>
          </w:p>
        </w:tc>
        <w:tc>
          <w:tcPr>
            <w:tcW w:w="1395" w:type="dxa"/>
            <w:vAlign w:val="center"/>
          </w:tcPr>
          <w:p w14:paraId="3446D7EB">
            <w:pPr>
              <w:spacing w:line="240" w:lineRule="auto"/>
              <w:jc w:val="left"/>
              <w:rPr>
                <w:rFonts w:ascii="宋体" w:hAnsi="宋体"/>
                <w:sz w:val="21"/>
                <w:szCs w:val="21"/>
              </w:rPr>
            </w:pPr>
          </w:p>
        </w:tc>
        <w:tc>
          <w:tcPr>
            <w:tcW w:w="1454" w:type="dxa"/>
            <w:vAlign w:val="center"/>
          </w:tcPr>
          <w:p w14:paraId="028F46CA">
            <w:pPr>
              <w:spacing w:line="240" w:lineRule="auto"/>
              <w:jc w:val="left"/>
              <w:rPr>
                <w:rFonts w:ascii="宋体" w:hAnsi="宋体"/>
                <w:sz w:val="21"/>
                <w:szCs w:val="21"/>
              </w:rPr>
            </w:pPr>
          </w:p>
        </w:tc>
        <w:tc>
          <w:tcPr>
            <w:tcW w:w="1612" w:type="dxa"/>
            <w:vAlign w:val="center"/>
          </w:tcPr>
          <w:p w14:paraId="23E1B570">
            <w:pPr>
              <w:spacing w:line="240" w:lineRule="auto"/>
              <w:jc w:val="left"/>
              <w:rPr>
                <w:rFonts w:ascii="宋体" w:hAnsi="宋体"/>
                <w:sz w:val="21"/>
                <w:szCs w:val="21"/>
              </w:rPr>
            </w:pPr>
          </w:p>
        </w:tc>
        <w:tc>
          <w:tcPr>
            <w:tcW w:w="1673" w:type="dxa"/>
            <w:vAlign w:val="center"/>
          </w:tcPr>
          <w:p w14:paraId="0169AF0E">
            <w:pPr>
              <w:spacing w:line="240" w:lineRule="auto"/>
              <w:jc w:val="left"/>
              <w:rPr>
                <w:rFonts w:ascii="宋体" w:hAnsi="宋体"/>
                <w:sz w:val="21"/>
                <w:szCs w:val="21"/>
              </w:rPr>
            </w:pPr>
          </w:p>
        </w:tc>
      </w:tr>
      <w:tr w14:paraId="5F75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6C7BC3D7">
            <w:pPr>
              <w:spacing w:line="240" w:lineRule="auto"/>
              <w:jc w:val="center"/>
              <w:rPr>
                <w:rFonts w:ascii="宋体" w:hAnsi="宋体"/>
                <w:sz w:val="21"/>
                <w:szCs w:val="21"/>
              </w:rPr>
            </w:pPr>
            <w:r>
              <w:rPr>
                <w:rFonts w:hint="eastAsia" w:ascii="宋体" w:hAnsi="宋体"/>
                <w:sz w:val="21"/>
                <w:szCs w:val="21"/>
              </w:rPr>
              <w:t>（1）</w:t>
            </w:r>
          </w:p>
        </w:tc>
        <w:tc>
          <w:tcPr>
            <w:tcW w:w="7364" w:type="dxa"/>
            <w:gridSpan w:val="4"/>
            <w:vAlign w:val="center"/>
          </w:tcPr>
          <w:p w14:paraId="2FE1997D">
            <w:pPr>
              <w:spacing w:line="240" w:lineRule="auto"/>
              <w:jc w:val="left"/>
              <w:rPr>
                <w:rFonts w:ascii="宋体" w:hAnsi="宋体"/>
                <w:sz w:val="21"/>
                <w:szCs w:val="21"/>
              </w:rPr>
            </w:pPr>
            <w:r>
              <w:rPr>
                <w:rFonts w:hint="eastAsia" w:ascii="宋体" w:hAnsi="宋体"/>
                <w:sz w:val="21"/>
                <w:szCs w:val="21"/>
              </w:rPr>
              <w:t>xx</w:t>
            </w:r>
            <w:r>
              <w:rPr>
                <w:rFonts w:ascii="宋体" w:hAnsi="宋体"/>
                <w:sz w:val="21"/>
                <w:szCs w:val="21"/>
              </w:rPr>
              <w:t>xx</w:t>
            </w:r>
            <w:r>
              <w:rPr>
                <w:rFonts w:hint="eastAsia" w:ascii="宋体" w:hAnsi="宋体"/>
                <w:sz w:val="18"/>
                <w:szCs w:val="18"/>
              </w:rPr>
              <w:t>（发票</w:t>
            </w:r>
            <w:r>
              <w:rPr>
                <w:rFonts w:ascii="宋体" w:hAnsi="宋体"/>
                <w:sz w:val="18"/>
                <w:szCs w:val="18"/>
              </w:rPr>
              <w:t>名称</w:t>
            </w:r>
            <w:r>
              <w:rPr>
                <w:rFonts w:hint="eastAsia" w:ascii="宋体" w:hAnsi="宋体"/>
                <w:sz w:val="18"/>
                <w:szCs w:val="18"/>
              </w:rPr>
              <w:t>）</w:t>
            </w:r>
          </w:p>
        </w:tc>
        <w:tc>
          <w:tcPr>
            <w:tcW w:w="1673" w:type="dxa"/>
            <w:vAlign w:val="center"/>
          </w:tcPr>
          <w:p w14:paraId="533842DE">
            <w:pPr>
              <w:spacing w:line="240" w:lineRule="auto"/>
              <w:jc w:val="left"/>
              <w:rPr>
                <w:rFonts w:ascii="宋体" w:hAnsi="宋体"/>
                <w:sz w:val="21"/>
                <w:szCs w:val="21"/>
              </w:rPr>
            </w:pPr>
          </w:p>
        </w:tc>
      </w:tr>
      <w:tr w14:paraId="755C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6422824C">
            <w:pPr>
              <w:spacing w:line="240" w:lineRule="auto"/>
              <w:jc w:val="center"/>
              <w:rPr>
                <w:rFonts w:ascii="宋体" w:hAnsi="宋体"/>
                <w:sz w:val="21"/>
                <w:szCs w:val="21"/>
              </w:rPr>
            </w:pPr>
            <w:r>
              <w:rPr>
                <w:rFonts w:hint="eastAsia" w:ascii="宋体" w:hAnsi="宋体"/>
                <w:sz w:val="21"/>
                <w:szCs w:val="21"/>
              </w:rPr>
              <w:t>（2）</w:t>
            </w:r>
          </w:p>
        </w:tc>
        <w:tc>
          <w:tcPr>
            <w:tcW w:w="7364" w:type="dxa"/>
            <w:gridSpan w:val="4"/>
            <w:vAlign w:val="center"/>
          </w:tcPr>
          <w:p w14:paraId="3EE1D67C">
            <w:pPr>
              <w:spacing w:line="240" w:lineRule="auto"/>
              <w:jc w:val="left"/>
              <w:rPr>
                <w:rFonts w:ascii="宋体" w:hAnsi="宋体"/>
                <w:sz w:val="21"/>
                <w:szCs w:val="21"/>
              </w:rPr>
            </w:pPr>
            <w:r>
              <w:rPr>
                <w:rFonts w:hint="eastAsia" w:ascii="宋体" w:hAnsi="宋体"/>
                <w:sz w:val="21"/>
                <w:szCs w:val="21"/>
              </w:rPr>
              <w:t>xx</w:t>
            </w:r>
            <w:r>
              <w:rPr>
                <w:rFonts w:ascii="宋体" w:hAnsi="宋体"/>
                <w:sz w:val="21"/>
                <w:szCs w:val="21"/>
              </w:rPr>
              <w:t>xx</w:t>
            </w:r>
            <w:r>
              <w:rPr>
                <w:rFonts w:hint="eastAsia" w:ascii="宋体" w:hAnsi="宋体"/>
                <w:sz w:val="21"/>
                <w:szCs w:val="21"/>
              </w:rPr>
              <w:t>（</w:t>
            </w:r>
            <w:r>
              <w:rPr>
                <w:rFonts w:hint="eastAsia" w:ascii="宋体" w:hAnsi="宋体"/>
                <w:sz w:val="18"/>
                <w:szCs w:val="18"/>
              </w:rPr>
              <w:t>交工/</w:t>
            </w:r>
            <w:r>
              <w:rPr>
                <w:rFonts w:ascii="宋体" w:hAnsi="宋体"/>
                <w:sz w:val="18"/>
                <w:szCs w:val="18"/>
              </w:rPr>
              <w:t>竣工</w:t>
            </w:r>
            <w:r>
              <w:rPr>
                <w:rFonts w:hint="eastAsia" w:ascii="宋体" w:hAnsi="宋体"/>
                <w:sz w:val="18"/>
                <w:szCs w:val="18"/>
              </w:rPr>
              <w:t>验收证书名称</w:t>
            </w:r>
            <w:r>
              <w:rPr>
                <w:rFonts w:hint="eastAsia" w:ascii="宋体" w:hAnsi="宋体"/>
                <w:sz w:val="21"/>
                <w:szCs w:val="21"/>
              </w:rPr>
              <w:t>）</w:t>
            </w:r>
          </w:p>
        </w:tc>
        <w:tc>
          <w:tcPr>
            <w:tcW w:w="1673" w:type="dxa"/>
            <w:vAlign w:val="center"/>
          </w:tcPr>
          <w:p w14:paraId="6504F48B">
            <w:pPr>
              <w:spacing w:line="240" w:lineRule="auto"/>
              <w:jc w:val="left"/>
              <w:rPr>
                <w:rFonts w:ascii="宋体" w:hAnsi="宋体"/>
                <w:sz w:val="21"/>
                <w:szCs w:val="21"/>
              </w:rPr>
            </w:pPr>
          </w:p>
        </w:tc>
      </w:tr>
      <w:tr w14:paraId="6675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50D41BBC">
            <w:pPr>
              <w:spacing w:line="240" w:lineRule="auto"/>
              <w:jc w:val="center"/>
              <w:rPr>
                <w:rFonts w:ascii="宋体" w:hAnsi="宋体"/>
                <w:sz w:val="21"/>
                <w:szCs w:val="21"/>
              </w:rPr>
            </w:pPr>
            <w:r>
              <w:rPr>
                <w:rFonts w:hint="eastAsia" w:ascii="宋体" w:hAnsi="宋体"/>
                <w:sz w:val="21"/>
                <w:szCs w:val="21"/>
              </w:rPr>
              <w:t>（3）</w:t>
            </w:r>
          </w:p>
        </w:tc>
        <w:tc>
          <w:tcPr>
            <w:tcW w:w="7364" w:type="dxa"/>
            <w:gridSpan w:val="4"/>
            <w:vAlign w:val="center"/>
          </w:tcPr>
          <w:p w14:paraId="0A1C51E6">
            <w:pPr>
              <w:spacing w:line="240" w:lineRule="auto"/>
              <w:jc w:val="left"/>
              <w:rPr>
                <w:rFonts w:ascii="宋体" w:hAnsi="宋体"/>
                <w:sz w:val="21"/>
                <w:szCs w:val="21"/>
              </w:rPr>
            </w:pPr>
            <w:r>
              <w:rPr>
                <w:rFonts w:hint="eastAsia" w:ascii="宋体" w:hAnsi="宋体"/>
                <w:sz w:val="18"/>
                <w:szCs w:val="18"/>
              </w:rPr>
              <w:t>xxx</w:t>
            </w:r>
            <w:r>
              <w:rPr>
                <w:rFonts w:ascii="宋体" w:hAnsi="宋体"/>
                <w:sz w:val="18"/>
                <w:szCs w:val="18"/>
              </w:rPr>
              <w:t>x（</w:t>
            </w:r>
            <w:r>
              <w:rPr>
                <w:rFonts w:hint="eastAsia" w:ascii="宋体" w:hAnsi="宋体"/>
                <w:sz w:val="18"/>
                <w:szCs w:val="18"/>
              </w:rPr>
              <w:t>相关</w:t>
            </w:r>
            <w:r>
              <w:rPr>
                <w:rFonts w:ascii="宋体" w:hAnsi="宋体"/>
                <w:sz w:val="18"/>
                <w:szCs w:val="18"/>
              </w:rPr>
              <w:t>证明材料</w:t>
            </w:r>
            <w:r>
              <w:rPr>
                <w:rFonts w:hint="eastAsia" w:ascii="宋体" w:hAnsi="宋体"/>
                <w:sz w:val="18"/>
                <w:szCs w:val="18"/>
              </w:rPr>
              <w:t>名称</w:t>
            </w:r>
            <w:r>
              <w:rPr>
                <w:rFonts w:ascii="宋体" w:hAnsi="宋体"/>
                <w:sz w:val="18"/>
                <w:szCs w:val="18"/>
              </w:rPr>
              <w:t>）</w:t>
            </w:r>
            <w:r>
              <w:rPr>
                <w:rFonts w:hint="eastAsia" w:ascii="宋体" w:hAnsi="宋体"/>
                <w:sz w:val="18"/>
                <w:szCs w:val="18"/>
              </w:rPr>
              <w:t>（</w:t>
            </w:r>
            <w:r>
              <w:rPr>
                <w:rFonts w:hint="eastAsia" w:ascii="楷体" w:hAnsi="楷体" w:eastAsia="楷体"/>
                <w:sz w:val="18"/>
                <w:szCs w:val="18"/>
              </w:rPr>
              <w:t>详</w:t>
            </w:r>
            <w:r>
              <w:rPr>
                <w:rFonts w:ascii="楷体" w:hAnsi="楷体" w:eastAsia="楷体"/>
                <w:sz w:val="18"/>
                <w:szCs w:val="18"/>
              </w:rPr>
              <w:t>见：</w:t>
            </w:r>
            <w:r>
              <w:rPr>
                <w:rFonts w:hint="eastAsia" w:ascii="楷体" w:hAnsi="楷体" w:eastAsia="楷体"/>
                <w:sz w:val="18"/>
                <w:szCs w:val="18"/>
              </w:rPr>
              <w:t>评审/评分</w:t>
            </w:r>
            <w:r>
              <w:rPr>
                <w:rFonts w:ascii="楷体" w:hAnsi="楷体" w:eastAsia="楷体"/>
                <w:sz w:val="18"/>
                <w:szCs w:val="18"/>
              </w:rPr>
              <w:t>标准</w:t>
            </w:r>
            <w:r>
              <w:rPr>
                <w:rFonts w:hint="eastAsia" w:ascii="楷体" w:hAnsi="楷体" w:eastAsia="楷体"/>
                <w:sz w:val="18"/>
                <w:szCs w:val="18"/>
              </w:rPr>
              <w:t>中楷体字的</w:t>
            </w:r>
            <w:r>
              <w:rPr>
                <w:rFonts w:ascii="楷体" w:hAnsi="楷体" w:eastAsia="楷体"/>
                <w:sz w:val="18"/>
                <w:szCs w:val="18"/>
              </w:rPr>
              <w:t>相关说明</w:t>
            </w:r>
            <w:r>
              <w:rPr>
                <w:rFonts w:hint="eastAsia" w:ascii="宋体" w:hAnsi="宋体"/>
                <w:sz w:val="18"/>
                <w:szCs w:val="18"/>
              </w:rPr>
              <w:t>）</w:t>
            </w:r>
          </w:p>
        </w:tc>
        <w:tc>
          <w:tcPr>
            <w:tcW w:w="1673" w:type="dxa"/>
            <w:vAlign w:val="center"/>
          </w:tcPr>
          <w:p w14:paraId="4FF491FA">
            <w:pPr>
              <w:spacing w:line="240" w:lineRule="auto"/>
              <w:jc w:val="left"/>
              <w:rPr>
                <w:rFonts w:ascii="宋体" w:hAnsi="宋体"/>
                <w:sz w:val="21"/>
                <w:szCs w:val="21"/>
              </w:rPr>
            </w:pPr>
          </w:p>
        </w:tc>
      </w:tr>
      <w:tr w14:paraId="49A7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5B654718">
            <w:pPr>
              <w:spacing w:line="240" w:lineRule="auto"/>
              <w:jc w:val="center"/>
              <w:rPr>
                <w:rFonts w:ascii="宋体" w:hAnsi="宋体"/>
                <w:sz w:val="21"/>
                <w:szCs w:val="21"/>
              </w:rPr>
            </w:pPr>
            <w:r>
              <w:rPr>
                <w:rFonts w:ascii="宋体" w:hAnsi="宋体"/>
                <w:sz w:val="21"/>
                <w:szCs w:val="21"/>
              </w:rPr>
              <w:t>…</w:t>
            </w:r>
          </w:p>
        </w:tc>
        <w:tc>
          <w:tcPr>
            <w:tcW w:w="7364" w:type="dxa"/>
            <w:gridSpan w:val="4"/>
            <w:vAlign w:val="center"/>
          </w:tcPr>
          <w:p w14:paraId="6233B863">
            <w:pPr>
              <w:spacing w:line="240" w:lineRule="auto"/>
              <w:jc w:val="left"/>
              <w:rPr>
                <w:rFonts w:ascii="宋体" w:hAnsi="宋体"/>
                <w:sz w:val="21"/>
                <w:szCs w:val="21"/>
              </w:rPr>
            </w:pPr>
            <w:r>
              <w:rPr>
                <w:rFonts w:ascii="宋体" w:hAnsi="宋体"/>
                <w:sz w:val="21"/>
                <w:szCs w:val="21"/>
              </w:rPr>
              <w:t>…</w:t>
            </w:r>
          </w:p>
        </w:tc>
        <w:tc>
          <w:tcPr>
            <w:tcW w:w="1673" w:type="dxa"/>
            <w:vAlign w:val="center"/>
          </w:tcPr>
          <w:p w14:paraId="66B5D3B3">
            <w:pPr>
              <w:spacing w:line="240" w:lineRule="auto"/>
              <w:jc w:val="left"/>
              <w:rPr>
                <w:rFonts w:ascii="宋体" w:hAnsi="宋体"/>
                <w:sz w:val="21"/>
                <w:szCs w:val="21"/>
              </w:rPr>
            </w:pPr>
          </w:p>
        </w:tc>
      </w:tr>
      <w:tr w14:paraId="73A5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57F56E2F">
            <w:pPr>
              <w:spacing w:line="240" w:lineRule="auto"/>
              <w:jc w:val="center"/>
              <w:rPr>
                <w:rFonts w:ascii="宋体" w:hAnsi="宋体"/>
                <w:sz w:val="21"/>
                <w:szCs w:val="21"/>
              </w:rPr>
            </w:pPr>
            <w:r>
              <w:rPr>
                <w:rFonts w:ascii="宋体" w:hAnsi="宋体"/>
                <w:sz w:val="21"/>
                <w:szCs w:val="21"/>
              </w:rPr>
              <w:t>2</w:t>
            </w:r>
          </w:p>
        </w:tc>
        <w:tc>
          <w:tcPr>
            <w:tcW w:w="2903" w:type="dxa"/>
            <w:vAlign w:val="center"/>
          </w:tcPr>
          <w:p w14:paraId="0D0625D0">
            <w:pPr>
              <w:spacing w:line="240" w:lineRule="auto"/>
              <w:jc w:val="left"/>
              <w:rPr>
                <w:rFonts w:ascii="宋体" w:hAnsi="宋体"/>
                <w:sz w:val="21"/>
                <w:szCs w:val="21"/>
              </w:rPr>
            </w:pPr>
            <w:r>
              <w:rPr>
                <w:rFonts w:hint="eastAsia" w:ascii="宋体" w:hAnsi="宋体"/>
                <w:sz w:val="21"/>
                <w:szCs w:val="21"/>
              </w:rPr>
              <w:t>xxx</w:t>
            </w:r>
            <w:r>
              <w:rPr>
                <w:rFonts w:ascii="宋体" w:hAnsi="宋体"/>
                <w:sz w:val="21"/>
                <w:szCs w:val="21"/>
              </w:rPr>
              <w:t>x</w:t>
            </w:r>
            <w:r>
              <w:rPr>
                <w:rFonts w:hint="eastAsia" w:ascii="宋体" w:hAnsi="宋体"/>
                <w:sz w:val="18"/>
                <w:szCs w:val="18"/>
              </w:rPr>
              <w:t>（</w:t>
            </w:r>
            <w:r>
              <w:rPr>
                <w:rFonts w:ascii="宋体" w:hAnsi="宋体"/>
                <w:sz w:val="18"/>
                <w:szCs w:val="18"/>
              </w:rPr>
              <w:t>合同名称</w:t>
            </w:r>
            <w:r>
              <w:rPr>
                <w:rFonts w:hint="eastAsia" w:ascii="宋体" w:hAnsi="宋体"/>
                <w:sz w:val="18"/>
                <w:szCs w:val="18"/>
              </w:rPr>
              <w:t>）</w:t>
            </w:r>
          </w:p>
        </w:tc>
        <w:tc>
          <w:tcPr>
            <w:tcW w:w="1395" w:type="dxa"/>
            <w:vAlign w:val="center"/>
          </w:tcPr>
          <w:p w14:paraId="48952A1D">
            <w:pPr>
              <w:spacing w:line="240" w:lineRule="auto"/>
              <w:jc w:val="left"/>
              <w:rPr>
                <w:rFonts w:ascii="宋体" w:hAnsi="宋体"/>
                <w:sz w:val="21"/>
                <w:szCs w:val="21"/>
              </w:rPr>
            </w:pPr>
          </w:p>
        </w:tc>
        <w:tc>
          <w:tcPr>
            <w:tcW w:w="1454" w:type="dxa"/>
            <w:vAlign w:val="center"/>
          </w:tcPr>
          <w:p w14:paraId="78787F54">
            <w:pPr>
              <w:spacing w:line="240" w:lineRule="auto"/>
              <w:jc w:val="left"/>
              <w:rPr>
                <w:rFonts w:ascii="宋体" w:hAnsi="宋体"/>
                <w:sz w:val="21"/>
                <w:szCs w:val="21"/>
              </w:rPr>
            </w:pPr>
          </w:p>
        </w:tc>
        <w:tc>
          <w:tcPr>
            <w:tcW w:w="1612" w:type="dxa"/>
            <w:vAlign w:val="center"/>
          </w:tcPr>
          <w:p w14:paraId="48D6E803">
            <w:pPr>
              <w:spacing w:line="240" w:lineRule="auto"/>
              <w:jc w:val="left"/>
              <w:rPr>
                <w:rFonts w:ascii="宋体" w:hAnsi="宋体"/>
                <w:sz w:val="21"/>
                <w:szCs w:val="21"/>
              </w:rPr>
            </w:pPr>
          </w:p>
        </w:tc>
        <w:tc>
          <w:tcPr>
            <w:tcW w:w="1673" w:type="dxa"/>
            <w:vAlign w:val="center"/>
          </w:tcPr>
          <w:p w14:paraId="4B6ABE80">
            <w:pPr>
              <w:spacing w:line="240" w:lineRule="auto"/>
              <w:jc w:val="left"/>
              <w:rPr>
                <w:rFonts w:ascii="宋体" w:hAnsi="宋体"/>
                <w:sz w:val="21"/>
                <w:szCs w:val="21"/>
              </w:rPr>
            </w:pPr>
          </w:p>
        </w:tc>
      </w:tr>
      <w:tr w14:paraId="1A8F8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41" w:type="dxa"/>
            <w:vAlign w:val="center"/>
          </w:tcPr>
          <w:p w14:paraId="7965D659">
            <w:pPr>
              <w:spacing w:line="240" w:lineRule="auto"/>
              <w:jc w:val="center"/>
              <w:rPr>
                <w:rFonts w:ascii="宋体" w:hAnsi="宋体"/>
                <w:sz w:val="21"/>
                <w:szCs w:val="21"/>
              </w:rPr>
            </w:pPr>
            <w:r>
              <w:rPr>
                <w:rFonts w:hint="eastAsia" w:ascii="宋体" w:hAnsi="宋体"/>
                <w:sz w:val="21"/>
                <w:szCs w:val="21"/>
              </w:rPr>
              <w:t>（1）</w:t>
            </w:r>
          </w:p>
        </w:tc>
        <w:tc>
          <w:tcPr>
            <w:tcW w:w="7364" w:type="dxa"/>
            <w:gridSpan w:val="4"/>
            <w:vAlign w:val="center"/>
          </w:tcPr>
          <w:p w14:paraId="5DE75F06">
            <w:pPr>
              <w:spacing w:line="240" w:lineRule="auto"/>
              <w:jc w:val="left"/>
              <w:rPr>
                <w:rFonts w:ascii="宋体" w:hAnsi="宋体"/>
                <w:sz w:val="21"/>
                <w:szCs w:val="21"/>
              </w:rPr>
            </w:pPr>
            <w:r>
              <w:rPr>
                <w:rFonts w:hint="eastAsia" w:ascii="宋体" w:hAnsi="宋体"/>
                <w:sz w:val="21"/>
                <w:szCs w:val="21"/>
              </w:rPr>
              <w:t>xx</w:t>
            </w:r>
            <w:r>
              <w:rPr>
                <w:rFonts w:ascii="宋体" w:hAnsi="宋体"/>
                <w:sz w:val="21"/>
                <w:szCs w:val="21"/>
              </w:rPr>
              <w:t>xx</w:t>
            </w:r>
            <w:r>
              <w:rPr>
                <w:rFonts w:hint="eastAsia" w:ascii="宋体" w:hAnsi="宋体"/>
                <w:sz w:val="18"/>
                <w:szCs w:val="18"/>
              </w:rPr>
              <w:t>（发票</w:t>
            </w:r>
            <w:r>
              <w:rPr>
                <w:rFonts w:ascii="宋体" w:hAnsi="宋体"/>
                <w:sz w:val="18"/>
                <w:szCs w:val="18"/>
              </w:rPr>
              <w:t>名称</w:t>
            </w:r>
            <w:r>
              <w:rPr>
                <w:rFonts w:hint="eastAsia" w:ascii="宋体" w:hAnsi="宋体"/>
                <w:sz w:val="18"/>
                <w:szCs w:val="18"/>
              </w:rPr>
              <w:t>）</w:t>
            </w:r>
          </w:p>
        </w:tc>
        <w:tc>
          <w:tcPr>
            <w:tcW w:w="1673" w:type="dxa"/>
            <w:vAlign w:val="center"/>
          </w:tcPr>
          <w:p w14:paraId="7FA8514E">
            <w:pPr>
              <w:spacing w:line="240" w:lineRule="auto"/>
              <w:jc w:val="left"/>
              <w:rPr>
                <w:rFonts w:ascii="宋体" w:hAnsi="宋体"/>
                <w:sz w:val="21"/>
                <w:szCs w:val="21"/>
              </w:rPr>
            </w:pPr>
          </w:p>
        </w:tc>
      </w:tr>
      <w:tr w14:paraId="6136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28266A34">
            <w:pPr>
              <w:spacing w:line="240" w:lineRule="auto"/>
              <w:jc w:val="center"/>
              <w:rPr>
                <w:rFonts w:ascii="宋体" w:hAnsi="宋体"/>
                <w:sz w:val="21"/>
                <w:szCs w:val="21"/>
              </w:rPr>
            </w:pPr>
            <w:r>
              <w:rPr>
                <w:rFonts w:ascii="宋体" w:hAnsi="宋体"/>
                <w:sz w:val="21"/>
                <w:szCs w:val="21"/>
              </w:rPr>
              <w:t>…</w:t>
            </w:r>
          </w:p>
        </w:tc>
        <w:tc>
          <w:tcPr>
            <w:tcW w:w="7364" w:type="dxa"/>
            <w:gridSpan w:val="4"/>
            <w:vAlign w:val="center"/>
          </w:tcPr>
          <w:p w14:paraId="7713ADC7">
            <w:pPr>
              <w:spacing w:line="240" w:lineRule="auto"/>
              <w:jc w:val="left"/>
              <w:rPr>
                <w:rFonts w:ascii="宋体" w:hAnsi="宋体"/>
                <w:sz w:val="21"/>
                <w:szCs w:val="21"/>
              </w:rPr>
            </w:pPr>
            <w:r>
              <w:rPr>
                <w:rFonts w:hint="eastAsia" w:ascii="宋体" w:hAnsi="宋体"/>
                <w:sz w:val="21"/>
                <w:szCs w:val="21"/>
              </w:rPr>
              <w:t>xxx</w:t>
            </w:r>
            <w:r>
              <w:rPr>
                <w:rFonts w:ascii="宋体" w:hAnsi="宋体"/>
                <w:sz w:val="21"/>
                <w:szCs w:val="21"/>
              </w:rPr>
              <w:t>x</w:t>
            </w:r>
          </w:p>
        </w:tc>
        <w:tc>
          <w:tcPr>
            <w:tcW w:w="1673" w:type="dxa"/>
            <w:vAlign w:val="center"/>
          </w:tcPr>
          <w:p w14:paraId="2A0F98AC">
            <w:pPr>
              <w:spacing w:line="240" w:lineRule="auto"/>
              <w:jc w:val="left"/>
              <w:rPr>
                <w:rFonts w:ascii="宋体" w:hAnsi="宋体"/>
                <w:sz w:val="21"/>
                <w:szCs w:val="21"/>
              </w:rPr>
            </w:pPr>
          </w:p>
        </w:tc>
      </w:tr>
      <w:tr w14:paraId="2ACC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41" w:type="dxa"/>
            <w:vAlign w:val="center"/>
          </w:tcPr>
          <w:p w14:paraId="05AFFC73">
            <w:pPr>
              <w:spacing w:line="240" w:lineRule="auto"/>
              <w:jc w:val="center"/>
              <w:rPr>
                <w:rFonts w:ascii="宋体" w:hAnsi="宋体"/>
                <w:sz w:val="21"/>
                <w:szCs w:val="21"/>
              </w:rPr>
            </w:pPr>
            <w:r>
              <w:rPr>
                <w:rFonts w:ascii="宋体" w:hAnsi="宋体"/>
                <w:sz w:val="21"/>
                <w:szCs w:val="21"/>
              </w:rPr>
              <w:t>…</w:t>
            </w:r>
          </w:p>
        </w:tc>
        <w:tc>
          <w:tcPr>
            <w:tcW w:w="2903" w:type="dxa"/>
            <w:vAlign w:val="center"/>
          </w:tcPr>
          <w:p w14:paraId="5047E6F0">
            <w:pPr>
              <w:spacing w:line="240" w:lineRule="auto"/>
              <w:jc w:val="left"/>
              <w:rPr>
                <w:rFonts w:ascii="宋体" w:hAnsi="宋体"/>
                <w:sz w:val="21"/>
                <w:szCs w:val="21"/>
              </w:rPr>
            </w:pPr>
            <w:r>
              <w:rPr>
                <w:rFonts w:ascii="宋体" w:hAnsi="宋体"/>
                <w:sz w:val="21"/>
                <w:szCs w:val="21"/>
              </w:rPr>
              <w:t>…</w:t>
            </w:r>
          </w:p>
        </w:tc>
        <w:tc>
          <w:tcPr>
            <w:tcW w:w="1395" w:type="dxa"/>
            <w:vAlign w:val="center"/>
          </w:tcPr>
          <w:p w14:paraId="1E5FFCC1">
            <w:pPr>
              <w:spacing w:line="240" w:lineRule="auto"/>
              <w:jc w:val="left"/>
              <w:rPr>
                <w:rFonts w:ascii="宋体" w:hAnsi="宋体"/>
                <w:sz w:val="21"/>
                <w:szCs w:val="21"/>
              </w:rPr>
            </w:pPr>
          </w:p>
        </w:tc>
        <w:tc>
          <w:tcPr>
            <w:tcW w:w="1454" w:type="dxa"/>
            <w:vAlign w:val="center"/>
          </w:tcPr>
          <w:p w14:paraId="7BF715DB">
            <w:pPr>
              <w:spacing w:line="240" w:lineRule="auto"/>
              <w:jc w:val="left"/>
              <w:rPr>
                <w:rFonts w:ascii="宋体" w:hAnsi="宋体"/>
                <w:sz w:val="21"/>
                <w:szCs w:val="21"/>
              </w:rPr>
            </w:pPr>
          </w:p>
        </w:tc>
        <w:tc>
          <w:tcPr>
            <w:tcW w:w="1612" w:type="dxa"/>
            <w:vAlign w:val="center"/>
          </w:tcPr>
          <w:p w14:paraId="2FFE7433">
            <w:pPr>
              <w:spacing w:line="240" w:lineRule="auto"/>
              <w:jc w:val="left"/>
              <w:rPr>
                <w:rFonts w:ascii="宋体" w:hAnsi="宋体"/>
                <w:sz w:val="21"/>
                <w:szCs w:val="21"/>
              </w:rPr>
            </w:pPr>
          </w:p>
        </w:tc>
        <w:tc>
          <w:tcPr>
            <w:tcW w:w="1673" w:type="dxa"/>
            <w:vAlign w:val="center"/>
          </w:tcPr>
          <w:p w14:paraId="0391991A">
            <w:pPr>
              <w:spacing w:line="240" w:lineRule="auto"/>
              <w:jc w:val="left"/>
              <w:rPr>
                <w:rFonts w:ascii="宋体" w:hAnsi="宋体"/>
                <w:sz w:val="21"/>
                <w:szCs w:val="21"/>
              </w:rPr>
            </w:pPr>
          </w:p>
        </w:tc>
      </w:tr>
    </w:tbl>
    <w:p w14:paraId="3426E31B">
      <w:pPr>
        <w:adjustRightInd w:val="0"/>
        <w:snapToGrid w:val="0"/>
        <w:spacing w:line="264" w:lineRule="auto"/>
        <w:rPr>
          <w:rFonts w:ascii="宋体" w:hAnsi="宋体"/>
          <w:bCs/>
          <w:sz w:val="21"/>
          <w:szCs w:val="21"/>
        </w:rPr>
      </w:pPr>
      <w:r>
        <w:rPr>
          <w:rFonts w:hint="eastAsia" w:ascii="宋体" w:hAnsi="宋体"/>
          <w:bCs/>
          <w:sz w:val="21"/>
          <w:szCs w:val="21"/>
        </w:rPr>
        <w:t>说明：投标人应提供符合详细评审（评分）标准要求的业绩合同，每个单项业绩合同后附与该合同有关的：</w:t>
      </w:r>
    </w:p>
    <w:p w14:paraId="0BEE218E">
      <w:pPr>
        <w:adjustRightInd w:val="0"/>
        <w:snapToGrid w:val="0"/>
        <w:spacing w:line="264" w:lineRule="auto"/>
        <w:rPr>
          <w:rFonts w:ascii="宋体" w:hAnsi="宋体"/>
          <w:bCs/>
          <w:sz w:val="21"/>
          <w:szCs w:val="21"/>
        </w:rPr>
      </w:pPr>
      <w:r>
        <w:rPr>
          <w:rFonts w:hint="eastAsia" w:ascii="宋体" w:hAnsi="宋体"/>
          <w:bCs/>
          <w:sz w:val="21"/>
          <w:szCs w:val="21"/>
        </w:rPr>
        <w:t>（1）合同关键页（</w:t>
      </w:r>
      <w:r>
        <w:rPr>
          <w:rFonts w:hint="eastAsia" w:ascii="楷体" w:hAnsi="楷体" w:eastAsia="楷体" w:cs="楷体"/>
          <w:bCs/>
          <w:sz w:val="21"/>
          <w:szCs w:val="21"/>
        </w:rPr>
        <w:t>若项目业绩为框架合同项目须同时提供框架合同和单项工程委托书关键页）</w:t>
      </w:r>
      <w:r>
        <w:rPr>
          <w:rFonts w:hint="eastAsia" w:ascii="宋体" w:hAnsi="宋体"/>
          <w:bCs/>
          <w:sz w:val="21"/>
          <w:szCs w:val="21"/>
        </w:rPr>
        <w:t>；</w:t>
      </w:r>
    </w:p>
    <w:p w14:paraId="35416A28">
      <w:pPr>
        <w:adjustRightInd w:val="0"/>
        <w:snapToGrid w:val="0"/>
        <w:spacing w:line="264" w:lineRule="auto"/>
        <w:rPr>
          <w:rFonts w:ascii="楷体" w:hAnsi="楷体" w:eastAsia="楷体" w:cs="楷体"/>
          <w:bCs/>
          <w:sz w:val="21"/>
          <w:szCs w:val="21"/>
        </w:rPr>
      </w:pPr>
      <w:r>
        <w:rPr>
          <w:rFonts w:hint="eastAsia" w:ascii="宋体" w:hAnsi="宋体"/>
          <w:bCs/>
          <w:sz w:val="21"/>
          <w:szCs w:val="21"/>
        </w:rPr>
        <w:t>（2）1张增值税发票</w:t>
      </w:r>
      <w:r>
        <w:rPr>
          <w:rFonts w:hint="eastAsia" w:ascii="楷体" w:hAnsi="楷体" w:eastAsia="楷体" w:cs="楷体"/>
          <w:bCs/>
          <w:sz w:val="21"/>
          <w:szCs w:val="21"/>
        </w:rPr>
        <w:t>（详见：评审/评分标准中楷体字的相关说明）；</w:t>
      </w:r>
    </w:p>
    <w:p w14:paraId="2C1D9E8A">
      <w:pPr>
        <w:outlineLvl w:val="1"/>
        <w:rPr>
          <w:rFonts w:ascii="华文楷体" w:hAnsi="华文楷体" w:eastAsia="华文楷体"/>
          <w:sz w:val="18"/>
          <w:szCs w:val="18"/>
        </w:rPr>
      </w:pPr>
      <w:r>
        <w:rPr>
          <w:rFonts w:hint="eastAsia" w:ascii="宋体" w:hAnsi="宋体"/>
          <w:bCs/>
          <w:sz w:val="21"/>
          <w:szCs w:val="21"/>
        </w:rPr>
        <w:t>（3）相关证明材料</w:t>
      </w:r>
      <w:r>
        <w:rPr>
          <w:rFonts w:hint="eastAsia" w:ascii="楷体" w:hAnsi="楷体" w:eastAsia="楷体" w:cs="楷体"/>
          <w:bCs/>
          <w:sz w:val="21"/>
          <w:szCs w:val="21"/>
        </w:rPr>
        <w:t>（详见：评审/评分标准中楷体字的相关说明）。</w:t>
      </w:r>
      <w:r>
        <w:rPr>
          <w:rFonts w:hint="eastAsia" w:ascii="宋体" w:hAnsi="宋体"/>
          <w:b/>
          <w:sz w:val="28"/>
          <w:szCs w:val="28"/>
        </w:rPr>
        <w:br w:type="page"/>
      </w:r>
      <w:bookmarkStart w:id="1082" w:name="_Toc9943"/>
      <w:bookmarkStart w:id="1083" w:name="_Toc101375682"/>
      <w:bookmarkStart w:id="1084" w:name="_Toc8151"/>
      <w:r>
        <w:rPr>
          <w:rFonts w:hint="eastAsia" w:ascii="宋体" w:hAnsi="宋体"/>
        </w:rPr>
        <w:t>附件</w:t>
      </w:r>
      <w:r>
        <w:rPr>
          <w:rFonts w:ascii="宋体" w:hAnsi="宋体"/>
        </w:rPr>
        <w:t>1</w:t>
      </w:r>
      <w:r>
        <w:rPr>
          <w:rFonts w:hint="eastAsia" w:ascii="宋体" w:hAnsi="宋体"/>
        </w:rPr>
        <w:t>3</w:t>
      </w:r>
      <w:r>
        <w:rPr>
          <w:rFonts w:ascii="宋体" w:hAnsi="宋体"/>
        </w:rPr>
        <w:t>：施工机具设备配置表</w:t>
      </w:r>
      <w:bookmarkEnd w:id="1082"/>
      <w:bookmarkEnd w:id="1083"/>
      <w:bookmarkEnd w:id="1084"/>
    </w:p>
    <w:p w14:paraId="2D74822A">
      <w:pPr>
        <w:adjustRightInd w:val="0"/>
        <w:snapToGrid w:val="0"/>
        <w:spacing w:after="156" w:afterLines="50"/>
        <w:jc w:val="center"/>
        <w:rPr>
          <w:rFonts w:ascii="宋体" w:hAnsi="宋体"/>
          <w:b/>
          <w:bCs/>
          <w:sz w:val="30"/>
          <w:szCs w:val="30"/>
        </w:rPr>
      </w:pPr>
      <w:r>
        <w:rPr>
          <w:rFonts w:ascii="宋体" w:hAnsi="宋体"/>
          <w:b/>
          <w:bCs/>
          <w:sz w:val="30"/>
          <w:szCs w:val="30"/>
        </w:rPr>
        <w:t>施工</w:t>
      </w:r>
      <w:r>
        <w:rPr>
          <w:rFonts w:hint="eastAsia" w:ascii="宋体" w:hAnsi="宋体"/>
          <w:b/>
          <w:bCs/>
          <w:sz w:val="30"/>
          <w:szCs w:val="30"/>
        </w:rPr>
        <w:t>机具设备配置</w:t>
      </w:r>
      <w:r>
        <w:rPr>
          <w:rFonts w:ascii="宋体" w:hAnsi="宋体"/>
          <w:b/>
          <w:bCs/>
          <w:sz w:val="30"/>
          <w:szCs w:val="30"/>
        </w:rPr>
        <w:t>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707"/>
        <w:gridCol w:w="960"/>
        <w:gridCol w:w="566"/>
        <w:gridCol w:w="710"/>
        <w:gridCol w:w="852"/>
        <w:gridCol w:w="1296"/>
        <w:gridCol w:w="851"/>
        <w:gridCol w:w="850"/>
        <w:gridCol w:w="964"/>
      </w:tblGrid>
      <w:tr w14:paraId="7F91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14:paraId="02517E3A">
            <w:pPr>
              <w:adjustRightInd w:val="0"/>
              <w:snapToGrid w:val="0"/>
              <w:spacing w:line="240" w:lineRule="auto"/>
              <w:rPr>
                <w:rFonts w:ascii="宋体" w:hAnsi="宋体"/>
              </w:rPr>
            </w:pPr>
            <w:r>
              <w:rPr>
                <w:rFonts w:ascii="宋体" w:hAnsi="宋体"/>
                <w:szCs w:val="21"/>
              </w:rPr>
              <w:t>序号</w:t>
            </w:r>
          </w:p>
        </w:tc>
        <w:tc>
          <w:tcPr>
            <w:tcW w:w="1707" w:type="dxa"/>
            <w:vAlign w:val="center"/>
          </w:tcPr>
          <w:p w14:paraId="33D4904D">
            <w:pPr>
              <w:adjustRightInd w:val="0"/>
              <w:snapToGrid w:val="0"/>
              <w:spacing w:line="240" w:lineRule="auto"/>
              <w:jc w:val="center"/>
              <w:rPr>
                <w:rFonts w:ascii="宋体" w:hAnsi="宋体"/>
              </w:rPr>
            </w:pPr>
            <w:r>
              <w:rPr>
                <w:rFonts w:ascii="宋体" w:hAnsi="宋体"/>
                <w:szCs w:val="21"/>
              </w:rPr>
              <w:t>设备名称</w:t>
            </w:r>
          </w:p>
        </w:tc>
        <w:tc>
          <w:tcPr>
            <w:tcW w:w="960" w:type="dxa"/>
            <w:vAlign w:val="center"/>
          </w:tcPr>
          <w:p w14:paraId="05C1EF8F">
            <w:pPr>
              <w:adjustRightInd w:val="0"/>
              <w:snapToGrid w:val="0"/>
              <w:spacing w:line="240" w:lineRule="auto"/>
              <w:jc w:val="center"/>
              <w:rPr>
                <w:rFonts w:ascii="宋体" w:hAnsi="宋体"/>
              </w:rPr>
            </w:pPr>
            <w:r>
              <w:rPr>
                <w:rFonts w:ascii="宋体" w:hAnsi="宋体"/>
                <w:szCs w:val="21"/>
              </w:rPr>
              <w:t>型号</w:t>
            </w:r>
          </w:p>
          <w:p w14:paraId="0517BCD2">
            <w:pPr>
              <w:adjustRightInd w:val="0"/>
              <w:snapToGrid w:val="0"/>
              <w:spacing w:line="240" w:lineRule="auto"/>
              <w:jc w:val="center"/>
              <w:rPr>
                <w:rFonts w:ascii="宋体" w:hAnsi="宋体"/>
              </w:rPr>
            </w:pPr>
            <w:r>
              <w:rPr>
                <w:rFonts w:ascii="宋体" w:hAnsi="宋体"/>
                <w:szCs w:val="21"/>
              </w:rPr>
              <w:t>规格</w:t>
            </w:r>
          </w:p>
        </w:tc>
        <w:tc>
          <w:tcPr>
            <w:tcW w:w="566" w:type="dxa"/>
            <w:vAlign w:val="center"/>
          </w:tcPr>
          <w:p w14:paraId="465BFCD3">
            <w:pPr>
              <w:adjustRightInd w:val="0"/>
              <w:snapToGrid w:val="0"/>
              <w:spacing w:line="240" w:lineRule="auto"/>
              <w:jc w:val="center"/>
              <w:rPr>
                <w:rFonts w:ascii="宋体" w:hAnsi="宋体"/>
              </w:rPr>
            </w:pPr>
            <w:r>
              <w:rPr>
                <w:rFonts w:ascii="宋体" w:hAnsi="宋体"/>
                <w:szCs w:val="21"/>
              </w:rPr>
              <w:t>数量</w:t>
            </w:r>
          </w:p>
        </w:tc>
        <w:tc>
          <w:tcPr>
            <w:tcW w:w="710" w:type="dxa"/>
            <w:vAlign w:val="center"/>
          </w:tcPr>
          <w:p w14:paraId="47A0B2BD">
            <w:pPr>
              <w:adjustRightInd w:val="0"/>
              <w:snapToGrid w:val="0"/>
              <w:spacing w:line="240" w:lineRule="auto"/>
              <w:jc w:val="center"/>
              <w:rPr>
                <w:rFonts w:ascii="宋体" w:hAnsi="宋体"/>
              </w:rPr>
            </w:pPr>
            <w:r>
              <w:rPr>
                <w:rFonts w:ascii="宋体" w:hAnsi="宋体"/>
                <w:szCs w:val="21"/>
              </w:rPr>
              <w:t>国别</w:t>
            </w:r>
          </w:p>
          <w:p w14:paraId="554BE58F">
            <w:pPr>
              <w:adjustRightInd w:val="0"/>
              <w:snapToGrid w:val="0"/>
              <w:spacing w:line="240" w:lineRule="auto"/>
              <w:jc w:val="center"/>
              <w:rPr>
                <w:rFonts w:ascii="宋体" w:hAnsi="宋体"/>
              </w:rPr>
            </w:pPr>
            <w:r>
              <w:rPr>
                <w:rFonts w:ascii="宋体" w:hAnsi="宋体"/>
                <w:szCs w:val="21"/>
              </w:rPr>
              <w:t>产地</w:t>
            </w:r>
          </w:p>
        </w:tc>
        <w:tc>
          <w:tcPr>
            <w:tcW w:w="852" w:type="dxa"/>
            <w:vAlign w:val="center"/>
          </w:tcPr>
          <w:p w14:paraId="107B2092">
            <w:pPr>
              <w:adjustRightInd w:val="0"/>
              <w:snapToGrid w:val="0"/>
              <w:spacing w:line="240" w:lineRule="auto"/>
              <w:jc w:val="center"/>
              <w:rPr>
                <w:rFonts w:ascii="宋体" w:hAnsi="宋体"/>
              </w:rPr>
            </w:pPr>
            <w:r>
              <w:rPr>
                <w:rFonts w:ascii="宋体" w:hAnsi="宋体"/>
                <w:szCs w:val="21"/>
              </w:rPr>
              <w:t>制造</w:t>
            </w:r>
          </w:p>
          <w:p w14:paraId="681F0E23">
            <w:pPr>
              <w:adjustRightInd w:val="0"/>
              <w:snapToGrid w:val="0"/>
              <w:spacing w:line="240" w:lineRule="auto"/>
              <w:jc w:val="center"/>
              <w:rPr>
                <w:rFonts w:ascii="宋体" w:hAnsi="宋体"/>
              </w:rPr>
            </w:pPr>
            <w:r>
              <w:rPr>
                <w:rFonts w:ascii="宋体" w:hAnsi="宋体"/>
                <w:szCs w:val="21"/>
              </w:rPr>
              <w:t>年份</w:t>
            </w:r>
          </w:p>
        </w:tc>
        <w:tc>
          <w:tcPr>
            <w:tcW w:w="1296" w:type="dxa"/>
            <w:vAlign w:val="center"/>
          </w:tcPr>
          <w:p w14:paraId="5205C127">
            <w:pPr>
              <w:adjustRightInd w:val="0"/>
              <w:snapToGrid w:val="0"/>
              <w:spacing w:line="240" w:lineRule="auto"/>
              <w:jc w:val="center"/>
              <w:rPr>
                <w:rFonts w:ascii="宋体" w:hAnsi="宋体"/>
              </w:rPr>
            </w:pPr>
            <w:r>
              <w:rPr>
                <w:rFonts w:ascii="宋体" w:hAnsi="宋体"/>
                <w:szCs w:val="21"/>
              </w:rPr>
              <w:t>额定功率（kw）</w:t>
            </w:r>
          </w:p>
        </w:tc>
        <w:tc>
          <w:tcPr>
            <w:tcW w:w="851" w:type="dxa"/>
            <w:vAlign w:val="center"/>
          </w:tcPr>
          <w:p w14:paraId="5ACD8BFB">
            <w:pPr>
              <w:adjustRightInd w:val="0"/>
              <w:snapToGrid w:val="0"/>
              <w:spacing w:line="240" w:lineRule="auto"/>
              <w:jc w:val="center"/>
              <w:rPr>
                <w:rFonts w:ascii="宋体" w:hAnsi="宋体"/>
              </w:rPr>
            </w:pPr>
            <w:r>
              <w:rPr>
                <w:rFonts w:ascii="宋体" w:hAnsi="宋体"/>
                <w:szCs w:val="21"/>
              </w:rPr>
              <w:t>生产</w:t>
            </w:r>
          </w:p>
          <w:p w14:paraId="369420D3">
            <w:pPr>
              <w:adjustRightInd w:val="0"/>
              <w:snapToGrid w:val="0"/>
              <w:spacing w:line="240" w:lineRule="auto"/>
              <w:jc w:val="center"/>
              <w:rPr>
                <w:rFonts w:ascii="宋体" w:hAnsi="宋体"/>
              </w:rPr>
            </w:pPr>
            <w:r>
              <w:rPr>
                <w:rFonts w:ascii="宋体" w:hAnsi="宋体"/>
                <w:szCs w:val="21"/>
              </w:rPr>
              <w:t>能力</w:t>
            </w:r>
          </w:p>
        </w:tc>
        <w:tc>
          <w:tcPr>
            <w:tcW w:w="850" w:type="dxa"/>
            <w:vAlign w:val="center"/>
          </w:tcPr>
          <w:p w14:paraId="4AA13F90">
            <w:pPr>
              <w:adjustRightInd w:val="0"/>
              <w:snapToGrid w:val="0"/>
              <w:spacing w:line="240" w:lineRule="auto"/>
              <w:jc w:val="center"/>
              <w:rPr>
                <w:rFonts w:ascii="宋体" w:hAnsi="宋体"/>
              </w:rPr>
            </w:pPr>
            <w:r>
              <w:rPr>
                <w:rFonts w:hint="eastAsia" w:ascii="宋体" w:hAnsi="宋体"/>
                <w:szCs w:val="21"/>
              </w:rPr>
              <w:t>自有</w:t>
            </w:r>
            <w:r>
              <w:rPr>
                <w:rFonts w:ascii="宋体" w:hAnsi="宋体"/>
                <w:szCs w:val="21"/>
              </w:rPr>
              <w:t>/租赁</w:t>
            </w:r>
          </w:p>
        </w:tc>
        <w:tc>
          <w:tcPr>
            <w:tcW w:w="964" w:type="dxa"/>
            <w:vAlign w:val="center"/>
          </w:tcPr>
          <w:p w14:paraId="711DC3B3">
            <w:pPr>
              <w:adjustRightInd w:val="0"/>
              <w:snapToGrid w:val="0"/>
              <w:spacing w:line="240" w:lineRule="auto"/>
              <w:jc w:val="center"/>
              <w:rPr>
                <w:rFonts w:ascii="宋体" w:hAnsi="宋体"/>
              </w:rPr>
            </w:pPr>
            <w:r>
              <w:rPr>
                <w:rFonts w:ascii="宋体" w:hAnsi="宋体"/>
                <w:szCs w:val="21"/>
              </w:rPr>
              <w:t>备注</w:t>
            </w:r>
          </w:p>
        </w:tc>
      </w:tr>
      <w:tr w14:paraId="50B6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vAlign w:val="center"/>
          </w:tcPr>
          <w:p w14:paraId="14D68C54">
            <w:pPr>
              <w:keepNext/>
              <w:keepLines/>
              <w:adjustRightInd w:val="0"/>
              <w:snapToGrid w:val="0"/>
              <w:spacing w:line="240" w:lineRule="auto"/>
              <w:jc w:val="center"/>
              <w:outlineLvl w:val="0"/>
              <w:rPr>
                <w:rFonts w:ascii="宋体" w:hAnsi="宋体"/>
                <w:szCs w:val="21"/>
              </w:rPr>
            </w:pPr>
          </w:p>
        </w:tc>
        <w:tc>
          <w:tcPr>
            <w:tcW w:w="1707" w:type="dxa"/>
            <w:vAlign w:val="center"/>
          </w:tcPr>
          <w:p w14:paraId="5D5A9864">
            <w:pPr>
              <w:keepNext/>
              <w:keepLines/>
              <w:adjustRightInd w:val="0"/>
              <w:snapToGrid w:val="0"/>
              <w:spacing w:line="240" w:lineRule="auto"/>
              <w:jc w:val="center"/>
              <w:outlineLvl w:val="0"/>
              <w:rPr>
                <w:rFonts w:ascii="宋体" w:hAnsi="宋体"/>
                <w:szCs w:val="21"/>
              </w:rPr>
            </w:pPr>
          </w:p>
        </w:tc>
        <w:tc>
          <w:tcPr>
            <w:tcW w:w="960" w:type="dxa"/>
            <w:vAlign w:val="center"/>
          </w:tcPr>
          <w:p w14:paraId="72AC5655">
            <w:pPr>
              <w:keepNext/>
              <w:keepLines/>
              <w:adjustRightInd w:val="0"/>
              <w:snapToGrid w:val="0"/>
              <w:spacing w:line="240" w:lineRule="auto"/>
              <w:jc w:val="center"/>
              <w:outlineLvl w:val="0"/>
              <w:rPr>
                <w:rFonts w:ascii="宋体" w:hAnsi="宋体"/>
                <w:szCs w:val="21"/>
              </w:rPr>
            </w:pPr>
          </w:p>
        </w:tc>
        <w:tc>
          <w:tcPr>
            <w:tcW w:w="566" w:type="dxa"/>
            <w:vAlign w:val="center"/>
          </w:tcPr>
          <w:p w14:paraId="1620C93B">
            <w:pPr>
              <w:keepNext/>
              <w:keepLines/>
              <w:adjustRightInd w:val="0"/>
              <w:snapToGrid w:val="0"/>
              <w:spacing w:line="240" w:lineRule="auto"/>
              <w:jc w:val="center"/>
              <w:outlineLvl w:val="0"/>
              <w:rPr>
                <w:rFonts w:ascii="宋体" w:hAnsi="宋体"/>
                <w:szCs w:val="21"/>
              </w:rPr>
            </w:pPr>
          </w:p>
        </w:tc>
        <w:tc>
          <w:tcPr>
            <w:tcW w:w="710" w:type="dxa"/>
            <w:vAlign w:val="center"/>
          </w:tcPr>
          <w:p w14:paraId="19C08B60">
            <w:pPr>
              <w:keepNext/>
              <w:keepLines/>
              <w:adjustRightInd w:val="0"/>
              <w:snapToGrid w:val="0"/>
              <w:spacing w:line="240" w:lineRule="auto"/>
              <w:jc w:val="center"/>
              <w:outlineLvl w:val="0"/>
              <w:rPr>
                <w:rFonts w:ascii="宋体" w:hAnsi="宋体"/>
                <w:szCs w:val="21"/>
              </w:rPr>
            </w:pPr>
          </w:p>
        </w:tc>
        <w:tc>
          <w:tcPr>
            <w:tcW w:w="852" w:type="dxa"/>
            <w:vAlign w:val="center"/>
          </w:tcPr>
          <w:p w14:paraId="7D551DAE">
            <w:pPr>
              <w:keepNext/>
              <w:keepLines/>
              <w:adjustRightInd w:val="0"/>
              <w:snapToGrid w:val="0"/>
              <w:spacing w:line="240" w:lineRule="auto"/>
              <w:jc w:val="center"/>
              <w:outlineLvl w:val="0"/>
              <w:rPr>
                <w:rFonts w:ascii="宋体" w:hAnsi="宋体"/>
                <w:szCs w:val="21"/>
              </w:rPr>
            </w:pPr>
          </w:p>
        </w:tc>
        <w:tc>
          <w:tcPr>
            <w:tcW w:w="1296" w:type="dxa"/>
            <w:vAlign w:val="center"/>
          </w:tcPr>
          <w:p w14:paraId="082C5479">
            <w:pPr>
              <w:keepNext/>
              <w:keepLines/>
              <w:adjustRightInd w:val="0"/>
              <w:snapToGrid w:val="0"/>
              <w:spacing w:line="240" w:lineRule="auto"/>
              <w:jc w:val="center"/>
              <w:outlineLvl w:val="0"/>
              <w:rPr>
                <w:rFonts w:ascii="宋体" w:hAnsi="宋体"/>
                <w:szCs w:val="21"/>
              </w:rPr>
            </w:pPr>
          </w:p>
        </w:tc>
        <w:tc>
          <w:tcPr>
            <w:tcW w:w="851" w:type="dxa"/>
            <w:vAlign w:val="center"/>
          </w:tcPr>
          <w:p w14:paraId="3F36241E">
            <w:pPr>
              <w:keepNext/>
              <w:keepLines/>
              <w:adjustRightInd w:val="0"/>
              <w:snapToGrid w:val="0"/>
              <w:spacing w:line="240" w:lineRule="auto"/>
              <w:jc w:val="center"/>
              <w:outlineLvl w:val="0"/>
              <w:rPr>
                <w:rFonts w:ascii="宋体" w:hAnsi="宋体"/>
                <w:szCs w:val="21"/>
              </w:rPr>
            </w:pPr>
          </w:p>
        </w:tc>
        <w:tc>
          <w:tcPr>
            <w:tcW w:w="850" w:type="dxa"/>
            <w:vAlign w:val="center"/>
          </w:tcPr>
          <w:p w14:paraId="5858A2D3">
            <w:pPr>
              <w:keepNext/>
              <w:keepLines/>
              <w:adjustRightInd w:val="0"/>
              <w:snapToGrid w:val="0"/>
              <w:spacing w:line="240" w:lineRule="auto"/>
              <w:jc w:val="center"/>
              <w:outlineLvl w:val="0"/>
              <w:rPr>
                <w:rFonts w:ascii="宋体" w:hAnsi="宋体"/>
                <w:szCs w:val="21"/>
              </w:rPr>
            </w:pPr>
          </w:p>
        </w:tc>
        <w:tc>
          <w:tcPr>
            <w:tcW w:w="964" w:type="dxa"/>
            <w:vAlign w:val="center"/>
          </w:tcPr>
          <w:p w14:paraId="43BAD925">
            <w:pPr>
              <w:keepNext/>
              <w:keepLines/>
              <w:adjustRightInd w:val="0"/>
              <w:snapToGrid w:val="0"/>
              <w:spacing w:line="240" w:lineRule="auto"/>
              <w:jc w:val="center"/>
              <w:outlineLvl w:val="0"/>
              <w:rPr>
                <w:rFonts w:ascii="宋体" w:hAnsi="宋体"/>
                <w:szCs w:val="21"/>
              </w:rPr>
            </w:pPr>
          </w:p>
        </w:tc>
      </w:tr>
      <w:tr w14:paraId="3D94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vAlign w:val="center"/>
          </w:tcPr>
          <w:p w14:paraId="746CF739">
            <w:pPr>
              <w:keepNext/>
              <w:keepLines/>
              <w:adjustRightInd w:val="0"/>
              <w:snapToGrid w:val="0"/>
              <w:spacing w:line="240" w:lineRule="auto"/>
              <w:jc w:val="center"/>
              <w:outlineLvl w:val="0"/>
              <w:rPr>
                <w:rFonts w:ascii="宋体" w:hAnsi="宋体"/>
                <w:szCs w:val="21"/>
              </w:rPr>
            </w:pPr>
          </w:p>
        </w:tc>
        <w:tc>
          <w:tcPr>
            <w:tcW w:w="1707" w:type="dxa"/>
            <w:vAlign w:val="center"/>
          </w:tcPr>
          <w:p w14:paraId="40C1B8C6">
            <w:pPr>
              <w:keepNext/>
              <w:keepLines/>
              <w:adjustRightInd w:val="0"/>
              <w:snapToGrid w:val="0"/>
              <w:spacing w:line="240" w:lineRule="auto"/>
              <w:jc w:val="center"/>
              <w:outlineLvl w:val="0"/>
              <w:rPr>
                <w:rFonts w:ascii="宋体" w:hAnsi="宋体"/>
                <w:szCs w:val="21"/>
              </w:rPr>
            </w:pPr>
          </w:p>
        </w:tc>
        <w:tc>
          <w:tcPr>
            <w:tcW w:w="960" w:type="dxa"/>
            <w:vAlign w:val="center"/>
          </w:tcPr>
          <w:p w14:paraId="5A6EAF12">
            <w:pPr>
              <w:keepNext/>
              <w:keepLines/>
              <w:adjustRightInd w:val="0"/>
              <w:snapToGrid w:val="0"/>
              <w:spacing w:line="240" w:lineRule="auto"/>
              <w:jc w:val="center"/>
              <w:outlineLvl w:val="0"/>
              <w:rPr>
                <w:rFonts w:ascii="宋体" w:hAnsi="宋体"/>
                <w:szCs w:val="21"/>
              </w:rPr>
            </w:pPr>
          </w:p>
        </w:tc>
        <w:tc>
          <w:tcPr>
            <w:tcW w:w="566" w:type="dxa"/>
            <w:vAlign w:val="center"/>
          </w:tcPr>
          <w:p w14:paraId="5BFFA56E">
            <w:pPr>
              <w:keepNext/>
              <w:keepLines/>
              <w:adjustRightInd w:val="0"/>
              <w:snapToGrid w:val="0"/>
              <w:spacing w:line="240" w:lineRule="auto"/>
              <w:jc w:val="center"/>
              <w:outlineLvl w:val="0"/>
              <w:rPr>
                <w:rFonts w:ascii="宋体" w:hAnsi="宋体"/>
                <w:szCs w:val="21"/>
              </w:rPr>
            </w:pPr>
          </w:p>
        </w:tc>
        <w:tc>
          <w:tcPr>
            <w:tcW w:w="710" w:type="dxa"/>
            <w:vAlign w:val="center"/>
          </w:tcPr>
          <w:p w14:paraId="19FA81F1">
            <w:pPr>
              <w:keepNext/>
              <w:keepLines/>
              <w:adjustRightInd w:val="0"/>
              <w:snapToGrid w:val="0"/>
              <w:spacing w:line="240" w:lineRule="auto"/>
              <w:jc w:val="center"/>
              <w:outlineLvl w:val="0"/>
              <w:rPr>
                <w:rFonts w:ascii="宋体" w:hAnsi="宋体"/>
                <w:szCs w:val="21"/>
              </w:rPr>
            </w:pPr>
          </w:p>
        </w:tc>
        <w:tc>
          <w:tcPr>
            <w:tcW w:w="852" w:type="dxa"/>
            <w:vAlign w:val="center"/>
          </w:tcPr>
          <w:p w14:paraId="3F571104">
            <w:pPr>
              <w:keepNext/>
              <w:keepLines/>
              <w:adjustRightInd w:val="0"/>
              <w:snapToGrid w:val="0"/>
              <w:spacing w:line="240" w:lineRule="auto"/>
              <w:jc w:val="center"/>
              <w:outlineLvl w:val="0"/>
              <w:rPr>
                <w:rFonts w:ascii="宋体" w:hAnsi="宋体"/>
                <w:szCs w:val="21"/>
              </w:rPr>
            </w:pPr>
          </w:p>
        </w:tc>
        <w:tc>
          <w:tcPr>
            <w:tcW w:w="1296" w:type="dxa"/>
            <w:vAlign w:val="center"/>
          </w:tcPr>
          <w:p w14:paraId="6255B7C5">
            <w:pPr>
              <w:keepNext/>
              <w:keepLines/>
              <w:adjustRightInd w:val="0"/>
              <w:snapToGrid w:val="0"/>
              <w:spacing w:line="240" w:lineRule="auto"/>
              <w:jc w:val="center"/>
              <w:outlineLvl w:val="0"/>
              <w:rPr>
                <w:rFonts w:ascii="宋体" w:hAnsi="宋体"/>
                <w:szCs w:val="21"/>
              </w:rPr>
            </w:pPr>
          </w:p>
        </w:tc>
        <w:tc>
          <w:tcPr>
            <w:tcW w:w="851" w:type="dxa"/>
            <w:vAlign w:val="center"/>
          </w:tcPr>
          <w:p w14:paraId="214304CA">
            <w:pPr>
              <w:keepNext/>
              <w:keepLines/>
              <w:adjustRightInd w:val="0"/>
              <w:snapToGrid w:val="0"/>
              <w:spacing w:line="240" w:lineRule="auto"/>
              <w:jc w:val="center"/>
              <w:outlineLvl w:val="0"/>
              <w:rPr>
                <w:rFonts w:ascii="宋体" w:hAnsi="宋体"/>
                <w:szCs w:val="21"/>
              </w:rPr>
            </w:pPr>
          </w:p>
        </w:tc>
        <w:tc>
          <w:tcPr>
            <w:tcW w:w="850" w:type="dxa"/>
            <w:vAlign w:val="center"/>
          </w:tcPr>
          <w:p w14:paraId="77B96269">
            <w:pPr>
              <w:keepNext/>
              <w:keepLines/>
              <w:adjustRightInd w:val="0"/>
              <w:snapToGrid w:val="0"/>
              <w:spacing w:line="240" w:lineRule="auto"/>
              <w:jc w:val="center"/>
              <w:outlineLvl w:val="0"/>
              <w:rPr>
                <w:rFonts w:ascii="宋体" w:hAnsi="宋体"/>
                <w:szCs w:val="21"/>
              </w:rPr>
            </w:pPr>
          </w:p>
        </w:tc>
        <w:tc>
          <w:tcPr>
            <w:tcW w:w="964" w:type="dxa"/>
            <w:vAlign w:val="center"/>
          </w:tcPr>
          <w:p w14:paraId="3DB89F74">
            <w:pPr>
              <w:keepNext/>
              <w:keepLines/>
              <w:adjustRightInd w:val="0"/>
              <w:snapToGrid w:val="0"/>
              <w:spacing w:line="240" w:lineRule="auto"/>
              <w:jc w:val="center"/>
              <w:outlineLvl w:val="0"/>
              <w:rPr>
                <w:rFonts w:ascii="宋体" w:hAnsi="宋体"/>
                <w:szCs w:val="21"/>
              </w:rPr>
            </w:pPr>
          </w:p>
        </w:tc>
      </w:tr>
      <w:tr w14:paraId="7E17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02FB0B11">
            <w:pPr>
              <w:keepNext/>
              <w:keepLines/>
              <w:adjustRightInd w:val="0"/>
              <w:snapToGrid w:val="0"/>
              <w:spacing w:line="240" w:lineRule="auto"/>
              <w:jc w:val="center"/>
              <w:outlineLvl w:val="0"/>
              <w:rPr>
                <w:rFonts w:ascii="宋体" w:hAnsi="宋体"/>
                <w:szCs w:val="21"/>
              </w:rPr>
            </w:pPr>
          </w:p>
        </w:tc>
        <w:tc>
          <w:tcPr>
            <w:tcW w:w="1707" w:type="dxa"/>
          </w:tcPr>
          <w:p w14:paraId="21D77B7F">
            <w:pPr>
              <w:keepNext/>
              <w:keepLines/>
              <w:adjustRightInd w:val="0"/>
              <w:snapToGrid w:val="0"/>
              <w:spacing w:line="240" w:lineRule="auto"/>
              <w:jc w:val="center"/>
              <w:outlineLvl w:val="0"/>
              <w:rPr>
                <w:rFonts w:ascii="宋体" w:hAnsi="宋体"/>
                <w:szCs w:val="21"/>
              </w:rPr>
            </w:pPr>
          </w:p>
        </w:tc>
        <w:tc>
          <w:tcPr>
            <w:tcW w:w="960" w:type="dxa"/>
          </w:tcPr>
          <w:p w14:paraId="79DB2890">
            <w:pPr>
              <w:keepNext/>
              <w:keepLines/>
              <w:adjustRightInd w:val="0"/>
              <w:snapToGrid w:val="0"/>
              <w:spacing w:line="240" w:lineRule="auto"/>
              <w:jc w:val="center"/>
              <w:outlineLvl w:val="0"/>
              <w:rPr>
                <w:rFonts w:ascii="宋体" w:hAnsi="宋体"/>
                <w:szCs w:val="21"/>
              </w:rPr>
            </w:pPr>
          </w:p>
        </w:tc>
        <w:tc>
          <w:tcPr>
            <w:tcW w:w="566" w:type="dxa"/>
          </w:tcPr>
          <w:p w14:paraId="5017A927">
            <w:pPr>
              <w:keepNext/>
              <w:keepLines/>
              <w:adjustRightInd w:val="0"/>
              <w:snapToGrid w:val="0"/>
              <w:spacing w:line="240" w:lineRule="auto"/>
              <w:jc w:val="center"/>
              <w:outlineLvl w:val="0"/>
              <w:rPr>
                <w:rFonts w:ascii="宋体" w:hAnsi="宋体"/>
                <w:szCs w:val="21"/>
              </w:rPr>
            </w:pPr>
          </w:p>
        </w:tc>
        <w:tc>
          <w:tcPr>
            <w:tcW w:w="710" w:type="dxa"/>
          </w:tcPr>
          <w:p w14:paraId="06593B51">
            <w:pPr>
              <w:keepNext/>
              <w:keepLines/>
              <w:adjustRightInd w:val="0"/>
              <w:snapToGrid w:val="0"/>
              <w:spacing w:line="240" w:lineRule="auto"/>
              <w:jc w:val="center"/>
              <w:outlineLvl w:val="0"/>
              <w:rPr>
                <w:rFonts w:ascii="宋体" w:hAnsi="宋体"/>
                <w:szCs w:val="21"/>
              </w:rPr>
            </w:pPr>
          </w:p>
        </w:tc>
        <w:tc>
          <w:tcPr>
            <w:tcW w:w="852" w:type="dxa"/>
          </w:tcPr>
          <w:p w14:paraId="48696A42">
            <w:pPr>
              <w:keepNext/>
              <w:keepLines/>
              <w:adjustRightInd w:val="0"/>
              <w:snapToGrid w:val="0"/>
              <w:spacing w:line="240" w:lineRule="auto"/>
              <w:jc w:val="center"/>
              <w:outlineLvl w:val="0"/>
              <w:rPr>
                <w:rFonts w:ascii="宋体" w:hAnsi="宋体"/>
                <w:szCs w:val="21"/>
              </w:rPr>
            </w:pPr>
          </w:p>
        </w:tc>
        <w:tc>
          <w:tcPr>
            <w:tcW w:w="1296" w:type="dxa"/>
          </w:tcPr>
          <w:p w14:paraId="69D7C692">
            <w:pPr>
              <w:keepNext/>
              <w:keepLines/>
              <w:adjustRightInd w:val="0"/>
              <w:snapToGrid w:val="0"/>
              <w:spacing w:line="240" w:lineRule="auto"/>
              <w:jc w:val="center"/>
              <w:outlineLvl w:val="0"/>
              <w:rPr>
                <w:rFonts w:ascii="宋体" w:hAnsi="宋体"/>
                <w:szCs w:val="21"/>
              </w:rPr>
            </w:pPr>
          </w:p>
        </w:tc>
        <w:tc>
          <w:tcPr>
            <w:tcW w:w="851" w:type="dxa"/>
          </w:tcPr>
          <w:p w14:paraId="6C8C3668">
            <w:pPr>
              <w:keepNext/>
              <w:keepLines/>
              <w:adjustRightInd w:val="0"/>
              <w:snapToGrid w:val="0"/>
              <w:spacing w:line="240" w:lineRule="auto"/>
              <w:jc w:val="center"/>
              <w:outlineLvl w:val="0"/>
              <w:rPr>
                <w:rFonts w:ascii="宋体" w:hAnsi="宋体"/>
                <w:szCs w:val="21"/>
              </w:rPr>
            </w:pPr>
          </w:p>
        </w:tc>
        <w:tc>
          <w:tcPr>
            <w:tcW w:w="850" w:type="dxa"/>
          </w:tcPr>
          <w:p w14:paraId="599B0554">
            <w:pPr>
              <w:keepNext/>
              <w:keepLines/>
              <w:adjustRightInd w:val="0"/>
              <w:snapToGrid w:val="0"/>
              <w:spacing w:line="240" w:lineRule="auto"/>
              <w:jc w:val="center"/>
              <w:outlineLvl w:val="0"/>
              <w:rPr>
                <w:rFonts w:ascii="宋体" w:hAnsi="宋体"/>
                <w:szCs w:val="21"/>
              </w:rPr>
            </w:pPr>
          </w:p>
        </w:tc>
        <w:tc>
          <w:tcPr>
            <w:tcW w:w="964" w:type="dxa"/>
          </w:tcPr>
          <w:p w14:paraId="3E5D7A1C">
            <w:pPr>
              <w:keepNext/>
              <w:keepLines/>
              <w:adjustRightInd w:val="0"/>
              <w:snapToGrid w:val="0"/>
              <w:spacing w:line="240" w:lineRule="auto"/>
              <w:jc w:val="center"/>
              <w:outlineLvl w:val="0"/>
              <w:rPr>
                <w:rFonts w:ascii="宋体" w:hAnsi="宋体"/>
                <w:szCs w:val="21"/>
              </w:rPr>
            </w:pPr>
          </w:p>
        </w:tc>
      </w:tr>
      <w:tr w14:paraId="3D50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4EBFF322">
            <w:pPr>
              <w:keepNext/>
              <w:keepLines/>
              <w:adjustRightInd w:val="0"/>
              <w:snapToGrid w:val="0"/>
              <w:spacing w:line="240" w:lineRule="auto"/>
              <w:jc w:val="center"/>
              <w:outlineLvl w:val="0"/>
              <w:rPr>
                <w:rFonts w:ascii="宋体" w:hAnsi="宋体"/>
                <w:szCs w:val="21"/>
              </w:rPr>
            </w:pPr>
          </w:p>
        </w:tc>
        <w:tc>
          <w:tcPr>
            <w:tcW w:w="1707" w:type="dxa"/>
          </w:tcPr>
          <w:p w14:paraId="12EDD608">
            <w:pPr>
              <w:keepNext/>
              <w:keepLines/>
              <w:adjustRightInd w:val="0"/>
              <w:snapToGrid w:val="0"/>
              <w:spacing w:line="240" w:lineRule="auto"/>
              <w:jc w:val="center"/>
              <w:outlineLvl w:val="0"/>
              <w:rPr>
                <w:rFonts w:ascii="宋体" w:hAnsi="宋体"/>
                <w:szCs w:val="21"/>
              </w:rPr>
            </w:pPr>
          </w:p>
        </w:tc>
        <w:tc>
          <w:tcPr>
            <w:tcW w:w="960" w:type="dxa"/>
          </w:tcPr>
          <w:p w14:paraId="29A45F61">
            <w:pPr>
              <w:keepNext/>
              <w:keepLines/>
              <w:adjustRightInd w:val="0"/>
              <w:snapToGrid w:val="0"/>
              <w:spacing w:line="240" w:lineRule="auto"/>
              <w:jc w:val="center"/>
              <w:outlineLvl w:val="0"/>
              <w:rPr>
                <w:rFonts w:ascii="宋体" w:hAnsi="宋体"/>
                <w:szCs w:val="21"/>
              </w:rPr>
            </w:pPr>
          </w:p>
        </w:tc>
        <w:tc>
          <w:tcPr>
            <w:tcW w:w="566" w:type="dxa"/>
          </w:tcPr>
          <w:p w14:paraId="49518E17">
            <w:pPr>
              <w:keepNext/>
              <w:keepLines/>
              <w:adjustRightInd w:val="0"/>
              <w:snapToGrid w:val="0"/>
              <w:spacing w:line="240" w:lineRule="auto"/>
              <w:jc w:val="center"/>
              <w:outlineLvl w:val="0"/>
              <w:rPr>
                <w:rFonts w:ascii="宋体" w:hAnsi="宋体"/>
                <w:szCs w:val="21"/>
              </w:rPr>
            </w:pPr>
          </w:p>
        </w:tc>
        <w:tc>
          <w:tcPr>
            <w:tcW w:w="710" w:type="dxa"/>
          </w:tcPr>
          <w:p w14:paraId="7C2386F2">
            <w:pPr>
              <w:keepNext/>
              <w:keepLines/>
              <w:adjustRightInd w:val="0"/>
              <w:snapToGrid w:val="0"/>
              <w:spacing w:line="240" w:lineRule="auto"/>
              <w:jc w:val="center"/>
              <w:outlineLvl w:val="0"/>
              <w:rPr>
                <w:rFonts w:ascii="宋体" w:hAnsi="宋体"/>
                <w:szCs w:val="21"/>
              </w:rPr>
            </w:pPr>
          </w:p>
        </w:tc>
        <w:tc>
          <w:tcPr>
            <w:tcW w:w="852" w:type="dxa"/>
          </w:tcPr>
          <w:p w14:paraId="5C9E56A9">
            <w:pPr>
              <w:keepNext/>
              <w:keepLines/>
              <w:adjustRightInd w:val="0"/>
              <w:snapToGrid w:val="0"/>
              <w:spacing w:line="240" w:lineRule="auto"/>
              <w:jc w:val="center"/>
              <w:outlineLvl w:val="0"/>
              <w:rPr>
                <w:rFonts w:ascii="宋体" w:hAnsi="宋体"/>
                <w:szCs w:val="21"/>
              </w:rPr>
            </w:pPr>
          </w:p>
        </w:tc>
        <w:tc>
          <w:tcPr>
            <w:tcW w:w="1296" w:type="dxa"/>
          </w:tcPr>
          <w:p w14:paraId="2F47FD5E">
            <w:pPr>
              <w:keepNext/>
              <w:keepLines/>
              <w:adjustRightInd w:val="0"/>
              <w:snapToGrid w:val="0"/>
              <w:spacing w:line="240" w:lineRule="auto"/>
              <w:jc w:val="center"/>
              <w:outlineLvl w:val="0"/>
              <w:rPr>
                <w:rFonts w:ascii="宋体" w:hAnsi="宋体"/>
                <w:szCs w:val="21"/>
              </w:rPr>
            </w:pPr>
          </w:p>
        </w:tc>
        <w:tc>
          <w:tcPr>
            <w:tcW w:w="851" w:type="dxa"/>
          </w:tcPr>
          <w:p w14:paraId="6EECC2A1">
            <w:pPr>
              <w:keepNext/>
              <w:keepLines/>
              <w:adjustRightInd w:val="0"/>
              <w:snapToGrid w:val="0"/>
              <w:spacing w:line="240" w:lineRule="auto"/>
              <w:jc w:val="center"/>
              <w:outlineLvl w:val="0"/>
              <w:rPr>
                <w:rFonts w:ascii="宋体" w:hAnsi="宋体"/>
                <w:szCs w:val="21"/>
              </w:rPr>
            </w:pPr>
          </w:p>
        </w:tc>
        <w:tc>
          <w:tcPr>
            <w:tcW w:w="850" w:type="dxa"/>
          </w:tcPr>
          <w:p w14:paraId="2ECF7A6E">
            <w:pPr>
              <w:keepNext/>
              <w:keepLines/>
              <w:adjustRightInd w:val="0"/>
              <w:snapToGrid w:val="0"/>
              <w:spacing w:line="240" w:lineRule="auto"/>
              <w:jc w:val="center"/>
              <w:outlineLvl w:val="0"/>
              <w:rPr>
                <w:rFonts w:ascii="宋体" w:hAnsi="宋体"/>
                <w:szCs w:val="21"/>
              </w:rPr>
            </w:pPr>
          </w:p>
        </w:tc>
        <w:tc>
          <w:tcPr>
            <w:tcW w:w="964" w:type="dxa"/>
          </w:tcPr>
          <w:p w14:paraId="1F0DCFB7">
            <w:pPr>
              <w:keepNext/>
              <w:keepLines/>
              <w:adjustRightInd w:val="0"/>
              <w:snapToGrid w:val="0"/>
              <w:spacing w:line="240" w:lineRule="auto"/>
              <w:jc w:val="center"/>
              <w:outlineLvl w:val="0"/>
              <w:rPr>
                <w:rFonts w:ascii="宋体" w:hAnsi="宋体"/>
                <w:szCs w:val="21"/>
              </w:rPr>
            </w:pPr>
          </w:p>
        </w:tc>
      </w:tr>
      <w:tr w14:paraId="45FE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55888191">
            <w:pPr>
              <w:keepNext/>
              <w:keepLines/>
              <w:adjustRightInd w:val="0"/>
              <w:snapToGrid w:val="0"/>
              <w:spacing w:line="240" w:lineRule="auto"/>
              <w:jc w:val="center"/>
              <w:outlineLvl w:val="0"/>
              <w:rPr>
                <w:rFonts w:ascii="宋体" w:hAnsi="宋体"/>
                <w:szCs w:val="21"/>
              </w:rPr>
            </w:pPr>
          </w:p>
        </w:tc>
        <w:tc>
          <w:tcPr>
            <w:tcW w:w="1707" w:type="dxa"/>
          </w:tcPr>
          <w:p w14:paraId="03726005">
            <w:pPr>
              <w:keepNext/>
              <w:keepLines/>
              <w:adjustRightInd w:val="0"/>
              <w:snapToGrid w:val="0"/>
              <w:spacing w:line="240" w:lineRule="auto"/>
              <w:jc w:val="center"/>
              <w:outlineLvl w:val="0"/>
              <w:rPr>
                <w:rFonts w:ascii="宋体" w:hAnsi="宋体"/>
                <w:szCs w:val="21"/>
              </w:rPr>
            </w:pPr>
          </w:p>
        </w:tc>
        <w:tc>
          <w:tcPr>
            <w:tcW w:w="960" w:type="dxa"/>
          </w:tcPr>
          <w:p w14:paraId="0EA2BE67">
            <w:pPr>
              <w:keepNext/>
              <w:keepLines/>
              <w:adjustRightInd w:val="0"/>
              <w:snapToGrid w:val="0"/>
              <w:spacing w:line="240" w:lineRule="auto"/>
              <w:jc w:val="center"/>
              <w:outlineLvl w:val="0"/>
              <w:rPr>
                <w:rFonts w:ascii="宋体" w:hAnsi="宋体"/>
                <w:szCs w:val="21"/>
              </w:rPr>
            </w:pPr>
          </w:p>
        </w:tc>
        <w:tc>
          <w:tcPr>
            <w:tcW w:w="566" w:type="dxa"/>
          </w:tcPr>
          <w:p w14:paraId="459670C4">
            <w:pPr>
              <w:keepNext/>
              <w:keepLines/>
              <w:adjustRightInd w:val="0"/>
              <w:snapToGrid w:val="0"/>
              <w:spacing w:line="240" w:lineRule="auto"/>
              <w:jc w:val="center"/>
              <w:outlineLvl w:val="0"/>
              <w:rPr>
                <w:rFonts w:ascii="宋体" w:hAnsi="宋体"/>
                <w:szCs w:val="21"/>
              </w:rPr>
            </w:pPr>
          </w:p>
        </w:tc>
        <w:tc>
          <w:tcPr>
            <w:tcW w:w="710" w:type="dxa"/>
          </w:tcPr>
          <w:p w14:paraId="7DB8C4AE">
            <w:pPr>
              <w:keepNext/>
              <w:keepLines/>
              <w:adjustRightInd w:val="0"/>
              <w:snapToGrid w:val="0"/>
              <w:spacing w:line="240" w:lineRule="auto"/>
              <w:jc w:val="center"/>
              <w:outlineLvl w:val="0"/>
              <w:rPr>
                <w:rFonts w:ascii="宋体" w:hAnsi="宋体"/>
                <w:szCs w:val="21"/>
              </w:rPr>
            </w:pPr>
          </w:p>
        </w:tc>
        <w:tc>
          <w:tcPr>
            <w:tcW w:w="852" w:type="dxa"/>
          </w:tcPr>
          <w:p w14:paraId="2B262638">
            <w:pPr>
              <w:keepNext/>
              <w:keepLines/>
              <w:adjustRightInd w:val="0"/>
              <w:snapToGrid w:val="0"/>
              <w:spacing w:line="240" w:lineRule="auto"/>
              <w:jc w:val="center"/>
              <w:outlineLvl w:val="0"/>
              <w:rPr>
                <w:rFonts w:ascii="宋体" w:hAnsi="宋体"/>
                <w:szCs w:val="21"/>
              </w:rPr>
            </w:pPr>
          </w:p>
        </w:tc>
        <w:tc>
          <w:tcPr>
            <w:tcW w:w="1296" w:type="dxa"/>
          </w:tcPr>
          <w:p w14:paraId="1C3F47AE">
            <w:pPr>
              <w:keepNext/>
              <w:keepLines/>
              <w:adjustRightInd w:val="0"/>
              <w:snapToGrid w:val="0"/>
              <w:spacing w:line="240" w:lineRule="auto"/>
              <w:jc w:val="center"/>
              <w:outlineLvl w:val="0"/>
              <w:rPr>
                <w:rFonts w:ascii="宋体" w:hAnsi="宋体"/>
                <w:szCs w:val="21"/>
              </w:rPr>
            </w:pPr>
          </w:p>
        </w:tc>
        <w:tc>
          <w:tcPr>
            <w:tcW w:w="851" w:type="dxa"/>
          </w:tcPr>
          <w:p w14:paraId="3006ECD1">
            <w:pPr>
              <w:keepNext/>
              <w:keepLines/>
              <w:adjustRightInd w:val="0"/>
              <w:snapToGrid w:val="0"/>
              <w:spacing w:line="240" w:lineRule="auto"/>
              <w:jc w:val="center"/>
              <w:outlineLvl w:val="0"/>
              <w:rPr>
                <w:rFonts w:ascii="宋体" w:hAnsi="宋体"/>
                <w:szCs w:val="21"/>
              </w:rPr>
            </w:pPr>
          </w:p>
        </w:tc>
        <w:tc>
          <w:tcPr>
            <w:tcW w:w="850" w:type="dxa"/>
          </w:tcPr>
          <w:p w14:paraId="591BA4A3">
            <w:pPr>
              <w:keepNext/>
              <w:keepLines/>
              <w:adjustRightInd w:val="0"/>
              <w:snapToGrid w:val="0"/>
              <w:spacing w:line="240" w:lineRule="auto"/>
              <w:jc w:val="center"/>
              <w:outlineLvl w:val="0"/>
              <w:rPr>
                <w:rFonts w:ascii="宋体" w:hAnsi="宋体"/>
                <w:szCs w:val="21"/>
              </w:rPr>
            </w:pPr>
          </w:p>
        </w:tc>
        <w:tc>
          <w:tcPr>
            <w:tcW w:w="964" w:type="dxa"/>
          </w:tcPr>
          <w:p w14:paraId="5DEE333C">
            <w:pPr>
              <w:keepNext/>
              <w:keepLines/>
              <w:adjustRightInd w:val="0"/>
              <w:snapToGrid w:val="0"/>
              <w:spacing w:line="240" w:lineRule="auto"/>
              <w:jc w:val="center"/>
              <w:outlineLvl w:val="0"/>
              <w:rPr>
                <w:rFonts w:ascii="宋体" w:hAnsi="宋体"/>
                <w:szCs w:val="21"/>
              </w:rPr>
            </w:pPr>
          </w:p>
        </w:tc>
      </w:tr>
      <w:tr w14:paraId="61FF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1F3375C1">
            <w:pPr>
              <w:keepNext/>
              <w:keepLines/>
              <w:adjustRightInd w:val="0"/>
              <w:snapToGrid w:val="0"/>
              <w:spacing w:line="240" w:lineRule="auto"/>
              <w:jc w:val="center"/>
              <w:outlineLvl w:val="0"/>
              <w:rPr>
                <w:rFonts w:ascii="宋体" w:hAnsi="宋体"/>
                <w:szCs w:val="21"/>
              </w:rPr>
            </w:pPr>
          </w:p>
        </w:tc>
        <w:tc>
          <w:tcPr>
            <w:tcW w:w="1707" w:type="dxa"/>
          </w:tcPr>
          <w:p w14:paraId="099CA515">
            <w:pPr>
              <w:keepNext/>
              <w:keepLines/>
              <w:adjustRightInd w:val="0"/>
              <w:snapToGrid w:val="0"/>
              <w:spacing w:line="240" w:lineRule="auto"/>
              <w:jc w:val="center"/>
              <w:outlineLvl w:val="0"/>
              <w:rPr>
                <w:rFonts w:ascii="宋体" w:hAnsi="宋体"/>
                <w:szCs w:val="21"/>
              </w:rPr>
            </w:pPr>
          </w:p>
        </w:tc>
        <w:tc>
          <w:tcPr>
            <w:tcW w:w="960" w:type="dxa"/>
          </w:tcPr>
          <w:p w14:paraId="38D16FC4">
            <w:pPr>
              <w:keepNext/>
              <w:keepLines/>
              <w:adjustRightInd w:val="0"/>
              <w:snapToGrid w:val="0"/>
              <w:spacing w:line="240" w:lineRule="auto"/>
              <w:jc w:val="center"/>
              <w:outlineLvl w:val="0"/>
              <w:rPr>
                <w:rFonts w:ascii="宋体" w:hAnsi="宋体"/>
                <w:szCs w:val="21"/>
              </w:rPr>
            </w:pPr>
          </w:p>
        </w:tc>
        <w:tc>
          <w:tcPr>
            <w:tcW w:w="566" w:type="dxa"/>
          </w:tcPr>
          <w:p w14:paraId="14082AA8">
            <w:pPr>
              <w:keepNext/>
              <w:keepLines/>
              <w:adjustRightInd w:val="0"/>
              <w:snapToGrid w:val="0"/>
              <w:spacing w:line="240" w:lineRule="auto"/>
              <w:jc w:val="center"/>
              <w:outlineLvl w:val="0"/>
              <w:rPr>
                <w:rFonts w:ascii="宋体" w:hAnsi="宋体"/>
                <w:szCs w:val="21"/>
              </w:rPr>
            </w:pPr>
          </w:p>
        </w:tc>
        <w:tc>
          <w:tcPr>
            <w:tcW w:w="710" w:type="dxa"/>
          </w:tcPr>
          <w:p w14:paraId="38AEBEB7">
            <w:pPr>
              <w:keepNext/>
              <w:keepLines/>
              <w:adjustRightInd w:val="0"/>
              <w:snapToGrid w:val="0"/>
              <w:spacing w:line="240" w:lineRule="auto"/>
              <w:jc w:val="center"/>
              <w:outlineLvl w:val="0"/>
              <w:rPr>
                <w:rFonts w:ascii="宋体" w:hAnsi="宋体"/>
                <w:szCs w:val="21"/>
              </w:rPr>
            </w:pPr>
          </w:p>
        </w:tc>
        <w:tc>
          <w:tcPr>
            <w:tcW w:w="852" w:type="dxa"/>
          </w:tcPr>
          <w:p w14:paraId="59AE85A9">
            <w:pPr>
              <w:keepNext/>
              <w:keepLines/>
              <w:adjustRightInd w:val="0"/>
              <w:snapToGrid w:val="0"/>
              <w:spacing w:line="240" w:lineRule="auto"/>
              <w:jc w:val="center"/>
              <w:outlineLvl w:val="0"/>
              <w:rPr>
                <w:rFonts w:ascii="宋体" w:hAnsi="宋体"/>
                <w:szCs w:val="21"/>
              </w:rPr>
            </w:pPr>
          </w:p>
        </w:tc>
        <w:tc>
          <w:tcPr>
            <w:tcW w:w="1296" w:type="dxa"/>
          </w:tcPr>
          <w:p w14:paraId="045ECDBA">
            <w:pPr>
              <w:keepNext/>
              <w:keepLines/>
              <w:adjustRightInd w:val="0"/>
              <w:snapToGrid w:val="0"/>
              <w:spacing w:line="240" w:lineRule="auto"/>
              <w:jc w:val="center"/>
              <w:outlineLvl w:val="0"/>
              <w:rPr>
                <w:rFonts w:ascii="宋体" w:hAnsi="宋体"/>
                <w:szCs w:val="21"/>
              </w:rPr>
            </w:pPr>
          </w:p>
        </w:tc>
        <w:tc>
          <w:tcPr>
            <w:tcW w:w="851" w:type="dxa"/>
          </w:tcPr>
          <w:p w14:paraId="34B94061">
            <w:pPr>
              <w:keepNext/>
              <w:keepLines/>
              <w:adjustRightInd w:val="0"/>
              <w:snapToGrid w:val="0"/>
              <w:spacing w:line="240" w:lineRule="auto"/>
              <w:jc w:val="center"/>
              <w:outlineLvl w:val="0"/>
              <w:rPr>
                <w:rFonts w:ascii="宋体" w:hAnsi="宋体"/>
                <w:szCs w:val="21"/>
              </w:rPr>
            </w:pPr>
          </w:p>
        </w:tc>
        <w:tc>
          <w:tcPr>
            <w:tcW w:w="850" w:type="dxa"/>
          </w:tcPr>
          <w:p w14:paraId="336700F2">
            <w:pPr>
              <w:keepNext/>
              <w:keepLines/>
              <w:adjustRightInd w:val="0"/>
              <w:snapToGrid w:val="0"/>
              <w:spacing w:line="240" w:lineRule="auto"/>
              <w:jc w:val="center"/>
              <w:outlineLvl w:val="0"/>
              <w:rPr>
                <w:rFonts w:ascii="宋体" w:hAnsi="宋体"/>
                <w:szCs w:val="21"/>
              </w:rPr>
            </w:pPr>
          </w:p>
        </w:tc>
        <w:tc>
          <w:tcPr>
            <w:tcW w:w="964" w:type="dxa"/>
          </w:tcPr>
          <w:p w14:paraId="2BF998F5">
            <w:pPr>
              <w:keepNext/>
              <w:keepLines/>
              <w:adjustRightInd w:val="0"/>
              <w:snapToGrid w:val="0"/>
              <w:spacing w:line="240" w:lineRule="auto"/>
              <w:jc w:val="center"/>
              <w:outlineLvl w:val="0"/>
              <w:rPr>
                <w:rFonts w:ascii="宋体" w:hAnsi="宋体"/>
                <w:szCs w:val="21"/>
              </w:rPr>
            </w:pPr>
          </w:p>
        </w:tc>
      </w:tr>
      <w:tr w14:paraId="5885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58B35BE5">
            <w:pPr>
              <w:keepNext/>
              <w:keepLines/>
              <w:adjustRightInd w:val="0"/>
              <w:snapToGrid w:val="0"/>
              <w:spacing w:line="240" w:lineRule="auto"/>
              <w:jc w:val="center"/>
              <w:outlineLvl w:val="0"/>
              <w:rPr>
                <w:rFonts w:ascii="宋体" w:hAnsi="宋体"/>
                <w:szCs w:val="21"/>
              </w:rPr>
            </w:pPr>
          </w:p>
        </w:tc>
        <w:tc>
          <w:tcPr>
            <w:tcW w:w="1707" w:type="dxa"/>
          </w:tcPr>
          <w:p w14:paraId="62B07D1D">
            <w:pPr>
              <w:keepNext/>
              <w:keepLines/>
              <w:adjustRightInd w:val="0"/>
              <w:snapToGrid w:val="0"/>
              <w:spacing w:line="240" w:lineRule="auto"/>
              <w:jc w:val="center"/>
              <w:outlineLvl w:val="0"/>
              <w:rPr>
                <w:rFonts w:ascii="宋体" w:hAnsi="宋体"/>
                <w:szCs w:val="21"/>
              </w:rPr>
            </w:pPr>
          </w:p>
        </w:tc>
        <w:tc>
          <w:tcPr>
            <w:tcW w:w="960" w:type="dxa"/>
          </w:tcPr>
          <w:p w14:paraId="7E1381A9">
            <w:pPr>
              <w:keepNext/>
              <w:keepLines/>
              <w:adjustRightInd w:val="0"/>
              <w:snapToGrid w:val="0"/>
              <w:spacing w:line="240" w:lineRule="auto"/>
              <w:jc w:val="center"/>
              <w:outlineLvl w:val="0"/>
              <w:rPr>
                <w:rFonts w:ascii="宋体" w:hAnsi="宋体"/>
                <w:szCs w:val="21"/>
              </w:rPr>
            </w:pPr>
          </w:p>
        </w:tc>
        <w:tc>
          <w:tcPr>
            <w:tcW w:w="566" w:type="dxa"/>
          </w:tcPr>
          <w:p w14:paraId="0B1097E7">
            <w:pPr>
              <w:keepNext/>
              <w:keepLines/>
              <w:adjustRightInd w:val="0"/>
              <w:snapToGrid w:val="0"/>
              <w:spacing w:line="240" w:lineRule="auto"/>
              <w:jc w:val="center"/>
              <w:outlineLvl w:val="0"/>
              <w:rPr>
                <w:rFonts w:ascii="宋体" w:hAnsi="宋体"/>
                <w:szCs w:val="21"/>
              </w:rPr>
            </w:pPr>
          </w:p>
        </w:tc>
        <w:tc>
          <w:tcPr>
            <w:tcW w:w="710" w:type="dxa"/>
          </w:tcPr>
          <w:p w14:paraId="0A0BC4AB">
            <w:pPr>
              <w:keepNext/>
              <w:keepLines/>
              <w:adjustRightInd w:val="0"/>
              <w:snapToGrid w:val="0"/>
              <w:spacing w:line="240" w:lineRule="auto"/>
              <w:jc w:val="center"/>
              <w:outlineLvl w:val="0"/>
              <w:rPr>
                <w:rFonts w:ascii="宋体" w:hAnsi="宋体"/>
                <w:szCs w:val="21"/>
              </w:rPr>
            </w:pPr>
          </w:p>
        </w:tc>
        <w:tc>
          <w:tcPr>
            <w:tcW w:w="852" w:type="dxa"/>
          </w:tcPr>
          <w:p w14:paraId="014B189D">
            <w:pPr>
              <w:keepNext/>
              <w:keepLines/>
              <w:adjustRightInd w:val="0"/>
              <w:snapToGrid w:val="0"/>
              <w:spacing w:line="240" w:lineRule="auto"/>
              <w:jc w:val="center"/>
              <w:outlineLvl w:val="0"/>
              <w:rPr>
                <w:rFonts w:ascii="宋体" w:hAnsi="宋体"/>
                <w:szCs w:val="21"/>
              </w:rPr>
            </w:pPr>
          </w:p>
        </w:tc>
        <w:tc>
          <w:tcPr>
            <w:tcW w:w="1296" w:type="dxa"/>
          </w:tcPr>
          <w:p w14:paraId="5C002AEA">
            <w:pPr>
              <w:keepNext/>
              <w:keepLines/>
              <w:adjustRightInd w:val="0"/>
              <w:snapToGrid w:val="0"/>
              <w:spacing w:line="240" w:lineRule="auto"/>
              <w:jc w:val="center"/>
              <w:outlineLvl w:val="0"/>
              <w:rPr>
                <w:rFonts w:ascii="宋体" w:hAnsi="宋体"/>
                <w:szCs w:val="21"/>
              </w:rPr>
            </w:pPr>
          </w:p>
        </w:tc>
        <w:tc>
          <w:tcPr>
            <w:tcW w:w="851" w:type="dxa"/>
          </w:tcPr>
          <w:p w14:paraId="15F9CD4A">
            <w:pPr>
              <w:keepNext/>
              <w:keepLines/>
              <w:adjustRightInd w:val="0"/>
              <w:snapToGrid w:val="0"/>
              <w:spacing w:line="240" w:lineRule="auto"/>
              <w:jc w:val="center"/>
              <w:outlineLvl w:val="0"/>
              <w:rPr>
                <w:rFonts w:ascii="宋体" w:hAnsi="宋体"/>
                <w:szCs w:val="21"/>
              </w:rPr>
            </w:pPr>
          </w:p>
        </w:tc>
        <w:tc>
          <w:tcPr>
            <w:tcW w:w="850" w:type="dxa"/>
          </w:tcPr>
          <w:p w14:paraId="02513F70">
            <w:pPr>
              <w:keepNext/>
              <w:keepLines/>
              <w:adjustRightInd w:val="0"/>
              <w:snapToGrid w:val="0"/>
              <w:spacing w:line="240" w:lineRule="auto"/>
              <w:jc w:val="center"/>
              <w:outlineLvl w:val="0"/>
              <w:rPr>
                <w:rFonts w:ascii="宋体" w:hAnsi="宋体"/>
                <w:szCs w:val="21"/>
              </w:rPr>
            </w:pPr>
          </w:p>
        </w:tc>
        <w:tc>
          <w:tcPr>
            <w:tcW w:w="964" w:type="dxa"/>
          </w:tcPr>
          <w:p w14:paraId="64F0845E">
            <w:pPr>
              <w:keepNext/>
              <w:keepLines/>
              <w:adjustRightInd w:val="0"/>
              <w:snapToGrid w:val="0"/>
              <w:spacing w:line="240" w:lineRule="auto"/>
              <w:jc w:val="center"/>
              <w:outlineLvl w:val="0"/>
              <w:rPr>
                <w:rFonts w:ascii="宋体" w:hAnsi="宋体"/>
                <w:szCs w:val="21"/>
              </w:rPr>
            </w:pPr>
          </w:p>
        </w:tc>
      </w:tr>
      <w:tr w14:paraId="7EAF3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734F4710">
            <w:pPr>
              <w:keepNext/>
              <w:keepLines/>
              <w:adjustRightInd w:val="0"/>
              <w:snapToGrid w:val="0"/>
              <w:spacing w:line="240" w:lineRule="auto"/>
              <w:jc w:val="center"/>
              <w:outlineLvl w:val="0"/>
              <w:rPr>
                <w:rFonts w:ascii="宋体" w:hAnsi="宋体"/>
                <w:szCs w:val="21"/>
              </w:rPr>
            </w:pPr>
          </w:p>
        </w:tc>
        <w:tc>
          <w:tcPr>
            <w:tcW w:w="1707" w:type="dxa"/>
          </w:tcPr>
          <w:p w14:paraId="079567E8">
            <w:pPr>
              <w:keepNext/>
              <w:keepLines/>
              <w:adjustRightInd w:val="0"/>
              <w:snapToGrid w:val="0"/>
              <w:spacing w:line="240" w:lineRule="auto"/>
              <w:jc w:val="center"/>
              <w:outlineLvl w:val="0"/>
              <w:rPr>
                <w:rFonts w:ascii="宋体" w:hAnsi="宋体"/>
                <w:szCs w:val="21"/>
              </w:rPr>
            </w:pPr>
          </w:p>
        </w:tc>
        <w:tc>
          <w:tcPr>
            <w:tcW w:w="960" w:type="dxa"/>
          </w:tcPr>
          <w:p w14:paraId="7C9AC012">
            <w:pPr>
              <w:keepNext/>
              <w:keepLines/>
              <w:adjustRightInd w:val="0"/>
              <w:snapToGrid w:val="0"/>
              <w:spacing w:line="240" w:lineRule="auto"/>
              <w:jc w:val="center"/>
              <w:outlineLvl w:val="0"/>
              <w:rPr>
                <w:rFonts w:ascii="宋体" w:hAnsi="宋体"/>
                <w:szCs w:val="21"/>
              </w:rPr>
            </w:pPr>
          </w:p>
        </w:tc>
        <w:tc>
          <w:tcPr>
            <w:tcW w:w="566" w:type="dxa"/>
          </w:tcPr>
          <w:p w14:paraId="28A6FC27">
            <w:pPr>
              <w:keepNext/>
              <w:keepLines/>
              <w:adjustRightInd w:val="0"/>
              <w:snapToGrid w:val="0"/>
              <w:spacing w:line="240" w:lineRule="auto"/>
              <w:jc w:val="center"/>
              <w:outlineLvl w:val="0"/>
              <w:rPr>
                <w:rFonts w:ascii="宋体" w:hAnsi="宋体"/>
                <w:szCs w:val="21"/>
              </w:rPr>
            </w:pPr>
          </w:p>
        </w:tc>
        <w:tc>
          <w:tcPr>
            <w:tcW w:w="710" w:type="dxa"/>
          </w:tcPr>
          <w:p w14:paraId="3D08906F">
            <w:pPr>
              <w:keepNext/>
              <w:keepLines/>
              <w:adjustRightInd w:val="0"/>
              <w:snapToGrid w:val="0"/>
              <w:spacing w:line="240" w:lineRule="auto"/>
              <w:jc w:val="center"/>
              <w:outlineLvl w:val="0"/>
              <w:rPr>
                <w:rFonts w:ascii="宋体" w:hAnsi="宋体"/>
                <w:szCs w:val="21"/>
              </w:rPr>
            </w:pPr>
          </w:p>
        </w:tc>
        <w:tc>
          <w:tcPr>
            <w:tcW w:w="852" w:type="dxa"/>
          </w:tcPr>
          <w:p w14:paraId="661F6E53">
            <w:pPr>
              <w:keepNext/>
              <w:keepLines/>
              <w:adjustRightInd w:val="0"/>
              <w:snapToGrid w:val="0"/>
              <w:spacing w:line="240" w:lineRule="auto"/>
              <w:jc w:val="center"/>
              <w:outlineLvl w:val="0"/>
              <w:rPr>
                <w:rFonts w:ascii="宋体" w:hAnsi="宋体"/>
                <w:szCs w:val="21"/>
              </w:rPr>
            </w:pPr>
          </w:p>
        </w:tc>
        <w:tc>
          <w:tcPr>
            <w:tcW w:w="1296" w:type="dxa"/>
          </w:tcPr>
          <w:p w14:paraId="26B8905E">
            <w:pPr>
              <w:keepNext/>
              <w:keepLines/>
              <w:adjustRightInd w:val="0"/>
              <w:snapToGrid w:val="0"/>
              <w:spacing w:line="240" w:lineRule="auto"/>
              <w:jc w:val="center"/>
              <w:outlineLvl w:val="0"/>
              <w:rPr>
                <w:rFonts w:ascii="宋体" w:hAnsi="宋体"/>
                <w:szCs w:val="21"/>
              </w:rPr>
            </w:pPr>
          </w:p>
        </w:tc>
        <w:tc>
          <w:tcPr>
            <w:tcW w:w="851" w:type="dxa"/>
          </w:tcPr>
          <w:p w14:paraId="39352996">
            <w:pPr>
              <w:keepNext/>
              <w:keepLines/>
              <w:adjustRightInd w:val="0"/>
              <w:snapToGrid w:val="0"/>
              <w:spacing w:line="240" w:lineRule="auto"/>
              <w:jc w:val="center"/>
              <w:outlineLvl w:val="0"/>
              <w:rPr>
                <w:rFonts w:ascii="宋体" w:hAnsi="宋体"/>
                <w:szCs w:val="21"/>
              </w:rPr>
            </w:pPr>
          </w:p>
        </w:tc>
        <w:tc>
          <w:tcPr>
            <w:tcW w:w="850" w:type="dxa"/>
          </w:tcPr>
          <w:p w14:paraId="50810A90">
            <w:pPr>
              <w:keepNext/>
              <w:keepLines/>
              <w:adjustRightInd w:val="0"/>
              <w:snapToGrid w:val="0"/>
              <w:spacing w:line="240" w:lineRule="auto"/>
              <w:jc w:val="center"/>
              <w:outlineLvl w:val="0"/>
              <w:rPr>
                <w:rFonts w:ascii="宋体" w:hAnsi="宋体"/>
                <w:szCs w:val="21"/>
              </w:rPr>
            </w:pPr>
          </w:p>
        </w:tc>
        <w:tc>
          <w:tcPr>
            <w:tcW w:w="964" w:type="dxa"/>
          </w:tcPr>
          <w:p w14:paraId="06454FDA">
            <w:pPr>
              <w:keepNext/>
              <w:keepLines/>
              <w:adjustRightInd w:val="0"/>
              <w:snapToGrid w:val="0"/>
              <w:spacing w:line="240" w:lineRule="auto"/>
              <w:jc w:val="center"/>
              <w:outlineLvl w:val="0"/>
              <w:rPr>
                <w:rFonts w:ascii="宋体" w:hAnsi="宋体"/>
                <w:szCs w:val="21"/>
              </w:rPr>
            </w:pPr>
          </w:p>
        </w:tc>
      </w:tr>
      <w:tr w14:paraId="651F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4144B749">
            <w:pPr>
              <w:keepNext/>
              <w:keepLines/>
              <w:adjustRightInd w:val="0"/>
              <w:snapToGrid w:val="0"/>
              <w:spacing w:line="240" w:lineRule="auto"/>
              <w:jc w:val="center"/>
              <w:outlineLvl w:val="0"/>
              <w:rPr>
                <w:rFonts w:ascii="宋体" w:hAnsi="宋体"/>
                <w:szCs w:val="21"/>
              </w:rPr>
            </w:pPr>
          </w:p>
        </w:tc>
        <w:tc>
          <w:tcPr>
            <w:tcW w:w="1707" w:type="dxa"/>
          </w:tcPr>
          <w:p w14:paraId="280FB060">
            <w:pPr>
              <w:keepNext/>
              <w:keepLines/>
              <w:adjustRightInd w:val="0"/>
              <w:snapToGrid w:val="0"/>
              <w:spacing w:line="240" w:lineRule="auto"/>
              <w:jc w:val="center"/>
              <w:outlineLvl w:val="0"/>
              <w:rPr>
                <w:rFonts w:ascii="宋体" w:hAnsi="宋体"/>
                <w:szCs w:val="21"/>
              </w:rPr>
            </w:pPr>
          </w:p>
        </w:tc>
        <w:tc>
          <w:tcPr>
            <w:tcW w:w="960" w:type="dxa"/>
          </w:tcPr>
          <w:p w14:paraId="0492A1CC">
            <w:pPr>
              <w:keepNext/>
              <w:keepLines/>
              <w:adjustRightInd w:val="0"/>
              <w:snapToGrid w:val="0"/>
              <w:spacing w:line="240" w:lineRule="auto"/>
              <w:jc w:val="center"/>
              <w:outlineLvl w:val="0"/>
              <w:rPr>
                <w:rFonts w:ascii="宋体" w:hAnsi="宋体"/>
                <w:szCs w:val="21"/>
              </w:rPr>
            </w:pPr>
          </w:p>
        </w:tc>
        <w:tc>
          <w:tcPr>
            <w:tcW w:w="566" w:type="dxa"/>
          </w:tcPr>
          <w:p w14:paraId="22CB16CF">
            <w:pPr>
              <w:keepNext/>
              <w:keepLines/>
              <w:adjustRightInd w:val="0"/>
              <w:snapToGrid w:val="0"/>
              <w:spacing w:line="240" w:lineRule="auto"/>
              <w:jc w:val="center"/>
              <w:outlineLvl w:val="0"/>
              <w:rPr>
                <w:rFonts w:ascii="宋体" w:hAnsi="宋体"/>
                <w:szCs w:val="21"/>
              </w:rPr>
            </w:pPr>
          </w:p>
        </w:tc>
        <w:tc>
          <w:tcPr>
            <w:tcW w:w="710" w:type="dxa"/>
          </w:tcPr>
          <w:p w14:paraId="47B10197">
            <w:pPr>
              <w:keepNext/>
              <w:keepLines/>
              <w:adjustRightInd w:val="0"/>
              <w:snapToGrid w:val="0"/>
              <w:spacing w:line="240" w:lineRule="auto"/>
              <w:jc w:val="center"/>
              <w:outlineLvl w:val="0"/>
              <w:rPr>
                <w:rFonts w:ascii="宋体" w:hAnsi="宋体"/>
                <w:szCs w:val="21"/>
              </w:rPr>
            </w:pPr>
          </w:p>
        </w:tc>
        <w:tc>
          <w:tcPr>
            <w:tcW w:w="852" w:type="dxa"/>
          </w:tcPr>
          <w:p w14:paraId="59BC8EBC">
            <w:pPr>
              <w:keepNext/>
              <w:keepLines/>
              <w:adjustRightInd w:val="0"/>
              <w:snapToGrid w:val="0"/>
              <w:spacing w:line="240" w:lineRule="auto"/>
              <w:jc w:val="center"/>
              <w:outlineLvl w:val="0"/>
              <w:rPr>
                <w:rFonts w:ascii="宋体" w:hAnsi="宋体"/>
                <w:szCs w:val="21"/>
              </w:rPr>
            </w:pPr>
          </w:p>
        </w:tc>
        <w:tc>
          <w:tcPr>
            <w:tcW w:w="1296" w:type="dxa"/>
          </w:tcPr>
          <w:p w14:paraId="26A63C1C">
            <w:pPr>
              <w:keepNext/>
              <w:keepLines/>
              <w:adjustRightInd w:val="0"/>
              <w:snapToGrid w:val="0"/>
              <w:spacing w:line="240" w:lineRule="auto"/>
              <w:jc w:val="center"/>
              <w:outlineLvl w:val="0"/>
              <w:rPr>
                <w:rFonts w:ascii="宋体" w:hAnsi="宋体"/>
                <w:szCs w:val="21"/>
              </w:rPr>
            </w:pPr>
          </w:p>
        </w:tc>
        <w:tc>
          <w:tcPr>
            <w:tcW w:w="851" w:type="dxa"/>
          </w:tcPr>
          <w:p w14:paraId="23C4A78B">
            <w:pPr>
              <w:keepNext/>
              <w:keepLines/>
              <w:adjustRightInd w:val="0"/>
              <w:snapToGrid w:val="0"/>
              <w:spacing w:line="240" w:lineRule="auto"/>
              <w:jc w:val="center"/>
              <w:outlineLvl w:val="0"/>
              <w:rPr>
                <w:rFonts w:ascii="宋体" w:hAnsi="宋体"/>
                <w:szCs w:val="21"/>
              </w:rPr>
            </w:pPr>
          </w:p>
        </w:tc>
        <w:tc>
          <w:tcPr>
            <w:tcW w:w="850" w:type="dxa"/>
          </w:tcPr>
          <w:p w14:paraId="5440DE56">
            <w:pPr>
              <w:keepNext/>
              <w:keepLines/>
              <w:adjustRightInd w:val="0"/>
              <w:snapToGrid w:val="0"/>
              <w:spacing w:line="240" w:lineRule="auto"/>
              <w:jc w:val="center"/>
              <w:outlineLvl w:val="0"/>
              <w:rPr>
                <w:rFonts w:ascii="宋体" w:hAnsi="宋体"/>
                <w:szCs w:val="21"/>
              </w:rPr>
            </w:pPr>
          </w:p>
        </w:tc>
        <w:tc>
          <w:tcPr>
            <w:tcW w:w="964" w:type="dxa"/>
          </w:tcPr>
          <w:p w14:paraId="49272182">
            <w:pPr>
              <w:keepNext/>
              <w:keepLines/>
              <w:adjustRightInd w:val="0"/>
              <w:snapToGrid w:val="0"/>
              <w:spacing w:line="240" w:lineRule="auto"/>
              <w:jc w:val="center"/>
              <w:outlineLvl w:val="0"/>
              <w:rPr>
                <w:rFonts w:ascii="宋体" w:hAnsi="宋体"/>
                <w:szCs w:val="21"/>
              </w:rPr>
            </w:pPr>
          </w:p>
        </w:tc>
      </w:tr>
      <w:tr w14:paraId="0605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157BF313">
            <w:pPr>
              <w:keepNext/>
              <w:keepLines/>
              <w:adjustRightInd w:val="0"/>
              <w:snapToGrid w:val="0"/>
              <w:spacing w:line="240" w:lineRule="auto"/>
              <w:jc w:val="center"/>
              <w:outlineLvl w:val="0"/>
              <w:rPr>
                <w:rFonts w:ascii="宋体" w:hAnsi="宋体"/>
                <w:szCs w:val="21"/>
              </w:rPr>
            </w:pPr>
          </w:p>
        </w:tc>
        <w:tc>
          <w:tcPr>
            <w:tcW w:w="1707" w:type="dxa"/>
          </w:tcPr>
          <w:p w14:paraId="40441636">
            <w:pPr>
              <w:keepNext/>
              <w:keepLines/>
              <w:adjustRightInd w:val="0"/>
              <w:snapToGrid w:val="0"/>
              <w:spacing w:line="240" w:lineRule="auto"/>
              <w:jc w:val="center"/>
              <w:outlineLvl w:val="0"/>
              <w:rPr>
                <w:rFonts w:ascii="宋体" w:hAnsi="宋体"/>
                <w:szCs w:val="21"/>
              </w:rPr>
            </w:pPr>
          </w:p>
        </w:tc>
        <w:tc>
          <w:tcPr>
            <w:tcW w:w="960" w:type="dxa"/>
          </w:tcPr>
          <w:p w14:paraId="0D2251D9">
            <w:pPr>
              <w:keepNext/>
              <w:keepLines/>
              <w:adjustRightInd w:val="0"/>
              <w:snapToGrid w:val="0"/>
              <w:spacing w:line="240" w:lineRule="auto"/>
              <w:jc w:val="center"/>
              <w:outlineLvl w:val="0"/>
              <w:rPr>
                <w:rFonts w:ascii="宋体" w:hAnsi="宋体"/>
                <w:szCs w:val="21"/>
              </w:rPr>
            </w:pPr>
          </w:p>
        </w:tc>
        <w:tc>
          <w:tcPr>
            <w:tcW w:w="566" w:type="dxa"/>
          </w:tcPr>
          <w:p w14:paraId="391295DE">
            <w:pPr>
              <w:keepNext/>
              <w:keepLines/>
              <w:adjustRightInd w:val="0"/>
              <w:snapToGrid w:val="0"/>
              <w:spacing w:line="240" w:lineRule="auto"/>
              <w:jc w:val="center"/>
              <w:outlineLvl w:val="0"/>
              <w:rPr>
                <w:rFonts w:ascii="宋体" w:hAnsi="宋体"/>
                <w:szCs w:val="21"/>
              </w:rPr>
            </w:pPr>
          </w:p>
        </w:tc>
        <w:tc>
          <w:tcPr>
            <w:tcW w:w="710" w:type="dxa"/>
          </w:tcPr>
          <w:p w14:paraId="0A2161DB">
            <w:pPr>
              <w:keepNext/>
              <w:keepLines/>
              <w:adjustRightInd w:val="0"/>
              <w:snapToGrid w:val="0"/>
              <w:spacing w:line="240" w:lineRule="auto"/>
              <w:jc w:val="center"/>
              <w:outlineLvl w:val="0"/>
              <w:rPr>
                <w:rFonts w:ascii="宋体" w:hAnsi="宋体"/>
                <w:szCs w:val="21"/>
              </w:rPr>
            </w:pPr>
          </w:p>
        </w:tc>
        <w:tc>
          <w:tcPr>
            <w:tcW w:w="852" w:type="dxa"/>
          </w:tcPr>
          <w:p w14:paraId="6BEE8EA0">
            <w:pPr>
              <w:keepNext/>
              <w:keepLines/>
              <w:adjustRightInd w:val="0"/>
              <w:snapToGrid w:val="0"/>
              <w:spacing w:line="240" w:lineRule="auto"/>
              <w:jc w:val="center"/>
              <w:outlineLvl w:val="0"/>
              <w:rPr>
                <w:rFonts w:ascii="宋体" w:hAnsi="宋体"/>
                <w:szCs w:val="21"/>
              </w:rPr>
            </w:pPr>
          </w:p>
        </w:tc>
        <w:tc>
          <w:tcPr>
            <w:tcW w:w="1296" w:type="dxa"/>
          </w:tcPr>
          <w:p w14:paraId="69C7D2C3">
            <w:pPr>
              <w:keepNext/>
              <w:keepLines/>
              <w:adjustRightInd w:val="0"/>
              <w:snapToGrid w:val="0"/>
              <w:spacing w:line="240" w:lineRule="auto"/>
              <w:jc w:val="center"/>
              <w:outlineLvl w:val="0"/>
              <w:rPr>
                <w:rFonts w:ascii="宋体" w:hAnsi="宋体"/>
                <w:szCs w:val="21"/>
              </w:rPr>
            </w:pPr>
          </w:p>
        </w:tc>
        <w:tc>
          <w:tcPr>
            <w:tcW w:w="851" w:type="dxa"/>
          </w:tcPr>
          <w:p w14:paraId="79512C75">
            <w:pPr>
              <w:keepNext/>
              <w:keepLines/>
              <w:adjustRightInd w:val="0"/>
              <w:snapToGrid w:val="0"/>
              <w:spacing w:line="240" w:lineRule="auto"/>
              <w:jc w:val="center"/>
              <w:outlineLvl w:val="0"/>
              <w:rPr>
                <w:rFonts w:ascii="宋体" w:hAnsi="宋体"/>
                <w:szCs w:val="21"/>
              </w:rPr>
            </w:pPr>
          </w:p>
        </w:tc>
        <w:tc>
          <w:tcPr>
            <w:tcW w:w="850" w:type="dxa"/>
          </w:tcPr>
          <w:p w14:paraId="0F67A753">
            <w:pPr>
              <w:keepNext/>
              <w:keepLines/>
              <w:adjustRightInd w:val="0"/>
              <w:snapToGrid w:val="0"/>
              <w:spacing w:line="240" w:lineRule="auto"/>
              <w:jc w:val="center"/>
              <w:outlineLvl w:val="0"/>
              <w:rPr>
                <w:rFonts w:ascii="宋体" w:hAnsi="宋体"/>
                <w:szCs w:val="21"/>
              </w:rPr>
            </w:pPr>
          </w:p>
        </w:tc>
        <w:tc>
          <w:tcPr>
            <w:tcW w:w="964" w:type="dxa"/>
          </w:tcPr>
          <w:p w14:paraId="5639A6F4">
            <w:pPr>
              <w:keepNext/>
              <w:keepLines/>
              <w:adjustRightInd w:val="0"/>
              <w:snapToGrid w:val="0"/>
              <w:spacing w:line="240" w:lineRule="auto"/>
              <w:jc w:val="center"/>
              <w:outlineLvl w:val="0"/>
              <w:rPr>
                <w:rFonts w:ascii="宋体" w:hAnsi="宋体"/>
                <w:szCs w:val="21"/>
              </w:rPr>
            </w:pPr>
          </w:p>
        </w:tc>
      </w:tr>
      <w:tr w14:paraId="3B9E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14B91EF4">
            <w:pPr>
              <w:keepNext/>
              <w:keepLines/>
              <w:adjustRightInd w:val="0"/>
              <w:snapToGrid w:val="0"/>
              <w:spacing w:line="240" w:lineRule="auto"/>
              <w:jc w:val="center"/>
              <w:outlineLvl w:val="0"/>
              <w:rPr>
                <w:rFonts w:ascii="宋体" w:hAnsi="宋体"/>
                <w:szCs w:val="21"/>
              </w:rPr>
            </w:pPr>
          </w:p>
        </w:tc>
        <w:tc>
          <w:tcPr>
            <w:tcW w:w="1707" w:type="dxa"/>
          </w:tcPr>
          <w:p w14:paraId="3A7B6207">
            <w:pPr>
              <w:keepNext/>
              <w:keepLines/>
              <w:adjustRightInd w:val="0"/>
              <w:snapToGrid w:val="0"/>
              <w:spacing w:line="240" w:lineRule="auto"/>
              <w:jc w:val="center"/>
              <w:outlineLvl w:val="0"/>
              <w:rPr>
                <w:rFonts w:ascii="宋体" w:hAnsi="宋体"/>
                <w:szCs w:val="21"/>
              </w:rPr>
            </w:pPr>
          </w:p>
        </w:tc>
        <w:tc>
          <w:tcPr>
            <w:tcW w:w="960" w:type="dxa"/>
          </w:tcPr>
          <w:p w14:paraId="5CD1295F">
            <w:pPr>
              <w:keepNext/>
              <w:keepLines/>
              <w:adjustRightInd w:val="0"/>
              <w:snapToGrid w:val="0"/>
              <w:spacing w:line="240" w:lineRule="auto"/>
              <w:jc w:val="center"/>
              <w:outlineLvl w:val="0"/>
              <w:rPr>
                <w:rFonts w:ascii="宋体" w:hAnsi="宋体"/>
                <w:szCs w:val="21"/>
              </w:rPr>
            </w:pPr>
          </w:p>
        </w:tc>
        <w:tc>
          <w:tcPr>
            <w:tcW w:w="566" w:type="dxa"/>
          </w:tcPr>
          <w:p w14:paraId="5D86700B">
            <w:pPr>
              <w:keepNext/>
              <w:keepLines/>
              <w:adjustRightInd w:val="0"/>
              <w:snapToGrid w:val="0"/>
              <w:spacing w:line="240" w:lineRule="auto"/>
              <w:jc w:val="center"/>
              <w:outlineLvl w:val="0"/>
              <w:rPr>
                <w:rFonts w:ascii="宋体" w:hAnsi="宋体"/>
                <w:szCs w:val="21"/>
              </w:rPr>
            </w:pPr>
          </w:p>
        </w:tc>
        <w:tc>
          <w:tcPr>
            <w:tcW w:w="710" w:type="dxa"/>
          </w:tcPr>
          <w:p w14:paraId="27855DF6">
            <w:pPr>
              <w:keepNext/>
              <w:keepLines/>
              <w:adjustRightInd w:val="0"/>
              <w:snapToGrid w:val="0"/>
              <w:spacing w:line="240" w:lineRule="auto"/>
              <w:jc w:val="center"/>
              <w:outlineLvl w:val="0"/>
              <w:rPr>
                <w:rFonts w:ascii="宋体" w:hAnsi="宋体"/>
                <w:szCs w:val="21"/>
              </w:rPr>
            </w:pPr>
          </w:p>
        </w:tc>
        <w:tc>
          <w:tcPr>
            <w:tcW w:w="852" w:type="dxa"/>
          </w:tcPr>
          <w:p w14:paraId="03C5DC77">
            <w:pPr>
              <w:keepNext/>
              <w:keepLines/>
              <w:adjustRightInd w:val="0"/>
              <w:snapToGrid w:val="0"/>
              <w:spacing w:line="240" w:lineRule="auto"/>
              <w:jc w:val="center"/>
              <w:outlineLvl w:val="0"/>
              <w:rPr>
                <w:rFonts w:ascii="宋体" w:hAnsi="宋体"/>
                <w:szCs w:val="21"/>
              </w:rPr>
            </w:pPr>
          </w:p>
        </w:tc>
        <w:tc>
          <w:tcPr>
            <w:tcW w:w="1296" w:type="dxa"/>
          </w:tcPr>
          <w:p w14:paraId="38171FC1">
            <w:pPr>
              <w:keepNext/>
              <w:keepLines/>
              <w:adjustRightInd w:val="0"/>
              <w:snapToGrid w:val="0"/>
              <w:spacing w:line="240" w:lineRule="auto"/>
              <w:jc w:val="center"/>
              <w:outlineLvl w:val="0"/>
              <w:rPr>
                <w:rFonts w:ascii="宋体" w:hAnsi="宋体"/>
                <w:szCs w:val="21"/>
              </w:rPr>
            </w:pPr>
          </w:p>
        </w:tc>
        <w:tc>
          <w:tcPr>
            <w:tcW w:w="851" w:type="dxa"/>
          </w:tcPr>
          <w:p w14:paraId="75493230">
            <w:pPr>
              <w:keepNext/>
              <w:keepLines/>
              <w:adjustRightInd w:val="0"/>
              <w:snapToGrid w:val="0"/>
              <w:spacing w:line="240" w:lineRule="auto"/>
              <w:jc w:val="center"/>
              <w:outlineLvl w:val="0"/>
              <w:rPr>
                <w:rFonts w:ascii="宋体" w:hAnsi="宋体"/>
                <w:szCs w:val="21"/>
              </w:rPr>
            </w:pPr>
          </w:p>
        </w:tc>
        <w:tc>
          <w:tcPr>
            <w:tcW w:w="850" w:type="dxa"/>
          </w:tcPr>
          <w:p w14:paraId="7F24D90E">
            <w:pPr>
              <w:keepNext/>
              <w:keepLines/>
              <w:adjustRightInd w:val="0"/>
              <w:snapToGrid w:val="0"/>
              <w:spacing w:line="240" w:lineRule="auto"/>
              <w:jc w:val="center"/>
              <w:outlineLvl w:val="0"/>
              <w:rPr>
                <w:rFonts w:ascii="宋体" w:hAnsi="宋体"/>
                <w:szCs w:val="21"/>
              </w:rPr>
            </w:pPr>
          </w:p>
        </w:tc>
        <w:tc>
          <w:tcPr>
            <w:tcW w:w="964" w:type="dxa"/>
          </w:tcPr>
          <w:p w14:paraId="1B73DC3C">
            <w:pPr>
              <w:keepNext/>
              <w:keepLines/>
              <w:adjustRightInd w:val="0"/>
              <w:snapToGrid w:val="0"/>
              <w:spacing w:line="240" w:lineRule="auto"/>
              <w:jc w:val="center"/>
              <w:outlineLvl w:val="0"/>
              <w:rPr>
                <w:rFonts w:ascii="宋体" w:hAnsi="宋体"/>
                <w:szCs w:val="21"/>
              </w:rPr>
            </w:pPr>
          </w:p>
        </w:tc>
      </w:tr>
      <w:tr w14:paraId="6FEF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708" w:type="dxa"/>
          </w:tcPr>
          <w:p w14:paraId="010EDBCC">
            <w:pPr>
              <w:keepNext/>
              <w:keepLines/>
              <w:adjustRightInd w:val="0"/>
              <w:snapToGrid w:val="0"/>
              <w:spacing w:line="240" w:lineRule="auto"/>
              <w:jc w:val="center"/>
              <w:outlineLvl w:val="0"/>
              <w:rPr>
                <w:rFonts w:ascii="宋体" w:hAnsi="宋体"/>
                <w:szCs w:val="21"/>
              </w:rPr>
            </w:pPr>
          </w:p>
        </w:tc>
        <w:tc>
          <w:tcPr>
            <w:tcW w:w="1707" w:type="dxa"/>
          </w:tcPr>
          <w:p w14:paraId="4FB177BE">
            <w:pPr>
              <w:keepNext/>
              <w:keepLines/>
              <w:adjustRightInd w:val="0"/>
              <w:snapToGrid w:val="0"/>
              <w:spacing w:line="240" w:lineRule="auto"/>
              <w:jc w:val="center"/>
              <w:outlineLvl w:val="0"/>
              <w:rPr>
                <w:rFonts w:ascii="宋体" w:hAnsi="宋体"/>
                <w:szCs w:val="21"/>
              </w:rPr>
            </w:pPr>
          </w:p>
        </w:tc>
        <w:tc>
          <w:tcPr>
            <w:tcW w:w="960" w:type="dxa"/>
          </w:tcPr>
          <w:p w14:paraId="61E7D534">
            <w:pPr>
              <w:keepNext/>
              <w:keepLines/>
              <w:adjustRightInd w:val="0"/>
              <w:snapToGrid w:val="0"/>
              <w:spacing w:line="240" w:lineRule="auto"/>
              <w:jc w:val="center"/>
              <w:outlineLvl w:val="0"/>
              <w:rPr>
                <w:rFonts w:ascii="宋体" w:hAnsi="宋体"/>
                <w:szCs w:val="21"/>
              </w:rPr>
            </w:pPr>
          </w:p>
        </w:tc>
        <w:tc>
          <w:tcPr>
            <w:tcW w:w="566" w:type="dxa"/>
          </w:tcPr>
          <w:p w14:paraId="65F62962">
            <w:pPr>
              <w:keepNext/>
              <w:keepLines/>
              <w:adjustRightInd w:val="0"/>
              <w:snapToGrid w:val="0"/>
              <w:spacing w:line="240" w:lineRule="auto"/>
              <w:jc w:val="center"/>
              <w:outlineLvl w:val="0"/>
              <w:rPr>
                <w:rFonts w:ascii="宋体" w:hAnsi="宋体"/>
                <w:szCs w:val="21"/>
              </w:rPr>
            </w:pPr>
          </w:p>
        </w:tc>
        <w:tc>
          <w:tcPr>
            <w:tcW w:w="710" w:type="dxa"/>
          </w:tcPr>
          <w:p w14:paraId="1E633313">
            <w:pPr>
              <w:keepNext/>
              <w:keepLines/>
              <w:adjustRightInd w:val="0"/>
              <w:snapToGrid w:val="0"/>
              <w:spacing w:line="240" w:lineRule="auto"/>
              <w:jc w:val="center"/>
              <w:outlineLvl w:val="0"/>
              <w:rPr>
                <w:rFonts w:ascii="宋体" w:hAnsi="宋体"/>
                <w:szCs w:val="21"/>
              </w:rPr>
            </w:pPr>
          </w:p>
        </w:tc>
        <w:tc>
          <w:tcPr>
            <w:tcW w:w="852" w:type="dxa"/>
          </w:tcPr>
          <w:p w14:paraId="7467D10A">
            <w:pPr>
              <w:keepNext/>
              <w:keepLines/>
              <w:adjustRightInd w:val="0"/>
              <w:snapToGrid w:val="0"/>
              <w:spacing w:line="240" w:lineRule="auto"/>
              <w:jc w:val="center"/>
              <w:outlineLvl w:val="0"/>
              <w:rPr>
                <w:rFonts w:ascii="宋体" w:hAnsi="宋体"/>
                <w:szCs w:val="21"/>
              </w:rPr>
            </w:pPr>
          </w:p>
        </w:tc>
        <w:tc>
          <w:tcPr>
            <w:tcW w:w="1296" w:type="dxa"/>
          </w:tcPr>
          <w:p w14:paraId="315EF19F">
            <w:pPr>
              <w:keepNext/>
              <w:keepLines/>
              <w:adjustRightInd w:val="0"/>
              <w:snapToGrid w:val="0"/>
              <w:spacing w:line="240" w:lineRule="auto"/>
              <w:jc w:val="center"/>
              <w:outlineLvl w:val="0"/>
              <w:rPr>
                <w:rFonts w:ascii="宋体" w:hAnsi="宋体"/>
                <w:szCs w:val="21"/>
              </w:rPr>
            </w:pPr>
          </w:p>
        </w:tc>
        <w:tc>
          <w:tcPr>
            <w:tcW w:w="851" w:type="dxa"/>
          </w:tcPr>
          <w:p w14:paraId="6C6FFF20">
            <w:pPr>
              <w:keepNext/>
              <w:keepLines/>
              <w:adjustRightInd w:val="0"/>
              <w:snapToGrid w:val="0"/>
              <w:spacing w:line="240" w:lineRule="auto"/>
              <w:jc w:val="center"/>
              <w:outlineLvl w:val="0"/>
              <w:rPr>
                <w:rFonts w:ascii="宋体" w:hAnsi="宋体"/>
                <w:szCs w:val="21"/>
              </w:rPr>
            </w:pPr>
          </w:p>
        </w:tc>
        <w:tc>
          <w:tcPr>
            <w:tcW w:w="850" w:type="dxa"/>
          </w:tcPr>
          <w:p w14:paraId="5B53AA22">
            <w:pPr>
              <w:keepNext/>
              <w:keepLines/>
              <w:adjustRightInd w:val="0"/>
              <w:snapToGrid w:val="0"/>
              <w:spacing w:line="240" w:lineRule="auto"/>
              <w:jc w:val="center"/>
              <w:outlineLvl w:val="0"/>
              <w:rPr>
                <w:rFonts w:ascii="宋体" w:hAnsi="宋体"/>
                <w:szCs w:val="21"/>
              </w:rPr>
            </w:pPr>
          </w:p>
        </w:tc>
        <w:tc>
          <w:tcPr>
            <w:tcW w:w="964" w:type="dxa"/>
          </w:tcPr>
          <w:p w14:paraId="7450E630">
            <w:pPr>
              <w:keepNext/>
              <w:keepLines/>
              <w:adjustRightInd w:val="0"/>
              <w:snapToGrid w:val="0"/>
              <w:spacing w:line="240" w:lineRule="auto"/>
              <w:jc w:val="center"/>
              <w:outlineLvl w:val="0"/>
              <w:rPr>
                <w:rFonts w:ascii="宋体" w:hAnsi="宋体"/>
                <w:szCs w:val="21"/>
              </w:rPr>
            </w:pPr>
          </w:p>
        </w:tc>
      </w:tr>
    </w:tbl>
    <w:p w14:paraId="10301DBE">
      <w:pPr>
        <w:outlineLvl w:val="1"/>
        <w:rPr>
          <w:rFonts w:ascii="宋体" w:hAnsi="宋体"/>
        </w:rPr>
      </w:pPr>
      <w:r>
        <w:rPr>
          <w:rFonts w:ascii="宋体" w:hAnsi="宋体"/>
        </w:rPr>
        <w:br w:type="page"/>
      </w:r>
      <w:bookmarkStart w:id="1085" w:name="_Toc101375683"/>
      <w:bookmarkStart w:id="1086" w:name="_Toc5863"/>
      <w:bookmarkStart w:id="1087" w:name="_Toc12699"/>
      <w:r>
        <w:rPr>
          <w:rFonts w:hint="eastAsia" w:ascii="宋体" w:hAnsi="宋体"/>
        </w:rPr>
        <w:t>附件</w:t>
      </w:r>
      <w:r>
        <w:rPr>
          <w:rFonts w:ascii="宋体" w:hAnsi="宋体"/>
        </w:rPr>
        <w:t>1</w:t>
      </w:r>
      <w:r>
        <w:rPr>
          <w:rFonts w:hint="eastAsia" w:ascii="宋体" w:hAnsi="宋体"/>
        </w:rPr>
        <w:t>4</w:t>
      </w:r>
      <w:r>
        <w:rPr>
          <w:rFonts w:ascii="宋体" w:hAnsi="宋体"/>
        </w:rPr>
        <w:t>：试验和检测仪器配置表</w:t>
      </w:r>
      <w:bookmarkEnd w:id="1085"/>
      <w:bookmarkEnd w:id="1086"/>
      <w:bookmarkEnd w:id="1087"/>
    </w:p>
    <w:p w14:paraId="61F73678">
      <w:pPr>
        <w:pStyle w:val="2"/>
      </w:pPr>
    </w:p>
    <w:p w14:paraId="3919FF0A">
      <w:pPr>
        <w:adjustRightInd w:val="0"/>
        <w:snapToGrid w:val="0"/>
        <w:spacing w:after="156" w:afterLines="50"/>
        <w:jc w:val="center"/>
        <w:outlineLvl w:val="1"/>
        <w:rPr>
          <w:rFonts w:ascii="宋体" w:hAnsi="宋体"/>
          <w:b/>
          <w:bCs/>
          <w:sz w:val="30"/>
          <w:szCs w:val="30"/>
        </w:rPr>
      </w:pPr>
      <w:bookmarkStart w:id="1088" w:name="_Toc11377"/>
      <w:bookmarkStart w:id="1089" w:name="_Toc25292"/>
      <w:r>
        <w:rPr>
          <w:rFonts w:ascii="宋体" w:hAnsi="宋体"/>
          <w:b/>
          <w:bCs/>
          <w:sz w:val="30"/>
          <w:szCs w:val="30"/>
        </w:rPr>
        <w:t>试验和检测仪器</w:t>
      </w:r>
      <w:r>
        <w:rPr>
          <w:rFonts w:hint="eastAsia" w:ascii="宋体" w:hAnsi="宋体"/>
          <w:b/>
          <w:bCs/>
          <w:sz w:val="30"/>
          <w:szCs w:val="30"/>
        </w:rPr>
        <w:t>配置</w:t>
      </w:r>
      <w:r>
        <w:rPr>
          <w:rFonts w:ascii="宋体" w:hAnsi="宋体"/>
          <w:b/>
          <w:bCs/>
          <w:sz w:val="30"/>
          <w:szCs w:val="30"/>
        </w:rPr>
        <w:t>表</w:t>
      </w:r>
      <w:bookmarkEnd w:id="1088"/>
      <w:bookmarkEnd w:id="1089"/>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55"/>
        <w:gridCol w:w="1440"/>
        <w:gridCol w:w="1200"/>
        <w:gridCol w:w="709"/>
        <w:gridCol w:w="851"/>
        <w:gridCol w:w="1779"/>
        <w:gridCol w:w="877"/>
      </w:tblGrid>
      <w:tr w14:paraId="1524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B12E052">
            <w:pPr>
              <w:adjustRightInd w:val="0"/>
              <w:snapToGrid w:val="0"/>
              <w:spacing w:line="240" w:lineRule="auto"/>
              <w:rPr>
                <w:rFonts w:ascii="宋体" w:hAnsi="宋体"/>
              </w:rPr>
            </w:pPr>
            <w:r>
              <w:rPr>
                <w:rFonts w:ascii="宋体" w:hAnsi="宋体"/>
                <w:szCs w:val="21"/>
              </w:rPr>
              <w:t>序号</w:t>
            </w:r>
          </w:p>
        </w:tc>
        <w:tc>
          <w:tcPr>
            <w:tcW w:w="1755" w:type="dxa"/>
            <w:vAlign w:val="center"/>
          </w:tcPr>
          <w:p w14:paraId="2169BE09">
            <w:pPr>
              <w:adjustRightInd w:val="0"/>
              <w:snapToGrid w:val="0"/>
              <w:spacing w:line="240" w:lineRule="auto"/>
              <w:jc w:val="center"/>
              <w:rPr>
                <w:rFonts w:ascii="宋体" w:hAnsi="宋体"/>
              </w:rPr>
            </w:pPr>
            <w:r>
              <w:rPr>
                <w:rFonts w:ascii="宋体" w:hAnsi="宋体"/>
                <w:szCs w:val="21"/>
              </w:rPr>
              <w:t>仪器设备名称</w:t>
            </w:r>
          </w:p>
        </w:tc>
        <w:tc>
          <w:tcPr>
            <w:tcW w:w="1440" w:type="dxa"/>
            <w:vAlign w:val="center"/>
          </w:tcPr>
          <w:p w14:paraId="7362BDBE">
            <w:pPr>
              <w:adjustRightInd w:val="0"/>
              <w:snapToGrid w:val="0"/>
              <w:spacing w:line="240" w:lineRule="auto"/>
              <w:jc w:val="center"/>
              <w:rPr>
                <w:rFonts w:ascii="宋体" w:hAnsi="宋体"/>
              </w:rPr>
            </w:pPr>
            <w:r>
              <w:rPr>
                <w:rFonts w:ascii="宋体" w:hAnsi="宋体"/>
                <w:szCs w:val="21"/>
              </w:rPr>
              <w:t>型号</w:t>
            </w:r>
          </w:p>
          <w:p w14:paraId="7F87C992">
            <w:pPr>
              <w:adjustRightInd w:val="0"/>
              <w:snapToGrid w:val="0"/>
              <w:spacing w:line="240" w:lineRule="auto"/>
              <w:jc w:val="center"/>
              <w:rPr>
                <w:rFonts w:ascii="宋体" w:hAnsi="宋体"/>
              </w:rPr>
            </w:pPr>
            <w:r>
              <w:rPr>
                <w:rFonts w:ascii="宋体" w:hAnsi="宋体"/>
                <w:szCs w:val="21"/>
              </w:rPr>
              <w:t>规格</w:t>
            </w:r>
          </w:p>
        </w:tc>
        <w:tc>
          <w:tcPr>
            <w:tcW w:w="1200" w:type="dxa"/>
            <w:vAlign w:val="center"/>
          </w:tcPr>
          <w:p w14:paraId="34965045">
            <w:pPr>
              <w:adjustRightInd w:val="0"/>
              <w:snapToGrid w:val="0"/>
              <w:spacing w:line="240" w:lineRule="auto"/>
              <w:jc w:val="center"/>
              <w:rPr>
                <w:rFonts w:ascii="宋体" w:hAnsi="宋体"/>
              </w:rPr>
            </w:pPr>
            <w:r>
              <w:rPr>
                <w:rFonts w:ascii="宋体" w:hAnsi="宋体"/>
                <w:szCs w:val="21"/>
              </w:rPr>
              <w:t>数量</w:t>
            </w:r>
          </w:p>
        </w:tc>
        <w:tc>
          <w:tcPr>
            <w:tcW w:w="709" w:type="dxa"/>
            <w:vAlign w:val="center"/>
          </w:tcPr>
          <w:p w14:paraId="571D919D">
            <w:pPr>
              <w:adjustRightInd w:val="0"/>
              <w:snapToGrid w:val="0"/>
              <w:spacing w:line="240" w:lineRule="auto"/>
              <w:jc w:val="center"/>
              <w:rPr>
                <w:rFonts w:ascii="宋体" w:hAnsi="宋体"/>
              </w:rPr>
            </w:pPr>
            <w:r>
              <w:rPr>
                <w:rFonts w:ascii="宋体" w:hAnsi="宋体"/>
                <w:szCs w:val="21"/>
              </w:rPr>
              <w:t>国别</w:t>
            </w:r>
          </w:p>
          <w:p w14:paraId="6EB71E95">
            <w:pPr>
              <w:adjustRightInd w:val="0"/>
              <w:snapToGrid w:val="0"/>
              <w:spacing w:line="240" w:lineRule="auto"/>
              <w:jc w:val="center"/>
              <w:rPr>
                <w:rFonts w:ascii="宋体" w:hAnsi="宋体"/>
              </w:rPr>
            </w:pPr>
            <w:r>
              <w:rPr>
                <w:rFonts w:ascii="宋体" w:hAnsi="宋体"/>
                <w:szCs w:val="21"/>
              </w:rPr>
              <w:t>产地</w:t>
            </w:r>
          </w:p>
        </w:tc>
        <w:tc>
          <w:tcPr>
            <w:tcW w:w="851" w:type="dxa"/>
            <w:vAlign w:val="center"/>
          </w:tcPr>
          <w:p w14:paraId="35699771">
            <w:pPr>
              <w:adjustRightInd w:val="0"/>
              <w:snapToGrid w:val="0"/>
              <w:spacing w:line="240" w:lineRule="auto"/>
              <w:jc w:val="center"/>
              <w:rPr>
                <w:rFonts w:ascii="宋体" w:hAnsi="宋体"/>
              </w:rPr>
            </w:pPr>
            <w:r>
              <w:rPr>
                <w:rFonts w:ascii="宋体" w:hAnsi="宋体"/>
                <w:szCs w:val="21"/>
              </w:rPr>
              <w:t>制造</w:t>
            </w:r>
          </w:p>
          <w:p w14:paraId="5651DC20">
            <w:pPr>
              <w:adjustRightInd w:val="0"/>
              <w:snapToGrid w:val="0"/>
              <w:spacing w:line="240" w:lineRule="auto"/>
              <w:jc w:val="center"/>
              <w:rPr>
                <w:rFonts w:ascii="宋体" w:hAnsi="宋体"/>
              </w:rPr>
            </w:pPr>
            <w:r>
              <w:rPr>
                <w:rFonts w:ascii="宋体" w:hAnsi="宋体"/>
                <w:szCs w:val="21"/>
              </w:rPr>
              <w:t>年份</w:t>
            </w:r>
          </w:p>
        </w:tc>
        <w:tc>
          <w:tcPr>
            <w:tcW w:w="1779" w:type="dxa"/>
            <w:vAlign w:val="center"/>
          </w:tcPr>
          <w:p w14:paraId="32A40492">
            <w:pPr>
              <w:adjustRightInd w:val="0"/>
              <w:snapToGrid w:val="0"/>
              <w:spacing w:line="240" w:lineRule="auto"/>
              <w:jc w:val="center"/>
              <w:rPr>
                <w:rFonts w:ascii="宋体" w:hAnsi="宋体"/>
              </w:rPr>
            </w:pPr>
            <w:r>
              <w:rPr>
                <w:rFonts w:ascii="宋体" w:hAnsi="宋体"/>
                <w:szCs w:val="21"/>
              </w:rPr>
              <w:t>用途</w:t>
            </w:r>
          </w:p>
        </w:tc>
        <w:tc>
          <w:tcPr>
            <w:tcW w:w="877" w:type="dxa"/>
            <w:vAlign w:val="center"/>
          </w:tcPr>
          <w:p w14:paraId="51F65019">
            <w:pPr>
              <w:adjustRightInd w:val="0"/>
              <w:snapToGrid w:val="0"/>
              <w:spacing w:line="240" w:lineRule="auto"/>
              <w:jc w:val="center"/>
              <w:rPr>
                <w:rFonts w:ascii="宋体" w:hAnsi="宋体"/>
              </w:rPr>
            </w:pPr>
            <w:r>
              <w:rPr>
                <w:rFonts w:ascii="宋体" w:hAnsi="宋体"/>
                <w:szCs w:val="21"/>
              </w:rPr>
              <w:t>备注</w:t>
            </w:r>
          </w:p>
        </w:tc>
      </w:tr>
      <w:tr w14:paraId="6831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C0826B">
            <w:pPr>
              <w:keepNext/>
              <w:keepLines/>
              <w:adjustRightInd w:val="0"/>
              <w:snapToGrid w:val="0"/>
              <w:spacing w:line="240" w:lineRule="auto"/>
              <w:jc w:val="center"/>
              <w:outlineLvl w:val="0"/>
              <w:rPr>
                <w:rFonts w:ascii="宋体" w:hAnsi="宋体"/>
                <w:szCs w:val="21"/>
              </w:rPr>
            </w:pPr>
          </w:p>
        </w:tc>
        <w:tc>
          <w:tcPr>
            <w:tcW w:w="1755" w:type="dxa"/>
            <w:vAlign w:val="center"/>
          </w:tcPr>
          <w:p w14:paraId="581F7F47">
            <w:pPr>
              <w:keepNext/>
              <w:keepLines/>
              <w:adjustRightInd w:val="0"/>
              <w:snapToGrid w:val="0"/>
              <w:spacing w:line="240" w:lineRule="auto"/>
              <w:jc w:val="center"/>
              <w:outlineLvl w:val="0"/>
              <w:rPr>
                <w:rFonts w:ascii="宋体" w:hAnsi="宋体"/>
                <w:szCs w:val="21"/>
              </w:rPr>
            </w:pPr>
          </w:p>
        </w:tc>
        <w:tc>
          <w:tcPr>
            <w:tcW w:w="1440" w:type="dxa"/>
            <w:vAlign w:val="center"/>
          </w:tcPr>
          <w:p w14:paraId="6CD85C7A">
            <w:pPr>
              <w:keepNext/>
              <w:keepLines/>
              <w:adjustRightInd w:val="0"/>
              <w:snapToGrid w:val="0"/>
              <w:spacing w:line="240" w:lineRule="auto"/>
              <w:jc w:val="center"/>
              <w:outlineLvl w:val="0"/>
              <w:rPr>
                <w:rFonts w:ascii="宋体" w:hAnsi="宋体"/>
                <w:szCs w:val="21"/>
              </w:rPr>
            </w:pPr>
          </w:p>
        </w:tc>
        <w:tc>
          <w:tcPr>
            <w:tcW w:w="1200" w:type="dxa"/>
            <w:vAlign w:val="center"/>
          </w:tcPr>
          <w:p w14:paraId="1E3479DE">
            <w:pPr>
              <w:keepNext/>
              <w:keepLines/>
              <w:adjustRightInd w:val="0"/>
              <w:snapToGrid w:val="0"/>
              <w:spacing w:line="240" w:lineRule="auto"/>
              <w:jc w:val="center"/>
              <w:outlineLvl w:val="0"/>
              <w:rPr>
                <w:rFonts w:ascii="宋体" w:hAnsi="宋体"/>
                <w:szCs w:val="21"/>
              </w:rPr>
            </w:pPr>
          </w:p>
        </w:tc>
        <w:tc>
          <w:tcPr>
            <w:tcW w:w="709" w:type="dxa"/>
            <w:vAlign w:val="center"/>
          </w:tcPr>
          <w:p w14:paraId="419FE507">
            <w:pPr>
              <w:keepNext/>
              <w:keepLines/>
              <w:adjustRightInd w:val="0"/>
              <w:snapToGrid w:val="0"/>
              <w:spacing w:line="240" w:lineRule="auto"/>
              <w:jc w:val="center"/>
              <w:outlineLvl w:val="0"/>
              <w:rPr>
                <w:rFonts w:ascii="宋体" w:hAnsi="宋体"/>
                <w:szCs w:val="21"/>
              </w:rPr>
            </w:pPr>
          </w:p>
        </w:tc>
        <w:tc>
          <w:tcPr>
            <w:tcW w:w="851" w:type="dxa"/>
            <w:vAlign w:val="center"/>
          </w:tcPr>
          <w:p w14:paraId="2B3AF4E5">
            <w:pPr>
              <w:keepNext/>
              <w:keepLines/>
              <w:adjustRightInd w:val="0"/>
              <w:snapToGrid w:val="0"/>
              <w:spacing w:line="240" w:lineRule="auto"/>
              <w:jc w:val="center"/>
              <w:outlineLvl w:val="0"/>
              <w:rPr>
                <w:rFonts w:ascii="宋体" w:hAnsi="宋体"/>
                <w:szCs w:val="21"/>
              </w:rPr>
            </w:pPr>
          </w:p>
        </w:tc>
        <w:tc>
          <w:tcPr>
            <w:tcW w:w="1779" w:type="dxa"/>
            <w:vAlign w:val="center"/>
          </w:tcPr>
          <w:p w14:paraId="170CBBE1">
            <w:pPr>
              <w:keepNext/>
              <w:keepLines/>
              <w:adjustRightInd w:val="0"/>
              <w:snapToGrid w:val="0"/>
              <w:spacing w:line="240" w:lineRule="auto"/>
              <w:jc w:val="center"/>
              <w:outlineLvl w:val="0"/>
              <w:rPr>
                <w:rFonts w:ascii="宋体" w:hAnsi="宋体"/>
                <w:szCs w:val="21"/>
              </w:rPr>
            </w:pPr>
          </w:p>
        </w:tc>
        <w:tc>
          <w:tcPr>
            <w:tcW w:w="877" w:type="dxa"/>
            <w:vAlign w:val="center"/>
          </w:tcPr>
          <w:p w14:paraId="09B59A9A">
            <w:pPr>
              <w:keepNext/>
              <w:keepLines/>
              <w:adjustRightInd w:val="0"/>
              <w:snapToGrid w:val="0"/>
              <w:spacing w:line="240" w:lineRule="auto"/>
              <w:jc w:val="center"/>
              <w:outlineLvl w:val="0"/>
              <w:rPr>
                <w:rFonts w:ascii="宋体" w:hAnsi="宋体"/>
                <w:szCs w:val="21"/>
              </w:rPr>
            </w:pPr>
          </w:p>
        </w:tc>
      </w:tr>
      <w:tr w14:paraId="157B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B171FA">
            <w:pPr>
              <w:keepNext/>
              <w:keepLines/>
              <w:adjustRightInd w:val="0"/>
              <w:snapToGrid w:val="0"/>
              <w:spacing w:line="240" w:lineRule="auto"/>
              <w:jc w:val="center"/>
              <w:outlineLvl w:val="0"/>
              <w:rPr>
                <w:rFonts w:ascii="宋体" w:hAnsi="宋体"/>
                <w:szCs w:val="21"/>
              </w:rPr>
            </w:pPr>
          </w:p>
        </w:tc>
        <w:tc>
          <w:tcPr>
            <w:tcW w:w="1755" w:type="dxa"/>
            <w:vAlign w:val="center"/>
          </w:tcPr>
          <w:p w14:paraId="5779E1A8">
            <w:pPr>
              <w:keepNext/>
              <w:keepLines/>
              <w:adjustRightInd w:val="0"/>
              <w:snapToGrid w:val="0"/>
              <w:spacing w:line="240" w:lineRule="auto"/>
              <w:jc w:val="center"/>
              <w:outlineLvl w:val="0"/>
              <w:rPr>
                <w:rFonts w:ascii="宋体" w:hAnsi="宋体"/>
                <w:szCs w:val="21"/>
              </w:rPr>
            </w:pPr>
          </w:p>
        </w:tc>
        <w:tc>
          <w:tcPr>
            <w:tcW w:w="1440" w:type="dxa"/>
            <w:vAlign w:val="center"/>
          </w:tcPr>
          <w:p w14:paraId="427AFEC4">
            <w:pPr>
              <w:keepNext/>
              <w:keepLines/>
              <w:adjustRightInd w:val="0"/>
              <w:snapToGrid w:val="0"/>
              <w:spacing w:line="240" w:lineRule="auto"/>
              <w:jc w:val="center"/>
              <w:outlineLvl w:val="0"/>
              <w:rPr>
                <w:rFonts w:ascii="宋体" w:hAnsi="宋体"/>
                <w:szCs w:val="21"/>
              </w:rPr>
            </w:pPr>
          </w:p>
        </w:tc>
        <w:tc>
          <w:tcPr>
            <w:tcW w:w="1200" w:type="dxa"/>
            <w:vAlign w:val="center"/>
          </w:tcPr>
          <w:p w14:paraId="10525C34">
            <w:pPr>
              <w:keepNext/>
              <w:keepLines/>
              <w:adjustRightInd w:val="0"/>
              <w:snapToGrid w:val="0"/>
              <w:spacing w:line="240" w:lineRule="auto"/>
              <w:jc w:val="center"/>
              <w:outlineLvl w:val="0"/>
              <w:rPr>
                <w:rFonts w:ascii="宋体" w:hAnsi="宋体"/>
                <w:szCs w:val="21"/>
              </w:rPr>
            </w:pPr>
          </w:p>
        </w:tc>
        <w:tc>
          <w:tcPr>
            <w:tcW w:w="709" w:type="dxa"/>
            <w:vAlign w:val="center"/>
          </w:tcPr>
          <w:p w14:paraId="6B93E376">
            <w:pPr>
              <w:keepNext/>
              <w:keepLines/>
              <w:adjustRightInd w:val="0"/>
              <w:snapToGrid w:val="0"/>
              <w:spacing w:line="240" w:lineRule="auto"/>
              <w:jc w:val="center"/>
              <w:outlineLvl w:val="0"/>
              <w:rPr>
                <w:rFonts w:ascii="宋体" w:hAnsi="宋体"/>
                <w:szCs w:val="21"/>
              </w:rPr>
            </w:pPr>
          </w:p>
        </w:tc>
        <w:tc>
          <w:tcPr>
            <w:tcW w:w="851" w:type="dxa"/>
            <w:vAlign w:val="center"/>
          </w:tcPr>
          <w:p w14:paraId="5F4FD9FF">
            <w:pPr>
              <w:keepNext/>
              <w:keepLines/>
              <w:adjustRightInd w:val="0"/>
              <w:snapToGrid w:val="0"/>
              <w:spacing w:line="240" w:lineRule="auto"/>
              <w:jc w:val="center"/>
              <w:outlineLvl w:val="0"/>
              <w:rPr>
                <w:rFonts w:ascii="宋体" w:hAnsi="宋体"/>
                <w:szCs w:val="21"/>
              </w:rPr>
            </w:pPr>
          </w:p>
        </w:tc>
        <w:tc>
          <w:tcPr>
            <w:tcW w:w="1779" w:type="dxa"/>
            <w:vAlign w:val="center"/>
          </w:tcPr>
          <w:p w14:paraId="7FD44E14">
            <w:pPr>
              <w:keepNext/>
              <w:keepLines/>
              <w:adjustRightInd w:val="0"/>
              <w:snapToGrid w:val="0"/>
              <w:spacing w:line="240" w:lineRule="auto"/>
              <w:jc w:val="center"/>
              <w:outlineLvl w:val="0"/>
              <w:rPr>
                <w:rFonts w:ascii="宋体" w:hAnsi="宋体"/>
                <w:szCs w:val="21"/>
              </w:rPr>
            </w:pPr>
          </w:p>
        </w:tc>
        <w:tc>
          <w:tcPr>
            <w:tcW w:w="877" w:type="dxa"/>
            <w:vAlign w:val="center"/>
          </w:tcPr>
          <w:p w14:paraId="7AC7A705">
            <w:pPr>
              <w:keepNext/>
              <w:keepLines/>
              <w:adjustRightInd w:val="0"/>
              <w:snapToGrid w:val="0"/>
              <w:spacing w:line="240" w:lineRule="auto"/>
              <w:jc w:val="center"/>
              <w:outlineLvl w:val="0"/>
              <w:rPr>
                <w:rFonts w:ascii="宋体" w:hAnsi="宋体"/>
                <w:szCs w:val="21"/>
              </w:rPr>
            </w:pPr>
          </w:p>
        </w:tc>
      </w:tr>
      <w:tr w14:paraId="7E96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23A067F">
            <w:pPr>
              <w:keepNext/>
              <w:keepLines/>
              <w:adjustRightInd w:val="0"/>
              <w:snapToGrid w:val="0"/>
              <w:spacing w:line="240" w:lineRule="auto"/>
              <w:jc w:val="center"/>
              <w:outlineLvl w:val="0"/>
              <w:rPr>
                <w:rFonts w:ascii="宋体" w:hAnsi="宋体"/>
                <w:szCs w:val="21"/>
              </w:rPr>
            </w:pPr>
          </w:p>
        </w:tc>
        <w:tc>
          <w:tcPr>
            <w:tcW w:w="1755" w:type="dxa"/>
          </w:tcPr>
          <w:p w14:paraId="688BB36A">
            <w:pPr>
              <w:keepNext/>
              <w:keepLines/>
              <w:adjustRightInd w:val="0"/>
              <w:snapToGrid w:val="0"/>
              <w:spacing w:line="240" w:lineRule="auto"/>
              <w:jc w:val="center"/>
              <w:outlineLvl w:val="0"/>
              <w:rPr>
                <w:rFonts w:ascii="宋体" w:hAnsi="宋体"/>
                <w:szCs w:val="21"/>
              </w:rPr>
            </w:pPr>
          </w:p>
        </w:tc>
        <w:tc>
          <w:tcPr>
            <w:tcW w:w="1440" w:type="dxa"/>
          </w:tcPr>
          <w:p w14:paraId="08C004C0">
            <w:pPr>
              <w:keepNext/>
              <w:keepLines/>
              <w:adjustRightInd w:val="0"/>
              <w:snapToGrid w:val="0"/>
              <w:spacing w:line="240" w:lineRule="auto"/>
              <w:jc w:val="center"/>
              <w:outlineLvl w:val="0"/>
              <w:rPr>
                <w:rFonts w:ascii="宋体" w:hAnsi="宋体"/>
                <w:szCs w:val="21"/>
              </w:rPr>
            </w:pPr>
          </w:p>
        </w:tc>
        <w:tc>
          <w:tcPr>
            <w:tcW w:w="1200" w:type="dxa"/>
          </w:tcPr>
          <w:p w14:paraId="455E8869">
            <w:pPr>
              <w:keepNext/>
              <w:keepLines/>
              <w:adjustRightInd w:val="0"/>
              <w:snapToGrid w:val="0"/>
              <w:spacing w:line="240" w:lineRule="auto"/>
              <w:jc w:val="center"/>
              <w:outlineLvl w:val="0"/>
              <w:rPr>
                <w:rFonts w:ascii="宋体" w:hAnsi="宋体"/>
                <w:szCs w:val="21"/>
              </w:rPr>
            </w:pPr>
          </w:p>
        </w:tc>
        <w:tc>
          <w:tcPr>
            <w:tcW w:w="709" w:type="dxa"/>
          </w:tcPr>
          <w:p w14:paraId="7302218F">
            <w:pPr>
              <w:keepNext/>
              <w:keepLines/>
              <w:adjustRightInd w:val="0"/>
              <w:snapToGrid w:val="0"/>
              <w:spacing w:line="240" w:lineRule="auto"/>
              <w:jc w:val="center"/>
              <w:outlineLvl w:val="0"/>
              <w:rPr>
                <w:rFonts w:ascii="宋体" w:hAnsi="宋体"/>
                <w:szCs w:val="21"/>
              </w:rPr>
            </w:pPr>
          </w:p>
        </w:tc>
        <w:tc>
          <w:tcPr>
            <w:tcW w:w="851" w:type="dxa"/>
          </w:tcPr>
          <w:p w14:paraId="44E8D7F1">
            <w:pPr>
              <w:keepNext/>
              <w:keepLines/>
              <w:adjustRightInd w:val="0"/>
              <w:snapToGrid w:val="0"/>
              <w:spacing w:line="240" w:lineRule="auto"/>
              <w:jc w:val="center"/>
              <w:outlineLvl w:val="0"/>
              <w:rPr>
                <w:rFonts w:ascii="宋体" w:hAnsi="宋体"/>
                <w:szCs w:val="21"/>
              </w:rPr>
            </w:pPr>
          </w:p>
        </w:tc>
        <w:tc>
          <w:tcPr>
            <w:tcW w:w="1779" w:type="dxa"/>
          </w:tcPr>
          <w:p w14:paraId="6ABA5382">
            <w:pPr>
              <w:keepNext/>
              <w:keepLines/>
              <w:adjustRightInd w:val="0"/>
              <w:snapToGrid w:val="0"/>
              <w:spacing w:line="240" w:lineRule="auto"/>
              <w:jc w:val="center"/>
              <w:outlineLvl w:val="0"/>
              <w:rPr>
                <w:rFonts w:ascii="宋体" w:hAnsi="宋体"/>
                <w:szCs w:val="21"/>
              </w:rPr>
            </w:pPr>
          </w:p>
        </w:tc>
        <w:tc>
          <w:tcPr>
            <w:tcW w:w="877" w:type="dxa"/>
          </w:tcPr>
          <w:p w14:paraId="508B1F0B">
            <w:pPr>
              <w:keepNext/>
              <w:keepLines/>
              <w:adjustRightInd w:val="0"/>
              <w:snapToGrid w:val="0"/>
              <w:spacing w:line="240" w:lineRule="auto"/>
              <w:jc w:val="center"/>
              <w:outlineLvl w:val="0"/>
              <w:rPr>
                <w:rFonts w:ascii="宋体" w:hAnsi="宋体"/>
                <w:szCs w:val="21"/>
              </w:rPr>
            </w:pPr>
          </w:p>
        </w:tc>
      </w:tr>
      <w:tr w14:paraId="2131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FF1CF78">
            <w:pPr>
              <w:keepNext/>
              <w:keepLines/>
              <w:adjustRightInd w:val="0"/>
              <w:snapToGrid w:val="0"/>
              <w:spacing w:line="240" w:lineRule="auto"/>
              <w:jc w:val="center"/>
              <w:outlineLvl w:val="0"/>
              <w:rPr>
                <w:rFonts w:ascii="宋体" w:hAnsi="宋体"/>
                <w:szCs w:val="21"/>
              </w:rPr>
            </w:pPr>
          </w:p>
        </w:tc>
        <w:tc>
          <w:tcPr>
            <w:tcW w:w="1755" w:type="dxa"/>
          </w:tcPr>
          <w:p w14:paraId="75A0A4AD">
            <w:pPr>
              <w:keepNext/>
              <w:keepLines/>
              <w:adjustRightInd w:val="0"/>
              <w:snapToGrid w:val="0"/>
              <w:spacing w:line="240" w:lineRule="auto"/>
              <w:jc w:val="center"/>
              <w:outlineLvl w:val="0"/>
              <w:rPr>
                <w:rFonts w:ascii="宋体" w:hAnsi="宋体"/>
                <w:szCs w:val="21"/>
              </w:rPr>
            </w:pPr>
          </w:p>
        </w:tc>
        <w:tc>
          <w:tcPr>
            <w:tcW w:w="1440" w:type="dxa"/>
          </w:tcPr>
          <w:p w14:paraId="25708DA1">
            <w:pPr>
              <w:keepNext/>
              <w:keepLines/>
              <w:adjustRightInd w:val="0"/>
              <w:snapToGrid w:val="0"/>
              <w:spacing w:line="240" w:lineRule="auto"/>
              <w:jc w:val="center"/>
              <w:outlineLvl w:val="0"/>
              <w:rPr>
                <w:rFonts w:ascii="宋体" w:hAnsi="宋体"/>
                <w:szCs w:val="21"/>
              </w:rPr>
            </w:pPr>
          </w:p>
        </w:tc>
        <w:tc>
          <w:tcPr>
            <w:tcW w:w="1200" w:type="dxa"/>
          </w:tcPr>
          <w:p w14:paraId="08F59A20">
            <w:pPr>
              <w:keepNext/>
              <w:keepLines/>
              <w:adjustRightInd w:val="0"/>
              <w:snapToGrid w:val="0"/>
              <w:spacing w:line="240" w:lineRule="auto"/>
              <w:jc w:val="center"/>
              <w:outlineLvl w:val="0"/>
              <w:rPr>
                <w:rFonts w:ascii="宋体" w:hAnsi="宋体"/>
                <w:szCs w:val="21"/>
              </w:rPr>
            </w:pPr>
          </w:p>
        </w:tc>
        <w:tc>
          <w:tcPr>
            <w:tcW w:w="709" w:type="dxa"/>
          </w:tcPr>
          <w:p w14:paraId="0B1183E4">
            <w:pPr>
              <w:keepNext/>
              <w:keepLines/>
              <w:adjustRightInd w:val="0"/>
              <w:snapToGrid w:val="0"/>
              <w:spacing w:line="240" w:lineRule="auto"/>
              <w:jc w:val="center"/>
              <w:outlineLvl w:val="0"/>
              <w:rPr>
                <w:rFonts w:ascii="宋体" w:hAnsi="宋体"/>
                <w:szCs w:val="21"/>
              </w:rPr>
            </w:pPr>
          </w:p>
        </w:tc>
        <w:tc>
          <w:tcPr>
            <w:tcW w:w="851" w:type="dxa"/>
          </w:tcPr>
          <w:p w14:paraId="55E1A82E">
            <w:pPr>
              <w:keepNext/>
              <w:keepLines/>
              <w:adjustRightInd w:val="0"/>
              <w:snapToGrid w:val="0"/>
              <w:spacing w:line="240" w:lineRule="auto"/>
              <w:jc w:val="center"/>
              <w:outlineLvl w:val="0"/>
              <w:rPr>
                <w:rFonts w:ascii="宋体" w:hAnsi="宋体"/>
                <w:szCs w:val="21"/>
              </w:rPr>
            </w:pPr>
          </w:p>
        </w:tc>
        <w:tc>
          <w:tcPr>
            <w:tcW w:w="1779" w:type="dxa"/>
          </w:tcPr>
          <w:p w14:paraId="412219A5">
            <w:pPr>
              <w:keepNext/>
              <w:keepLines/>
              <w:adjustRightInd w:val="0"/>
              <w:snapToGrid w:val="0"/>
              <w:spacing w:line="240" w:lineRule="auto"/>
              <w:jc w:val="center"/>
              <w:outlineLvl w:val="0"/>
              <w:rPr>
                <w:rFonts w:ascii="宋体" w:hAnsi="宋体"/>
                <w:szCs w:val="21"/>
              </w:rPr>
            </w:pPr>
          </w:p>
        </w:tc>
        <w:tc>
          <w:tcPr>
            <w:tcW w:w="877" w:type="dxa"/>
          </w:tcPr>
          <w:p w14:paraId="3BAE10B7">
            <w:pPr>
              <w:keepNext/>
              <w:keepLines/>
              <w:adjustRightInd w:val="0"/>
              <w:snapToGrid w:val="0"/>
              <w:spacing w:line="240" w:lineRule="auto"/>
              <w:jc w:val="center"/>
              <w:outlineLvl w:val="0"/>
              <w:rPr>
                <w:rFonts w:ascii="宋体" w:hAnsi="宋体"/>
                <w:szCs w:val="21"/>
              </w:rPr>
            </w:pPr>
          </w:p>
        </w:tc>
      </w:tr>
      <w:tr w14:paraId="4167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8729D70">
            <w:pPr>
              <w:keepNext/>
              <w:keepLines/>
              <w:adjustRightInd w:val="0"/>
              <w:snapToGrid w:val="0"/>
              <w:spacing w:line="240" w:lineRule="auto"/>
              <w:jc w:val="center"/>
              <w:outlineLvl w:val="0"/>
              <w:rPr>
                <w:rFonts w:ascii="宋体" w:hAnsi="宋体"/>
                <w:szCs w:val="21"/>
              </w:rPr>
            </w:pPr>
          </w:p>
        </w:tc>
        <w:tc>
          <w:tcPr>
            <w:tcW w:w="1755" w:type="dxa"/>
          </w:tcPr>
          <w:p w14:paraId="23BF6F05">
            <w:pPr>
              <w:keepNext/>
              <w:keepLines/>
              <w:adjustRightInd w:val="0"/>
              <w:snapToGrid w:val="0"/>
              <w:spacing w:line="240" w:lineRule="auto"/>
              <w:jc w:val="center"/>
              <w:outlineLvl w:val="0"/>
              <w:rPr>
                <w:rFonts w:ascii="宋体" w:hAnsi="宋体"/>
                <w:szCs w:val="21"/>
              </w:rPr>
            </w:pPr>
          </w:p>
        </w:tc>
        <w:tc>
          <w:tcPr>
            <w:tcW w:w="1440" w:type="dxa"/>
          </w:tcPr>
          <w:p w14:paraId="7C2FEF6F">
            <w:pPr>
              <w:keepNext/>
              <w:keepLines/>
              <w:adjustRightInd w:val="0"/>
              <w:snapToGrid w:val="0"/>
              <w:spacing w:line="240" w:lineRule="auto"/>
              <w:jc w:val="center"/>
              <w:outlineLvl w:val="0"/>
              <w:rPr>
                <w:rFonts w:ascii="宋体" w:hAnsi="宋体"/>
                <w:szCs w:val="21"/>
              </w:rPr>
            </w:pPr>
          </w:p>
        </w:tc>
        <w:tc>
          <w:tcPr>
            <w:tcW w:w="1200" w:type="dxa"/>
          </w:tcPr>
          <w:p w14:paraId="74425E57">
            <w:pPr>
              <w:keepNext/>
              <w:keepLines/>
              <w:adjustRightInd w:val="0"/>
              <w:snapToGrid w:val="0"/>
              <w:spacing w:line="240" w:lineRule="auto"/>
              <w:jc w:val="center"/>
              <w:outlineLvl w:val="0"/>
              <w:rPr>
                <w:rFonts w:ascii="宋体" w:hAnsi="宋体"/>
                <w:szCs w:val="21"/>
              </w:rPr>
            </w:pPr>
          </w:p>
        </w:tc>
        <w:tc>
          <w:tcPr>
            <w:tcW w:w="709" w:type="dxa"/>
          </w:tcPr>
          <w:p w14:paraId="6EFA98D6">
            <w:pPr>
              <w:keepNext/>
              <w:keepLines/>
              <w:adjustRightInd w:val="0"/>
              <w:snapToGrid w:val="0"/>
              <w:spacing w:line="240" w:lineRule="auto"/>
              <w:jc w:val="center"/>
              <w:outlineLvl w:val="0"/>
              <w:rPr>
                <w:rFonts w:ascii="宋体" w:hAnsi="宋体"/>
                <w:szCs w:val="21"/>
              </w:rPr>
            </w:pPr>
          </w:p>
        </w:tc>
        <w:tc>
          <w:tcPr>
            <w:tcW w:w="851" w:type="dxa"/>
          </w:tcPr>
          <w:p w14:paraId="67068207">
            <w:pPr>
              <w:keepNext/>
              <w:keepLines/>
              <w:adjustRightInd w:val="0"/>
              <w:snapToGrid w:val="0"/>
              <w:spacing w:line="240" w:lineRule="auto"/>
              <w:jc w:val="center"/>
              <w:outlineLvl w:val="0"/>
              <w:rPr>
                <w:rFonts w:ascii="宋体" w:hAnsi="宋体"/>
                <w:szCs w:val="21"/>
              </w:rPr>
            </w:pPr>
          </w:p>
        </w:tc>
        <w:tc>
          <w:tcPr>
            <w:tcW w:w="1779" w:type="dxa"/>
          </w:tcPr>
          <w:p w14:paraId="5EFD5AB3">
            <w:pPr>
              <w:keepNext/>
              <w:keepLines/>
              <w:adjustRightInd w:val="0"/>
              <w:snapToGrid w:val="0"/>
              <w:spacing w:line="240" w:lineRule="auto"/>
              <w:jc w:val="center"/>
              <w:outlineLvl w:val="0"/>
              <w:rPr>
                <w:rFonts w:ascii="宋体" w:hAnsi="宋体"/>
                <w:szCs w:val="21"/>
              </w:rPr>
            </w:pPr>
          </w:p>
        </w:tc>
        <w:tc>
          <w:tcPr>
            <w:tcW w:w="877" w:type="dxa"/>
          </w:tcPr>
          <w:p w14:paraId="682E3E83">
            <w:pPr>
              <w:keepNext/>
              <w:keepLines/>
              <w:adjustRightInd w:val="0"/>
              <w:snapToGrid w:val="0"/>
              <w:spacing w:line="240" w:lineRule="auto"/>
              <w:jc w:val="center"/>
              <w:outlineLvl w:val="0"/>
              <w:rPr>
                <w:rFonts w:ascii="宋体" w:hAnsi="宋体"/>
                <w:szCs w:val="21"/>
              </w:rPr>
            </w:pPr>
          </w:p>
        </w:tc>
      </w:tr>
      <w:tr w14:paraId="4125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754899DB">
            <w:pPr>
              <w:keepNext/>
              <w:keepLines/>
              <w:adjustRightInd w:val="0"/>
              <w:snapToGrid w:val="0"/>
              <w:spacing w:line="240" w:lineRule="auto"/>
              <w:jc w:val="center"/>
              <w:outlineLvl w:val="0"/>
              <w:rPr>
                <w:rFonts w:ascii="宋体" w:hAnsi="宋体"/>
                <w:szCs w:val="21"/>
              </w:rPr>
            </w:pPr>
          </w:p>
        </w:tc>
        <w:tc>
          <w:tcPr>
            <w:tcW w:w="1755" w:type="dxa"/>
          </w:tcPr>
          <w:p w14:paraId="4BDF7E89">
            <w:pPr>
              <w:keepNext/>
              <w:keepLines/>
              <w:adjustRightInd w:val="0"/>
              <w:snapToGrid w:val="0"/>
              <w:spacing w:line="240" w:lineRule="auto"/>
              <w:jc w:val="center"/>
              <w:outlineLvl w:val="0"/>
              <w:rPr>
                <w:rFonts w:ascii="宋体" w:hAnsi="宋体"/>
                <w:szCs w:val="21"/>
              </w:rPr>
            </w:pPr>
          </w:p>
        </w:tc>
        <w:tc>
          <w:tcPr>
            <w:tcW w:w="1440" w:type="dxa"/>
          </w:tcPr>
          <w:p w14:paraId="449D8247">
            <w:pPr>
              <w:keepNext/>
              <w:keepLines/>
              <w:adjustRightInd w:val="0"/>
              <w:snapToGrid w:val="0"/>
              <w:spacing w:line="240" w:lineRule="auto"/>
              <w:jc w:val="center"/>
              <w:outlineLvl w:val="0"/>
              <w:rPr>
                <w:rFonts w:ascii="宋体" w:hAnsi="宋体"/>
                <w:szCs w:val="21"/>
              </w:rPr>
            </w:pPr>
          </w:p>
        </w:tc>
        <w:tc>
          <w:tcPr>
            <w:tcW w:w="1200" w:type="dxa"/>
          </w:tcPr>
          <w:p w14:paraId="5309B454">
            <w:pPr>
              <w:keepNext/>
              <w:keepLines/>
              <w:adjustRightInd w:val="0"/>
              <w:snapToGrid w:val="0"/>
              <w:spacing w:line="240" w:lineRule="auto"/>
              <w:jc w:val="center"/>
              <w:outlineLvl w:val="0"/>
              <w:rPr>
                <w:rFonts w:ascii="宋体" w:hAnsi="宋体"/>
                <w:szCs w:val="21"/>
              </w:rPr>
            </w:pPr>
          </w:p>
        </w:tc>
        <w:tc>
          <w:tcPr>
            <w:tcW w:w="709" w:type="dxa"/>
          </w:tcPr>
          <w:p w14:paraId="5CFEA7F0">
            <w:pPr>
              <w:keepNext/>
              <w:keepLines/>
              <w:adjustRightInd w:val="0"/>
              <w:snapToGrid w:val="0"/>
              <w:spacing w:line="240" w:lineRule="auto"/>
              <w:jc w:val="center"/>
              <w:outlineLvl w:val="0"/>
              <w:rPr>
                <w:rFonts w:ascii="宋体" w:hAnsi="宋体"/>
                <w:szCs w:val="21"/>
              </w:rPr>
            </w:pPr>
          </w:p>
        </w:tc>
        <w:tc>
          <w:tcPr>
            <w:tcW w:w="851" w:type="dxa"/>
          </w:tcPr>
          <w:p w14:paraId="0C7CE64E">
            <w:pPr>
              <w:keepNext/>
              <w:keepLines/>
              <w:adjustRightInd w:val="0"/>
              <w:snapToGrid w:val="0"/>
              <w:spacing w:line="240" w:lineRule="auto"/>
              <w:jc w:val="center"/>
              <w:outlineLvl w:val="0"/>
              <w:rPr>
                <w:rFonts w:ascii="宋体" w:hAnsi="宋体"/>
                <w:szCs w:val="21"/>
              </w:rPr>
            </w:pPr>
          </w:p>
        </w:tc>
        <w:tc>
          <w:tcPr>
            <w:tcW w:w="1779" w:type="dxa"/>
          </w:tcPr>
          <w:p w14:paraId="50B4B5F9">
            <w:pPr>
              <w:keepNext/>
              <w:keepLines/>
              <w:adjustRightInd w:val="0"/>
              <w:snapToGrid w:val="0"/>
              <w:spacing w:line="240" w:lineRule="auto"/>
              <w:jc w:val="center"/>
              <w:outlineLvl w:val="0"/>
              <w:rPr>
                <w:rFonts w:ascii="宋体" w:hAnsi="宋体"/>
                <w:szCs w:val="21"/>
              </w:rPr>
            </w:pPr>
          </w:p>
        </w:tc>
        <w:tc>
          <w:tcPr>
            <w:tcW w:w="877" w:type="dxa"/>
          </w:tcPr>
          <w:p w14:paraId="2D3F7134">
            <w:pPr>
              <w:keepNext/>
              <w:keepLines/>
              <w:adjustRightInd w:val="0"/>
              <w:snapToGrid w:val="0"/>
              <w:spacing w:line="240" w:lineRule="auto"/>
              <w:jc w:val="center"/>
              <w:outlineLvl w:val="0"/>
              <w:rPr>
                <w:rFonts w:ascii="宋体" w:hAnsi="宋体"/>
                <w:szCs w:val="21"/>
              </w:rPr>
            </w:pPr>
          </w:p>
        </w:tc>
      </w:tr>
      <w:tr w14:paraId="31D2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297CD01A">
            <w:pPr>
              <w:keepNext/>
              <w:keepLines/>
              <w:adjustRightInd w:val="0"/>
              <w:snapToGrid w:val="0"/>
              <w:spacing w:line="240" w:lineRule="auto"/>
              <w:jc w:val="center"/>
              <w:outlineLvl w:val="0"/>
              <w:rPr>
                <w:rFonts w:ascii="宋体" w:hAnsi="宋体"/>
                <w:szCs w:val="21"/>
              </w:rPr>
            </w:pPr>
          </w:p>
        </w:tc>
        <w:tc>
          <w:tcPr>
            <w:tcW w:w="1755" w:type="dxa"/>
          </w:tcPr>
          <w:p w14:paraId="78E50A5E">
            <w:pPr>
              <w:keepNext/>
              <w:keepLines/>
              <w:adjustRightInd w:val="0"/>
              <w:snapToGrid w:val="0"/>
              <w:spacing w:line="240" w:lineRule="auto"/>
              <w:jc w:val="center"/>
              <w:outlineLvl w:val="0"/>
              <w:rPr>
                <w:rFonts w:ascii="宋体" w:hAnsi="宋体"/>
                <w:szCs w:val="21"/>
              </w:rPr>
            </w:pPr>
          </w:p>
        </w:tc>
        <w:tc>
          <w:tcPr>
            <w:tcW w:w="1440" w:type="dxa"/>
          </w:tcPr>
          <w:p w14:paraId="56B65E8D">
            <w:pPr>
              <w:keepNext/>
              <w:keepLines/>
              <w:adjustRightInd w:val="0"/>
              <w:snapToGrid w:val="0"/>
              <w:spacing w:line="240" w:lineRule="auto"/>
              <w:jc w:val="center"/>
              <w:outlineLvl w:val="0"/>
              <w:rPr>
                <w:rFonts w:ascii="宋体" w:hAnsi="宋体"/>
                <w:szCs w:val="21"/>
              </w:rPr>
            </w:pPr>
          </w:p>
        </w:tc>
        <w:tc>
          <w:tcPr>
            <w:tcW w:w="1200" w:type="dxa"/>
          </w:tcPr>
          <w:p w14:paraId="4DA1276F">
            <w:pPr>
              <w:keepNext/>
              <w:keepLines/>
              <w:adjustRightInd w:val="0"/>
              <w:snapToGrid w:val="0"/>
              <w:spacing w:line="240" w:lineRule="auto"/>
              <w:jc w:val="center"/>
              <w:outlineLvl w:val="0"/>
              <w:rPr>
                <w:rFonts w:ascii="宋体" w:hAnsi="宋体"/>
                <w:szCs w:val="21"/>
              </w:rPr>
            </w:pPr>
          </w:p>
        </w:tc>
        <w:tc>
          <w:tcPr>
            <w:tcW w:w="709" w:type="dxa"/>
          </w:tcPr>
          <w:p w14:paraId="7621EE86">
            <w:pPr>
              <w:keepNext/>
              <w:keepLines/>
              <w:adjustRightInd w:val="0"/>
              <w:snapToGrid w:val="0"/>
              <w:spacing w:line="240" w:lineRule="auto"/>
              <w:jc w:val="center"/>
              <w:outlineLvl w:val="0"/>
              <w:rPr>
                <w:rFonts w:ascii="宋体" w:hAnsi="宋体"/>
                <w:szCs w:val="21"/>
              </w:rPr>
            </w:pPr>
          </w:p>
        </w:tc>
        <w:tc>
          <w:tcPr>
            <w:tcW w:w="851" w:type="dxa"/>
          </w:tcPr>
          <w:p w14:paraId="1574E685">
            <w:pPr>
              <w:keepNext/>
              <w:keepLines/>
              <w:adjustRightInd w:val="0"/>
              <w:snapToGrid w:val="0"/>
              <w:spacing w:line="240" w:lineRule="auto"/>
              <w:jc w:val="center"/>
              <w:outlineLvl w:val="0"/>
              <w:rPr>
                <w:rFonts w:ascii="宋体" w:hAnsi="宋体"/>
                <w:szCs w:val="21"/>
              </w:rPr>
            </w:pPr>
          </w:p>
        </w:tc>
        <w:tc>
          <w:tcPr>
            <w:tcW w:w="1779" w:type="dxa"/>
          </w:tcPr>
          <w:p w14:paraId="65EE1B63">
            <w:pPr>
              <w:keepNext/>
              <w:keepLines/>
              <w:adjustRightInd w:val="0"/>
              <w:snapToGrid w:val="0"/>
              <w:spacing w:line="240" w:lineRule="auto"/>
              <w:jc w:val="center"/>
              <w:outlineLvl w:val="0"/>
              <w:rPr>
                <w:rFonts w:ascii="宋体" w:hAnsi="宋体"/>
                <w:szCs w:val="21"/>
              </w:rPr>
            </w:pPr>
          </w:p>
        </w:tc>
        <w:tc>
          <w:tcPr>
            <w:tcW w:w="877" w:type="dxa"/>
          </w:tcPr>
          <w:p w14:paraId="59DA49FA">
            <w:pPr>
              <w:keepNext/>
              <w:keepLines/>
              <w:adjustRightInd w:val="0"/>
              <w:snapToGrid w:val="0"/>
              <w:spacing w:line="240" w:lineRule="auto"/>
              <w:jc w:val="center"/>
              <w:outlineLvl w:val="0"/>
              <w:rPr>
                <w:rFonts w:ascii="宋体" w:hAnsi="宋体"/>
                <w:szCs w:val="21"/>
              </w:rPr>
            </w:pPr>
          </w:p>
        </w:tc>
      </w:tr>
      <w:tr w14:paraId="1277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AA4F65B">
            <w:pPr>
              <w:keepNext/>
              <w:keepLines/>
              <w:adjustRightInd w:val="0"/>
              <w:snapToGrid w:val="0"/>
              <w:spacing w:line="240" w:lineRule="auto"/>
              <w:jc w:val="center"/>
              <w:outlineLvl w:val="0"/>
              <w:rPr>
                <w:rFonts w:ascii="宋体" w:hAnsi="宋体"/>
                <w:szCs w:val="21"/>
              </w:rPr>
            </w:pPr>
          </w:p>
        </w:tc>
        <w:tc>
          <w:tcPr>
            <w:tcW w:w="1755" w:type="dxa"/>
          </w:tcPr>
          <w:p w14:paraId="35A0D9A2">
            <w:pPr>
              <w:keepNext/>
              <w:keepLines/>
              <w:adjustRightInd w:val="0"/>
              <w:snapToGrid w:val="0"/>
              <w:spacing w:line="240" w:lineRule="auto"/>
              <w:jc w:val="center"/>
              <w:outlineLvl w:val="0"/>
              <w:rPr>
                <w:rFonts w:ascii="宋体" w:hAnsi="宋体"/>
                <w:szCs w:val="21"/>
              </w:rPr>
            </w:pPr>
          </w:p>
        </w:tc>
        <w:tc>
          <w:tcPr>
            <w:tcW w:w="1440" w:type="dxa"/>
          </w:tcPr>
          <w:p w14:paraId="0B2EC3C5">
            <w:pPr>
              <w:keepNext/>
              <w:keepLines/>
              <w:adjustRightInd w:val="0"/>
              <w:snapToGrid w:val="0"/>
              <w:spacing w:line="240" w:lineRule="auto"/>
              <w:jc w:val="center"/>
              <w:outlineLvl w:val="0"/>
              <w:rPr>
                <w:rFonts w:ascii="宋体" w:hAnsi="宋体"/>
                <w:szCs w:val="21"/>
              </w:rPr>
            </w:pPr>
          </w:p>
        </w:tc>
        <w:tc>
          <w:tcPr>
            <w:tcW w:w="1200" w:type="dxa"/>
          </w:tcPr>
          <w:p w14:paraId="69D3330C">
            <w:pPr>
              <w:keepNext/>
              <w:keepLines/>
              <w:adjustRightInd w:val="0"/>
              <w:snapToGrid w:val="0"/>
              <w:spacing w:line="240" w:lineRule="auto"/>
              <w:jc w:val="center"/>
              <w:outlineLvl w:val="0"/>
              <w:rPr>
                <w:rFonts w:ascii="宋体" w:hAnsi="宋体"/>
                <w:szCs w:val="21"/>
              </w:rPr>
            </w:pPr>
          </w:p>
        </w:tc>
        <w:tc>
          <w:tcPr>
            <w:tcW w:w="709" w:type="dxa"/>
          </w:tcPr>
          <w:p w14:paraId="01398D4D">
            <w:pPr>
              <w:keepNext/>
              <w:keepLines/>
              <w:adjustRightInd w:val="0"/>
              <w:snapToGrid w:val="0"/>
              <w:spacing w:line="240" w:lineRule="auto"/>
              <w:jc w:val="center"/>
              <w:outlineLvl w:val="0"/>
              <w:rPr>
                <w:rFonts w:ascii="宋体" w:hAnsi="宋体"/>
                <w:szCs w:val="21"/>
              </w:rPr>
            </w:pPr>
          </w:p>
        </w:tc>
        <w:tc>
          <w:tcPr>
            <w:tcW w:w="851" w:type="dxa"/>
          </w:tcPr>
          <w:p w14:paraId="01BBFE10">
            <w:pPr>
              <w:keepNext/>
              <w:keepLines/>
              <w:adjustRightInd w:val="0"/>
              <w:snapToGrid w:val="0"/>
              <w:spacing w:line="240" w:lineRule="auto"/>
              <w:jc w:val="center"/>
              <w:outlineLvl w:val="0"/>
              <w:rPr>
                <w:rFonts w:ascii="宋体" w:hAnsi="宋体"/>
                <w:szCs w:val="21"/>
              </w:rPr>
            </w:pPr>
          </w:p>
        </w:tc>
        <w:tc>
          <w:tcPr>
            <w:tcW w:w="1779" w:type="dxa"/>
          </w:tcPr>
          <w:p w14:paraId="0830013C">
            <w:pPr>
              <w:keepNext/>
              <w:keepLines/>
              <w:adjustRightInd w:val="0"/>
              <w:snapToGrid w:val="0"/>
              <w:spacing w:line="240" w:lineRule="auto"/>
              <w:jc w:val="center"/>
              <w:outlineLvl w:val="0"/>
              <w:rPr>
                <w:rFonts w:ascii="宋体" w:hAnsi="宋体"/>
                <w:szCs w:val="21"/>
              </w:rPr>
            </w:pPr>
          </w:p>
        </w:tc>
        <w:tc>
          <w:tcPr>
            <w:tcW w:w="877" w:type="dxa"/>
          </w:tcPr>
          <w:p w14:paraId="7E96E819">
            <w:pPr>
              <w:keepNext/>
              <w:keepLines/>
              <w:adjustRightInd w:val="0"/>
              <w:snapToGrid w:val="0"/>
              <w:spacing w:line="240" w:lineRule="auto"/>
              <w:jc w:val="center"/>
              <w:outlineLvl w:val="0"/>
              <w:rPr>
                <w:rFonts w:ascii="宋体" w:hAnsi="宋体"/>
                <w:szCs w:val="21"/>
              </w:rPr>
            </w:pPr>
          </w:p>
        </w:tc>
      </w:tr>
      <w:tr w14:paraId="2B06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E608BC8">
            <w:pPr>
              <w:keepNext/>
              <w:keepLines/>
              <w:adjustRightInd w:val="0"/>
              <w:snapToGrid w:val="0"/>
              <w:spacing w:line="240" w:lineRule="auto"/>
              <w:jc w:val="center"/>
              <w:outlineLvl w:val="0"/>
              <w:rPr>
                <w:rFonts w:ascii="宋体" w:hAnsi="宋体"/>
                <w:szCs w:val="21"/>
              </w:rPr>
            </w:pPr>
          </w:p>
        </w:tc>
        <w:tc>
          <w:tcPr>
            <w:tcW w:w="1755" w:type="dxa"/>
          </w:tcPr>
          <w:p w14:paraId="1309499A">
            <w:pPr>
              <w:keepNext/>
              <w:keepLines/>
              <w:adjustRightInd w:val="0"/>
              <w:snapToGrid w:val="0"/>
              <w:spacing w:line="240" w:lineRule="auto"/>
              <w:jc w:val="center"/>
              <w:outlineLvl w:val="0"/>
              <w:rPr>
                <w:rFonts w:ascii="宋体" w:hAnsi="宋体"/>
                <w:szCs w:val="21"/>
              </w:rPr>
            </w:pPr>
          </w:p>
        </w:tc>
        <w:tc>
          <w:tcPr>
            <w:tcW w:w="1440" w:type="dxa"/>
          </w:tcPr>
          <w:p w14:paraId="78C89285">
            <w:pPr>
              <w:keepNext/>
              <w:keepLines/>
              <w:adjustRightInd w:val="0"/>
              <w:snapToGrid w:val="0"/>
              <w:spacing w:line="240" w:lineRule="auto"/>
              <w:jc w:val="center"/>
              <w:outlineLvl w:val="0"/>
              <w:rPr>
                <w:rFonts w:ascii="宋体" w:hAnsi="宋体"/>
                <w:szCs w:val="21"/>
              </w:rPr>
            </w:pPr>
          </w:p>
        </w:tc>
        <w:tc>
          <w:tcPr>
            <w:tcW w:w="1200" w:type="dxa"/>
          </w:tcPr>
          <w:p w14:paraId="7BBBE476">
            <w:pPr>
              <w:keepNext/>
              <w:keepLines/>
              <w:adjustRightInd w:val="0"/>
              <w:snapToGrid w:val="0"/>
              <w:spacing w:line="240" w:lineRule="auto"/>
              <w:jc w:val="center"/>
              <w:outlineLvl w:val="0"/>
              <w:rPr>
                <w:rFonts w:ascii="宋体" w:hAnsi="宋体"/>
                <w:szCs w:val="21"/>
              </w:rPr>
            </w:pPr>
          </w:p>
        </w:tc>
        <w:tc>
          <w:tcPr>
            <w:tcW w:w="709" w:type="dxa"/>
          </w:tcPr>
          <w:p w14:paraId="11253F7A">
            <w:pPr>
              <w:keepNext/>
              <w:keepLines/>
              <w:adjustRightInd w:val="0"/>
              <w:snapToGrid w:val="0"/>
              <w:spacing w:line="240" w:lineRule="auto"/>
              <w:jc w:val="center"/>
              <w:outlineLvl w:val="0"/>
              <w:rPr>
                <w:rFonts w:ascii="宋体" w:hAnsi="宋体"/>
                <w:szCs w:val="21"/>
              </w:rPr>
            </w:pPr>
          </w:p>
        </w:tc>
        <w:tc>
          <w:tcPr>
            <w:tcW w:w="851" w:type="dxa"/>
          </w:tcPr>
          <w:p w14:paraId="16DCF705">
            <w:pPr>
              <w:keepNext/>
              <w:keepLines/>
              <w:adjustRightInd w:val="0"/>
              <w:snapToGrid w:val="0"/>
              <w:spacing w:line="240" w:lineRule="auto"/>
              <w:jc w:val="center"/>
              <w:outlineLvl w:val="0"/>
              <w:rPr>
                <w:rFonts w:ascii="宋体" w:hAnsi="宋体"/>
                <w:szCs w:val="21"/>
              </w:rPr>
            </w:pPr>
          </w:p>
        </w:tc>
        <w:tc>
          <w:tcPr>
            <w:tcW w:w="1779" w:type="dxa"/>
          </w:tcPr>
          <w:p w14:paraId="0E05D3EB">
            <w:pPr>
              <w:keepNext/>
              <w:keepLines/>
              <w:adjustRightInd w:val="0"/>
              <w:snapToGrid w:val="0"/>
              <w:spacing w:line="240" w:lineRule="auto"/>
              <w:jc w:val="center"/>
              <w:outlineLvl w:val="0"/>
              <w:rPr>
                <w:rFonts w:ascii="宋体" w:hAnsi="宋体"/>
                <w:szCs w:val="21"/>
              </w:rPr>
            </w:pPr>
          </w:p>
        </w:tc>
        <w:tc>
          <w:tcPr>
            <w:tcW w:w="877" w:type="dxa"/>
          </w:tcPr>
          <w:p w14:paraId="12D77809">
            <w:pPr>
              <w:keepNext/>
              <w:keepLines/>
              <w:adjustRightInd w:val="0"/>
              <w:snapToGrid w:val="0"/>
              <w:spacing w:line="240" w:lineRule="auto"/>
              <w:jc w:val="center"/>
              <w:outlineLvl w:val="0"/>
              <w:rPr>
                <w:rFonts w:ascii="宋体" w:hAnsi="宋体"/>
                <w:szCs w:val="21"/>
              </w:rPr>
            </w:pPr>
          </w:p>
        </w:tc>
      </w:tr>
    </w:tbl>
    <w:p w14:paraId="1B660C89">
      <w:pPr>
        <w:adjustRightInd w:val="0"/>
        <w:snapToGrid w:val="0"/>
        <w:jc w:val="center"/>
      </w:pPr>
    </w:p>
    <w:p w14:paraId="2B21BDC2">
      <w:pPr>
        <w:adjustRightInd w:val="0"/>
        <w:snapToGrid w:val="0"/>
        <w:spacing w:before="93" w:beforeLines="30"/>
        <w:rPr>
          <w:rFonts w:ascii="宋体" w:hAnsi="宋体"/>
          <w:sz w:val="21"/>
          <w:szCs w:val="21"/>
        </w:rPr>
      </w:pPr>
    </w:p>
    <w:bookmarkEnd w:id="6"/>
    <w:bookmarkEnd w:id="7"/>
    <w:p w14:paraId="3DE1056D">
      <w:pPr>
        <w:pStyle w:val="27"/>
        <w:rPr>
          <w:rFonts w:ascii="宋体" w:hAnsi="宋体" w:cs="宋体"/>
          <w:kern w:val="2"/>
          <w:sz w:val="22"/>
          <w:szCs w:val="22"/>
        </w:rPr>
        <w:sectPr>
          <w:footerReference r:id="rId18" w:type="default"/>
          <w:pgSz w:w="11906" w:h="16838"/>
          <w:pgMar w:top="1440" w:right="1080" w:bottom="1440" w:left="1080" w:header="851" w:footer="992" w:gutter="0"/>
          <w:cols w:space="720" w:num="1"/>
          <w:docGrid w:type="lines" w:linePitch="312" w:charSpace="0"/>
        </w:sectPr>
      </w:pPr>
    </w:p>
    <w:p w14:paraId="6314BF56">
      <w:pPr>
        <w:spacing w:line="312" w:lineRule="auto"/>
        <w:jc w:val="left"/>
        <w:rPr>
          <w:rFonts w:ascii="宋体" w:hAnsi="宋体" w:cs="宋体"/>
          <w:sz w:val="21"/>
          <w:szCs w:val="22"/>
        </w:rPr>
      </w:pPr>
      <w:r>
        <w:rPr>
          <w:rFonts w:hint="eastAsia" w:ascii="宋体" w:hAnsi="宋体" w:cs="宋体"/>
        </w:rPr>
        <w:t>附件</w:t>
      </w:r>
      <w:r>
        <w:rPr>
          <w:rFonts w:ascii="宋体" w:hAnsi="宋体" w:cs="宋体"/>
        </w:rPr>
        <w:t>1</w:t>
      </w:r>
      <w:r>
        <w:rPr>
          <w:rFonts w:hint="eastAsia" w:ascii="宋体" w:hAnsi="宋体" w:cs="宋体"/>
          <w:lang w:val="en-US" w:eastAsia="zh-CN"/>
        </w:rPr>
        <w:t>5</w:t>
      </w:r>
      <w:r>
        <w:rPr>
          <w:rFonts w:ascii="宋体" w:hAnsi="宋体" w:cs="宋体"/>
        </w:rPr>
        <w:t>.</w:t>
      </w:r>
      <w:r>
        <w:rPr>
          <w:rFonts w:hint="eastAsia" w:ascii="宋体" w:hAnsi="宋体" w:cs="宋体"/>
        </w:rPr>
        <w:t>依法经营记录查询表</w:t>
      </w:r>
    </w:p>
    <w:p w14:paraId="1F838E94">
      <w:pPr>
        <w:spacing w:line="400" w:lineRule="atLeast"/>
        <w:ind w:left="1" w:firstLine="562" w:firstLineChars="200"/>
        <w:jc w:val="center"/>
        <w:rPr>
          <w:rFonts w:eastAsia="黑体" w:cs="宋体"/>
          <w:b/>
          <w:sz w:val="28"/>
          <w:szCs w:val="28"/>
        </w:rPr>
      </w:pPr>
    </w:p>
    <w:p w14:paraId="726BED28">
      <w:pPr>
        <w:snapToGrid w:val="0"/>
        <w:spacing w:after="240" w:afterLines="100" w:line="400" w:lineRule="atLeast"/>
        <w:ind w:left="1" w:firstLine="560" w:firstLineChars="200"/>
        <w:jc w:val="center"/>
        <w:rPr>
          <w:rFonts w:eastAsia="黑体" w:cs="宋体"/>
          <w:bCs/>
          <w:sz w:val="28"/>
          <w:szCs w:val="28"/>
        </w:rPr>
      </w:pPr>
      <w:r>
        <w:rPr>
          <w:rFonts w:hint="eastAsia" w:eastAsia="黑体" w:cs="宋体"/>
          <w:bCs/>
          <w:sz w:val="28"/>
          <w:szCs w:val="28"/>
        </w:rPr>
        <w:t>依法经营记录查询</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250"/>
        <w:gridCol w:w="1875"/>
        <w:gridCol w:w="1500"/>
        <w:gridCol w:w="1210"/>
        <w:gridCol w:w="1301"/>
        <w:gridCol w:w="730"/>
      </w:tblGrid>
      <w:tr w14:paraId="0332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42" w:type="dxa"/>
            <w:vAlign w:val="center"/>
          </w:tcPr>
          <w:p w14:paraId="34537845">
            <w:pPr>
              <w:spacing w:line="400" w:lineRule="atLeast"/>
              <w:jc w:val="center"/>
              <w:rPr>
                <w:rFonts w:ascii="宋体" w:hAnsi="宋体" w:cs="宋体"/>
                <w:b/>
                <w:bCs/>
                <w:kern w:val="0"/>
                <w:sz w:val="21"/>
                <w:szCs w:val="21"/>
              </w:rPr>
            </w:pPr>
            <w:r>
              <w:rPr>
                <w:rFonts w:hint="eastAsia" w:ascii="宋体" w:hAnsi="宋体" w:cs="宋体"/>
                <w:b/>
                <w:bCs/>
                <w:kern w:val="0"/>
                <w:sz w:val="21"/>
                <w:szCs w:val="21"/>
              </w:rPr>
              <w:t>一、</w:t>
            </w:r>
          </w:p>
        </w:tc>
        <w:tc>
          <w:tcPr>
            <w:tcW w:w="8866" w:type="dxa"/>
            <w:gridSpan w:val="6"/>
            <w:vAlign w:val="center"/>
          </w:tcPr>
          <w:p w14:paraId="00E4CD5A">
            <w:pPr>
              <w:spacing w:line="400" w:lineRule="atLeast"/>
              <w:jc w:val="center"/>
              <w:rPr>
                <w:rFonts w:ascii="宋体" w:hAnsi="宋体" w:cs="宋体"/>
                <w:b/>
                <w:bCs/>
                <w:sz w:val="21"/>
                <w:szCs w:val="21"/>
              </w:rPr>
            </w:pPr>
            <w:r>
              <w:rPr>
                <w:rFonts w:hint="eastAsia" w:ascii="宋体" w:hAnsi="宋体" w:cs="宋体"/>
                <w:b/>
                <w:bCs/>
                <w:sz w:val="21"/>
                <w:szCs w:val="21"/>
              </w:rPr>
              <w:t>刑事犯罪判决或裁定记录</w:t>
            </w:r>
          </w:p>
        </w:tc>
      </w:tr>
      <w:tr w14:paraId="63E3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vAlign w:val="center"/>
          </w:tcPr>
          <w:p w14:paraId="369CE197">
            <w:pPr>
              <w:spacing w:line="400" w:lineRule="atLeast"/>
              <w:jc w:val="center"/>
              <w:rPr>
                <w:rFonts w:ascii="宋体" w:hAnsi="宋体" w:cs="宋体"/>
                <w:b/>
                <w:bCs/>
                <w:sz w:val="21"/>
                <w:szCs w:val="21"/>
              </w:rPr>
            </w:pPr>
            <w:r>
              <w:rPr>
                <w:rFonts w:hint="eastAsia" w:ascii="宋体" w:hAnsi="宋体" w:cs="宋体"/>
                <w:b/>
                <w:bCs/>
                <w:kern w:val="0"/>
                <w:sz w:val="21"/>
                <w:szCs w:val="21"/>
              </w:rPr>
              <w:t>序号</w:t>
            </w:r>
          </w:p>
        </w:tc>
        <w:tc>
          <w:tcPr>
            <w:tcW w:w="2250" w:type="dxa"/>
            <w:vAlign w:val="center"/>
          </w:tcPr>
          <w:p w14:paraId="42EB7F8B">
            <w:pPr>
              <w:spacing w:line="400" w:lineRule="atLeast"/>
              <w:jc w:val="center"/>
              <w:rPr>
                <w:rFonts w:ascii="宋体" w:hAnsi="宋体" w:cs="宋体"/>
                <w:b/>
                <w:bCs/>
                <w:sz w:val="21"/>
                <w:szCs w:val="21"/>
              </w:rPr>
            </w:pPr>
            <w:r>
              <w:rPr>
                <w:rFonts w:hint="eastAsia" w:ascii="宋体" w:hAnsi="宋体" w:cs="宋体"/>
                <w:b/>
                <w:bCs/>
                <w:sz w:val="21"/>
                <w:szCs w:val="21"/>
              </w:rPr>
              <w:t>行政处罚决定书文号</w:t>
            </w:r>
          </w:p>
        </w:tc>
        <w:tc>
          <w:tcPr>
            <w:tcW w:w="1875" w:type="dxa"/>
            <w:vAlign w:val="center"/>
          </w:tcPr>
          <w:p w14:paraId="04762A07">
            <w:pPr>
              <w:spacing w:line="400" w:lineRule="atLeast"/>
              <w:jc w:val="center"/>
              <w:rPr>
                <w:rFonts w:ascii="宋体" w:hAnsi="宋体" w:cs="宋体"/>
                <w:b/>
                <w:bCs/>
                <w:sz w:val="21"/>
                <w:szCs w:val="21"/>
              </w:rPr>
            </w:pPr>
            <w:r>
              <w:rPr>
                <w:rFonts w:hint="eastAsia" w:ascii="宋体" w:hAnsi="宋体" w:cs="宋体"/>
                <w:b/>
                <w:bCs/>
                <w:sz w:val="21"/>
                <w:szCs w:val="21"/>
              </w:rPr>
              <w:t>处罚决定日期</w:t>
            </w:r>
          </w:p>
        </w:tc>
        <w:tc>
          <w:tcPr>
            <w:tcW w:w="1500" w:type="dxa"/>
            <w:vAlign w:val="center"/>
          </w:tcPr>
          <w:p w14:paraId="41C644B4">
            <w:pPr>
              <w:spacing w:line="400" w:lineRule="atLeast"/>
              <w:jc w:val="center"/>
              <w:rPr>
                <w:rFonts w:ascii="宋体" w:hAnsi="宋体" w:cs="宋体"/>
                <w:b/>
                <w:bCs/>
                <w:sz w:val="21"/>
                <w:szCs w:val="21"/>
              </w:rPr>
            </w:pPr>
            <w:r>
              <w:rPr>
                <w:rFonts w:hint="eastAsia" w:ascii="宋体" w:hAnsi="宋体" w:cs="宋体"/>
                <w:b/>
                <w:bCs/>
                <w:sz w:val="21"/>
                <w:szCs w:val="21"/>
              </w:rPr>
              <w:t>查询途径</w:t>
            </w:r>
          </w:p>
        </w:tc>
        <w:tc>
          <w:tcPr>
            <w:tcW w:w="1210" w:type="dxa"/>
            <w:vAlign w:val="center"/>
          </w:tcPr>
          <w:p w14:paraId="26294426">
            <w:pPr>
              <w:spacing w:line="400" w:lineRule="atLeast"/>
              <w:jc w:val="center"/>
              <w:rPr>
                <w:rFonts w:ascii="宋体" w:hAnsi="宋体" w:cs="宋体"/>
                <w:b/>
                <w:bCs/>
                <w:sz w:val="21"/>
                <w:szCs w:val="21"/>
              </w:rPr>
            </w:pPr>
            <w:r>
              <w:rPr>
                <w:rFonts w:hint="eastAsia" w:ascii="宋体" w:hAnsi="宋体" w:cs="宋体"/>
                <w:b/>
                <w:bCs/>
                <w:sz w:val="21"/>
                <w:szCs w:val="21"/>
              </w:rPr>
              <w:t>被处罚单位名称</w:t>
            </w:r>
          </w:p>
        </w:tc>
        <w:tc>
          <w:tcPr>
            <w:tcW w:w="1301" w:type="dxa"/>
            <w:vAlign w:val="center"/>
          </w:tcPr>
          <w:p w14:paraId="7474CC3B">
            <w:pPr>
              <w:spacing w:line="400" w:lineRule="atLeast"/>
              <w:jc w:val="center"/>
              <w:rPr>
                <w:rFonts w:ascii="宋体" w:hAnsi="宋体" w:cs="宋体"/>
                <w:b/>
                <w:bCs/>
                <w:sz w:val="21"/>
                <w:szCs w:val="21"/>
              </w:rPr>
            </w:pPr>
            <w:r>
              <w:rPr>
                <w:rFonts w:hint="eastAsia" w:ascii="宋体" w:hAnsi="宋体" w:cs="宋体"/>
                <w:b/>
                <w:bCs/>
                <w:sz w:val="21"/>
                <w:szCs w:val="21"/>
              </w:rPr>
              <w:t>网页截图页码</w:t>
            </w:r>
          </w:p>
        </w:tc>
        <w:tc>
          <w:tcPr>
            <w:tcW w:w="730" w:type="dxa"/>
            <w:vAlign w:val="center"/>
          </w:tcPr>
          <w:p w14:paraId="7EE38814">
            <w:pPr>
              <w:spacing w:line="400" w:lineRule="atLeast"/>
              <w:jc w:val="center"/>
              <w:rPr>
                <w:rFonts w:ascii="宋体" w:hAnsi="宋体" w:cs="宋体"/>
                <w:b/>
                <w:bCs/>
                <w:sz w:val="21"/>
                <w:szCs w:val="21"/>
              </w:rPr>
            </w:pPr>
            <w:r>
              <w:rPr>
                <w:rFonts w:hint="eastAsia" w:ascii="宋体" w:hAnsi="宋体" w:cs="宋体"/>
                <w:b/>
                <w:bCs/>
                <w:sz w:val="21"/>
                <w:szCs w:val="21"/>
              </w:rPr>
              <w:t>备注</w:t>
            </w:r>
          </w:p>
        </w:tc>
      </w:tr>
      <w:tr w14:paraId="5DA6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42" w:type="dxa"/>
            <w:vAlign w:val="center"/>
          </w:tcPr>
          <w:p w14:paraId="18C1700B">
            <w:pPr>
              <w:spacing w:line="400" w:lineRule="atLeast"/>
              <w:jc w:val="center"/>
              <w:rPr>
                <w:rFonts w:ascii="宋体" w:hAnsi="宋体" w:cs="宋体"/>
                <w:b/>
                <w:bCs/>
                <w:sz w:val="21"/>
                <w:szCs w:val="21"/>
              </w:rPr>
            </w:pPr>
            <w:r>
              <w:rPr>
                <w:rFonts w:hint="eastAsia" w:ascii="宋体" w:hAnsi="宋体" w:cs="宋体"/>
                <w:b/>
                <w:bCs/>
                <w:sz w:val="21"/>
                <w:szCs w:val="21"/>
              </w:rPr>
              <w:t>1</w:t>
            </w:r>
          </w:p>
        </w:tc>
        <w:tc>
          <w:tcPr>
            <w:tcW w:w="2250" w:type="dxa"/>
            <w:vAlign w:val="center"/>
          </w:tcPr>
          <w:p w14:paraId="65F8D43D">
            <w:pPr>
              <w:spacing w:line="400" w:lineRule="atLeast"/>
              <w:jc w:val="center"/>
              <w:rPr>
                <w:rFonts w:ascii="宋体" w:hAnsi="宋体" w:cs="宋体"/>
                <w:b/>
                <w:bCs/>
                <w:sz w:val="21"/>
                <w:szCs w:val="21"/>
              </w:rPr>
            </w:pPr>
          </w:p>
        </w:tc>
        <w:tc>
          <w:tcPr>
            <w:tcW w:w="1875" w:type="dxa"/>
            <w:vAlign w:val="center"/>
          </w:tcPr>
          <w:p w14:paraId="090DA9DA">
            <w:pPr>
              <w:spacing w:line="400" w:lineRule="atLeast"/>
              <w:jc w:val="center"/>
              <w:rPr>
                <w:rFonts w:ascii="宋体" w:hAnsi="宋体" w:cs="宋体"/>
                <w:b/>
                <w:bCs/>
                <w:sz w:val="21"/>
                <w:szCs w:val="21"/>
              </w:rPr>
            </w:pPr>
          </w:p>
        </w:tc>
        <w:tc>
          <w:tcPr>
            <w:tcW w:w="1500" w:type="dxa"/>
            <w:vAlign w:val="center"/>
          </w:tcPr>
          <w:p w14:paraId="55BC5DE7">
            <w:pPr>
              <w:spacing w:line="400" w:lineRule="atLeast"/>
              <w:jc w:val="center"/>
              <w:rPr>
                <w:rFonts w:ascii="宋体" w:hAnsi="宋体" w:cs="宋体"/>
                <w:b/>
                <w:bCs/>
                <w:sz w:val="21"/>
                <w:szCs w:val="21"/>
              </w:rPr>
            </w:pPr>
          </w:p>
        </w:tc>
        <w:tc>
          <w:tcPr>
            <w:tcW w:w="1210" w:type="dxa"/>
            <w:vAlign w:val="center"/>
          </w:tcPr>
          <w:p w14:paraId="02405574">
            <w:pPr>
              <w:spacing w:line="400" w:lineRule="atLeast"/>
              <w:jc w:val="center"/>
              <w:rPr>
                <w:rFonts w:ascii="宋体" w:hAnsi="宋体" w:cs="宋体"/>
                <w:b/>
                <w:bCs/>
                <w:sz w:val="21"/>
                <w:szCs w:val="21"/>
              </w:rPr>
            </w:pPr>
          </w:p>
        </w:tc>
        <w:tc>
          <w:tcPr>
            <w:tcW w:w="1301" w:type="dxa"/>
            <w:vAlign w:val="center"/>
          </w:tcPr>
          <w:p w14:paraId="7393D811">
            <w:pPr>
              <w:spacing w:line="400" w:lineRule="atLeast"/>
              <w:jc w:val="center"/>
              <w:rPr>
                <w:rFonts w:ascii="宋体" w:hAnsi="宋体" w:cs="宋体"/>
                <w:b/>
                <w:bCs/>
                <w:sz w:val="21"/>
                <w:szCs w:val="21"/>
              </w:rPr>
            </w:pPr>
          </w:p>
        </w:tc>
        <w:tc>
          <w:tcPr>
            <w:tcW w:w="730" w:type="dxa"/>
            <w:vAlign w:val="center"/>
          </w:tcPr>
          <w:p w14:paraId="6ED808E1">
            <w:pPr>
              <w:spacing w:line="400" w:lineRule="atLeast"/>
              <w:jc w:val="center"/>
              <w:rPr>
                <w:rFonts w:ascii="宋体" w:hAnsi="宋体" w:cs="宋体"/>
                <w:b/>
                <w:bCs/>
                <w:sz w:val="21"/>
                <w:szCs w:val="21"/>
              </w:rPr>
            </w:pPr>
          </w:p>
        </w:tc>
      </w:tr>
      <w:tr w14:paraId="41CB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42" w:type="dxa"/>
            <w:vAlign w:val="center"/>
          </w:tcPr>
          <w:p w14:paraId="1EAA96BC">
            <w:pPr>
              <w:spacing w:line="400" w:lineRule="atLeast"/>
              <w:jc w:val="center"/>
              <w:rPr>
                <w:rFonts w:ascii="宋体" w:hAnsi="宋体" w:cs="宋体"/>
                <w:b/>
                <w:bCs/>
                <w:sz w:val="21"/>
                <w:szCs w:val="21"/>
              </w:rPr>
            </w:pPr>
            <w:r>
              <w:rPr>
                <w:rFonts w:hint="eastAsia" w:ascii="宋体" w:hAnsi="宋体" w:cs="宋体"/>
                <w:b/>
                <w:bCs/>
                <w:sz w:val="21"/>
                <w:szCs w:val="21"/>
              </w:rPr>
              <w:t>2</w:t>
            </w:r>
          </w:p>
        </w:tc>
        <w:tc>
          <w:tcPr>
            <w:tcW w:w="2250" w:type="dxa"/>
            <w:vAlign w:val="center"/>
          </w:tcPr>
          <w:p w14:paraId="456BA1F6">
            <w:pPr>
              <w:spacing w:line="400" w:lineRule="atLeast"/>
              <w:jc w:val="center"/>
              <w:rPr>
                <w:rFonts w:ascii="宋体" w:hAnsi="宋体" w:cs="宋体"/>
                <w:b/>
                <w:bCs/>
                <w:sz w:val="21"/>
                <w:szCs w:val="21"/>
              </w:rPr>
            </w:pPr>
          </w:p>
        </w:tc>
        <w:tc>
          <w:tcPr>
            <w:tcW w:w="1875" w:type="dxa"/>
            <w:vAlign w:val="center"/>
          </w:tcPr>
          <w:p w14:paraId="2722FF8F">
            <w:pPr>
              <w:spacing w:line="400" w:lineRule="atLeast"/>
              <w:jc w:val="center"/>
              <w:rPr>
                <w:rFonts w:ascii="宋体" w:hAnsi="宋体" w:cs="宋体"/>
                <w:b/>
                <w:bCs/>
                <w:sz w:val="21"/>
                <w:szCs w:val="21"/>
              </w:rPr>
            </w:pPr>
          </w:p>
        </w:tc>
        <w:tc>
          <w:tcPr>
            <w:tcW w:w="1500" w:type="dxa"/>
            <w:vAlign w:val="center"/>
          </w:tcPr>
          <w:p w14:paraId="75520FEE">
            <w:pPr>
              <w:spacing w:line="400" w:lineRule="atLeast"/>
              <w:jc w:val="center"/>
              <w:rPr>
                <w:rFonts w:ascii="宋体" w:hAnsi="宋体" w:cs="宋体"/>
                <w:b/>
                <w:bCs/>
                <w:sz w:val="21"/>
                <w:szCs w:val="21"/>
              </w:rPr>
            </w:pPr>
          </w:p>
        </w:tc>
        <w:tc>
          <w:tcPr>
            <w:tcW w:w="1210" w:type="dxa"/>
            <w:vAlign w:val="center"/>
          </w:tcPr>
          <w:p w14:paraId="35C20654">
            <w:pPr>
              <w:spacing w:line="400" w:lineRule="atLeast"/>
              <w:jc w:val="center"/>
              <w:rPr>
                <w:rFonts w:ascii="宋体" w:hAnsi="宋体" w:cs="宋体"/>
                <w:b/>
                <w:bCs/>
                <w:sz w:val="21"/>
                <w:szCs w:val="21"/>
              </w:rPr>
            </w:pPr>
          </w:p>
        </w:tc>
        <w:tc>
          <w:tcPr>
            <w:tcW w:w="1301" w:type="dxa"/>
            <w:vAlign w:val="center"/>
          </w:tcPr>
          <w:p w14:paraId="540BB9E4">
            <w:pPr>
              <w:spacing w:line="400" w:lineRule="atLeast"/>
              <w:jc w:val="center"/>
              <w:rPr>
                <w:rFonts w:ascii="宋体" w:hAnsi="宋体" w:cs="宋体"/>
                <w:b/>
                <w:bCs/>
                <w:sz w:val="21"/>
                <w:szCs w:val="21"/>
              </w:rPr>
            </w:pPr>
          </w:p>
        </w:tc>
        <w:tc>
          <w:tcPr>
            <w:tcW w:w="730" w:type="dxa"/>
            <w:vAlign w:val="center"/>
          </w:tcPr>
          <w:p w14:paraId="35803028">
            <w:pPr>
              <w:spacing w:line="400" w:lineRule="atLeast"/>
              <w:jc w:val="center"/>
              <w:rPr>
                <w:rFonts w:ascii="宋体" w:hAnsi="宋体" w:cs="宋体"/>
                <w:b/>
                <w:bCs/>
                <w:sz w:val="21"/>
                <w:szCs w:val="21"/>
              </w:rPr>
            </w:pPr>
          </w:p>
        </w:tc>
      </w:tr>
      <w:tr w14:paraId="7D82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42" w:type="dxa"/>
            <w:vAlign w:val="center"/>
          </w:tcPr>
          <w:p w14:paraId="7BC683B0">
            <w:pPr>
              <w:spacing w:line="400" w:lineRule="atLeast"/>
              <w:jc w:val="center"/>
              <w:rPr>
                <w:rFonts w:ascii="宋体" w:hAnsi="宋体" w:cs="宋体"/>
                <w:b/>
                <w:bCs/>
                <w:sz w:val="21"/>
                <w:szCs w:val="21"/>
              </w:rPr>
            </w:pPr>
            <w:r>
              <w:rPr>
                <w:rFonts w:hint="eastAsia" w:ascii="宋体" w:hAnsi="宋体" w:cs="宋体"/>
                <w:b/>
                <w:bCs/>
                <w:sz w:val="21"/>
                <w:szCs w:val="21"/>
              </w:rPr>
              <w:t>3</w:t>
            </w:r>
          </w:p>
        </w:tc>
        <w:tc>
          <w:tcPr>
            <w:tcW w:w="2250" w:type="dxa"/>
            <w:vAlign w:val="center"/>
          </w:tcPr>
          <w:p w14:paraId="5364EF2A">
            <w:pPr>
              <w:spacing w:line="400" w:lineRule="atLeast"/>
              <w:jc w:val="center"/>
              <w:rPr>
                <w:rFonts w:ascii="宋体" w:hAnsi="宋体" w:cs="宋体"/>
                <w:b/>
                <w:bCs/>
                <w:sz w:val="21"/>
                <w:szCs w:val="21"/>
              </w:rPr>
            </w:pPr>
          </w:p>
        </w:tc>
        <w:tc>
          <w:tcPr>
            <w:tcW w:w="1875" w:type="dxa"/>
            <w:vAlign w:val="center"/>
          </w:tcPr>
          <w:p w14:paraId="472A482C">
            <w:pPr>
              <w:spacing w:line="400" w:lineRule="atLeast"/>
              <w:jc w:val="center"/>
              <w:rPr>
                <w:rFonts w:ascii="宋体" w:hAnsi="宋体" w:cs="宋体"/>
                <w:b/>
                <w:bCs/>
                <w:sz w:val="21"/>
                <w:szCs w:val="21"/>
              </w:rPr>
            </w:pPr>
          </w:p>
        </w:tc>
        <w:tc>
          <w:tcPr>
            <w:tcW w:w="1500" w:type="dxa"/>
            <w:vAlign w:val="center"/>
          </w:tcPr>
          <w:p w14:paraId="00C0FBD0">
            <w:pPr>
              <w:spacing w:line="400" w:lineRule="atLeast"/>
              <w:jc w:val="center"/>
              <w:rPr>
                <w:rFonts w:ascii="宋体" w:hAnsi="宋体" w:cs="宋体"/>
                <w:b/>
                <w:bCs/>
                <w:sz w:val="21"/>
                <w:szCs w:val="21"/>
              </w:rPr>
            </w:pPr>
          </w:p>
        </w:tc>
        <w:tc>
          <w:tcPr>
            <w:tcW w:w="1210" w:type="dxa"/>
            <w:vAlign w:val="center"/>
          </w:tcPr>
          <w:p w14:paraId="10470C02">
            <w:pPr>
              <w:spacing w:line="400" w:lineRule="atLeast"/>
              <w:jc w:val="center"/>
              <w:rPr>
                <w:rFonts w:ascii="宋体" w:hAnsi="宋体" w:cs="宋体"/>
                <w:b/>
                <w:bCs/>
                <w:sz w:val="21"/>
                <w:szCs w:val="21"/>
              </w:rPr>
            </w:pPr>
          </w:p>
        </w:tc>
        <w:tc>
          <w:tcPr>
            <w:tcW w:w="1301" w:type="dxa"/>
            <w:vAlign w:val="center"/>
          </w:tcPr>
          <w:p w14:paraId="077F73FE">
            <w:pPr>
              <w:spacing w:line="400" w:lineRule="atLeast"/>
              <w:jc w:val="center"/>
              <w:rPr>
                <w:rFonts w:ascii="宋体" w:hAnsi="宋体" w:cs="宋体"/>
                <w:b/>
                <w:bCs/>
                <w:sz w:val="21"/>
                <w:szCs w:val="21"/>
              </w:rPr>
            </w:pPr>
          </w:p>
        </w:tc>
        <w:tc>
          <w:tcPr>
            <w:tcW w:w="730" w:type="dxa"/>
            <w:vAlign w:val="center"/>
          </w:tcPr>
          <w:p w14:paraId="3FB7FDDD">
            <w:pPr>
              <w:spacing w:line="400" w:lineRule="atLeast"/>
              <w:jc w:val="center"/>
              <w:rPr>
                <w:rFonts w:ascii="宋体" w:hAnsi="宋体" w:cs="宋体"/>
                <w:b/>
                <w:bCs/>
                <w:sz w:val="21"/>
                <w:szCs w:val="21"/>
              </w:rPr>
            </w:pPr>
          </w:p>
        </w:tc>
      </w:tr>
      <w:tr w14:paraId="2034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42" w:type="dxa"/>
            <w:vAlign w:val="center"/>
          </w:tcPr>
          <w:p w14:paraId="5615E20D">
            <w:pPr>
              <w:spacing w:line="400" w:lineRule="atLeast"/>
              <w:jc w:val="center"/>
              <w:rPr>
                <w:rFonts w:ascii="宋体" w:hAnsi="宋体" w:cs="宋体"/>
                <w:b/>
                <w:bCs/>
                <w:sz w:val="21"/>
                <w:szCs w:val="21"/>
              </w:rPr>
            </w:pPr>
            <w:r>
              <w:rPr>
                <w:rFonts w:hint="eastAsia" w:ascii="宋体" w:hAnsi="宋体" w:cs="宋体"/>
                <w:b/>
                <w:bCs/>
                <w:sz w:val="21"/>
                <w:szCs w:val="21"/>
              </w:rPr>
              <w:t>4</w:t>
            </w:r>
          </w:p>
        </w:tc>
        <w:tc>
          <w:tcPr>
            <w:tcW w:w="2250" w:type="dxa"/>
            <w:vAlign w:val="center"/>
          </w:tcPr>
          <w:p w14:paraId="00E3D773">
            <w:pPr>
              <w:spacing w:line="400" w:lineRule="atLeast"/>
              <w:jc w:val="center"/>
              <w:rPr>
                <w:rFonts w:ascii="宋体" w:hAnsi="宋体" w:cs="宋体"/>
                <w:b/>
                <w:bCs/>
                <w:sz w:val="21"/>
                <w:szCs w:val="21"/>
              </w:rPr>
            </w:pPr>
          </w:p>
        </w:tc>
        <w:tc>
          <w:tcPr>
            <w:tcW w:w="1875" w:type="dxa"/>
            <w:vAlign w:val="center"/>
          </w:tcPr>
          <w:p w14:paraId="72CF65CB">
            <w:pPr>
              <w:spacing w:line="400" w:lineRule="atLeast"/>
              <w:jc w:val="center"/>
              <w:rPr>
                <w:rFonts w:ascii="宋体" w:hAnsi="宋体" w:cs="宋体"/>
                <w:b/>
                <w:bCs/>
                <w:sz w:val="21"/>
                <w:szCs w:val="21"/>
              </w:rPr>
            </w:pPr>
          </w:p>
        </w:tc>
        <w:tc>
          <w:tcPr>
            <w:tcW w:w="1500" w:type="dxa"/>
            <w:vAlign w:val="center"/>
          </w:tcPr>
          <w:p w14:paraId="48A111CA">
            <w:pPr>
              <w:spacing w:line="400" w:lineRule="atLeast"/>
              <w:jc w:val="center"/>
              <w:rPr>
                <w:rFonts w:ascii="宋体" w:hAnsi="宋体" w:cs="宋体"/>
                <w:b/>
                <w:bCs/>
                <w:sz w:val="21"/>
                <w:szCs w:val="21"/>
              </w:rPr>
            </w:pPr>
          </w:p>
        </w:tc>
        <w:tc>
          <w:tcPr>
            <w:tcW w:w="1210" w:type="dxa"/>
            <w:vAlign w:val="center"/>
          </w:tcPr>
          <w:p w14:paraId="7745C9A5">
            <w:pPr>
              <w:spacing w:line="400" w:lineRule="atLeast"/>
              <w:jc w:val="center"/>
              <w:rPr>
                <w:rFonts w:ascii="宋体" w:hAnsi="宋体" w:cs="宋体"/>
                <w:b/>
                <w:bCs/>
                <w:sz w:val="21"/>
                <w:szCs w:val="21"/>
              </w:rPr>
            </w:pPr>
          </w:p>
        </w:tc>
        <w:tc>
          <w:tcPr>
            <w:tcW w:w="1301" w:type="dxa"/>
            <w:vAlign w:val="center"/>
          </w:tcPr>
          <w:p w14:paraId="42874757">
            <w:pPr>
              <w:spacing w:line="400" w:lineRule="atLeast"/>
              <w:jc w:val="center"/>
              <w:rPr>
                <w:rFonts w:ascii="宋体" w:hAnsi="宋体" w:cs="宋体"/>
                <w:b/>
                <w:bCs/>
                <w:sz w:val="21"/>
                <w:szCs w:val="21"/>
              </w:rPr>
            </w:pPr>
          </w:p>
        </w:tc>
        <w:tc>
          <w:tcPr>
            <w:tcW w:w="730" w:type="dxa"/>
            <w:vAlign w:val="center"/>
          </w:tcPr>
          <w:p w14:paraId="0B24ACA8">
            <w:pPr>
              <w:spacing w:line="400" w:lineRule="atLeast"/>
              <w:jc w:val="center"/>
              <w:rPr>
                <w:rFonts w:ascii="宋体" w:hAnsi="宋体" w:cs="宋体"/>
                <w:b/>
                <w:bCs/>
                <w:sz w:val="21"/>
                <w:szCs w:val="21"/>
              </w:rPr>
            </w:pPr>
          </w:p>
        </w:tc>
      </w:tr>
      <w:tr w14:paraId="0D59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42" w:type="dxa"/>
            <w:vAlign w:val="center"/>
          </w:tcPr>
          <w:p w14:paraId="300FA5CB">
            <w:pPr>
              <w:spacing w:line="400" w:lineRule="atLeast"/>
              <w:jc w:val="center"/>
              <w:rPr>
                <w:rFonts w:ascii="宋体" w:hAnsi="宋体" w:cs="宋体"/>
                <w:b/>
                <w:bCs/>
                <w:sz w:val="21"/>
                <w:szCs w:val="21"/>
              </w:rPr>
            </w:pPr>
            <w:r>
              <w:rPr>
                <w:rFonts w:hint="eastAsia" w:ascii="宋体" w:hAnsi="宋体" w:cs="宋体"/>
                <w:b/>
                <w:bCs/>
                <w:sz w:val="21"/>
                <w:szCs w:val="21"/>
              </w:rPr>
              <w:t>5</w:t>
            </w:r>
          </w:p>
        </w:tc>
        <w:tc>
          <w:tcPr>
            <w:tcW w:w="2250" w:type="dxa"/>
            <w:vAlign w:val="center"/>
          </w:tcPr>
          <w:p w14:paraId="6E1AE80B">
            <w:pPr>
              <w:spacing w:line="400" w:lineRule="atLeast"/>
              <w:jc w:val="center"/>
              <w:rPr>
                <w:rFonts w:ascii="宋体" w:hAnsi="宋体" w:cs="宋体"/>
                <w:b/>
                <w:bCs/>
                <w:sz w:val="21"/>
                <w:szCs w:val="21"/>
              </w:rPr>
            </w:pPr>
          </w:p>
        </w:tc>
        <w:tc>
          <w:tcPr>
            <w:tcW w:w="1875" w:type="dxa"/>
            <w:vAlign w:val="center"/>
          </w:tcPr>
          <w:p w14:paraId="0269E881">
            <w:pPr>
              <w:spacing w:line="400" w:lineRule="atLeast"/>
              <w:jc w:val="center"/>
              <w:rPr>
                <w:rFonts w:ascii="宋体" w:hAnsi="宋体" w:cs="宋体"/>
                <w:b/>
                <w:bCs/>
                <w:sz w:val="21"/>
                <w:szCs w:val="21"/>
              </w:rPr>
            </w:pPr>
          </w:p>
        </w:tc>
        <w:tc>
          <w:tcPr>
            <w:tcW w:w="1500" w:type="dxa"/>
            <w:vAlign w:val="center"/>
          </w:tcPr>
          <w:p w14:paraId="36A975F2">
            <w:pPr>
              <w:spacing w:line="400" w:lineRule="atLeast"/>
              <w:jc w:val="center"/>
              <w:rPr>
                <w:rFonts w:ascii="宋体" w:hAnsi="宋体" w:cs="宋体"/>
                <w:b/>
                <w:bCs/>
                <w:sz w:val="21"/>
                <w:szCs w:val="21"/>
              </w:rPr>
            </w:pPr>
          </w:p>
        </w:tc>
        <w:tc>
          <w:tcPr>
            <w:tcW w:w="1210" w:type="dxa"/>
            <w:vAlign w:val="center"/>
          </w:tcPr>
          <w:p w14:paraId="46BFB682">
            <w:pPr>
              <w:spacing w:line="400" w:lineRule="atLeast"/>
              <w:jc w:val="center"/>
              <w:rPr>
                <w:rFonts w:ascii="宋体" w:hAnsi="宋体" w:cs="宋体"/>
                <w:b/>
                <w:bCs/>
                <w:sz w:val="21"/>
                <w:szCs w:val="21"/>
              </w:rPr>
            </w:pPr>
          </w:p>
        </w:tc>
        <w:tc>
          <w:tcPr>
            <w:tcW w:w="1301" w:type="dxa"/>
            <w:vAlign w:val="center"/>
          </w:tcPr>
          <w:p w14:paraId="2587F1F8">
            <w:pPr>
              <w:spacing w:line="400" w:lineRule="atLeast"/>
              <w:jc w:val="center"/>
              <w:rPr>
                <w:rFonts w:ascii="宋体" w:hAnsi="宋体" w:cs="宋体"/>
                <w:b/>
                <w:bCs/>
                <w:sz w:val="21"/>
                <w:szCs w:val="21"/>
              </w:rPr>
            </w:pPr>
          </w:p>
        </w:tc>
        <w:tc>
          <w:tcPr>
            <w:tcW w:w="730" w:type="dxa"/>
            <w:vAlign w:val="center"/>
          </w:tcPr>
          <w:p w14:paraId="5591B9D2">
            <w:pPr>
              <w:spacing w:line="400" w:lineRule="atLeast"/>
              <w:jc w:val="center"/>
              <w:rPr>
                <w:rFonts w:ascii="宋体" w:hAnsi="宋体" w:cs="宋体"/>
                <w:b/>
                <w:bCs/>
                <w:sz w:val="21"/>
                <w:szCs w:val="21"/>
              </w:rPr>
            </w:pPr>
          </w:p>
        </w:tc>
      </w:tr>
      <w:tr w14:paraId="2EB6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942" w:type="dxa"/>
            <w:vAlign w:val="center"/>
          </w:tcPr>
          <w:p w14:paraId="4A0AAAAD">
            <w:pPr>
              <w:spacing w:line="400" w:lineRule="atLeast"/>
              <w:jc w:val="center"/>
              <w:rPr>
                <w:rFonts w:ascii="宋体" w:hAnsi="宋体" w:cs="宋体"/>
                <w:b/>
                <w:bCs/>
                <w:sz w:val="21"/>
                <w:szCs w:val="21"/>
              </w:rPr>
            </w:pPr>
            <w:r>
              <w:rPr>
                <w:rFonts w:hint="eastAsia" w:ascii="宋体" w:hAnsi="宋体" w:cs="宋体"/>
                <w:b/>
                <w:bCs/>
                <w:sz w:val="21"/>
                <w:szCs w:val="21"/>
              </w:rPr>
              <w:t>……</w:t>
            </w:r>
          </w:p>
        </w:tc>
        <w:tc>
          <w:tcPr>
            <w:tcW w:w="2250" w:type="dxa"/>
            <w:vAlign w:val="center"/>
          </w:tcPr>
          <w:p w14:paraId="49CB834E">
            <w:pPr>
              <w:spacing w:line="400" w:lineRule="atLeast"/>
              <w:jc w:val="center"/>
              <w:rPr>
                <w:rFonts w:ascii="宋体" w:hAnsi="宋体" w:cs="宋体"/>
                <w:b/>
                <w:bCs/>
                <w:sz w:val="21"/>
                <w:szCs w:val="21"/>
              </w:rPr>
            </w:pPr>
          </w:p>
        </w:tc>
        <w:tc>
          <w:tcPr>
            <w:tcW w:w="1875" w:type="dxa"/>
            <w:vAlign w:val="center"/>
          </w:tcPr>
          <w:p w14:paraId="2DE6B50F">
            <w:pPr>
              <w:spacing w:line="400" w:lineRule="atLeast"/>
              <w:jc w:val="center"/>
              <w:rPr>
                <w:rFonts w:ascii="宋体" w:hAnsi="宋体" w:cs="宋体"/>
                <w:b/>
                <w:bCs/>
                <w:sz w:val="21"/>
                <w:szCs w:val="21"/>
              </w:rPr>
            </w:pPr>
          </w:p>
        </w:tc>
        <w:tc>
          <w:tcPr>
            <w:tcW w:w="1500" w:type="dxa"/>
            <w:vAlign w:val="center"/>
          </w:tcPr>
          <w:p w14:paraId="0BE58444">
            <w:pPr>
              <w:spacing w:line="400" w:lineRule="atLeast"/>
              <w:jc w:val="center"/>
              <w:rPr>
                <w:rFonts w:ascii="宋体" w:hAnsi="宋体" w:cs="宋体"/>
                <w:b/>
                <w:bCs/>
                <w:sz w:val="21"/>
                <w:szCs w:val="21"/>
              </w:rPr>
            </w:pPr>
          </w:p>
        </w:tc>
        <w:tc>
          <w:tcPr>
            <w:tcW w:w="1210" w:type="dxa"/>
            <w:vAlign w:val="center"/>
          </w:tcPr>
          <w:p w14:paraId="36009F96">
            <w:pPr>
              <w:spacing w:line="400" w:lineRule="atLeast"/>
              <w:jc w:val="center"/>
              <w:rPr>
                <w:rFonts w:ascii="宋体" w:hAnsi="宋体" w:cs="宋体"/>
                <w:b/>
                <w:bCs/>
                <w:sz w:val="21"/>
                <w:szCs w:val="21"/>
              </w:rPr>
            </w:pPr>
          </w:p>
        </w:tc>
        <w:tc>
          <w:tcPr>
            <w:tcW w:w="1301" w:type="dxa"/>
            <w:vAlign w:val="center"/>
          </w:tcPr>
          <w:p w14:paraId="1EF68A20">
            <w:pPr>
              <w:spacing w:line="400" w:lineRule="atLeast"/>
              <w:jc w:val="center"/>
              <w:rPr>
                <w:rFonts w:ascii="宋体" w:hAnsi="宋体" w:cs="宋体"/>
                <w:b/>
                <w:bCs/>
                <w:sz w:val="21"/>
                <w:szCs w:val="21"/>
              </w:rPr>
            </w:pPr>
          </w:p>
        </w:tc>
        <w:tc>
          <w:tcPr>
            <w:tcW w:w="730" w:type="dxa"/>
            <w:vAlign w:val="center"/>
          </w:tcPr>
          <w:p w14:paraId="1A353D43">
            <w:pPr>
              <w:spacing w:line="400" w:lineRule="atLeast"/>
              <w:jc w:val="center"/>
              <w:rPr>
                <w:rFonts w:ascii="宋体" w:hAnsi="宋体" w:cs="宋体"/>
                <w:b/>
                <w:bCs/>
                <w:sz w:val="21"/>
                <w:szCs w:val="21"/>
              </w:rPr>
            </w:pPr>
          </w:p>
        </w:tc>
      </w:tr>
      <w:tr w14:paraId="3018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42" w:type="dxa"/>
            <w:vAlign w:val="center"/>
          </w:tcPr>
          <w:p w14:paraId="4D494767">
            <w:pPr>
              <w:spacing w:line="400" w:lineRule="atLeast"/>
              <w:jc w:val="center"/>
              <w:rPr>
                <w:rFonts w:ascii="宋体" w:hAnsi="宋体" w:cs="宋体"/>
                <w:b/>
                <w:bCs/>
                <w:sz w:val="21"/>
                <w:szCs w:val="21"/>
              </w:rPr>
            </w:pPr>
            <w:r>
              <w:rPr>
                <w:rFonts w:hint="eastAsia" w:ascii="宋体" w:hAnsi="宋体" w:cs="宋体"/>
                <w:b/>
                <w:bCs/>
                <w:sz w:val="21"/>
                <w:szCs w:val="21"/>
              </w:rPr>
              <w:t>二、</w:t>
            </w:r>
          </w:p>
        </w:tc>
        <w:tc>
          <w:tcPr>
            <w:tcW w:w="8866" w:type="dxa"/>
            <w:gridSpan w:val="6"/>
            <w:vAlign w:val="center"/>
          </w:tcPr>
          <w:p w14:paraId="031812AB">
            <w:pPr>
              <w:spacing w:line="400" w:lineRule="atLeast"/>
              <w:jc w:val="center"/>
              <w:rPr>
                <w:rFonts w:ascii="宋体" w:hAnsi="宋体" w:cs="宋体"/>
                <w:b/>
                <w:bCs/>
                <w:sz w:val="21"/>
                <w:szCs w:val="21"/>
              </w:rPr>
            </w:pPr>
            <w:r>
              <w:rPr>
                <w:rFonts w:hint="eastAsia" w:ascii="宋体" w:hAnsi="宋体" w:cs="宋体"/>
                <w:b/>
                <w:bCs/>
                <w:sz w:val="21"/>
                <w:szCs w:val="21"/>
              </w:rPr>
              <w:t>行政处罚记录查询</w:t>
            </w:r>
          </w:p>
        </w:tc>
      </w:tr>
      <w:tr w14:paraId="5064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vAlign w:val="center"/>
          </w:tcPr>
          <w:p w14:paraId="128A9CE7">
            <w:pPr>
              <w:spacing w:line="400" w:lineRule="atLeast"/>
              <w:jc w:val="center"/>
              <w:rPr>
                <w:rFonts w:ascii="宋体" w:hAnsi="宋体" w:cs="宋体"/>
                <w:b/>
                <w:bCs/>
                <w:sz w:val="21"/>
                <w:szCs w:val="21"/>
              </w:rPr>
            </w:pPr>
            <w:r>
              <w:rPr>
                <w:rFonts w:hint="eastAsia" w:ascii="宋体" w:hAnsi="宋体" w:cs="宋体"/>
                <w:b/>
                <w:bCs/>
                <w:kern w:val="0"/>
                <w:sz w:val="21"/>
                <w:szCs w:val="21"/>
              </w:rPr>
              <w:t>序号</w:t>
            </w:r>
          </w:p>
        </w:tc>
        <w:tc>
          <w:tcPr>
            <w:tcW w:w="2250" w:type="dxa"/>
            <w:vAlign w:val="center"/>
          </w:tcPr>
          <w:p w14:paraId="6613004A">
            <w:pPr>
              <w:spacing w:line="400" w:lineRule="atLeast"/>
              <w:jc w:val="center"/>
              <w:rPr>
                <w:rFonts w:ascii="宋体" w:hAnsi="宋体" w:cs="宋体"/>
                <w:b/>
                <w:bCs/>
                <w:sz w:val="21"/>
                <w:szCs w:val="21"/>
              </w:rPr>
            </w:pPr>
            <w:r>
              <w:rPr>
                <w:rFonts w:hint="eastAsia" w:ascii="宋体" w:hAnsi="宋体" w:cs="宋体"/>
                <w:b/>
                <w:bCs/>
                <w:sz w:val="21"/>
                <w:szCs w:val="21"/>
              </w:rPr>
              <w:t>行政处罚决定书文号</w:t>
            </w:r>
          </w:p>
        </w:tc>
        <w:tc>
          <w:tcPr>
            <w:tcW w:w="1875" w:type="dxa"/>
            <w:vAlign w:val="center"/>
          </w:tcPr>
          <w:p w14:paraId="798D9966">
            <w:pPr>
              <w:spacing w:line="400" w:lineRule="atLeast"/>
              <w:jc w:val="center"/>
              <w:rPr>
                <w:rFonts w:ascii="宋体" w:hAnsi="宋体" w:cs="宋体"/>
                <w:b/>
                <w:bCs/>
                <w:sz w:val="21"/>
                <w:szCs w:val="21"/>
              </w:rPr>
            </w:pPr>
            <w:r>
              <w:rPr>
                <w:rFonts w:hint="eastAsia" w:ascii="宋体" w:hAnsi="宋体" w:cs="宋体"/>
                <w:b/>
                <w:bCs/>
                <w:sz w:val="21"/>
                <w:szCs w:val="21"/>
              </w:rPr>
              <w:t>处罚决定日期</w:t>
            </w:r>
          </w:p>
        </w:tc>
        <w:tc>
          <w:tcPr>
            <w:tcW w:w="1500" w:type="dxa"/>
            <w:vAlign w:val="center"/>
          </w:tcPr>
          <w:p w14:paraId="2DF80D0F">
            <w:pPr>
              <w:spacing w:line="400" w:lineRule="atLeast"/>
              <w:jc w:val="center"/>
              <w:rPr>
                <w:rFonts w:ascii="宋体" w:hAnsi="宋体" w:cs="宋体"/>
                <w:b/>
                <w:bCs/>
                <w:sz w:val="21"/>
                <w:szCs w:val="21"/>
              </w:rPr>
            </w:pPr>
            <w:r>
              <w:rPr>
                <w:rFonts w:hint="eastAsia" w:ascii="宋体" w:hAnsi="宋体" w:cs="宋体"/>
                <w:b/>
                <w:bCs/>
                <w:sz w:val="21"/>
                <w:szCs w:val="21"/>
              </w:rPr>
              <w:t>查询途径</w:t>
            </w:r>
          </w:p>
        </w:tc>
        <w:tc>
          <w:tcPr>
            <w:tcW w:w="1210" w:type="dxa"/>
            <w:vAlign w:val="center"/>
          </w:tcPr>
          <w:p w14:paraId="20F08650">
            <w:pPr>
              <w:spacing w:line="400" w:lineRule="atLeast"/>
              <w:jc w:val="center"/>
              <w:rPr>
                <w:rFonts w:ascii="宋体" w:hAnsi="宋体" w:cs="宋体"/>
                <w:b/>
                <w:bCs/>
                <w:sz w:val="21"/>
                <w:szCs w:val="21"/>
              </w:rPr>
            </w:pPr>
            <w:r>
              <w:rPr>
                <w:rFonts w:hint="eastAsia" w:ascii="宋体" w:hAnsi="宋体" w:cs="宋体"/>
                <w:b/>
                <w:bCs/>
                <w:sz w:val="21"/>
                <w:szCs w:val="21"/>
              </w:rPr>
              <w:t>被处罚单位名称</w:t>
            </w:r>
          </w:p>
        </w:tc>
        <w:tc>
          <w:tcPr>
            <w:tcW w:w="1301" w:type="dxa"/>
            <w:vAlign w:val="center"/>
          </w:tcPr>
          <w:p w14:paraId="374F6DC9">
            <w:pPr>
              <w:spacing w:line="400" w:lineRule="atLeast"/>
              <w:jc w:val="center"/>
              <w:rPr>
                <w:rFonts w:ascii="宋体" w:hAnsi="宋体" w:cs="宋体"/>
                <w:b/>
                <w:bCs/>
                <w:sz w:val="21"/>
                <w:szCs w:val="21"/>
              </w:rPr>
            </w:pPr>
            <w:r>
              <w:rPr>
                <w:rFonts w:hint="eastAsia" w:ascii="宋体" w:hAnsi="宋体" w:cs="宋体"/>
                <w:b/>
                <w:bCs/>
                <w:sz w:val="21"/>
                <w:szCs w:val="21"/>
              </w:rPr>
              <w:t>网页截图页码</w:t>
            </w:r>
          </w:p>
        </w:tc>
        <w:tc>
          <w:tcPr>
            <w:tcW w:w="730" w:type="dxa"/>
            <w:vAlign w:val="center"/>
          </w:tcPr>
          <w:p w14:paraId="4177C565">
            <w:pPr>
              <w:spacing w:line="400" w:lineRule="atLeast"/>
              <w:jc w:val="center"/>
              <w:rPr>
                <w:rFonts w:ascii="宋体" w:hAnsi="宋体" w:cs="宋体"/>
                <w:b/>
                <w:bCs/>
                <w:sz w:val="21"/>
                <w:szCs w:val="21"/>
              </w:rPr>
            </w:pPr>
            <w:r>
              <w:rPr>
                <w:rFonts w:hint="eastAsia" w:ascii="宋体" w:hAnsi="宋体" w:cs="宋体"/>
                <w:b/>
                <w:bCs/>
                <w:sz w:val="21"/>
                <w:szCs w:val="21"/>
              </w:rPr>
              <w:t>备注</w:t>
            </w:r>
          </w:p>
        </w:tc>
      </w:tr>
      <w:tr w14:paraId="23CE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2" w:type="dxa"/>
            <w:vAlign w:val="center"/>
          </w:tcPr>
          <w:p w14:paraId="488F159A">
            <w:pPr>
              <w:spacing w:line="400" w:lineRule="atLeast"/>
              <w:jc w:val="center"/>
              <w:rPr>
                <w:rFonts w:ascii="宋体" w:hAnsi="宋体" w:cs="宋体"/>
                <w:b/>
                <w:bCs/>
                <w:sz w:val="21"/>
                <w:szCs w:val="21"/>
              </w:rPr>
            </w:pPr>
            <w:r>
              <w:rPr>
                <w:rFonts w:hint="eastAsia" w:ascii="宋体" w:hAnsi="宋体" w:cs="宋体"/>
                <w:b/>
                <w:bCs/>
                <w:sz w:val="21"/>
                <w:szCs w:val="21"/>
              </w:rPr>
              <w:t>1</w:t>
            </w:r>
          </w:p>
        </w:tc>
        <w:tc>
          <w:tcPr>
            <w:tcW w:w="2250" w:type="dxa"/>
            <w:vAlign w:val="center"/>
          </w:tcPr>
          <w:p w14:paraId="7D592DD7">
            <w:pPr>
              <w:spacing w:line="400" w:lineRule="atLeast"/>
              <w:jc w:val="center"/>
              <w:rPr>
                <w:rFonts w:ascii="宋体" w:hAnsi="宋体" w:cs="宋体"/>
                <w:b/>
                <w:bCs/>
                <w:sz w:val="21"/>
                <w:szCs w:val="21"/>
              </w:rPr>
            </w:pPr>
          </w:p>
        </w:tc>
        <w:tc>
          <w:tcPr>
            <w:tcW w:w="1875" w:type="dxa"/>
            <w:vAlign w:val="center"/>
          </w:tcPr>
          <w:p w14:paraId="0E1CFF62">
            <w:pPr>
              <w:spacing w:line="400" w:lineRule="atLeast"/>
              <w:jc w:val="center"/>
              <w:rPr>
                <w:rFonts w:ascii="宋体" w:hAnsi="宋体" w:cs="宋体"/>
                <w:b/>
                <w:bCs/>
                <w:sz w:val="21"/>
                <w:szCs w:val="21"/>
              </w:rPr>
            </w:pPr>
          </w:p>
        </w:tc>
        <w:tc>
          <w:tcPr>
            <w:tcW w:w="1500" w:type="dxa"/>
            <w:vAlign w:val="center"/>
          </w:tcPr>
          <w:p w14:paraId="3BABC70C">
            <w:pPr>
              <w:spacing w:line="400" w:lineRule="atLeast"/>
              <w:jc w:val="center"/>
              <w:rPr>
                <w:rFonts w:ascii="宋体" w:hAnsi="宋体" w:cs="宋体"/>
                <w:b/>
                <w:bCs/>
                <w:sz w:val="21"/>
                <w:szCs w:val="21"/>
              </w:rPr>
            </w:pPr>
          </w:p>
        </w:tc>
        <w:tc>
          <w:tcPr>
            <w:tcW w:w="1210" w:type="dxa"/>
            <w:vAlign w:val="center"/>
          </w:tcPr>
          <w:p w14:paraId="09C0A073">
            <w:pPr>
              <w:spacing w:line="400" w:lineRule="atLeast"/>
              <w:jc w:val="center"/>
              <w:rPr>
                <w:rFonts w:ascii="宋体" w:hAnsi="宋体" w:cs="宋体"/>
                <w:b/>
                <w:bCs/>
                <w:sz w:val="21"/>
                <w:szCs w:val="21"/>
              </w:rPr>
            </w:pPr>
          </w:p>
        </w:tc>
        <w:tc>
          <w:tcPr>
            <w:tcW w:w="1301" w:type="dxa"/>
            <w:vAlign w:val="center"/>
          </w:tcPr>
          <w:p w14:paraId="7FC3773B">
            <w:pPr>
              <w:spacing w:line="400" w:lineRule="atLeast"/>
              <w:jc w:val="center"/>
              <w:rPr>
                <w:rFonts w:ascii="宋体" w:hAnsi="宋体" w:cs="宋体"/>
                <w:b/>
                <w:bCs/>
                <w:sz w:val="21"/>
                <w:szCs w:val="21"/>
              </w:rPr>
            </w:pPr>
          </w:p>
        </w:tc>
        <w:tc>
          <w:tcPr>
            <w:tcW w:w="730" w:type="dxa"/>
            <w:vAlign w:val="center"/>
          </w:tcPr>
          <w:p w14:paraId="7A122D0F">
            <w:pPr>
              <w:spacing w:line="400" w:lineRule="atLeast"/>
              <w:jc w:val="center"/>
              <w:rPr>
                <w:rFonts w:ascii="宋体" w:hAnsi="宋体" w:cs="宋体"/>
                <w:b/>
                <w:bCs/>
                <w:sz w:val="21"/>
                <w:szCs w:val="21"/>
              </w:rPr>
            </w:pPr>
          </w:p>
        </w:tc>
      </w:tr>
      <w:tr w14:paraId="5963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2" w:type="dxa"/>
            <w:vAlign w:val="center"/>
          </w:tcPr>
          <w:p w14:paraId="254E18DE">
            <w:pPr>
              <w:spacing w:line="400" w:lineRule="atLeast"/>
              <w:jc w:val="center"/>
              <w:rPr>
                <w:rFonts w:ascii="宋体" w:hAnsi="宋体" w:cs="宋体"/>
                <w:b/>
                <w:bCs/>
                <w:sz w:val="21"/>
                <w:szCs w:val="21"/>
              </w:rPr>
            </w:pPr>
            <w:r>
              <w:rPr>
                <w:rFonts w:hint="eastAsia" w:ascii="宋体" w:hAnsi="宋体" w:cs="宋体"/>
                <w:b/>
                <w:bCs/>
                <w:sz w:val="21"/>
                <w:szCs w:val="21"/>
              </w:rPr>
              <w:t>2</w:t>
            </w:r>
          </w:p>
        </w:tc>
        <w:tc>
          <w:tcPr>
            <w:tcW w:w="2250" w:type="dxa"/>
            <w:vAlign w:val="center"/>
          </w:tcPr>
          <w:p w14:paraId="7712529F">
            <w:pPr>
              <w:spacing w:line="400" w:lineRule="atLeast"/>
              <w:jc w:val="center"/>
              <w:rPr>
                <w:rFonts w:ascii="宋体" w:hAnsi="宋体" w:cs="宋体"/>
                <w:b/>
                <w:bCs/>
                <w:sz w:val="21"/>
                <w:szCs w:val="21"/>
              </w:rPr>
            </w:pPr>
          </w:p>
        </w:tc>
        <w:tc>
          <w:tcPr>
            <w:tcW w:w="1875" w:type="dxa"/>
            <w:vAlign w:val="center"/>
          </w:tcPr>
          <w:p w14:paraId="1AD35CF7">
            <w:pPr>
              <w:spacing w:line="400" w:lineRule="atLeast"/>
              <w:jc w:val="center"/>
              <w:rPr>
                <w:rFonts w:ascii="宋体" w:hAnsi="宋体" w:cs="宋体"/>
                <w:b/>
                <w:bCs/>
                <w:sz w:val="21"/>
                <w:szCs w:val="21"/>
              </w:rPr>
            </w:pPr>
          </w:p>
        </w:tc>
        <w:tc>
          <w:tcPr>
            <w:tcW w:w="1500" w:type="dxa"/>
            <w:vAlign w:val="center"/>
          </w:tcPr>
          <w:p w14:paraId="2E699052">
            <w:pPr>
              <w:spacing w:line="400" w:lineRule="atLeast"/>
              <w:jc w:val="center"/>
              <w:rPr>
                <w:rFonts w:ascii="宋体" w:hAnsi="宋体" w:cs="宋体"/>
                <w:b/>
                <w:bCs/>
                <w:sz w:val="21"/>
                <w:szCs w:val="21"/>
              </w:rPr>
            </w:pPr>
          </w:p>
        </w:tc>
        <w:tc>
          <w:tcPr>
            <w:tcW w:w="1210" w:type="dxa"/>
            <w:vAlign w:val="center"/>
          </w:tcPr>
          <w:p w14:paraId="4DAB02CA">
            <w:pPr>
              <w:spacing w:line="400" w:lineRule="atLeast"/>
              <w:jc w:val="center"/>
              <w:rPr>
                <w:rFonts w:ascii="宋体" w:hAnsi="宋体" w:cs="宋体"/>
                <w:b/>
                <w:bCs/>
                <w:sz w:val="21"/>
                <w:szCs w:val="21"/>
              </w:rPr>
            </w:pPr>
          </w:p>
        </w:tc>
        <w:tc>
          <w:tcPr>
            <w:tcW w:w="1301" w:type="dxa"/>
            <w:vAlign w:val="center"/>
          </w:tcPr>
          <w:p w14:paraId="61D20892">
            <w:pPr>
              <w:spacing w:line="400" w:lineRule="atLeast"/>
              <w:jc w:val="center"/>
              <w:rPr>
                <w:rFonts w:ascii="宋体" w:hAnsi="宋体" w:cs="宋体"/>
                <w:b/>
                <w:bCs/>
                <w:sz w:val="21"/>
                <w:szCs w:val="21"/>
              </w:rPr>
            </w:pPr>
          </w:p>
        </w:tc>
        <w:tc>
          <w:tcPr>
            <w:tcW w:w="730" w:type="dxa"/>
            <w:vAlign w:val="center"/>
          </w:tcPr>
          <w:p w14:paraId="4F15951A">
            <w:pPr>
              <w:spacing w:line="400" w:lineRule="atLeast"/>
              <w:jc w:val="center"/>
              <w:rPr>
                <w:rFonts w:ascii="宋体" w:hAnsi="宋体" w:cs="宋体"/>
                <w:b/>
                <w:bCs/>
                <w:sz w:val="21"/>
                <w:szCs w:val="21"/>
              </w:rPr>
            </w:pPr>
          </w:p>
        </w:tc>
      </w:tr>
      <w:tr w14:paraId="301F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2" w:type="dxa"/>
            <w:vAlign w:val="center"/>
          </w:tcPr>
          <w:p w14:paraId="18EAF86B">
            <w:pPr>
              <w:spacing w:line="400" w:lineRule="atLeast"/>
              <w:jc w:val="center"/>
              <w:rPr>
                <w:rFonts w:ascii="宋体" w:hAnsi="宋体" w:cs="宋体"/>
                <w:b/>
                <w:bCs/>
                <w:sz w:val="21"/>
                <w:szCs w:val="21"/>
              </w:rPr>
            </w:pPr>
            <w:r>
              <w:rPr>
                <w:rFonts w:hint="eastAsia" w:ascii="宋体" w:hAnsi="宋体" w:cs="宋体"/>
                <w:b/>
                <w:bCs/>
                <w:sz w:val="21"/>
                <w:szCs w:val="21"/>
              </w:rPr>
              <w:t>3</w:t>
            </w:r>
          </w:p>
        </w:tc>
        <w:tc>
          <w:tcPr>
            <w:tcW w:w="2250" w:type="dxa"/>
            <w:vAlign w:val="center"/>
          </w:tcPr>
          <w:p w14:paraId="31655E9C">
            <w:pPr>
              <w:spacing w:line="400" w:lineRule="atLeast"/>
              <w:jc w:val="center"/>
              <w:rPr>
                <w:rFonts w:ascii="宋体" w:hAnsi="宋体" w:cs="宋体"/>
                <w:b/>
                <w:bCs/>
                <w:sz w:val="21"/>
                <w:szCs w:val="21"/>
              </w:rPr>
            </w:pPr>
          </w:p>
        </w:tc>
        <w:tc>
          <w:tcPr>
            <w:tcW w:w="1875" w:type="dxa"/>
            <w:vAlign w:val="center"/>
          </w:tcPr>
          <w:p w14:paraId="35ED9C4E">
            <w:pPr>
              <w:spacing w:line="400" w:lineRule="atLeast"/>
              <w:jc w:val="center"/>
              <w:rPr>
                <w:rFonts w:ascii="宋体" w:hAnsi="宋体" w:cs="宋体"/>
                <w:b/>
                <w:bCs/>
                <w:sz w:val="21"/>
                <w:szCs w:val="21"/>
              </w:rPr>
            </w:pPr>
          </w:p>
        </w:tc>
        <w:tc>
          <w:tcPr>
            <w:tcW w:w="1500" w:type="dxa"/>
            <w:vAlign w:val="center"/>
          </w:tcPr>
          <w:p w14:paraId="5DE83401">
            <w:pPr>
              <w:spacing w:line="400" w:lineRule="atLeast"/>
              <w:jc w:val="center"/>
              <w:rPr>
                <w:rFonts w:ascii="宋体" w:hAnsi="宋体" w:cs="宋体"/>
                <w:b/>
                <w:bCs/>
                <w:sz w:val="21"/>
                <w:szCs w:val="21"/>
              </w:rPr>
            </w:pPr>
          </w:p>
        </w:tc>
        <w:tc>
          <w:tcPr>
            <w:tcW w:w="1210" w:type="dxa"/>
            <w:vAlign w:val="center"/>
          </w:tcPr>
          <w:p w14:paraId="36D1CA81">
            <w:pPr>
              <w:spacing w:line="400" w:lineRule="atLeast"/>
              <w:jc w:val="center"/>
              <w:rPr>
                <w:rFonts w:ascii="宋体" w:hAnsi="宋体" w:cs="宋体"/>
                <w:b/>
                <w:bCs/>
                <w:sz w:val="21"/>
                <w:szCs w:val="21"/>
              </w:rPr>
            </w:pPr>
          </w:p>
        </w:tc>
        <w:tc>
          <w:tcPr>
            <w:tcW w:w="1301" w:type="dxa"/>
            <w:vAlign w:val="center"/>
          </w:tcPr>
          <w:p w14:paraId="2D21B1FB">
            <w:pPr>
              <w:spacing w:line="400" w:lineRule="atLeast"/>
              <w:jc w:val="center"/>
              <w:rPr>
                <w:rFonts w:ascii="宋体" w:hAnsi="宋体" w:cs="宋体"/>
                <w:b/>
                <w:bCs/>
                <w:sz w:val="21"/>
                <w:szCs w:val="21"/>
              </w:rPr>
            </w:pPr>
          </w:p>
        </w:tc>
        <w:tc>
          <w:tcPr>
            <w:tcW w:w="730" w:type="dxa"/>
            <w:vAlign w:val="center"/>
          </w:tcPr>
          <w:p w14:paraId="399593D8">
            <w:pPr>
              <w:spacing w:line="400" w:lineRule="atLeast"/>
              <w:jc w:val="center"/>
              <w:rPr>
                <w:rFonts w:ascii="宋体" w:hAnsi="宋体" w:cs="宋体"/>
                <w:b/>
                <w:bCs/>
                <w:sz w:val="21"/>
                <w:szCs w:val="21"/>
              </w:rPr>
            </w:pPr>
          </w:p>
        </w:tc>
      </w:tr>
      <w:tr w14:paraId="5F9A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2" w:type="dxa"/>
            <w:vAlign w:val="center"/>
          </w:tcPr>
          <w:p w14:paraId="2C304ECC">
            <w:pPr>
              <w:spacing w:line="400" w:lineRule="atLeast"/>
              <w:jc w:val="center"/>
              <w:rPr>
                <w:rFonts w:ascii="宋体" w:hAnsi="宋体" w:cs="宋体"/>
                <w:b/>
                <w:bCs/>
                <w:sz w:val="21"/>
                <w:szCs w:val="21"/>
              </w:rPr>
            </w:pPr>
            <w:r>
              <w:rPr>
                <w:rFonts w:hint="eastAsia" w:ascii="宋体" w:hAnsi="宋体" w:cs="宋体"/>
                <w:b/>
                <w:bCs/>
                <w:sz w:val="21"/>
                <w:szCs w:val="21"/>
              </w:rPr>
              <w:t>4</w:t>
            </w:r>
          </w:p>
        </w:tc>
        <w:tc>
          <w:tcPr>
            <w:tcW w:w="2250" w:type="dxa"/>
            <w:vAlign w:val="center"/>
          </w:tcPr>
          <w:p w14:paraId="11119E23">
            <w:pPr>
              <w:spacing w:line="400" w:lineRule="atLeast"/>
              <w:jc w:val="center"/>
              <w:rPr>
                <w:rFonts w:ascii="宋体" w:hAnsi="宋体" w:cs="宋体"/>
                <w:b/>
                <w:bCs/>
                <w:sz w:val="21"/>
                <w:szCs w:val="21"/>
              </w:rPr>
            </w:pPr>
          </w:p>
        </w:tc>
        <w:tc>
          <w:tcPr>
            <w:tcW w:w="1875" w:type="dxa"/>
            <w:vAlign w:val="center"/>
          </w:tcPr>
          <w:p w14:paraId="338795E7">
            <w:pPr>
              <w:spacing w:line="400" w:lineRule="atLeast"/>
              <w:jc w:val="center"/>
              <w:rPr>
                <w:rFonts w:ascii="宋体" w:hAnsi="宋体" w:cs="宋体"/>
                <w:b/>
                <w:bCs/>
                <w:sz w:val="21"/>
                <w:szCs w:val="21"/>
              </w:rPr>
            </w:pPr>
          </w:p>
        </w:tc>
        <w:tc>
          <w:tcPr>
            <w:tcW w:w="1500" w:type="dxa"/>
            <w:vAlign w:val="center"/>
          </w:tcPr>
          <w:p w14:paraId="46CFC462">
            <w:pPr>
              <w:spacing w:line="400" w:lineRule="atLeast"/>
              <w:jc w:val="center"/>
              <w:rPr>
                <w:rFonts w:ascii="宋体" w:hAnsi="宋体" w:cs="宋体"/>
                <w:b/>
                <w:bCs/>
                <w:sz w:val="21"/>
                <w:szCs w:val="21"/>
              </w:rPr>
            </w:pPr>
          </w:p>
        </w:tc>
        <w:tc>
          <w:tcPr>
            <w:tcW w:w="1210" w:type="dxa"/>
            <w:vAlign w:val="center"/>
          </w:tcPr>
          <w:p w14:paraId="2D4F2EC2">
            <w:pPr>
              <w:spacing w:line="400" w:lineRule="atLeast"/>
              <w:jc w:val="center"/>
              <w:rPr>
                <w:rFonts w:ascii="宋体" w:hAnsi="宋体" w:cs="宋体"/>
                <w:b/>
                <w:bCs/>
                <w:sz w:val="21"/>
                <w:szCs w:val="21"/>
              </w:rPr>
            </w:pPr>
          </w:p>
        </w:tc>
        <w:tc>
          <w:tcPr>
            <w:tcW w:w="1301" w:type="dxa"/>
            <w:vAlign w:val="center"/>
          </w:tcPr>
          <w:p w14:paraId="1479E594">
            <w:pPr>
              <w:spacing w:line="400" w:lineRule="atLeast"/>
              <w:jc w:val="center"/>
              <w:rPr>
                <w:rFonts w:ascii="宋体" w:hAnsi="宋体" w:cs="宋体"/>
                <w:b/>
                <w:bCs/>
                <w:sz w:val="21"/>
                <w:szCs w:val="21"/>
              </w:rPr>
            </w:pPr>
          </w:p>
        </w:tc>
        <w:tc>
          <w:tcPr>
            <w:tcW w:w="730" w:type="dxa"/>
            <w:vAlign w:val="center"/>
          </w:tcPr>
          <w:p w14:paraId="0842203F">
            <w:pPr>
              <w:spacing w:line="400" w:lineRule="atLeast"/>
              <w:jc w:val="center"/>
              <w:rPr>
                <w:rFonts w:ascii="宋体" w:hAnsi="宋体" w:cs="宋体"/>
                <w:b/>
                <w:bCs/>
                <w:sz w:val="21"/>
                <w:szCs w:val="21"/>
              </w:rPr>
            </w:pPr>
          </w:p>
        </w:tc>
      </w:tr>
      <w:tr w14:paraId="668C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2" w:type="dxa"/>
            <w:vAlign w:val="center"/>
          </w:tcPr>
          <w:p w14:paraId="196BB746">
            <w:pPr>
              <w:spacing w:line="400" w:lineRule="atLeast"/>
              <w:jc w:val="center"/>
              <w:rPr>
                <w:rFonts w:ascii="宋体" w:hAnsi="宋体" w:cs="宋体"/>
                <w:b/>
                <w:bCs/>
                <w:sz w:val="21"/>
                <w:szCs w:val="21"/>
              </w:rPr>
            </w:pPr>
            <w:r>
              <w:rPr>
                <w:rFonts w:hint="eastAsia" w:ascii="宋体" w:hAnsi="宋体" w:cs="宋体"/>
                <w:b/>
                <w:bCs/>
                <w:sz w:val="21"/>
                <w:szCs w:val="21"/>
              </w:rPr>
              <w:t>5</w:t>
            </w:r>
          </w:p>
        </w:tc>
        <w:tc>
          <w:tcPr>
            <w:tcW w:w="2250" w:type="dxa"/>
            <w:vAlign w:val="center"/>
          </w:tcPr>
          <w:p w14:paraId="6CD00E96">
            <w:pPr>
              <w:spacing w:line="400" w:lineRule="atLeast"/>
              <w:jc w:val="center"/>
              <w:rPr>
                <w:rFonts w:ascii="宋体" w:hAnsi="宋体" w:cs="宋体"/>
                <w:b/>
                <w:bCs/>
                <w:sz w:val="21"/>
                <w:szCs w:val="21"/>
              </w:rPr>
            </w:pPr>
          </w:p>
        </w:tc>
        <w:tc>
          <w:tcPr>
            <w:tcW w:w="1875" w:type="dxa"/>
            <w:vAlign w:val="center"/>
          </w:tcPr>
          <w:p w14:paraId="7B0DABBA">
            <w:pPr>
              <w:spacing w:line="400" w:lineRule="atLeast"/>
              <w:jc w:val="center"/>
              <w:rPr>
                <w:rFonts w:ascii="宋体" w:hAnsi="宋体" w:cs="宋体"/>
                <w:b/>
                <w:bCs/>
                <w:sz w:val="21"/>
                <w:szCs w:val="21"/>
              </w:rPr>
            </w:pPr>
          </w:p>
        </w:tc>
        <w:tc>
          <w:tcPr>
            <w:tcW w:w="1500" w:type="dxa"/>
            <w:vAlign w:val="center"/>
          </w:tcPr>
          <w:p w14:paraId="0EE01D7C">
            <w:pPr>
              <w:spacing w:line="400" w:lineRule="atLeast"/>
              <w:jc w:val="center"/>
              <w:rPr>
                <w:rFonts w:ascii="宋体" w:hAnsi="宋体" w:cs="宋体"/>
                <w:b/>
                <w:bCs/>
                <w:sz w:val="21"/>
                <w:szCs w:val="21"/>
              </w:rPr>
            </w:pPr>
          </w:p>
        </w:tc>
        <w:tc>
          <w:tcPr>
            <w:tcW w:w="1210" w:type="dxa"/>
            <w:vAlign w:val="center"/>
          </w:tcPr>
          <w:p w14:paraId="5FDDF7F4">
            <w:pPr>
              <w:spacing w:line="400" w:lineRule="atLeast"/>
              <w:jc w:val="center"/>
              <w:rPr>
                <w:rFonts w:ascii="宋体" w:hAnsi="宋体" w:cs="宋体"/>
                <w:b/>
                <w:bCs/>
                <w:sz w:val="21"/>
                <w:szCs w:val="21"/>
              </w:rPr>
            </w:pPr>
          </w:p>
        </w:tc>
        <w:tc>
          <w:tcPr>
            <w:tcW w:w="1301" w:type="dxa"/>
            <w:vAlign w:val="center"/>
          </w:tcPr>
          <w:p w14:paraId="44D3E44B">
            <w:pPr>
              <w:spacing w:line="400" w:lineRule="atLeast"/>
              <w:jc w:val="center"/>
              <w:rPr>
                <w:rFonts w:ascii="宋体" w:hAnsi="宋体" w:cs="宋体"/>
                <w:b/>
                <w:bCs/>
                <w:sz w:val="21"/>
                <w:szCs w:val="21"/>
              </w:rPr>
            </w:pPr>
          </w:p>
        </w:tc>
        <w:tc>
          <w:tcPr>
            <w:tcW w:w="730" w:type="dxa"/>
            <w:vAlign w:val="center"/>
          </w:tcPr>
          <w:p w14:paraId="29846FBE">
            <w:pPr>
              <w:spacing w:line="400" w:lineRule="atLeast"/>
              <w:jc w:val="center"/>
              <w:rPr>
                <w:rFonts w:ascii="宋体" w:hAnsi="宋体" w:cs="宋体"/>
                <w:b/>
                <w:bCs/>
                <w:sz w:val="21"/>
                <w:szCs w:val="21"/>
              </w:rPr>
            </w:pPr>
          </w:p>
        </w:tc>
      </w:tr>
      <w:tr w14:paraId="6754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2" w:type="dxa"/>
            <w:vAlign w:val="center"/>
          </w:tcPr>
          <w:p w14:paraId="2F75BA4C">
            <w:pPr>
              <w:spacing w:line="400" w:lineRule="atLeast"/>
              <w:jc w:val="center"/>
              <w:rPr>
                <w:rFonts w:ascii="宋体" w:hAnsi="宋体" w:cs="宋体"/>
                <w:b/>
                <w:bCs/>
                <w:sz w:val="21"/>
                <w:szCs w:val="21"/>
              </w:rPr>
            </w:pPr>
            <w:r>
              <w:rPr>
                <w:rFonts w:hint="eastAsia" w:ascii="宋体" w:hAnsi="宋体" w:cs="宋体"/>
                <w:b/>
                <w:bCs/>
                <w:sz w:val="21"/>
                <w:szCs w:val="21"/>
              </w:rPr>
              <w:t>……</w:t>
            </w:r>
          </w:p>
        </w:tc>
        <w:tc>
          <w:tcPr>
            <w:tcW w:w="2250" w:type="dxa"/>
            <w:vAlign w:val="center"/>
          </w:tcPr>
          <w:p w14:paraId="52A0723C">
            <w:pPr>
              <w:spacing w:line="400" w:lineRule="atLeast"/>
              <w:jc w:val="center"/>
              <w:rPr>
                <w:rFonts w:ascii="宋体" w:hAnsi="宋体" w:cs="宋体"/>
                <w:b/>
                <w:bCs/>
                <w:sz w:val="21"/>
                <w:szCs w:val="21"/>
              </w:rPr>
            </w:pPr>
          </w:p>
        </w:tc>
        <w:tc>
          <w:tcPr>
            <w:tcW w:w="1875" w:type="dxa"/>
            <w:vAlign w:val="center"/>
          </w:tcPr>
          <w:p w14:paraId="68335F6D">
            <w:pPr>
              <w:spacing w:line="400" w:lineRule="atLeast"/>
              <w:jc w:val="center"/>
              <w:rPr>
                <w:rFonts w:ascii="宋体" w:hAnsi="宋体" w:cs="宋体"/>
                <w:b/>
                <w:bCs/>
                <w:sz w:val="21"/>
                <w:szCs w:val="21"/>
              </w:rPr>
            </w:pPr>
          </w:p>
        </w:tc>
        <w:tc>
          <w:tcPr>
            <w:tcW w:w="1500" w:type="dxa"/>
            <w:vAlign w:val="center"/>
          </w:tcPr>
          <w:p w14:paraId="43530C77">
            <w:pPr>
              <w:spacing w:line="400" w:lineRule="atLeast"/>
              <w:jc w:val="center"/>
              <w:rPr>
                <w:rFonts w:ascii="宋体" w:hAnsi="宋体" w:cs="宋体"/>
                <w:b/>
                <w:bCs/>
                <w:sz w:val="21"/>
                <w:szCs w:val="21"/>
              </w:rPr>
            </w:pPr>
          </w:p>
        </w:tc>
        <w:tc>
          <w:tcPr>
            <w:tcW w:w="1210" w:type="dxa"/>
            <w:vAlign w:val="center"/>
          </w:tcPr>
          <w:p w14:paraId="3FE6F253">
            <w:pPr>
              <w:spacing w:line="400" w:lineRule="atLeast"/>
              <w:jc w:val="center"/>
              <w:rPr>
                <w:rFonts w:ascii="宋体" w:hAnsi="宋体" w:cs="宋体"/>
                <w:b/>
                <w:bCs/>
                <w:sz w:val="21"/>
                <w:szCs w:val="21"/>
              </w:rPr>
            </w:pPr>
          </w:p>
        </w:tc>
        <w:tc>
          <w:tcPr>
            <w:tcW w:w="1301" w:type="dxa"/>
            <w:vAlign w:val="center"/>
          </w:tcPr>
          <w:p w14:paraId="6A0A0E56">
            <w:pPr>
              <w:spacing w:line="400" w:lineRule="atLeast"/>
              <w:jc w:val="center"/>
              <w:rPr>
                <w:rFonts w:ascii="宋体" w:hAnsi="宋体" w:cs="宋体"/>
                <w:b/>
                <w:bCs/>
                <w:sz w:val="21"/>
                <w:szCs w:val="21"/>
              </w:rPr>
            </w:pPr>
          </w:p>
        </w:tc>
        <w:tc>
          <w:tcPr>
            <w:tcW w:w="730" w:type="dxa"/>
            <w:vAlign w:val="center"/>
          </w:tcPr>
          <w:p w14:paraId="17750729">
            <w:pPr>
              <w:spacing w:line="400" w:lineRule="atLeast"/>
              <w:jc w:val="center"/>
              <w:rPr>
                <w:rFonts w:ascii="宋体" w:hAnsi="宋体" w:cs="宋体"/>
                <w:b/>
                <w:bCs/>
                <w:sz w:val="21"/>
                <w:szCs w:val="21"/>
              </w:rPr>
            </w:pPr>
          </w:p>
        </w:tc>
      </w:tr>
    </w:tbl>
    <w:p w14:paraId="731794E0">
      <w:pPr>
        <w:tabs>
          <w:tab w:val="left" w:pos="1575"/>
        </w:tabs>
        <w:snapToGrid w:val="0"/>
        <w:rPr>
          <w:b/>
          <w:bCs/>
          <w:sz w:val="21"/>
          <w:szCs w:val="21"/>
        </w:rPr>
      </w:pPr>
      <w:r>
        <w:rPr>
          <w:rFonts w:hint="eastAsia"/>
          <w:b/>
          <w:bCs/>
          <w:sz w:val="21"/>
          <w:szCs w:val="21"/>
        </w:rPr>
        <w:t>注：</w:t>
      </w:r>
    </w:p>
    <w:p w14:paraId="392E3B0E">
      <w:pPr>
        <w:tabs>
          <w:tab w:val="left" w:pos="1575"/>
        </w:tabs>
        <w:snapToGrid w:val="0"/>
        <w:spacing w:line="288" w:lineRule="auto"/>
        <w:rPr>
          <w:rFonts w:ascii="宋体" w:hAnsi="宋体" w:cs="宋体"/>
          <w:sz w:val="21"/>
          <w:szCs w:val="21"/>
        </w:rPr>
      </w:pPr>
      <w:r>
        <w:rPr>
          <w:rFonts w:hint="eastAsia" w:ascii="宋体" w:hAnsi="宋体" w:cs="宋体"/>
          <w:bCs/>
          <w:sz w:val="21"/>
          <w:szCs w:val="21"/>
        </w:rPr>
        <w:t>（1）</w:t>
      </w:r>
      <w:r>
        <w:rPr>
          <w:rFonts w:hint="eastAsia" w:ascii="宋体" w:hAnsi="宋体" w:cs="宋体"/>
          <w:sz w:val="21"/>
          <w:szCs w:val="21"/>
        </w:rPr>
        <w:t>刑事犯罪判决或裁定记录清单和行政处罚清单格式自拟</w:t>
      </w:r>
      <w:r>
        <w:rPr>
          <w:rFonts w:hint="eastAsia" w:ascii="宋体" w:hAnsi="宋体" w:cs="宋体"/>
          <w:b/>
          <w:bCs/>
          <w:sz w:val="21"/>
          <w:szCs w:val="21"/>
        </w:rPr>
        <w:t>也可使用本表</w:t>
      </w:r>
      <w:r>
        <w:rPr>
          <w:rFonts w:hint="eastAsia" w:ascii="宋体" w:hAnsi="宋体" w:cs="宋体"/>
          <w:sz w:val="21"/>
          <w:szCs w:val="21"/>
        </w:rPr>
        <w:t>，由投标人如实提供；</w:t>
      </w:r>
    </w:p>
    <w:p w14:paraId="20435FC7">
      <w:pPr>
        <w:tabs>
          <w:tab w:val="left" w:pos="1575"/>
        </w:tabs>
        <w:snapToGrid w:val="0"/>
        <w:spacing w:line="288" w:lineRule="auto"/>
        <w:rPr>
          <w:rFonts w:ascii="宋体" w:hAnsi="宋体" w:cs="宋体"/>
          <w:sz w:val="21"/>
          <w:szCs w:val="21"/>
        </w:rPr>
      </w:pPr>
      <w:r>
        <w:rPr>
          <w:rFonts w:hint="eastAsia" w:ascii="宋体" w:hAnsi="宋体" w:cs="宋体"/>
          <w:sz w:val="21"/>
          <w:szCs w:val="21"/>
        </w:rPr>
        <w:t>（2）投标人如为企业法人，相关记录包括其分支机构的；投标人如为分支机构，相关记录包括其企业法人的；</w:t>
      </w:r>
    </w:p>
    <w:p w14:paraId="6C58203E">
      <w:pPr>
        <w:tabs>
          <w:tab w:val="left" w:pos="1575"/>
        </w:tabs>
        <w:snapToGrid w:val="0"/>
        <w:spacing w:line="288" w:lineRule="auto"/>
        <w:rPr>
          <w:rFonts w:ascii="宋体" w:hAnsi="宋体" w:cs="宋体"/>
          <w:sz w:val="21"/>
          <w:szCs w:val="21"/>
        </w:rPr>
      </w:pPr>
      <w:r>
        <w:rPr>
          <w:rFonts w:hint="eastAsia" w:ascii="宋体" w:hAnsi="宋体" w:cs="宋体"/>
          <w:sz w:val="21"/>
          <w:szCs w:val="21"/>
        </w:rPr>
        <w:t>（3）刑事犯罪判决或裁定记录自判决或裁定文书生效之日起计，行政处罚自行政处罚决定书生效之日起计；</w:t>
      </w:r>
    </w:p>
    <w:p w14:paraId="50D55014">
      <w:pPr>
        <w:tabs>
          <w:tab w:val="left" w:pos="1575"/>
        </w:tabs>
        <w:snapToGrid w:val="0"/>
        <w:spacing w:line="288" w:lineRule="auto"/>
        <w:rPr>
          <w:rFonts w:ascii="宋体" w:hAnsi="宋体" w:cs="宋体"/>
          <w:sz w:val="21"/>
          <w:szCs w:val="21"/>
        </w:rPr>
      </w:pPr>
      <w:r>
        <w:rPr>
          <w:rFonts w:hint="eastAsia" w:ascii="宋体" w:hAnsi="宋体" w:cs="宋体"/>
          <w:sz w:val="21"/>
          <w:szCs w:val="21"/>
        </w:rPr>
        <w:t>（4）招标人、招标代理机构和评标委员会可通过“信用中国”网站（</w:t>
      </w:r>
      <w:r>
        <w:rPr>
          <w:rStyle w:val="71"/>
          <w:rFonts w:hint="eastAsia" w:ascii="宋体" w:hAnsi="宋体" w:cs="宋体"/>
          <w:color w:val="auto"/>
          <w:sz w:val="21"/>
          <w:szCs w:val="21"/>
        </w:rPr>
        <w:t>www.creditchina.gov.cn）、国家企业信用信息公示系统（http://www.gsxt.gov.cn</w:t>
      </w:r>
      <w:r>
        <w:rPr>
          <w:rFonts w:hint="eastAsia" w:ascii="宋体" w:hAnsi="宋体" w:cs="宋体"/>
          <w:sz w:val="21"/>
          <w:szCs w:val="21"/>
        </w:rPr>
        <w:t>）、中国裁判文书网(http://wenshu.court.gov.cn）和相关行业主管部门查询，发现投标人未如实提供有关清单的，否决其投标或取消其中标资格。</w:t>
      </w:r>
    </w:p>
    <w:p w14:paraId="06CC285E">
      <w:pPr>
        <w:pStyle w:val="61"/>
        <w:ind w:firstLine="0" w:firstLineChars="0"/>
      </w:pPr>
    </w:p>
    <w:p w14:paraId="56D6C6D5"/>
    <w:p w14:paraId="1CAEE0FE">
      <w:pPr>
        <w:spacing w:line="240" w:lineRule="auto"/>
        <w:outlineLvl w:val="1"/>
        <w:rPr>
          <w:rFonts w:ascii="Calibri" w:hAnsi="Calibri"/>
          <w:sz w:val="21"/>
          <w:szCs w:val="21"/>
        </w:rPr>
      </w:pPr>
      <w:bookmarkStart w:id="1090" w:name="_Toc101375689"/>
      <w:bookmarkStart w:id="1091" w:name="_Toc145064277"/>
      <w:bookmarkStart w:id="1092" w:name="_Toc14611"/>
      <w:r>
        <w:rPr>
          <w:rFonts w:hint="eastAsia" w:ascii="宋体" w:hAnsi="宋体"/>
        </w:rPr>
        <w:t>附件1</w:t>
      </w:r>
      <w:r>
        <w:rPr>
          <w:rFonts w:hint="eastAsia" w:ascii="宋体" w:hAnsi="宋体"/>
          <w:lang w:val="en-US" w:eastAsia="zh-CN"/>
        </w:rPr>
        <w:t>6</w:t>
      </w:r>
      <w:r>
        <w:rPr>
          <w:rFonts w:hint="eastAsia" w:ascii="宋体" w:hAnsi="宋体"/>
        </w:rPr>
        <w:t>：</w:t>
      </w:r>
      <w:bookmarkEnd w:id="1090"/>
      <w:bookmarkEnd w:id="1091"/>
      <w:r>
        <w:rPr>
          <w:rFonts w:hint="eastAsia" w:ascii="宋体" w:hAnsi="宋体"/>
        </w:rPr>
        <w:t>招标工程量</w:t>
      </w:r>
      <w:r>
        <w:rPr>
          <w:rFonts w:ascii="宋体" w:hAnsi="宋体"/>
        </w:rPr>
        <w:t>清单</w:t>
      </w:r>
      <w:bookmarkEnd w:id="1092"/>
      <w:r>
        <w:rPr>
          <w:rFonts w:hint="eastAsia" w:ascii="楷体" w:hAnsi="楷体" w:eastAsia="楷体" w:cs="楷体"/>
          <w:sz w:val="21"/>
          <w:szCs w:val="21"/>
        </w:rPr>
        <w:t>(详见随招标文件发售的电子版)</w:t>
      </w:r>
    </w:p>
    <w:p w14:paraId="2F50EEF7"/>
    <w:sectPr>
      <w:footerReference r:id="rId19" w:type="default"/>
      <w:pgSz w:w="11906" w:h="16838"/>
      <w:pgMar w:top="1440" w:right="1080" w:bottom="1440" w:left="1080"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0417AE-4671-48C4-A949-8481CCF4CAB4}"/>
  </w:font>
  <w:font w:name="黑体">
    <w:panose1 w:val="02010609060101010101"/>
    <w:charset w:val="86"/>
    <w:family w:val="auto"/>
    <w:pitch w:val="default"/>
    <w:sig w:usb0="800002BF" w:usb1="38CF7CFA" w:usb2="00000016" w:usb3="00000000" w:csb0="00040001" w:csb1="00000000"/>
    <w:embedRegular r:id="rId2" w:fontKey="{7A055AA0-CE11-41C8-BE21-6A45D80C15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C473807-6372-43E3-A2E6-523D480315F6}"/>
  </w:font>
  <w:font w:name="仿宋_GB2312">
    <w:altName w:val="仿宋"/>
    <w:panose1 w:val="00000000000000000000"/>
    <w:charset w:val="86"/>
    <w:family w:val="modern"/>
    <w:pitch w:val="default"/>
    <w:sig w:usb0="00000000" w:usb1="00000000" w:usb2="00000000" w:usb3="00000000" w:csb0="00040000" w:csb1="00000000"/>
    <w:embedRegular r:id="rId4" w:fontKey="{BB79EF8E-9FCF-4CF7-875E-040F5B8C378C}"/>
  </w:font>
  <w:font w:name="仿宋">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onsolas">
    <w:panose1 w:val="020B0609020204030204"/>
    <w:charset w:val="00"/>
    <w:family w:val="modern"/>
    <w:pitch w:val="default"/>
    <w:sig w:usb0="E00006FF" w:usb1="0000FCFF" w:usb2="00000001" w:usb3="00000000" w:csb0="6000019F" w:csb1="DFD7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Optima">
    <w:altName w:val="Yu Gothic UI"/>
    <w:panose1 w:val="020B0502050508020304"/>
    <w:charset w:val="00"/>
    <w:family w:val="swiss"/>
    <w:pitch w:val="default"/>
    <w:sig w:usb0="00000000" w:usb1="00000000" w:usb2="00000000" w:usb3="00000000" w:csb0="00000000" w:csb1="00000000"/>
  </w:font>
  <w:font w:name="..ì.">
    <w:altName w:val="黑体"/>
    <w:panose1 w:val="00000000000000000000"/>
    <w:charset w:val="86"/>
    <w:family w:val="swiss"/>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5" w:fontKey="{37590058-A342-43A4-9CA2-5FBAD4F7B8DF}"/>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楷体">
    <w:panose1 w:val="02010609060101010101"/>
    <w:charset w:val="86"/>
    <w:family w:val="modern"/>
    <w:pitch w:val="default"/>
    <w:sig w:usb0="800002BF" w:usb1="38CF7CFA" w:usb2="00000016" w:usb3="00000000" w:csb0="00040001" w:csb1="00000000"/>
    <w:embedRegular r:id="rId6" w:fontKey="{6B50B121-8EEF-4A68-8FBF-D90868CEF194}"/>
  </w:font>
  <w:font w:name="华文楷体">
    <w:panose1 w:val="02010600040101010101"/>
    <w:charset w:val="86"/>
    <w:family w:val="auto"/>
    <w:pitch w:val="default"/>
    <w:sig w:usb0="00000287" w:usb1="080F0000" w:usb2="00000000" w:usb3="00000000" w:csb0="0004009F" w:csb1="DFD70000"/>
    <w:embedRegular r:id="rId7" w:fontKey="{6482366D-7A69-4EF8-9F48-8B8AF4379CDD}"/>
  </w:font>
  <w:font w:name="微软雅黑">
    <w:panose1 w:val="020B0503020204020204"/>
    <w:charset w:val="86"/>
    <w:family w:val="swiss"/>
    <w:pitch w:val="default"/>
    <w:sig w:usb0="80000287" w:usb1="2ACF3C50" w:usb2="00000016" w:usb3="00000000" w:csb0="0004001F" w:csb1="00000000"/>
    <w:embedRegular r:id="rId8" w:fontKey="{065E537C-976E-4716-8DEE-92F9576545D7}"/>
  </w:font>
  <w:font w:name="方正小标宋简体">
    <w:panose1 w:val="02000000000000000000"/>
    <w:charset w:val="86"/>
    <w:family w:val="script"/>
    <w:pitch w:val="default"/>
    <w:sig w:usb0="00000001" w:usb1="08000000" w:usb2="00000000" w:usb3="00000000" w:csb0="00040000" w:csb1="00000000"/>
    <w:embedRegular r:id="rId9" w:fontKey="{1BBD9097-35DF-4EF3-9003-1187C03EA7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BF394">
    <w:pPr>
      <w:pStyle w:val="40"/>
      <w:ind w:right="360"/>
      <w:rPr>
        <w:rFonts w:ascii="宋体" w:hAnsi="宋体"/>
        <w:sz w:val="21"/>
        <w:szCs w:val="21"/>
      </w:rPr>
    </w:pPr>
    <w:r>
      <w:rPr>
        <w:sz w:val="21"/>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B896DFE">
                          <w:pPr>
                            <w:pStyle w:val="40"/>
                            <w:ind w:right="360"/>
                          </w:pPr>
                        </w:p>
                        <w:p w14:paraId="7748E45B"/>
                      </w:txbxContent>
                    </wps:txbx>
                    <wps:bodyPr wrap="none" lIns="0" tIns="0" rIns="0" bIns="0" upright="1">
                      <a:spAutoFit/>
                    </wps:bodyPr>
                  </wps:wsp>
                </a:graphicData>
              </a:graphic>
            </wp:anchor>
          </w:drawing>
        </mc:Choice>
        <mc:Fallback>
          <w:pict>
            <v:rect id="文本框 1041"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EWaPysYBAACKAwAADgAAAAAAAAABACAAAAAfAQAAZHJzL2Uyb0RvYy54&#10;bWxQSwUGAAAAAAYABgBZAQAAVwUAAAAA&#10;">
              <v:fill on="f" focussize="0,0"/>
              <v:stroke on="f"/>
              <v:imagedata o:title=""/>
              <o:lock v:ext="edit" aspectratio="f"/>
              <v:textbox inset="0mm,0mm,0mm,0mm" style="mso-fit-shape-to-text:t;">
                <w:txbxContent>
                  <w:p w14:paraId="2B896DFE">
                    <w:pPr>
                      <w:pStyle w:val="40"/>
                      <w:ind w:right="360"/>
                    </w:pPr>
                  </w:p>
                  <w:p w14:paraId="7748E45B"/>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FA6C">
    <w:pPr>
      <w:pStyle w:val="40"/>
      <w:ind w:right="360"/>
      <w:rPr>
        <w:rFonts w:ascii="宋体" w:hAnsi="宋体"/>
        <w:sz w:val="21"/>
        <w:szCs w:val="21"/>
      </w:rPr>
    </w:pPr>
    <w:r>
      <w:rPr>
        <w:sz w:val="21"/>
      </w:rP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5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1356813">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rect id="文本框 51"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PJJjF70BAAB8AwAADgAAAAAAAAABACAAAAAfAQAAZHJzL2Uyb0RvYy54bWxQSwUGAAAA&#10;AAYABgBZAQAATgUAAAAA&#10;">
              <v:fill on="f" focussize="0,0"/>
              <v:stroke on="f"/>
              <v:imagedata o:title=""/>
              <o:lock v:ext="edit" aspectratio="f"/>
              <v:textbox inset="0mm,0mm,0mm,0mm" style="mso-fit-shape-to-text:t;">
                <w:txbxContent>
                  <w:p w14:paraId="61356813">
                    <w:pPr>
                      <w:pStyle w:val="40"/>
                    </w:pPr>
                    <w:r>
                      <w:fldChar w:fldCharType="begin"/>
                    </w:r>
                    <w:r>
                      <w:instrText xml:space="preserve"> PAGE  \* MERGEFORMAT </w:instrText>
                    </w:r>
                    <w:r>
                      <w:fldChar w:fldCharType="separate"/>
                    </w:r>
                    <w:r>
                      <w:t>1</w:t>
                    </w:r>
                    <w:r>
                      <w:fldChar w:fldCharType="end"/>
                    </w:r>
                  </w:p>
                </w:txbxContent>
              </v:textbox>
            </v:rect>
          </w:pict>
        </mc:Fallback>
      </mc:AlternateContent>
    </w:r>
    <w:r>
      <w:rPr>
        <w:sz w:val="21"/>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04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78663E">
                          <w:pPr>
                            <w:pStyle w:val="40"/>
                            <w:ind w:right="360"/>
                          </w:pPr>
                        </w:p>
                        <w:p w14:paraId="504BF08C"/>
                      </w:txbxContent>
                    </wps:txbx>
                    <wps:bodyPr wrap="none" lIns="0" tIns="0" rIns="0" bIns="0" upright="1">
                      <a:spAutoFit/>
                    </wps:bodyPr>
                  </wps:wsp>
                </a:graphicData>
              </a:graphic>
            </wp:anchor>
          </w:drawing>
        </mc:Choice>
        <mc:Fallback>
          <w:pict>
            <v:rect id="文本框 1041"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oDq2LcYBAACKAwAADgAAAAAAAAABACAAAAAfAQAAZHJzL2Uyb0RvYy54&#10;bWxQSwUGAAAAAAYABgBZAQAAVwUAAAAA&#10;">
              <v:fill on="f" focussize="0,0"/>
              <v:stroke on="f"/>
              <v:imagedata o:title=""/>
              <o:lock v:ext="edit" aspectratio="f"/>
              <v:textbox inset="0mm,0mm,0mm,0mm" style="mso-fit-shape-to-text:t;">
                <w:txbxContent>
                  <w:p w14:paraId="7778663E">
                    <w:pPr>
                      <w:pStyle w:val="40"/>
                      <w:ind w:right="360"/>
                    </w:pPr>
                  </w:p>
                  <w:p w14:paraId="504BF08C"/>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21A44">
    <w:pPr>
      <w:pStyle w:val="40"/>
      <w:rPr>
        <w:rFonts w:ascii="宋体" w:hAnsi="宋体"/>
        <w:sz w:val="21"/>
        <w:szCs w:val="21"/>
      </w:rPr>
    </w:pPr>
    <w:r>
      <w:rPr>
        <w:sz w:val="21"/>
      </w:rP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5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7666C67">
                          <w:pPr>
                            <w:pStyle w:val="40"/>
                          </w:pPr>
                          <w:r>
                            <w:fldChar w:fldCharType="begin"/>
                          </w:r>
                          <w:r>
                            <w:instrText xml:space="preserve"> PAGE  \* MERGEFORMAT </w:instrText>
                          </w:r>
                          <w:r>
                            <w:fldChar w:fldCharType="separate"/>
                          </w:r>
                          <w:r>
                            <w:t>15</w:t>
                          </w:r>
                          <w:r>
                            <w:fldChar w:fldCharType="end"/>
                          </w:r>
                        </w:p>
                      </w:txbxContent>
                    </wps:txbx>
                    <wps:bodyPr wrap="none" lIns="0" tIns="0" rIns="0" bIns="0">
                      <a:spAutoFit/>
                    </wps:bodyPr>
                  </wps:wsp>
                </a:graphicData>
              </a:graphic>
            </wp:anchor>
          </w:drawing>
        </mc:Choice>
        <mc:Fallback>
          <w:pict>
            <v:rect id="文本框 52"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1uVLQAAAABQEAAA8AAAAAAAAAAQAgAAAAIgAAAGRycy9kb3ducmV2LnhtbFBLAQIUABQAAAAI&#10;AIdO4kBe1d0MvAEAAHwDAAAOAAAAAAAAAAEAIAAAAB8BAABkcnMvZTJvRG9jLnhtbFBLBQYAAAAA&#10;BgAGAFkBAABNBQAAAAA=&#10;">
              <v:fill on="f" focussize="0,0"/>
              <v:stroke on="f"/>
              <v:imagedata o:title=""/>
              <o:lock v:ext="edit" aspectratio="f"/>
              <v:textbox inset="0mm,0mm,0mm,0mm" style="mso-fit-shape-to-text:t;">
                <w:txbxContent>
                  <w:p w14:paraId="27666C67">
                    <w:pPr>
                      <w:pStyle w:val="40"/>
                    </w:pPr>
                    <w:r>
                      <w:fldChar w:fldCharType="begin"/>
                    </w:r>
                    <w:r>
                      <w:instrText xml:space="preserve"> PAGE  \* MERGEFORMAT </w:instrText>
                    </w:r>
                    <w:r>
                      <w:fldChar w:fldCharType="separate"/>
                    </w:r>
                    <w:r>
                      <w:t>15</w:t>
                    </w:r>
                    <w:r>
                      <w:fldChar w:fldCharType="end"/>
                    </w:r>
                  </w:p>
                </w:txbxContent>
              </v:textbox>
            </v:rect>
          </w:pict>
        </mc:Fallback>
      </mc:AlternateContent>
    </w:r>
    <w:r>
      <w:rPr>
        <w:sz w:val="21"/>
      </w:rPr>
      <mc:AlternateContent>
        <mc:Choice Requires="wps">
          <w:drawing>
            <wp:anchor distT="0" distB="0" distL="0" distR="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4ACEBF">
                          <w:pPr>
                            <w:pStyle w:val="40"/>
                          </w:pPr>
                        </w:p>
                        <w:p w14:paraId="16D7B2AD"/>
                      </w:txbxContent>
                    </wps:txbx>
                    <wps:bodyPr wrap="none" lIns="0" tIns="0" rIns="0" bIns="0" upright="1">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BCyBomxQEAAIoDAAAOAAAAAAAAAAEAIAAAAB8BAABkcnMvZTJvRG9jLnht&#10;bFBLBQYAAAAABgAGAFkBAABWBQAAAAA=&#10;">
              <v:fill on="f" focussize="0,0"/>
              <v:stroke on="f"/>
              <v:imagedata o:title=""/>
              <o:lock v:ext="edit" aspectratio="f"/>
              <v:textbox inset="0mm,0mm,0mm,0mm" style="mso-fit-shape-to-text:t;">
                <w:txbxContent>
                  <w:p w14:paraId="004ACEBF">
                    <w:pPr>
                      <w:pStyle w:val="40"/>
                    </w:pPr>
                  </w:p>
                  <w:p w14:paraId="16D7B2AD"/>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E8552">
    <w:pPr>
      <w:pStyle w:val="40"/>
    </w:pPr>
    <w:r>
      <mc:AlternateContent>
        <mc:Choice Requires="wps">
          <w:drawing>
            <wp:anchor distT="0" distB="0" distL="0" distR="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2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9FE6E6E">
                          <w:pPr>
                            <w:pStyle w:val="40"/>
                          </w:pPr>
                          <w:r>
                            <w:fldChar w:fldCharType="begin"/>
                          </w:r>
                          <w:r>
                            <w:instrText xml:space="preserve"> PAGE  \* MERGEFORMAT </w:instrText>
                          </w:r>
                          <w:r>
                            <w:fldChar w:fldCharType="separate"/>
                          </w:r>
                          <w:r>
                            <w:t>168</w:t>
                          </w:r>
                          <w:r>
                            <w:fldChar w:fldCharType="end"/>
                          </w:r>
                        </w:p>
                      </w:txbxContent>
                    </wps:txbx>
                    <wps:bodyPr vert="horz" wrap="none" lIns="0" tIns="0" rIns="0" bIns="0" anchor="t">
                      <a:spAutoFit/>
                    </wps:bodyPr>
                  </wps:wsp>
                </a:graphicData>
              </a:graphic>
            </wp:anchor>
          </w:drawing>
        </mc:Choice>
        <mc:Fallback>
          <w:pict>
            <v:rect id="文本框 26" o:spid="_x0000_s1026" o:spt="1"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1r8bfKAQAAkwMAAA4AAAAAAAAAAQAgAAAAHwEAAGRycy9lMm9E&#10;b2MueG1sUEsFBgAAAAAGAAYAWQEAAFsFAAAAAA==&#10;">
              <v:fill on="f" focussize="0,0"/>
              <v:stroke on="f"/>
              <v:imagedata o:title=""/>
              <o:lock v:ext="edit" aspectratio="f"/>
              <v:textbox inset="0mm,0mm,0mm,0mm" style="mso-fit-shape-to-text:t;">
                <w:txbxContent>
                  <w:p w14:paraId="79FE6E6E">
                    <w:pPr>
                      <w:pStyle w:val="40"/>
                    </w:pPr>
                    <w:r>
                      <w:fldChar w:fldCharType="begin"/>
                    </w:r>
                    <w:r>
                      <w:instrText xml:space="preserve"> PAGE  \* MERGEFORMAT </w:instrText>
                    </w:r>
                    <w:r>
                      <w:fldChar w:fldCharType="separate"/>
                    </w:r>
                    <w:r>
                      <w:t>168</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C37D9">
    <w:pPr>
      <w:pStyle w:val="40"/>
      <w:ind w:right="360"/>
      <w:jc w:val="center"/>
      <w:rPr>
        <w:rFonts w:ascii="宋体" w:hAnsi="宋体"/>
        <w:sz w:val="21"/>
        <w:szCs w:val="21"/>
      </w:rPr>
    </w:pPr>
    <w:r>
      <w:rPr>
        <w:sz w:val="21"/>
      </w:rPr>
      <mc:AlternateContent>
        <mc:Choice Requires="wps">
          <w:drawing>
            <wp:anchor distT="0" distB="0" distL="0" distR="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9" name="文本框 5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32B7EE5">
                          <w:pPr>
                            <w:pStyle w:val="40"/>
                          </w:pPr>
                          <w:r>
                            <w:fldChar w:fldCharType="begin"/>
                          </w:r>
                          <w:r>
                            <w:instrText xml:space="preserve"> PAGE  \* MERGEFORMAT </w:instrText>
                          </w:r>
                          <w:r>
                            <w:fldChar w:fldCharType="separate"/>
                          </w:r>
                          <w:r>
                            <w:t>189</w:t>
                          </w:r>
                          <w:r>
                            <w:fldChar w:fldCharType="end"/>
                          </w:r>
                        </w:p>
                      </w:txbxContent>
                    </wps:txbx>
                    <wps:bodyPr wrap="none" lIns="0" tIns="0" rIns="0" bIns="0">
                      <a:spAutoFit/>
                    </wps:bodyPr>
                  </wps:wsp>
                </a:graphicData>
              </a:graphic>
            </wp:anchor>
          </w:drawing>
        </mc:Choice>
        <mc:Fallback>
          <w:pict>
            <v:rect id="文本框 57" o:spid="_x0000_s1026" o:spt="1"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BZU31O+AQAAfAMAAA4AAAAAAAAAAQAgAAAAHwEAAGRycy9lMm9Eb2MueG1sUEsFBgAA&#10;AAAGAAYAWQEAAE8FAAAAAA==&#10;">
              <v:fill on="f" focussize="0,0"/>
              <v:stroke on="f"/>
              <v:imagedata o:title=""/>
              <o:lock v:ext="edit" aspectratio="f"/>
              <v:textbox inset="0mm,0mm,0mm,0mm" style="mso-fit-shape-to-text:t;">
                <w:txbxContent>
                  <w:p w14:paraId="332B7EE5">
                    <w:pPr>
                      <w:pStyle w:val="40"/>
                    </w:pPr>
                    <w:r>
                      <w:fldChar w:fldCharType="begin"/>
                    </w:r>
                    <w:r>
                      <w:instrText xml:space="preserve"> PAGE  \* MERGEFORMAT </w:instrText>
                    </w:r>
                    <w:r>
                      <w:fldChar w:fldCharType="separate"/>
                    </w:r>
                    <w:r>
                      <w:t>189</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1A16E">
    <w:pPr>
      <w:pStyle w:val="40"/>
      <w:jc w:val="center"/>
    </w:pPr>
    <w:r>
      <mc:AlternateContent>
        <mc:Choice Requires="wps">
          <w:drawing>
            <wp:anchor distT="0" distB="0" distL="0" distR="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0" name="文本框 5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35EF055">
                          <w:pPr>
                            <w:pStyle w:val="40"/>
                          </w:pPr>
                          <w:r>
                            <w:fldChar w:fldCharType="begin"/>
                          </w:r>
                          <w:r>
                            <w:instrText xml:space="preserve"> PAGE  \* MERGEFORMAT </w:instrText>
                          </w:r>
                          <w:r>
                            <w:fldChar w:fldCharType="separate"/>
                          </w:r>
                          <w:r>
                            <w:t>191</w:t>
                          </w:r>
                          <w:r>
                            <w:fldChar w:fldCharType="end"/>
                          </w:r>
                        </w:p>
                      </w:txbxContent>
                    </wps:txbx>
                    <wps:bodyPr wrap="none" lIns="0" tIns="0" rIns="0" bIns="0">
                      <a:spAutoFit/>
                    </wps:bodyPr>
                  </wps:wsp>
                </a:graphicData>
              </a:graphic>
            </wp:anchor>
          </w:drawing>
        </mc:Choice>
        <mc:Fallback>
          <w:pict>
            <v:rect id="文本框 56" o:spid="_x0000_s1026" o:spt="1"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1uVLQAAAABQEAAA8AAAAAAAAAAQAgAAAAIgAAAGRycy9kb3ducmV2LnhtbFBLAQIUABQAAAAI&#10;AIdO4kAdlkTrvAEAAHwDAAAOAAAAAAAAAAEAIAAAAB8BAABkcnMvZTJvRG9jLnhtbFBLBQYAAAAA&#10;BgAGAFkBAABNBQAAAAA=&#10;">
              <v:fill on="f" focussize="0,0"/>
              <v:stroke on="f"/>
              <v:imagedata o:title=""/>
              <o:lock v:ext="edit" aspectratio="f"/>
              <v:textbox inset="0mm,0mm,0mm,0mm" style="mso-fit-shape-to-text:t;">
                <w:txbxContent>
                  <w:p w14:paraId="435EF055">
                    <w:pPr>
                      <w:pStyle w:val="40"/>
                    </w:pPr>
                    <w:r>
                      <w:fldChar w:fldCharType="begin"/>
                    </w:r>
                    <w:r>
                      <w:instrText xml:space="preserve"> PAGE  \* MERGEFORMAT </w:instrText>
                    </w:r>
                    <w:r>
                      <w:fldChar w:fldCharType="separate"/>
                    </w:r>
                    <w:r>
                      <w:t>191</w:t>
                    </w:r>
                    <w:r>
                      <w:fldChar w:fldCharType="end"/>
                    </w:r>
                  </w:p>
                </w:txbxContent>
              </v:textbox>
            </v:rect>
          </w:pict>
        </mc:Fallback>
      </mc:AlternateContent>
    </w:r>
  </w:p>
  <w:p w14:paraId="6C4FCA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FFAF8">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072B5">
    <w:pPr>
      <w:jc w:val="right"/>
      <w:rPr>
        <w:rFonts w:ascii="宋体" w:hAnsi="宋体" w:cs="宋体"/>
        <w:color w:val="0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FBE7">
    <w:pPr>
      <w:wordWrap w:val="0"/>
      <w:jc w:val="right"/>
      <w:rPr>
        <w:rFonts w:ascii="宋体" w:hAnsi="宋体" w:cs="宋体"/>
        <w:color w:val="000000"/>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5C618">
    <w:r>
      <w:drawing>
        <wp:anchor distT="0" distB="0" distL="0" distR="0" simplePos="0" relativeHeight="251667456" behindDoc="1" locked="0" layoutInCell="1" allowOverlap="1">
          <wp:simplePos x="0" y="0"/>
          <wp:positionH relativeFrom="page">
            <wp:align>center</wp:align>
          </wp:positionH>
          <wp:positionV relativeFrom="page">
            <wp:align>center</wp:align>
          </wp:positionV>
          <wp:extent cx="5289550" cy="8312150"/>
          <wp:effectExtent l="0" t="0" r="6350" b="12700"/>
          <wp:wrapNone/>
          <wp:docPr id="4102" name="图片 3"/>
          <wp:cNvGraphicFramePr/>
          <a:graphic xmlns:a="http://schemas.openxmlformats.org/drawingml/2006/main">
            <a:graphicData uri="http://schemas.openxmlformats.org/drawingml/2006/picture">
              <pic:pic xmlns:pic="http://schemas.openxmlformats.org/drawingml/2006/picture">
                <pic:nvPicPr>
                  <pic:cNvPr id="4102" name="图片 3"/>
                  <pic:cNvPicPr/>
                </pic:nvPicPr>
                <pic:blipFill>
                  <a:blip r:embed="rId1" cstate="print"/>
                  <a:srcRect/>
                  <a:stretch>
                    <a:fillRect/>
                  </a:stretch>
                </pic:blipFill>
                <pic:spPr>
                  <a:xfrm>
                    <a:off x="0" y="0"/>
                    <a:ext cx="5289550" cy="8312150"/>
                  </a:xfrm>
                  <a:prstGeom prst="rect">
                    <a:avLst/>
                  </a:prstGeom>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B6DA6">
    <w:r>
      <w:drawing>
        <wp:anchor distT="0" distB="0" distL="0" distR="0" simplePos="0" relativeHeight="251669504" behindDoc="1" locked="0" layoutInCell="1" allowOverlap="1">
          <wp:simplePos x="0" y="0"/>
          <wp:positionH relativeFrom="page">
            <wp:align>center</wp:align>
          </wp:positionH>
          <wp:positionV relativeFrom="page">
            <wp:align>center</wp:align>
          </wp:positionV>
          <wp:extent cx="5289550" cy="8312150"/>
          <wp:effectExtent l="0" t="0" r="6350" b="12700"/>
          <wp:wrapNone/>
          <wp:docPr id="4104" name="图片 1"/>
          <wp:cNvGraphicFramePr/>
          <a:graphic xmlns:a="http://schemas.openxmlformats.org/drawingml/2006/main">
            <a:graphicData uri="http://schemas.openxmlformats.org/drawingml/2006/picture">
              <pic:pic xmlns:pic="http://schemas.openxmlformats.org/drawingml/2006/picture">
                <pic:nvPicPr>
                  <pic:cNvPr id="4104" name="图片 1"/>
                  <pic:cNvPicPr/>
                </pic:nvPicPr>
                <pic:blipFill>
                  <a:blip r:embed="rId1" cstate="print"/>
                  <a:srcRect/>
                  <a:stretch>
                    <a:fillRect/>
                  </a:stretch>
                </pic:blipFill>
                <pic:spPr>
                  <a:xfrm>
                    <a:off x="0" y="0"/>
                    <a:ext cx="5289550" cy="8312150"/>
                  </a:xfrm>
                  <a:prstGeom prst="rect">
                    <a:avLst/>
                  </a:prstGeom>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D92D8">
    <w:pPr>
      <w:jc w:val="right"/>
      <w:rPr>
        <w:rFonts w:ascii="宋体" w:hAnsi="宋体" w:cs="宋体"/>
        <w:color w:val="000000"/>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F1B3">
    <w:r>
      <w:drawing>
        <wp:anchor distT="0" distB="0" distL="0" distR="0" simplePos="0" relativeHeight="251670528" behindDoc="1" locked="0" layoutInCell="1" allowOverlap="1">
          <wp:simplePos x="0" y="0"/>
          <wp:positionH relativeFrom="page">
            <wp:align>center</wp:align>
          </wp:positionH>
          <wp:positionV relativeFrom="page">
            <wp:align>center</wp:align>
          </wp:positionV>
          <wp:extent cx="5289550" cy="8312150"/>
          <wp:effectExtent l="0" t="0" r="6350" b="12700"/>
          <wp:wrapNone/>
          <wp:docPr id="4105" name="图片 6"/>
          <wp:cNvGraphicFramePr/>
          <a:graphic xmlns:a="http://schemas.openxmlformats.org/drawingml/2006/main">
            <a:graphicData uri="http://schemas.openxmlformats.org/drawingml/2006/picture">
              <pic:pic xmlns:pic="http://schemas.openxmlformats.org/drawingml/2006/picture">
                <pic:nvPicPr>
                  <pic:cNvPr id="4105" name="图片 6"/>
                  <pic:cNvPicPr/>
                </pic:nvPicPr>
                <pic:blipFill>
                  <a:blip r:embed="rId1" cstate="print"/>
                  <a:srcRect/>
                  <a:stretch>
                    <a:fillRect/>
                  </a:stretch>
                </pic:blipFill>
                <pic:spPr>
                  <a:xfrm>
                    <a:off x="0" y="0"/>
                    <a:ext cx="5289550" cy="8312150"/>
                  </a:xfrm>
                  <a:prstGeom prst="rect">
                    <a:avLst/>
                  </a:prstGeom>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4F5A4">
    <w:r>
      <w:drawing>
        <wp:anchor distT="0" distB="0" distL="0" distR="0" simplePos="0" relativeHeight="251671552" behindDoc="1" locked="0" layoutInCell="1" allowOverlap="1">
          <wp:simplePos x="0" y="0"/>
          <wp:positionH relativeFrom="page">
            <wp:align>center</wp:align>
          </wp:positionH>
          <wp:positionV relativeFrom="page">
            <wp:align>center</wp:align>
          </wp:positionV>
          <wp:extent cx="5289550" cy="8312150"/>
          <wp:effectExtent l="0" t="0" r="6350" b="12700"/>
          <wp:wrapNone/>
          <wp:docPr id="4106" name="图片 4"/>
          <wp:cNvGraphicFramePr/>
          <a:graphic xmlns:a="http://schemas.openxmlformats.org/drawingml/2006/main">
            <a:graphicData uri="http://schemas.openxmlformats.org/drawingml/2006/picture">
              <pic:pic xmlns:pic="http://schemas.openxmlformats.org/drawingml/2006/picture">
                <pic:nvPicPr>
                  <pic:cNvPr id="4106" name="图片 4"/>
                  <pic:cNvPicPr/>
                </pic:nvPicPr>
                <pic:blipFill>
                  <a:blip r:embed="rId1" cstate="print"/>
                  <a:srcRect/>
                  <a:stretch>
                    <a:fillRect/>
                  </a:stretch>
                </pic:blipFill>
                <pic:spPr>
                  <a:xfrm>
                    <a:off x="0" y="0"/>
                    <a:ext cx="5289550" cy="8312150"/>
                  </a:xfrm>
                  <a:prstGeom prst="rect">
                    <a:avLst/>
                  </a:prstGeom>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D2D5">
    <w:pPr>
      <w:jc w:val="right"/>
      <w:rPr>
        <w:rFonts w:ascii="宋体" w:hAnsi="宋体" w:cs="宋体"/>
        <w:color w:val="00000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000002"/>
    <w:multiLevelType w:val="multilevel"/>
    <w:tmpl w:val="00000002"/>
    <w:lvl w:ilvl="0" w:tentative="0">
      <w:start w:val="1"/>
      <w:numFmt w:val="decimal"/>
      <w:lvlText w:val="（%1）"/>
      <w:lvlJc w:val="left"/>
      <w:pPr>
        <w:tabs>
          <w:tab w:val="left" w:pos="852"/>
        </w:tabs>
        <w:ind w:left="342" w:hanging="57"/>
      </w:pPr>
      <w:rPr>
        <w:rFonts w:hint="default"/>
      </w:rPr>
    </w:lvl>
    <w:lvl w:ilvl="1" w:tentative="0">
      <w:start w:val="1"/>
      <w:numFmt w:val="lowerLetter"/>
      <w:lvlText w:val="%2)"/>
      <w:lvlJc w:val="left"/>
      <w:pPr>
        <w:tabs>
          <w:tab w:val="left" w:pos="1125"/>
        </w:tabs>
        <w:ind w:left="1125" w:hanging="420"/>
      </w:pPr>
    </w:lvl>
    <w:lvl w:ilvl="2" w:tentative="0">
      <w:start w:val="1"/>
      <w:numFmt w:val="lowerRoman"/>
      <w:lvlText w:val="%3."/>
      <w:lvlJc w:val="right"/>
      <w:pPr>
        <w:tabs>
          <w:tab w:val="left" w:pos="1545"/>
        </w:tabs>
        <w:ind w:left="1545" w:hanging="420"/>
      </w:pPr>
    </w:lvl>
    <w:lvl w:ilvl="3" w:tentative="0">
      <w:start w:val="1"/>
      <w:numFmt w:val="decimal"/>
      <w:lvlText w:val="%4."/>
      <w:lvlJc w:val="left"/>
      <w:pPr>
        <w:tabs>
          <w:tab w:val="left" w:pos="1965"/>
        </w:tabs>
        <w:ind w:left="1965" w:hanging="420"/>
      </w:pPr>
    </w:lvl>
    <w:lvl w:ilvl="4" w:tentative="0">
      <w:start w:val="1"/>
      <w:numFmt w:val="lowerLetter"/>
      <w:lvlText w:val="%5)"/>
      <w:lvlJc w:val="left"/>
      <w:pPr>
        <w:tabs>
          <w:tab w:val="left" w:pos="2385"/>
        </w:tabs>
        <w:ind w:left="2385" w:hanging="420"/>
      </w:pPr>
    </w:lvl>
    <w:lvl w:ilvl="5" w:tentative="0">
      <w:start w:val="1"/>
      <w:numFmt w:val="lowerRoman"/>
      <w:lvlText w:val="%6."/>
      <w:lvlJc w:val="right"/>
      <w:pPr>
        <w:tabs>
          <w:tab w:val="left" w:pos="2805"/>
        </w:tabs>
        <w:ind w:left="2805" w:hanging="420"/>
      </w:pPr>
    </w:lvl>
    <w:lvl w:ilvl="6" w:tentative="0">
      <w:start w:val="1"/>
      <w:numFmt w:val="decimal"/>
      <w:lvlText w:val="%7."/>
      <w:lvlJc w:val="left"/>
      <w:pPr>
        <w:tabs>
          <w:tab w:val="left" w:pos="3225"/>
        </w:tabs>
        <w:ind w:left="3225" w:hanging="420"/>
      </w:pPr>
    </w:lvl>
    <w:lvl w:ilvl="7" w:tentative="0">
      <w:start w:val="1"/>
      <w:numFmt w:val="lowerLetter"/>
      <w:lvlText w:val="%8)"/>
      <w:lvlJc w:val="left"/>
      <w:pPr>
        <w:tabs>
          <w:tab w:val="left" w:pos="3645"/>
        </w:tabs>
        <w:ind w:left="3645" w:hanging="420"/>
      </w:pPr>
    </w:lvl>
    <w:lvl w:ilvl="8" w:tentative="0">
      <w:start w:val="1"/>
      <w:numFmt w:val="lowerRoman"/>
      <w:lvlText w:val="%9."/>
      <w:lvlJc w:val="right"/>
      <w:pPr>
        <w:tabs>
          <w:tab w:val="left" w:pos="4065"/>
        </w:tabs>
        <w:ind w:left="4065" w:hanging="420"/>
      </w:pPr>
    </w:lvl>
  </w:abstractNum>
  <w:abstractNum w:abstractNumId="2">
    <w:nsid w:val="00000003"/>
    <w:multiLevelType w:val="singleLevel"/>
    <w:tmpl w:val="00000003"/>
    <w:lvl w:ilvl="0" w:tentative="0">
      <w:start w:val="1"/>
      <w:numFmt w:val="bullet"/>
      <w:pStyle w:val="436"/>
      <w:lvlText w:val=""/>
      <w:lvlJc w:val="left"/>
      <w:pPr>
        <w:tabs>
          <w:tab w:val="left" w:pos="2880"/>
        </w:tabs>
        <w:ind w:left="2880" w:hanging="360"/>
      </w:pPr>
      <w:rPr>
        <w:rFonts w:hint="default" w:ascii="Symbol" w:hAnsi="Symbol"/>
      </w:rPr>
    </w:lvl>
  </w:abstractNum>
  <w:abstractNum w:abstractNumId="3">
    <w:nsid w:val="00000004"/>
    <w:multiLevelType w:val="multilevel"/>
    <w:tmpl w:val="00000004"/>
    <w:lvl w:ilvl="0" w:tentative="0">
      <w:start w:val="1"/>
      <w:numFmt w:val="bullet"/>
      <w:lvlText w:val=""/>
      <w:lvlJc w:val="left"/>
      <w:pPr>
        <w:tabs>
          <w:tab w:val="left" w:pos="720"/>
        </w:tabs>
        <w:ind w:left="720" w:hanging="360"/>
      </w:pPr>
      <w:rPr>
        <w:rFonts w:hint="default" w:ascii="Symbol" w:hAnsi="Symbol"/>
      </w:rPr>
    </w:lvl>
    <w:lvl w:ilvl="1" w:tentative="0">
      <w:start w:val="1"/>
      <w:numFmt w:val="bullet"/>
      <w:pStyle w:val="445"/>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00000005"/>
    <w:multiLevelType w:val="multilevel"/>
    <w:tmpl w:val="00000005"/>
    <w:lvl w:ilvl="0" w:tentative="0">
      <w:start w:val="1"/>
      <w:numFmt w:val="decimal"/>
      <w:pStyle w:val="368"/>
      <w:lvlText w:val="%1."/>
      <w:lvlJc w:val="left"/>
      <w:pPr>
        <w:tabs>
          <w:tab w:val="left" w:pos="0"/>
        </w:tabs>
        <w:ind w:left="284" w:hanging="284"/>
      </w:pPr>
      <w:rPr>
        <w:rFonts w:hint="default" w:hAnsi="Times New Roman"/>
      </w:rPr>
    </w:lvl>
    <w:lvl w:ilvl="1" w:tentative="0">
      <w:start w:val="1"/>
      <w:numFmt w:val="decimal"/>
      <w:isLgl/>
      <w:lvlText w:val="%1.%2"/>
      <w:lvlJc w:val="left"/>
      <w:pPr>
        <w:tabs>
          <w:tab w:val="left" w:pos="0"/>
        </w:tabs>
        <w:ind w:left="405" w:hanging="405"/>
      </w:pPr>
      <w:rPr>
        <w:rFonts w:hint="default" w:hAnsi="Times New Roman"/>
      </w:rPr>
    </w:lvl>
    <w:lvl w:ilvl="2" w:tentative="0">
      <w:start w:val="1"/>
      <w:numFmt w:val="decimal"/>
      <w:isLgl/>
      <w:lvlText w:val="%1.%2.%3"/>
      <w:lvlJc w:val="left"/>
      <w:pPr>
        <w:tabs>
          <w:tab w:val="left" w:pos="0"/>
        </w:tabs>
        <w:ind w:left="720" w:hanging="720"/>
      </w:pPr>
      <w:rPr>
        <w:rFonts w:hint="default" w:hAnsi="Times New Roman"/>
      </w:rPr>
    </w:lvl>
    <w:lvl w:ilvl="3" w:tentative="0">
      <w:start w:val="1"/>
      <w:numFmt w:val="decimal"/>
      <w:isLgl/>
      <w:lvlText w:val="%1.%2.%3.%4"/>
      <w:lvlJc w:val="left"/>
      <w:pPr>
        <w:tabs>
          <w:tab w:val="left" w:pos="0"/>
        </w:tabs>
        <w:ind w:left="720" w:hanging="720"/>
      </w:pPr>
      <w:rPr>
        <w:rFonts w:hint="default" w:hAnsi="Times New Roman"/>
      </w:rPr>
    </w:lvl>
    <w:lvl w:ilvl="4" w:tentative="0">
      <w:start w:val="1"/>
      <w:numFmt w:val="decimal"/>
      <w:isLgl/>
      <w:lvlText w:val="%1.%2.%3.%4.%5"/>
      <w:lvlJc w:val="left"/>
      <w:pPr>
        <w:tabs>
          <w:tab w:val="left" w:pos="0"/>
        </w:tabs>
        <w:ind w:left="1080" w:hanging="1080"/>
      </w:pPr>
      <w:rPr>
        <w:rFonts w:hint="default" w:hAnsi="Times New Roman"/>
      </w:rPr>
    </w:lvl>
    <w:lvl w:ilvl="5" w:tentative="0">
      <w:start w:val="1"/>
      <w:numFmt w:val="decimal"/>
      <w:isLgl/>
      <w:lvlText w:val="%1.%2.%3.%4.%5.%6"/>
      <w:lvlJc w:val="left"/>
      <w:pPr>
        <w:tabs>
          <w:tab w:val="left" w:pos="0"/>
        </w:tabs>
        <w:ind w:left="1080" w:hanging="1080"/>
      </w:pPr>
      <w:rPr>
        <w:rFonts w:hint="default" w:hAnsi="Times New Roman"/>
      </w:rPr>
    </w:lvl>
    <w:lvl w:ilvl="6" w:tentative="0">
      <w:start w:val="1"/>
      <w:numFmt w:val="decimal"/>
      <w:isLgl/>
      <w:lvlText w:val="%1.%2.%3.%4.%5.%6.%7"/>
      <w:lvlJc w:val="left"/>
      <w:pPr>
        <w:tabs>
          <w:tab w:val="left" w:pos="0"/>
        </w:tabs>
        <w:ind w:left="1440" w:hanging="1440"/>
      </w:pPr>
      <w:rPr>
        <w:rFonts w:hint="default" w:hAnsi="Times New Roman"/>
      </w:rPr>
    </w:lvl>
    <w:lvl w:ilvl="7" w:tentative="0">
      <w:start w:val="1"/>
      <w:numFmt w:val="decimal"/>
      <w:isLgl/>
      <w:lvlText w:val="%1.%2.%3.%4.%5.%6.%7.%8"/>
      <w:lvlJc w:val="left"/>
      <w:pPr>
        <w:tabs>
          <w:tab w:val="left" w:pos="0"/>
        </w:tabs>
        <w:ind w:left="1440" w:hanging="1440"/>
      </w:pPr>
      <w:rPr>
        <w:rFonts w:hint="default" w:hAnsi="Times New Roman"/>
      </w:rPr>
    </w:lvl>
    <w:lvl w:ilvl="8" w:tentative="0">
      <w:start w:val="1"/>
      <w:numFmt w:val="decimal"/>
      <w:isLgl/>
      <w:lvlText w:val="%1.%2.%3.%4.%5.%6.%7.%8.%9"/>
      <w:lvlJc w:val="left"/>
      <w:pPr>
        <w:tabs>
          <w:tab w:val="left" w:pos="0"/>
        </w:tabs>
        <w:ind w:left="1800" w:hanging="1800"/>
      </w:pPr>
      <w:rPr>
        <w:rFonts w:hint="default" w:hAnsi="Times New Roman"/>
      </w:rPr>
    </w:lvl>
  </w:abstractNum>
  <w:abstractNum w:abstractNumId="5">
    <w:nsid w:val="00000006"/>
    <w:multiLevelType w:val="singleLevel"/>
    <w:tmpl w:val="00000006"/>
    <w:lvl w:ilvl="0" w:tentative="0">
      <w:start w:val="1"/>
      <w:numFmt w:val="decimal"/>
      <w:suff w:val="nothing"/>
      <w:lvlText w:val="%1."/>
      <w:lvlJc w:val="left"/>
    </w:lvl>
  </w:abstractNum>
  <w:abstractNum w:abstractNumId="6">
    <w:nsid w:val="00000007"/>
    <w:multiLevelType w:val="singleLevel"/>
    <w:tmpl w:val="00000007"/>
    <w:lvl w:ilvl="0" w:tentative="0">
      <w:start w:val="1"/>
      <w:numFmt w:val="chineseCounting"/>
      <w:suff w:val="nothing"/>
      <w:lvlText w:val="%1、"/>
      <w:lvlJc w:val="left"/>
    </w:lvl>
  </w:abstractNum>
  <w:abstractNum w:abstractNumId="7">
    <w:nsid w:val="185948D8"/>
    <w:multiLevelType w:val="singleLevel"/>
    <w:tmpl w:val="185948D8"/>
    <w:lvl w:ilvl="0" w:tentative="0">
      <w:start w:val="4"/>
      <w:numFmt w:val="decimal"/>
      <w:lvlText w:val="%1."/>
      <w:lvlJc w:val="left"/>
      <w:pPr>
        <w:tabs>
          <w:tab w:val="left" w:pos="312"/>
        </w:tabs>
      </w:pPr>
    </w:lvl>
  </w:abstractNum>
  <w:num w:numId="1">
    <w:abstractNumId w:val="4"/>
  </w:num>
  <w:num w:numId="2">
    <w:abstractNumId w:val="2"/>
  </w:num>
  <w:num w:numId="3">
    <w:abstractNumId w:val="3"/>
  </w:num>
  <w:num w:numId="4">
    <w:abstractNumId w:val="1"/>
  </w:num>
  <w:num w:numId="5">
    <w:abstractNumId w:val="0"/>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50"/>
  <w:drawingGridHorizontalSpacing w:val="1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mMDIzYzU5ZTA1MjliMTJiMjZlZGRhZWVhNzhmZWYifQ=="/>
  </w:docVars>
  <w:rsids>
    <w:rsidRoot w:val="00B57578"/>
    <w:rsid w:val="00040AD9"/>
    <w:rsid w:val="00071CAC"/>
    <w:rsid w:val="000B107B"/>
    <w:rsid w:val="0017045A"/>
    <w:rsid w:val="001E4470"/>
    <w:rsid w:val="003C34B7"/>
    <w:rsid w:val="00594A77"/>
    <w:rsid w:val="007B0514"/>
    <w:rsid w:val="00814F88"/>
    <w:rsid w:val="00815858"/>
    <w:rsid w:val="00897666"/>
    <w:rsid w:val="009D42F6"/>
    <w:rsid w:val="00B57578"/>
    <w:rsid w:val="00C25AC9"/>
    <w:rsid w:val="00E04CA2"/>
    <w:rsid w:val="00E843A1"/>
    <w:rsid w:val="00F26897"/>
    <w:rsid w:val="016E32D4"/>
    <w:rsid w:val="02115503"/>
    <w:rsid w:val="02154268"/>
    <w:rsid w:val="021F7A74"/>
    <w:rsid w:val="04003C23"/>
    <w:rsid w:val="074B437F"/>
    <w:rsid w:val="0A7B30EB"/>
    <w:rsid w:val="0B1C42A4"/>
    <w:rsid w:val="0B4A44AB"/>
    <w:rsid w:val="0B91125E"/>
    <w:rsid w:val="0E3A41D5"/>
    <w:rsid w:val="0FCE1079"/>
    <w:rsid w:val="10834D00"/>
    <w:rsid w:val="10D91912"/>
    <w:rsid w:val="148527D9"/>
    <w:rsid w:val="16C15BE1"/>
    <w:rsid w:val="1B981220"/>
    <w:rsid w:val="1E9C3739"/>
    <w:rsid w:val="20AC0D4E"/>
    <w:rsid w:val="22486A69"/>
    <w:rsid w:val="23963804"/>
    <w:rsid w:val="2515472E"/>
    <w:rsid w:val="25496D80"/>
    <w:rsid w:val="265D0010"/>
    <w:rsid w:val="288F1A9D"/>
    <w:rsid w:val="291B1E6E"/>
    <w:rsid w:val="2A277DC9"/>
    <w:rsid w:val="2A91440C"/>
    <w:rsid w:val="2AC718BC"/>
    <w:rsid w:val="2D7C155D"/>
    <w:rsid w:val="2F001E44"/>
    <w:rsid w:val="2FB60FA4"/>
    <w:rsid w:val="33EC59C7"/>
    <w:rsid w:val="347A60D5"/>
    <w:rsid w:val="35786D4F"/>
    <w:rsid w:val="367E7C6E"/>
    <w:rsid w:val="38B4677D"/>
    <w:rsid w:val="3BB76539"/>
    <w:rsid w:val="3BFB6F12"/>
    <w:rsid w:val="3CE65E3B"/>
    <w:rsid w:val="3CE70664"/>
    <w:rsid w:val="3DD31485"/>
    <w:rsid w:val="3E70754A"/>
    <w:rsid w:val="3FD35404"/>
    <w:rsid w:val="401F0905"/>
    <w:rsid w:val="40D23C76"/>
    <w:rsid w:val="42EE5E4D"/>
    <w:rsid w:val="441B1A52"/>
    <w:rsid w:val="4747532F"/>
    <w:rsid w:val="48A356DA"/>
    <w:rsid w:val="49A66F2F"/>
    <w:rsid w:val="4A360679"/>
    <w:rsid w:val="4B496369"/>
    <w:rsid w:val="4CB77029"/>
    <w:rsid w:val="4E026AAC"/>
    <w:rsid w:val="4E6638BD"/>
    <w:rsid w:val="4E81775A"/>
    <w:rsid w:val="4E9E163B"/>
    <w:rsid w:val="51EE6435"/>
    <w:rsid w:val="527F26F4"/>
    <w:rsid w:val="536335DE"/>
    <w:rsid w:val="55236255"/>
    <w:rsid w:val="57D00E8A"/>
    <w:rsid w:val="5884755E"/>
    <w:rsid w:val="5A33357F"/>
    <w:rsid w:val="5BCC3C8B"/>
    <w:rsid w:val="5F557AF4"/>
    <w:rsid w:val="5FFE0F82"/>
    <w:rsid w:val="60A153B4"/>
    <w:rsid w:val="61E0741B"/>
    <w:rsid w:val="640C1FB5"/>
    <w:rsid w:val="656D7907"/>
    <w:rsid w:val="66847663"/>
    <w:rsid w:val="66E968D7"/>
    <w:rsid w:val="67564DC9"/>
    <w:rsid w:val="68D85DED"/>
    <w:rsid w:val="695873E8"/>
    <w:rsid w:val="6A533152"/>
    <w:rsid w:val="6A6744F8"/>
    <w:rsid w:val="6ABE0AAB"/>
    <w:rsid w:val="731C6AFD"/>
    <w:rsid w:val="75C9484F"/>
    <w:rsid w:val="76507345"/>
    <w:rsid w:val="7BEC7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81"/>
    <w:qFormat/>
    <w:uiPriority w:val="0"/>
    <w:pPr>
      <w:keepNext/>
      <w:keepLines/>
      <w:spacing w:before="340" w:after="330" w:line="578" w:lineRule="auto"/>
      <w:jc w:val="center"/>
      <w:outlineLvl w:val="0"/>
    </w:pPr>
    <w:rPr>
      <w:b/>
      <w:bCs/>
      <w:kern w:val="44"/>
      <w:sz w:val="44"/>
      <w:szCs w:val="44"/>
    </w:rPr>
  </w:style>
  <w:style w:type="paragraph" w:styleId="5">
    <w:name w:val="heading 2"/>
    <w:basedOn w:val="1"/>
    <w:next w:val="1"/>
    <w:link w:val="77"/>
    <w:qFormat/>
    <w:uiPriority w:val="0"/>
    <w:pPr>
      <w:keepNext/>
      <w:keepLines/>
      <w:outlineLvl w:val="1"/>
    </w:pPr>
    <w:rPr>
      <w:rFonts w:ascii="Arial" w:hAnsi="Arial"/>
      <w:b/>
      <w:bCs/>
      <w:kern w:val="0"/>
      <w:szCs w:val="32"/>
    </w:rPr>
  </w:style>
  <w:style w:type="paragraph" w:styleId="6">
    <w:name w:val="heading 3"/>
    <w:basedOn w:val="1"/>
    <w:next w:val="1"/>
    <w:link w:val="82"/>
    <w:qFormat/>
    <w:uiPriority w:val="9"/>
    <w:pPr>
      <w:keepNext/>
      <w:keepLines/>
      <w:spacing w:before="260" w:after="260" w:line="416" w:lineRule="auto"/>
      <w:outlineLvl w:val="2"/>
    </w:pPr>
    <w:rPr>
      <w:b/>
      <w:bCs/>
      <w:kern w:val="0"/>
      <w:sz w:val="32"/>
      <w:szCs w:val="32"/>
    </w:rPr>
  </w:style>
  <w:style w:type="paragraph" w:styleId="7">
    <w:name w:val="heading 4"/>
    <w:basedOn w:val="1"/>
    <w:next w:val="1"/>
    <w:link w:val="83"/>
    <w:qFormat/>
    <w:uiPriority w:val="0"/>
    <w:pPr>
      <w:keepNext/>
      <w:keepLines/>
      <w:spacing w:before="280" w:after="290" w:line="376" w:lineRule="auto"/>
      <w:outlineLvl w:val="3"/>
    </w:pPr>
    <w:rPr>
      <w:rFonts w:ascii="Arial" w:hAnsi="Arial" w:eastAsia="黑体"/>
      <w:b/>
      <w:bCs/>
      <w:kern w:val="0"/>
      <w:sz w:val="28"/>
      <w:szCs w:val="28"/>
    </w:rPr>
  </w:style>
  <w:style w:type="paragraph" w:styleId="8">
    <w:name w:val="heading 5"/>
    <w:basedOn w:val="1"/>
    <w:next w:val="1"/>
    <w:link w:val="84"/>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85"/>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rPr>
  </w:style>
  <w:style w:type="paragraph" w:styleId="10">
    <w:name w:val="heading 7"/>
    <w:basedOn w:val="1"/>
    <w:next w:val="1"/>
    <w:link w:val="86"/>
    <w:qFormat/>
    <w:uiPriority w:val="0"/>
    <w:pPr>
      <w:keepNext/>
      <w:keepLines/>
      <w:widowControl/>
      <w:tabs>
        <w:tab w:val="left" w:pos="2520"/>
      </w:tabs>
      <w:spacing w:before="240" w:after="64" w:line="320" w:lineRule="auto"/>
      <w:ind w:left="1296" w:hanging="1296"/>
      <w:jc w:val="left"/>
      <w:outlineLvl w:val="6"/>
    </w:pPr>
    <w:rPr>
      <w:b/>
      <w:bCs/>
      <w:kern w:val="0"/>
    </w:rPr>
  </w:style>
  <w:style w:type="paragraph" w:styleId="11">
    <w:name w:val="heading 8"/>
    <w:basedOn w:val="1"/>
    <w:next w:val="1"/>
    <w:link w:val="87"/>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rPr>
  </w:style>
  <w:style w:type="paragraph" w:styleId="12">
    <w:name w:val="heading 9"/>
    <w:basedOn w:val="1"/>
    <w:next w:val="1"/>
    <w:link w:val="88"/>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 w:val="20"/>
      <w:szCs w:val="21"/>
    </w:rPr>
  </w:style>
  <w:style w:type="character" w:default="1" w:styleId="65">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96"/>
    <w:qFormat/>
    <w:uiPriority w:val="0"/>
    <w:rPr>
      <w:rFonts w:ascii="宋体" w:hAnsi="Courier New"/>
      <w:kern w:val="0"/>
      <w:sz w:val="20"/>
      <w:szCs w:val="21"/>
    </w:rPr>
  </w:style>
  <w:style w:type="paragraph" w:styleId="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styleId="13">
    <w:name w:val="toc 7"/>
    <w:basedOn w:val="1"/>
    <w:next w:val="1"/>
    <w:qFormat/>
    <w:uiPriority w:val="39"/>
    <w:pPr>
      <w:ind w:left="1200"/>
      <w:jc w:val="left"/>
    </w:pPr>
    <w:rPr>
      <w:rFonts w:ascii="Calibri" w:hAnsi="Calibri"/>
      <w:sz w:val="20"/>
      <w:szCs w:val="20"/>
    </w:rPr>
  </w:style>
  <w:style w:type="paragraph" w:styleId="14">
    <w:name w:val="Note Heading"/>
    <w:basedOn w:val="1"/>
    <w:next w:val="1"/>
    <w:link w:val="89"/>
    <w:qFormat/>
    <w:uiPriority w:val="0"/>
    <w:pPr>
      <w:jc w:val="center"/>
    </w:pPr>
    <w:rPr>
      <w:kern w:val="0"/>
      <w:sz w:val="20"/>
    </w:rPr>
  </w:style>
  <w:style w:type="paragraph" w:styleId="15">
    <w:name w:val="index 8"/>
    <w:basedOn w:val="1"/>
    <w:next w:val="1"/>
    <w:qFormat/>
    <w:uiPriority w:val="0"/>
    <w:pPr>
      <w:ind w:left="1400" w:leftChars="1400"/>
    </w:pPr>
  </w:style>
  <w:style w:type="paragraph" w:styleId="16">
    <w:name w:val="List Number"/>
    <w:basedOn w:val="1"/>
    <w:qFormat/>
    <w:uiPriority w:val="0"/>
    <w:pPr>
      <w:tabs>
        <w:tab w:val="left" w:pos="1680"/>
      </w:tabs>
      <w:ind w:left="1680" w:hanging="420"/>
    </w:pPr>
    <w:rPr>
      <w:color w:val="000000"/>
    </w:rPr>
  </w:style>
  <w:style w:type="paragraph" w:styleId="17">
    <w:name w:val="Normal Indent"/>
    <w:basedOn w:val="1"/>
    <w:next w:val="1"/>
    <w:link w:val="90"/>
    <w:qFormat/>
    <w:uiPriority w:val="0"/>
    <w:pPr>
      <w:ind w:firstLine="420" w:firstLineChars="200"/>
    </w:pPr>
    <w:rPr>
      <w:sz w:val="21"/>
    </w:rPr>
  </w:style>
  <w:style w:type="paragraph" w:styleId="18">
    <w:name w:val="caption"/>
    <w:basedOn w:val="1"/>
    <w:next w:val="1"/>
    <w:qFormat/>
    <w:uiPriority w:val="0"/>
    <w:pPr>
      <w:spacing w:before="152" w:after="160"/>
    </w:pPr>
    <w:rPr>
      <w:rFonts w:ascii="Arial" w:hAnsi="Arial" w:eastAsia="黑体" w:cs="Arial"/>
      <w:sz w:val="20"/>
      <w:szCs w:val="20"/>
    </w:rPr>
  </w:style>
  <w:style w:type="paragraph" w:styleId="19">
    <w:name w:val="index 5"/>
    <w:basedOn w:val="1"/>
    <w:next w:val="1"/>
    <w:qFormat/>
    <w:uiPriority w:val="0"/>
    <w:pPr>
      <w:ind w:left="800" w:leftChars="800"/>
    </w:pPr>
  </w:style>
  <w:style w:type="paragraph" w:styleId="20">
    <w:name w:val="List Bullet"/>
    <w:basedOn w:val="1"/>
    <w:qFormat/>
    <w:uiPriority w:val="0"/>
    <w:pPr>
      <w:tabs>
        <w:tab w:val="left" w:pos="360"/>
      </w:tabs>
      <w:ind w:left="360" w:hanging="200" w:hangingChars="200"/>
    </w:pPr>
  </w:style>
  <w:style w:type="paragraph" w:styleId="21">
    <w:name w:val="Document Map"/>
    <w:basedOn w:val="1"/>
    <w:link w:val="91"/>
    <w:qFormat/>
    <w:uiPriority w:val="99"/>
    <w:pPr>
      <w:shd w:val="clear" w:color="auto" w:fill="000080"/>
    </w:pPr>
    <w:rPr>
      <w:kern w:val="0"/>
      <w:sz w:val="20"/>
    </w:rPr>
  </w:style>
  <w:style w:type="paragraph" w:styleId="22">
    <w:name w:val="toa heading"/>
    <w:basedOn w:val="1"/>
    <w:next w:val="1"/>
    <w:qFormat/>
    <w:uiPriority w:val="0"/>
    <w:pPr>
      <w:spacing w:before="120"/>
    </w:pPr>
    <w:rPr>
      <w:rFonts w:ascii="Arial" w:hAnsi="Arial" w:cs="Arial"/>
      <w:color w:val="000000"/>
    </w:rPr>
  </w:style>
  <w:style w:type="paragraph" w:styleId="23">
    <w:name w:val="annotation text"/>
    <w:basedOn w:val="1"/>
    <w:link w:val="92"/>
    <w:qFormat/>
    <w:uiPriority w:val="0"/>
    <w:pPr>
      <w:jc w:val="left"/>
    </w:pPr>
    <w:rPr>
      <w:kern w:val="0"/>
      <w:sz w:val="20"/>
    </w:rPr>
  </w:style>
  <w:style w:type="paragraph" w:styleId="24">
    <w:name w:val="index 6"/>
    <w:basedOn w:val="1"/>
    <w:next w:val="1"/>
    <w:qFormat/>
    <w:uiPriority w:val="0"/>
    <w:pPr>
      <w:ind w:left="1000" w:leftChars="1000"/>
    </w:pPr>
  </w:style>
  <w:style w:type="paragraph" w:styleId="25">
    <w:name w:val="Salutation"/>
    <w:basedOn w:val="1"/>
    <w:next w:val="1"/>
    <w:link w:val="93"/>
    <w:qFormat/>
    <w:uiPriority w:val="0"/>
    <w:rPr>
      <w:rFonts w:ascii="宋体" w:eastAsia="仿宋_GB2312"/>
      <w:kern w:val="0"/>
      <w:sz w:val="20"/>
      <w:szCs w:val="20"/>
    </w:rPr>
  </w:style>
  <w:style w:type="paragraph" w:styleId="26">
    <w:name w:val="Body Text 3"/>
    <w:basedOn w:val="1"/>
    <w:link w:val="94"/>
    <w:qFormat/>
    <w:uiPriority w:val="99"/>
    <w:rPr>
      <w:rFonts w:ascii="宋体"/>
      <w:kern w:val="0"/>
      <w:szCs w:val="20"/>
    </w:rPr>
  </w:style>
  <w:style w:type="paragraph" w:styleId="27">
    <w:name w:val="Body Text"/>
    <w:basedOn w:val="1"/>
    <w:link w:val="80"/>
    <w:qFormat/>
    <w:uiPriority w:val="99"/>
    <w:pPr>
      <w:spacing w:after="120"/>
    </w:pPr>
    <w:rPr>
      <w:kern w:val="0"/>
      <w:sz w:val="20"/>
    </w:rPr>
  </w:style>
  <w:style w:type="paragraph" w:styleId="28">
    <w:name w:val="Body Text Indent"/>
    <w:basedOn w:val="1"/>
    <w:link w:val="95"/>
    <w:qFormat/>
    <w:uiPriority w:val="0"/>
    <w:pPr>
      <w:spacing w:after="120"/>
      <w:ind w:left="420" w:leftChars="200"/>
    </w:pPr>
    <w:rPr>
      <w:kern w:val="0"/>
      <w:sz w:val="20"/>
    </w:rPr>
  </w:style>
  <w:style w:type="paragraph" w:styleId="29">
    <w:name w:val="Block Text"/>
    <w:basedOn w:val="1"/>
    <w:qFormat/>
    <w:uiPriority w:val="0"/>
    <w:pPr>
      <w:tabs>
        <w:tab w:val="left" w:pos="709"/>
        <w:tab w:val="right" w:pos="851"/>
        <w:tab w:val="right" w:pos="8504"/>
      </w:tabs>
      <w:ind w:left="710" w:right="274"/>
    </w:pPr>
    <w:rPr>
      <w:rFonts w:ascii="宋体" w:hAnsi="宋体"/>
      <w:color w:val="000000"/>
      <w:szCs w:val="20"/>
    </w:rPr>
  </w:style>
  <w:style w:type="paragraph" w:styleId="30">
    <w:name w:val="List Bullet 2"/>
    <w:basedOn w:val="20"/>
    <w:qFormat/>
    <w:uiPriority w:val="0"/>
    <w:pPr>
      <w:widowControl/>
      <w:tabs>
        <w:tab w:val="clear" w:pos="360"/>
      </w:tabs>
      <w:spacing w:after="220" w:line="220" w:lineRule="atLeast"/>
      <w:ind w:left="2160" w:right="720" w:firstLine="0" w:firstLineChars="0"/>
      <w:jc w:val="left"/>
    </w:pPr>
    <w:rPr>
      <w:kern w:val="0"/>
      <w:szCs w:val="20"/>
    </w:rPr>
  </w:style>
  <w:style w:type="paragraph" w:styleId="31">
    <w:name w:val="index 4"/>
    <w:basedOn w:val="1"/>
    <w:next w:val="1"/>
    <w:qFormat/>
    <w:uiPriority w:val="0"/>
    <w:pPr>
      <w:ind w:left="600" w:leftChars="600"/>
    </w:pPr>
  </w:style>
  <w:style w:type="paragraph" w:styleId="32">
    <w:name w:val="toc 5"/>
    <w:basedOn w:val="1"/>
    <w:next w:val="1"/>
    <w:qFormat/>
    <w:uiPriority w:val="39"/>
    <w:pPr>
      <w:ind w:left="720"/>
      <w:jc w:val="left"/>
    </w:pPr>
    <w:rPr>
      <w:rFonts w:ascii="Calibri" w:hAnsi="Calibri"/>
      <w:sz w:val="20"/>
      <w:szCs w:val="20"/>
    </w:rPr>
  </w:style>
  <w:style w:type="paragraph" w:styleId="33">
    <w:name w:val="toc 3"/>
    <w:basedOn w:val="1"/>
    <w:next w:val="1"/>
    <w:qFormat/>
    <w:uiPriority w:val="39"/>
    <w:pPr>
      <w:ind w:left="240"/>
      <w:jc w:val="left"/>
    </w:pPr>
    <w:rPr>
      <w:rFonts w:ascii="Calibri" w:hAnsi="Calibri"/>
      <w:sz w:val="20"/>
      <w:szCs w:val="20"/>
    </w:rPr>
  </w:style>
  <w:style w:type="paragraph" w:styleId="34">
    <w:name w:val="toc 8"/>
    <w:basedOn w:val="1"/>
    <w:next w:val="1"/>
    <w:qFormat/>
    <w:uiPriority w:val="39"/>
    <w:pPr>
      <w:ind w:left="1440"/>
      <w:jc w:val="left"/>
    </w:pPr>
    <w:rPr>
      <w:rFonts w:ascii="Calibri" w:hAnsi="Calibri"/>
      <w:sz w:val="20"/>
      <w:szCs w:val="20"/>
    </w:rPr>
  </w:style>
  <w:style w:type="paragraph" w:styleId="35">
    <w:name w:val="index 3"/>
    <w:basedOn w:val="1"/>
    <w:next w:val="1"/>
    <w:qFormat/>
    <w:uiPriority w:val="0"/>
    <w:pPr>
      <w:ind w:left="400" w:leftChars="400"/>
    </w:pPr>
  </w:style>
  <w:style w:type="paragraph" w:styleId="36">
    <w:name w:val="Date"/>
    <w:basedOn w:val="1"/>
    <w:next w:val="1"/>
    <w:link w:val="97"/>
    <w:qFormat/>
    <w:uiPriority w:val="0"/>
    <w:rPr>
      <w:kern w:val="0"/>
      <w:szCs w:val="20"/>
    </w:rPr>
  </w:style>
  <w:style w:type="paragraph" w:styleId="37">
    <w:name w:val="Body Text Indent 2"/>
    <w:basedOn w:val="1"/>
    <w:link w:val="98"/>
    <w:qFormat/>
    <w:uiPriority w:val="99"/>
    <w:pPr>
      <w:spacing w:after="120" w:line="480" w:lineRule="auto"/>
      <w:ind w:left="420" w:leftChars="200"/>
    </w:pPr>
    <w:rPr>
      <w:kern w:val="0"/>
      <w:sz w:val="20"/>
    </w:rPr>
  </w:style>
  <w:style w:type="paragraph" w:styleId="38">
    <w:name w:val="endnote text"/>
    <w:basedOn w:val="1"/>
    <w:link w:val="99"/>
    <w:qFormat/>
    <w:uiPriority w:val="0"/>
    <w:pPr>
      <w:widowControl/>
      <w:tabs>
        <w:tab w:val="left" w:pos="187"/>
      </w:tabs>
      <w:spacing w:after="120" w:line="220" w:lineRule="exact"/>
      <w:ind w:left="187" w:hanging="187"/>
      <w:jc w:val="left"/>
    </w:pPr>
    <w:rPr>
      <w:rFonts w:ascii="Arial" w:hAnsi="Arial" w:eastAsia="MS Mincho"/>
      <w:kern w:val="0"/>
      <w:sz w:val="18"/>
      <w:szCs w:val="20"/>
      <w:lang w:val="en-GB" w:eastAsia="ja-JP"/>
    </w:rPr>
  </w:style>
  <w:style w:type="paragraph" w:styleId="39">
    <w:name w:val="Balloon Text"/>
    <w:basedOn w:val="1"/>
    <w:link w:val="100"/>
    <w:qFormat/>
    <w:uiPriority w:val="0"/>
    <w:rPr>
      <w:kern w:val="0"/>
      <w:sz w:val="18"/>
      <w:szCs w:val="18"/>
    </w:rPr>
  </w:style>
  <w:style w:type="paragraph" w:styleId="40">
    <w:name w:val="footer"/>
    <w:basedOn w:val="1"/>
    <w:link w:val="101"/>
    <w:qFormat/>
    <w:uiPriority w:val="99"/>
    <w:pPr>
      <w:tabs>
        <w:tab w:val="center" w:pos="4153"/>
        <w:tab w:val="right" w:pos="8306"/>
      </w:tabs>
      <w:snapToGrid w:val="0"/>
      <w:jc w:val="left"/>
    </w:pPr>
    <w:rPr>
      <w:kern w:val="0"/>
      <w:sz w:val="18"/>
      <w:szCs w:val="18"/>
    </w:rPr>
  </w:style>
  <w:style w:type="paragraph" w:styleId="41">
    <w:name w:val="header"/>
    <w:basedOn w:val="1"/>
    <w:link w:val="102"/>
    <w:qFormat/>
    <w:uiPriority w:val="0"/>
    <w:pPr>
      <w:pBdr>
        <w:bottom w:val="single" w:color="auto" w:sz="6" w:space="1"/>
      </w:pBdr>
      <w:tabs>
        <w:tab w:val="center" w:pos="4153"/>
        <w:tab w:val="right" w:pos="8306"/>
      </w:tabs>
      <w:snapToGrid w:val="0"/>
      <w:jc w:val="center"/>
    </w:pPr>
    <w:rPr>
      <w:kern w:val="0"/>
      <w:sz w:val="18"/>
      <w:szCs w:val="18"/>
    </w:rPr>
  </w:style>
  <w:style w:type="paragraph" w:styleId="42">
    <w:name w:val="Signature"/>
    <w:basedOn w:val="1"/>
    <w:link w:val="103"/>
    <w:qFormat/>
    <w:uiPriority w:val="0"/>
    <w:pPr>
      <w:ind w:left="100" w:leftChars="2100"/>
    </w:pPr>
  </w:style>
  <w:style w:type="paragraph" w:styleId="43">
    <w:name w:val="toc 1"/>
    <w:basedOn w:val="1"/>
    <w:next w:val="1"/>
    <w:qFormat/>
    <w:uiPriority w:val="39"/>
    <w:pPr>
      <w:jc w:val="left"/>
    </w:pPr>
    <w:rPr>
      <w:rFonts w:ascii="Cambria" w:hAnsi="Cambria"/>
      <w:b/>
      <w:bCs/>
      <w:caps/>
    </w:rPr>
  </w:style>
  <w:style w:type="paragraph" w:styleId="44">
    <w:name w:val="toc 4"/>
    <w:basedOn w:val="1"/>
    <w:next w:val="1"/>
    <w:qFormat/>
    <w:uiPriority w:val="39"/>
    <w:pPr>
      <w:ind w:left="480"/>
      <w:jc w:val="left"/>
    </w:pPr>
    <w:rPr>
      <w:rFonts w:ascii="Calibri" w:hAnsi="Calibri"/>
      <w:sz w:val="20"/>
      <w:szCs w:val="20"/>
    </w:rPr>
  </w:style>
  <w:style w:type="paragraph" w:styleId="45">
    <w:name w:val="index heading"/>
    <w:basedOn w:val="1"/>
    <w:next w:val="46"/>
    <w:qFormat/>
    <w:uiPriority w:val="0"/>
  </w:style>
  <w:style w:type="paragraph" w:styleId="46">
    <w:name w:val="index 1"/>
    <w:basedOn w:val="1"/>
    <w:next w:val="1"/>
    <w:qFormat/>
    <w:uiPriority w:val="0"/>
    <w:pPr>
      <w:spacing w:line="220" w:lineRule="exact"/>
      <w:jc w:val="center"/>
    </w:pPr>
    <w:rPr>
      <w:rFonts w:ascii="仿宋_GB2312" w:eastAsia="仿宋_GB2312"/>
      <w:szCs w:val="21"/>
    </w:rPr>
  </w:style>
  <w:style w:type="paragraph" w:styleId="47">
    <w:name w:val="Subtitle"/>
    <w:basedOn w:val="1"/>
    <w:next w:val="1"/>
    <w:link w:val="104"/>
    <w:qFormat/>
    <w:uiPriority w:val="0"/>
    <w:pPr>
      <w:spacing w:before="240" w:after="60" w:line="312" w:lineRule="auto"/>
      <w:jc w:val="center"/>
      <w:outlineLvl w:val="1"/>
    </w:pPr>
    <w:rPr>
      <w:rFonts w:ascii="Cambria" w:hAnsi="Cambria"/>
      <w:b/>
      <w:bCs/>
      <w:kern w:val="28"/>
      <w:sz w:val="32"/>
      <w:szCs w:val="32"/>
    </w:rPr>
  </w:style>
  <w:style w:type="paragraph" w:styleId="48">
    <w:name w:val="List"/>
    <w:basedOn w:val="1"/>
    <w:next w:val="1"/>
    <w:qFormat/>
    <w:uiPriority w:val="0"/>
    <w:pPr>
      <w:snapToGrid w:val="0"/>
    </w:pPr>
  </w:style>
  <w:style w:type="paragraph" w:styleId="49">
    <w:name w:val="toc 6"/>
    <w:basedOn w:val="1"/>
    <w:next w:val="1"/>
    <w:qFormat/>
    <w:uiPriority w:val="39"/>
    <w:pPr>
      <w:ind w:left="960"/>
      <w:jc w:val="left"/>
    </w:pPr>
    <w:rPr>
      <w:rFonts w:ascii="Calibri" w:hAnsi="Calibri"/>
      <w:sz w:val="20"/>
      <w:szCs w:val="20"/>
    </w:rPr>
  </w:style>
  <w:style w:type="paragraph" w:styleId="50">
    <w:name w:val="Body Text Indent 3"/>
    <w:basedOn w:val="1"/>
    <w:link w:val="105"/>
    <w:qFormat/>
    <w:uiPriority w:val="0"/>
    <w:pPr>
      <w:spacing w:after="120"/>
      <w:ind w:left="420" w:leftChars="200"/>
    </w:pPr>
    <w:rPr>
      <w:kern w:val="0"/>
      <w:sz w:val="16"/>
      <w:szCs w:val="16"/>
    </w:rPr>
  </w:style>
  <w:style w:type="paragraph" w:styleId="51">
    <w:name w:val="index 7"/>
    <w:basedOn w:val="1"/>
    <w:next w:val="1"/>
    <w:qFormat/>
    <w:uiPriority w:val="0"/>
    <w:pPr>
      <w:ind w:left="1200" w:leftChars="1200"/>
    </w:pPr>
  </w:style>
  <w:style w:type="paragraph" w:styleId="52">
    <w:name w:val="index 9"/>
    <w:basedOn w:val="1"/>
    <w:next w:val="1"/>
    <w:qFormat/>
    <w:uiPriority w:val="0"/>
    <w:pPr>
      <w:ind w:left="1600" w:leftChars="1600"/>
    </w:pPr>
  </w:style>
  <w:style w:type="paragraph" w:styleId="53">
    <w:name w:val="toc 2"/>
    <w:basedOn w:val="1"/>
    <w:next w:val="1"/>
    <w:qFormat/>
    <w:uiPriority w:val="39"/>
    <w:pPr>
      <w:tabs>
        <w:tab w:val="right" w:leader="dot" w:pos="9060"/>
      </w:tabs>
      <w:ind w:firstLine="200" w:firstLineChars="200"/>
      <w:jc w:val="left"/>
    </w:pPr>
    <w:rPr>
      <w:rFonts w:ascii="Calibri" w:hAnsi="Calibri"/>
      <w:bCs/>
      <w:szCs w:val="20"/>
    </w:rPr>
  </w:style>
  <w:style w:type="paragraph" w:styleId="54">
    <w:name w:val="toc 9"/>
    <w:basedOn w:val="1"/>
    <w:next w:val="1"/>
    <w:qFormat/>
    <w:uiPriority w:val="39"/>
    <w:pPr>
      <w:ind w:left="1680"/>
      <w:jc w:val="left"/>
    </w:pPr>
    <w:rPr>
      <w:rFonts w:ascii="Calibri" w:hAnsi="Calibri"/>
      <w:sz w:val="20"/>
      <w:szCs w:val="20"/>
    </w:rPr>
  </w:style>
  <w:style w:type="paragraph" w:styleId="55">
    <w:name w:val="Body Text 2"/>
    <w:basedOn w:val="1"/>
    <w:link w:val="106"/>
    <w:qFormat/>
    <w:uiPriority w:val="99"/>
    <w:pPr>
      <w:spacing w:after="120" w:line="480" w:lineRule="auto"/>
    </w:pPr>
    <w:rPr>
      <w:kern w:val="0"/>
      <w:sz w:val="20"/>
    </w:rPr>
  </w:style>
  <w:style w:type="paragraph" w:styleId="56">
    <w:name w:val="HTML Preformatted"/>
    <w:basedOn w:val="1"/>
    <w:link w:val="10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rPr>
  </w:style>
  <w:style w:type="paragraph" w:styleId="57">
    <w:name w:val="Normal (Web)"/>
    <w:basedOn w:val="1"/>
    <w:qFormat/>
    <w:uiPriority w:val="0"/>
    <w:pPr>
      <w:widowControl/>
      <w:spacing w:before="100" w:beforeAutospacing="1" w:after="100" w:afterAutospacing="1"/>
      <w:jc w:val="left"/>
    </w:pPr>
    <w:rPr>
      <w:rFonts w:hint="eastAsia" w:ascii="宋体" w:hAnsi="宋体"/>
      <w:kern w:val="0"/>
    </w:rPr>
  </w:style>
  <w:style w:type="paragraph" w:styleId="58">
    <w:name w:val="index 2"/>
    <w:basedOn w:val="1"/>
    <w:next w:val="1"/>
    <w:qFormat/>
    <w:uiPriority w:val="0"/>
    <w:pPr>
      <w:ind w:left="200" w:leftChars="200"/>
    </w:pPr>
  </w:style>
  <w:style w:type="paragraph" w:styleId="59">
    <w:name w:val="Title"/>
    <w:basedOn w:val="1"/>
    <w:link w:val="108"/>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60">
    <w:name w:val="annotation subject"/>
    <w:basedOn w:val="23"/>
    <w:next w:val="23"/>
    <w:link w:val="109"/>
    <w:qFormat/>
    <w:uiPriority w:val="0"/>
    <w:rPr>
      <w:b/>
      <w:bCs/>
    </w:rPr>
  </w:style>
  <w:style w:type="paragraph" w:styleId="61">
    <w:name w:val="Body Text First Indent"/>
    <w:basedOn w:val="27"/>
    <w:link w:val="110"/>
    <w:qFormat/>
    <w:uiPriority w:val="0"/>
    <w:pPr>
      <w:spacing w:after="0"/>
      <w:ind w:firstLine="200" w:firstLineChars="200"/>
    </w:pPr>
    <w:rPr>
      <w:rFonts w:ascii="Times" w:hAnsi="Times"/>
      <w:kern w:val="28"/>
      <w:sz w:val="28"/>
    </w:rPr>
  </w:style>
  <w:style w:type="paragraph" w:styleId="62">
    <w:name w:val="Body Text First Indent 2"/>
    <w:basedOn w:val="28"/>
    <w:qFormat/>
    <w:uiPriority w:val="0"/>
    <w:pPr>
      <w:ind w:left="0" w:leftChars="0" w:firstLine="960" w:firstLineChars="200"/>
    </w:pPr>
    <w:rPr>
      <w:sz w:val="24"/>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6">
    <w:name w:val="Strong"/>
    <w:qFormat/>
    <w:uiPriority w:val="0"/>
    <w:rPr>
      <w:b/>
      <w:bCs/>
    </w:rPr>
  </w:style>
  <w:style w:type="character" w:styleId="67">
    <w:name w:val="page number"/>
    <w:qFormat/>
    <w:uiPriority w:val="0"/>
  </w:style>
  <w:style w:type="character" w:styleId="68">
    <w:name w:val="FollowedHyperlink"/>
    <w:qFormat/>
    <w:uiPriority w:val="0"/>
    <w:rPr>
      <w:color w:val="000000"/>
      <w:u w:val="none"/>
    </w:rPr>
  </w:style>
  <w:style w:type="character" w:styleId="69">
    <w:name w:val="Emphasis"/>
    <w:qFormat/>
    <w:uiPriority w:val="0"/>
    <w:rPr>
      <w:i/>
      <w:iCs/>
    </w:rPr>
  </w:style>
  <w:style w:type="character" w:styleId="70">
    <w:name w:val="HTML Definition"/>
    <w:qFormat/>
    <w:uiPriority w:val="0"/>
    <w:rPr>
      <w:i/>
      <w:iCs/>
      <w:shd w:val="clear" w:color="auto" w:fill="F0AD4E"/>
    </w:rPr>
  </w:style>
  <w:style w:type="character" w:styleId="71">
    <w:name w:val="Hyperlink"/>
    <w:qFormat/>
    <w:uiPriority w:val="99"/>
    <w:rPr>
      <w:color w:val="000000"/>
      <w:u w:val="none"/>
    </w:rPr>
  </w:style>
  <w:style w:type="character" w:styleId="72">
    <w:name w:val="HTML Code"/>
    <w:qFormat/>
    <w:uiPriority w:val="0"/>
    <w:rPr>
      <w:rFonts w:hint="default" w:ascii="Consolas" w:hAnsi="Consolas" w:eastAsia="Consolas" w:cs="Consolas"/>
      <w:color w:val="C7254E"/>
      <w:sz w:val="21"/>
      <w:szCs w:val="21"/>
      <w:bdr w:val="single" w:color="E1E1E1" w:sz="6" w:space="0"/>
      <w:shd w:val="clear" w:color="auto" w:fill="F9F2F4"/>
    </w:rPr>
  </w:style>
  <w:style w:type="character" w:styleId="73">
    <w:name w:val="annotation reference"/>
    <w:qFormat/>
    <w:uiPriority w:val="0"/>
    <w:rPr>
      <w:sz w:val="21"/>
      <w:szCs w:val="21"/>
    </w:rPr>
  </w:style>
  <w:style w:type="character" w:styleId="74">
    <w:name w:val="footnote reference"/>
    <w:qFormat/>
    <w:uiPriority w:val="0"/>
    <w:rPr>
      <w:rFonts w:cs="Times New Roman"/>
      <w:vertAlign w:val="superscript"/>
    </w:rPr>
  </w:style>
  <w:style w:type="character" w:styleId="75">
    <w:name w:val="HTML Keyboard"/>
    <w:qFormat/>
    <w:uiPriority w:val="0"/>
    <w:rPr>
      <w:rFonts w:hint="default" w:ascii="Consolas" w:hAnsi="Consolas" w:eastAsia="Consolas" w:cs="Consolas"/>
      <w:color w:val="FFFFFF"/>
      <w:sz w:val="21"/>
      <w:szCs w:val="21"/>
      <w:shd w:val="clear" w:color="auto" w:fill="333333"/>
    </w:rPr>
  </w:style>
  <w:style w:type="character" w:styleId="76">
    <w:name w:val="HTML Sample"/>
    <w:qFormat/>
    <w:uiPriority w:val="0"/>
    <w:rPr>
      <w:rFonts w:ascii="Consolas" w:hAnsi="Consolas" w:eastAsia="Consolas" w:cs="Consolas"/>
      <w:sz w:val="21"/>
      <w:szCs w:val="21"/>
    </w:rPr>
  </w:style>
  <w:style w:type="character" w:customStyle="1" w:styleId="77">
    <w:name w:val="标题 2 Char"/>
    <w:link w:val="5"/>
    <w:qFormat/>
    <w:uiPriority w:val="0"/>
    <w:rPr>
      <w:rFonts w:ascii="Arial" w:hAnsi="Arial"/>
      <w:b/>
      <w:bCs/>
      <w:sz w:val="24"/>
      <w:szCs w:val="32"/>
    </w:rPr>
  </w:style>
  <w:style w:type="paragraph" w:customStyle="1" w:styleId="78">
    <w:name w:val="正文首行缩进 21"/>
    <w:basedOn w:val="79"/>
    <w:qFormat/>
    <w:uiPriority w:val="0"/>
    <w:pPr>
      <w:ind w:firstLine="420" w:firstLineChars="200"/>
    </w:pPr>
  </w:style>
  <w:style w:type="paragraph" w:customStyle="1" w:styleId="79">
    <w:name w:val="正文文本缩进1"/>
    <w:basedOn w:val="1"/>
    <w:qFormat/>
    <w:uiPriority w:val="0"/>
    <w:pPr>
      <w:adjustRightInd w:val="0"/>
      <w:spacing w:line="360" w:lineRule="atLeast"/>
      <w:ind w:left="280" w:firstLine="560"/>
      <w:jc w:val="left"/>
      <w:textAlignment w:val="baseline"/>
    </w:pPr>
    <w:rPr>
      <w:kern w:val="0"/>
    </w:rPr>
  </w:style>
  <w:style w:type="character" w:customStyle="1" w:styleId="80">
    <w:name w:val="正文文本 Char2"/>
    <w:link w:val="27"/>
    <w:qFormat/>
    <w:uiPriority w:val="99"/>
    <w:rPr>
      <w:rFonts w:ascii="Times New Roman" w:hAnsi="Times New Roman" w:eastAsia="宋体" w:cs="Times New Roman"/>
      <w:szCs w:val="24"/>
    </w:rPr>
  </w:style>
  <w:style w:type="character" w:customStyle="1" w:styleId="81">
    <w:name w:val="标题 1 Char"/>
    <w:link w:val="4"/>
    <w:qFormat/>
    <w:uiPriority w:val="0"/>
    <w:rPr>
      <w:rFonts w:ascii="Times New Roman" w:hAnsi="Times New Roman"/>
      <w:b/>
      <w:bCs/>
      <w:kern w:val="44"/>
      <w:sz w:val="44"/>
      <w:szCs w:val="44"/>
    </w:rPr>
  </w:style>
  <w:style w:type="character" w:customStyle="1" w:styleId="82">
    <w:name w:val="标题 3 Char"/>
    <w:link w:val="6"/>
    <w:qFormat/>
    <w:uiPriority w:val="9"/>
    <w:rPr>
      <w:rFonts w:ascii="Times New Roman" w:hAnsi="Times New Roman" w:eastAsia="宋体" w:cs="Times New Roman"/>
      <w:b/>
      <w:bCs/>
      <w:sz w:val="32"/>
      <w:szCs w:val="32"/>
    </w:rPr>
  </w:style>
  <w:style w:type="character" w:customStyle="1" w:styleId="83">
    <w:name w:val="标题 4 Char"/>
    <w:link w:val="7"/>
    <w:qFormat/>
    <w:uiPriority w:val="0"/>
    <w:rPr>
      <w:rFonts w:ascii="Arial" w:hAnsi="Arial" w:eastAsia="黑体" w:cs="Times New Roman"/>
      <w:b/>
      <w:bCs/>
      <w:sz w:val="28"/>
      <w:szCs w:val="28"/>
    </w:rPr>
  </w:style>
  <w:style w:type="character" w:customStyle="1" w:styleId="84">
    <w:name w:val="标题 5 Char"/>
    <w:link w:val="8"/>
    <w:qFormat/>
    <w:uiPriority w:val="0"/>
    <w:rPr>
      <w:rFonts w:ascii="Times New Roman" w:hAnsi="Times New Roman" w:eastAsia="宋体" w:cs="Times New Roman"/>
      <w:b/>
      <w:kern w:val="0"/>
      <w:sz w:val="28"/>
      <w:szCs w:val="20"/>
    </w:rPr>
  </w:style>
  <w:style w:type="character" w:customStyle="1" w:styleId="85">
    <w:name w:val="标题 6 Char"/>
    <w:link w:val="9"/>
    <w:qFormat/>
    <w:uiPriority w:val="0"/>
    <w:rPr>
      <w:rFonts w:ascii="Arial" w:hAnsi="Arial" w:eastAsia="黑体" w:cs="Times New Roman"/>
      <w:b/>
      <w:bCs/>
      <w:kern w:val="0"/>
      <w:sz w:val="24"/>
      <w:szCs w:val="24"/>
    </w:rPr>
  </w:style>
  <w:style w:type="character" w:customStyle="1" w:styleId="86">
    <w:name w:val="标题 7 Char"/>
    <w:link w:val="10"/>
    <w:qFormat/>
    <w:uiPriority w:val="0"/>
    <w:rPr>
      <w:rFonts w:ascii="Times New Roman" w:hAnsi="Times New Roman" w:eastAsia="宋体" w:cs="Times New Roman"/>
      <w:b/>
      <w:bCs/>
      <w:kern w:val="0"/>
      <w:sz w:val="24"/>
      <w:szCs w:val="24"/>
    </w:rPr>
  </w:style>
  <w:style w:type="character" w:customStyle="1" w:styleId="87">
    <w:name w:val="标题 8 Char"/>
    <w:link w:val="11"/>
    <w:qFormat/>
    <w:uiPriority w:val="0"/>
    <w:rPr>
      <w:rFonts w:ascii="Arial" w:hAnsi="Arial" w:eastAsia="黑体" w:cs="Times New Roman"/>
      <w:kern w:val="0"/>
      <w:sz w:val="24"/>
      <w:szCs w:val="24"/>
    </w:rPr>
  </w:style>
  <w:style w:type="character" w:customStyle="1" w:styleId="88">
    <w:name w:val="标题 9 Char"/>
    <w:link w:val="12"/>
    <w:qFormat/>
    <w:uiPriority w:val="0"/>
    <w:rPr>
      <w:rFonts w:ascii="Arial" w:hAnsi="Arial" w:eastAsia="黑体" w:cs="Times New Roman"/>
      <w:kern w:val="0"/>
      <w:szCs w:val="21"/>
    </w:rPr>
  </w:style>
  <w:style w:type="character" w:customStyle="1" w:styleId="89">
    <w:name w:val="注释标题 Char"/>
    <w:link w:val="14"/>
    <w:qFormat/>
    <w:uiPriority w:val="0"/>
    <w:rPr>
      <w:rFonts w:ascii="Times New Roman" w:hAnsi="Times New Roman" w:eastAsia="宋体" w:cs="Times New Roman"/>
      <w:szCs w:val="24"/>
    </w:rPr>
  </w:style>
  <w:style w:type="character" w:customStyle="1" w:styleId="90">
    <w:name w:val="正文缩进 Char"/>
    <w:link w:val="17"/>
    <w:qFormat/>
    <w:uiPriority w:val="0"/>
    <w:rPr>
      <w:rFonts w:eastAsia="宋体"/>
      <w:kern w:val="2"/>
      <w:sz w:val="21"/>
      <w:szCs w:val="24"/>
      <w:lang w:val="en-US" w:eastAsia="zh-CN" w:bidi="ar-SA"/>
    </w:rPr>
  </w:style>
  <w:style w:type="character" w:customStyle="1" w:styleId="91">
    <w:name w:val="文档结构图 Char"/>
    <w:link w:val="21"/>
    <w:qFormat/>
    <w:uiPriority w:val="99"/>
    <w:rPr>
      <w:rFonts w:ascii="Times New Roman" w:hAnsi="Times New Roman" w:eastAsia="宋体" w:cs="Times New Roman"/>
      <w:szCs w:val="24"/>
      <w:shd w:val="clear" w:color="auto" w:fill="000080"/>
    </w:rPr>
  </w:style>
  <w:style w:type="character" w:customStyle="1" w:styleId="92">
    <w:name w:val="批注文字 Char"/>
    <w:link w:val="23"/>
    <w:qFormat/>
    <w:uiPriority w:val="0"/>
    <w:rPr>
      <w:rFonts w:ascii="Times New Roman" w:hAnsi="Times New Roman" w:eastAsia="宋体" w:cs="Times New Roman"/>
      <w:szCs w:val="24"/>
    </w:rPr>
  </w:style>
  <w:style w:type="character" w:customStyle="1" w:styleId="93">
    <w:name w:val="称呼 Char"/>
    <w:link w:val="25"/>
    <w:qFormat/>
    <w:uiPriority w:val="0"/>
    <w:rPr>
      <w:rFonts w:ascii="宋体" w:hAnsi="Times New Roman" w:eastAsia="仿宋_GB2312" w:cs="Times New Roman"/>
      <w:szCs w:val="20"/>
    </w:rPr>
  </w:style>
  <w:style w:type="character" w:customStyle="1" w:styleId="94">
    <w:name w:val="正文文本 3 Char"/>
    <w:link w:val="26"/>
    <w:qFormat/>
    <w:uiPriority w:val="99"/>
    <w:rPr>
      <w:rFonts w:ascii="宋体" w:hAnsi="Times New Roman" w:eastAsia="宋体" w:cs="Times New Roman"/>
      <w:sz w:val="24"/>
      <w:szCs w:val="20"/>
    </w:rPr>
  </w:style>
  <w:style w:type="character" w:customStyle="1" w:styleId="95">
    <w:name w:val="正文文本缩进 Char"/>
    <w:link w:val="28"/>
    <w:qFormat/>
    <w:uiPriority w:val="0"/>
    <w:rPr>
      <w:rFonts w:ascii="Times New Roman" w:hAnsi="Times New Roman" w:eastAsia="宋体" w:cs="Times New Roman"/>
      <w:szCs w:val="24"/>
    </w:rPr>
  </w:style>
  <w:style w:type="character" w:customStyle="1" w:styleId="96">
    <w:name w:val="纯文本 Char"/>
    <w:link w:val="2"/>
    <w:qFormat/>
    <w:uiPriority w:val="0"/>
    <w:rPr>
      <w:rFonts w:ascii="宋体" w:hAnsi="Courier New" w:eastAsia="宋体" w:cs="Times New Roman"/>
      <w:szCs w:val="21"/>
    </w:rPr>
  </w:style>
  <w:style w:type="character" w:customStyle="1" w:styleId="97">
    <w:name w:val="日期 Char"/>
    <w:link w:val="36"/>
    <w:qFormat/>
    <w:uiPriority w:val="0"/>
    <w:rPr>
      <w:rFonts w:ascii="Times New Roman" w:hAnsi="Times New Roman" w:eastAsia="宋体" w:cs="Times New Roman"/>
      <w:sz w:val="24"/>
      <w:szCs w:val="20"/>
    </w:rPr>
  </w:style>
  <w:style w:type="character" w:customStyle="1" w:styleId="98">
    <w:name w:val="正文文本缩进 2 Char"/>
    <w:link w:val="37"/>
    <w:qFormat/>
    <w:uiPriority w:val="99"/>
    <w:rPr>
      <w:rFonts w:ascii="Times New Roman" w:hAnsi="Times New Roman" w:eastAsia="宋体" w:cs="Times New Roman"/>
      <w:szCs w:val="24"/>
    </w:rPr>
  </w:style>
  <w:style w:type="character" w:customStyle="1" w:styleId="99">
    <w:name w:val="尾注文本 Char"/>
    <w:link w:val="38"/>
    <w:qFormat/>
    <w:uiPriority w:val="0"/>
    <w:rPr>
      <w:rFonts w:ascii="Arial" w:hAnsi="Arial" w:eastAsia="MS Mincho"/>
      <w:sz w:val="18"/>
      <w:lang w:val="en-GB" w:eastAsia="ja-JP"/>
    </w:rPr>
  </w:style>
  <w:style w:type="character" w:customStyle="1" w:styleId="100">
    <w:name w:val="批注框文本 Char"/>
    <w:link w:val="39"/>
    <w:qFormat/>
    <w:uiPriority w:val="0"/>
    <w:rPr>
      <w:rFonts w:ascii="Times New Roman" w:hAnsi="Times New Roman" w:eastAsia="宋体" w:cs="Times New Roman"/>
      <w:sz w:val="18"/>
      <w:szCs w:val="18"/>
    </w:rPr>
  </w:style>
  <w:style w:type="character" w:customStyle="1" w:styleId="101">
    <w:name w:val="页脚 Char"/>
    <w:link w:val="40"/>
    <w:qFormat/>
    <w:uiPriority w:val="99"/>
    <w:rPr>
      <w:rFonts w:ascii="Times New Roman" w:hAnsi="Times New Roman" w:eastAsia="宋体" w:cs="Times New Roman"/>
      <w:sz w:val="18"/>
      <w:szCs w:val="18"/>
    </w:rPr>
  </w:style>
  <w:style w:type="character" w:customStyle="1" w:styleId="102">
    <w:name w:val="页眉 Char"/>
    <w:link w:val="41"/>
    <w:qFormat/>
    <w:uiPriority w:val="0"/>
    <w:rPr>
      <w:rFonts w:ascii="Times New Roman" w:hAnsi="Times New Roman" w:eastAsia="宋体" w:cs="Times New Roman"/>
      <w:sz w:val="18"/>
      <w:szCs w:val="18"/>
    </w:rPr>
  </w:style>
  <w:style w:type="character" w:customStyle="1" w:styleId="103">
    <w:name w:val="签名 Char"/>
    <w:link w:val="42"/>
    <w:qFormat/>
    <w:uiPriority w:val="0"/>
    <w:rPr>
      <w:rFonts w:ascii="Times New Roman" w:hAnsi="Times New Roman"/>
      <w:kern w:val="2"/>
      <w:sz w:val="24"/>
      <w:szCs w:val="24"/>
    </w:rPr>
  </w:style>
  <w:style w:type="character" w:customStyle="1" w:styleId="104">
    <w:name w:val="副标题 Char"/>
    <w:link w:val="47"/>
    <w:qFormat/>
    <w:uiPriority w:val="0"/>
    <w:rPr>
      <w:rFonts w:ascii="Cambria" w:hAnsi="Cambria"/>
      <w:b/>
      <w:bCs/>
      <w:kern w:val="28"/>
      <w:sz w:val="32"/>
      <w:szCs w:val="32"/>
    </w:rPr>
  </w:style>
  <w:style w:type="character" w:customStyle="1" w:styleId="105">
    <w:name w:val="正文文本缩进 3 Char"/>
    <w:link w:val="50"/>
    <w:qFormat/>
    <w:uiPriority w:val="0"/>
    <w:rPr>
      <w:rFonts w:ascii="Times New Roman" w:hAnsi="Times New Roman" w:eastAsia="宋体" w:cs="Times New Roman"/>
      <w:sz w:val="16"/>
      <w:szCs w:val="16"/>
    </w:rPr>
  </w:style>
  <w:style w:type="character" w:customStyle="1" w:styleId="106">
    <w:name w:val="正文文本 2 Char"/>
    <w:link w:val="55"/>
    <w:qFormat/>
    <w:uiPriority w:val="99"/>
    <w:rPr>
      <w:rFonts w:ascii="Times New Roman" w:hAnsi="Times New Roman" w:eastAsia="宋体" w:cs="Times New Roman"/>
      <w:szCs w:val="24"/>
    </w:rPr>
  </w:style>
  <w:style w:type="character" w:customStyle="1" w:styleId="107">
    <w:name w:val="HTML 预设格式 Char"/>
    <w:link w:val="56"/>
    <w:qFormat/>
    <w:uiPriority w:val="99"/>
    <w:rPr>
      <w:rFonts w:ascii="Arial" w:hAnsi="Arial" w:cs="Arial"/>
      <w:sz w:val="24"/>
      <w:szCs w:val="24"/>
    </w:rPr>
  </w:style>
  <w:style w:type="character" w:customStyle="1" w:styleId="108">
    <w:name w:val="标题 Char"/>
    <w:link w:val="59"/>
    <w:qFormat/>
    <w:uiPriority w:val="0"/>
    <w:rPr>
      <w:rFonts w:ascii="Arial" w:hAnsi="Arial" w:eastAsia="宋体" w:cs="Times New Roman"/>
      <w:b/>
      <w:kern w:val="0"/>
      <w:sz w:val="32"/>
      <w:szCs w:val="20"/>
    </w:rPr>
  </w:style>
  <w:style w:type="character" w:customStyle="1" w:styleId="109">
    <w:name w:val="批注主题 Char"/>
    <w:link w:val="60"/>
    <w:qFormat/>
    <w:uiPriority w:val="0"/>
    <w:rPr>
      <w:rFonts w:ascii="Times New Roman" w:hAnsi="Times New Roman" w:eastAsia="宋体" w:cs="Times New Roman"/>
      <w:b/>
      <w:bCs/>
      <w:szCs w:val="24"/>
    </w:rPr>
  </w:style>
  <w:style w:type="character" w:customStyle="1" w:styleId="110">
    <w:name w:val="正文首行缩进 Char"/>
    <w:link w:val="61"/>
    <w:qFormat/>
    <w:uiPriority w:val="0"/>
    <w:rPr>
      <w:rFonts w:ascii="Times" w:hAnsi="Times" w:eastAsia="宋体"/>
      <w:kern w:val="28"/>
      <w:sz w:val="28"/>
      <w:szCs w:val="24"/>
      <w:lang w:val="en-US" w:eastAsia="zh-CN" w:bidi="ar-SA"/>
    </w:rPr>
  </w:style>
  <w:style w:type="character" w:customStyle="1" w:styleId="111">
    <w:name w:val="hps"/>
    <w:qFormat/>
    <w:uiPriority w:val="0"/>
  </w:style>
  <w:style w:type="character" w:customStyle="1" w:styleId="112">
    <w:name w:val="Balloon Text Char"/>
    <w:qFormat/>
    <w:uiPriority w:val="0"/>
    <w:rPr>
      <w:rFonts w:eastAsia="宋体"/>
      <w:kern w:val="2"/>
      <w:sz w:val="18"/>
      <w:szCs w:val="18"/>
      <w:lang w:val="en-US" w:eastAsia="zh-CN" w:bidi="ar-SA"/>
    </w:rPr>
  </w:style>
  <w:style w:type="character" w:customStyle="1" w:styleId="113">
    <w:name w:val="fontstyle01"/>
    <w:qFormat/>
    <w:uiPriority w:val="0"/>
    <w:rPr>
      <w:rFonts w:hint="eastAsia" w:ascii="宋体" w:hAnsi="宋体" w:eastAsia="宋体"/>
      <w:color w:val="000000"/>
      <w:sz w:val="22"/>
      <w:szCs w:val="22"/>
    </w:rPr>
  </w:style>
  <w:style w:type="character" w:customStyle="1" w:styleId="114">
    <w:name w:val="Footer Char_c5480e4e-8692-4c05-bfb7-504468637c2a"/>
    <w:qFormat/>
    <w:uiPriority w:val="0"/>
    <w:rPr>
      <w:rFonts w:hint="default" w:ascii="Times New Roman" w:hAnsi="Times New Roman" w:cs="Times New Roman"/>
      <w:sz w:val="18"/>
      <w:szCs w:val="18"/>
    </w:rPr>
  </w:style>
  <w:style w:type="character" w:customStyle="1" w:styleId="115">
    <w:name w:val="样式 标题 4 + 黑色 首行缩进:  2 字符 行距: 1.5 倍行距 + 首行缩进:  2 字符 + 首行缩进:  2 字符 Char"/>
    <w:qFormat/>
    <w:uiPriority w:val="0"/>
    <w:rPr>
      <w:rFonts w:eastAsia="宋体" w:cs="宋体"/>
      <w:b/>
      <w:bCs/>
      <w:color w:val="000000"/>
      <w:spacing w:val="10"/>
      <w:kern w:val="2"/>
      <w:sz w:val="28"/>
      <w:lang w:val="en-US" w:eastAsia="zh-CN" w:bidi="ar-SA"/>
    </w:rPr>
  </w:style>
  <w:style w:type="character" w:customStyle="1" w:styleId="116">
    <w:name w:val="书籍标题11"/>
    <w:qFormat/>
    <w:uiPriority w:val="0"/>
    <w:rPr>
      <w:b/>
      <w:bCs/>
      <w:smallCaps/>
      <w:spacing w:val="5"/>
    </w:rPr>
  </w:style>
  <w:style w:type="character" w:customStyle="1" w:styleId="117">
    <w:name w:val="st1"/>
    <w:qFormat/>
    <w:uiPriority w:val="0"/>
  </w:style>
  <w:style w:type="character" w:customStyle="1" w:styleId="118">
    <w:name w:val="Document Map Char2"/>
    <w:qFormat/>
    <w:uiPriority w:val="0"/>
    <w:rPr>
      <w:rFonts w:ascii="Calibri" w:hAnsi="Calibri" w:eastAsia="宋体"/>
      <w:sz w:val="24"/>
      <w:szCs w:val="24"/>
      <w:lang w:val="en-US" w:eastAsia="zh-CN" w:bidi="ar-SA"/>
    </w:rPr>
  </w:style>
  <w:style w:type="character" w:customStyle="1" w:styleId="119">
    <w:name w:val="title26"/>
    <w:qFormat/>
    <w:uiPriority w:val="0"/>
  </w:style>
  <w:style w:type="character" w:customStyle="1" w:styleId="120">
    <w:name w:val="Header Char_3188ae0d-44f3-444e-b248-2f13129d5a8f"/>
    <w:qFormat/>
    <w:uiPriority w:val="0"/>
    <w:rPr>
      <w:rFonts w:hint="default" w:ascii="Times New Roman" w:hAnsi="Times New Roman" w:cs="Times New Roman"/>
      <w:sz w:val="18"/>
      <w:szCs w:val="18"/>
    </w:rPr>
  </w:style>
  <w:style w:type="character" w:customStyle="1" w:styleId="121">
    <w:name w:val="Char Char6"/>
    <w:qFormat/>
    <w:uiPriority w:val="0"/>
    <w:rPr>
      <w:rFonts w:ascii="宋体" w:hAnsi="宋体" w:eastAsia="宋体"/>
      <w:sz w:val="18"/>
      <w:szCs w:val="18"/>
      <w:lang w:bidi="ar-SA"/>
    </w:rPr>
  </w:style>
  <w:style w:type="character" w:customStyle="1" w:styleId="122">
    <w:name w:val="Heading 7 Char_c045cbca-8856-4a0c-b448-db37c6a93e42"/>
    <w:qFormat/>
    <w:uiPriority w:val="0"/>
    <w:rPr>
      <w:rFonts w:eastAsia="宋体"/>
      <w:b/>
      <w:bCs/>
      <w:sz w:val="24"/>
      <w:szCs w:val="24"/>
      <w:lang w:val="en-US" w:eastAsia="zh-CN" w:bidi="ar-SA"/>
    </w:rPr>
  </w:style>
  <w:style w:type="character" w:customStyle="1" w:styleId="123">
    <w:name w:val="Char Char25"/>
    <w:qFormat/>
    <w:uiPriority w:val="0"/>
    <w:rPr>
      <w:rFonts w:ascii="Times New Roman" w:hAnsi="Times New Roman" w:eastAsia="宋体" w:cs="Times New Roman"/>
      <w:b/>
      <w:kern w:val="0"/>
      <w:sz w:val="28"/>
      <w:szCs w:val="20"/>
    </w:rPr>
  </w:style>
  <w:style w:type="character" w:customStyle="1" w:styleId="124">
    <w:name w:val="middle1"/>
    <w:qFormat/>
    <w:uiPriority w:val="0"/>
    <w:rPr>
      <w:rFonts w:hint="default"/>
      <w:spacing w:val="285"/>
      <w:sz w:val="21"/>
      <w:szCs w:val="21"/>
    </w:rPr>
  </w:style>
  <w:style w:type="character" w:customStyle="1" w:styleId="125">
    <w:name w:val="Date Char"/>
    <w:qFormat/>
    <w:uiPriority w:val="0"/>
    <w:rPr>
      <w:rFonts w:eastAsia="宋体"/>
      <w:kern w:val="2"/>
      <w:sz w:val="24"/>
      <w:lang w:val="en-US" w:eastAsia="zh-CN" w:bidi="ar-SA"/>
    </w:rPr>
  </w:style>
  <w:style w:type="character" w:customStyle="1" w:styleId="126">
    <w:name w:val="wg标注 仿宋_GB23121"/>
    <w:qFormat/>
    <w:uiPriority w:val="0"/>
    <w:rPr>
      <w:rFonts w:ascii="仿宋_GB2312" w:hAnsi="仿宋_GB2312" w:eastAsia="仿宋_GB2312"/>
      <w:sz w:val="21"/>
    </w:rPr>
  </w:style>
  <w:style w:type="character" w:customStyle="1" w:styleId="127">
    <w:name w:val="Char Char14"/>
    <w:qFormat/>
    <w:uiPriority w:val="0"/>
    <w:rPr>
      <w:rFonts w:ascii="Arial" w:hAnsi="Arial" w:eastAsia="黑体"/>
      <w:sz w:val="21"/>
      <w:szCs w:val="21"/>
      <w:lang w:val="en-US" w:eastAsia="zh-CN" w:bidi="ar-SA"/>
    </w:rPr>
  </w:style>
  <w:style w:type="character" w:customStyle="1" w:styleId="128">
    <w:name w:val="Char Char18"/>
    <w:qFormat/>
    <w:uiPriority w:val="0"/>
    <w:rPr>
      <w:rFonts w:eastAsia="宋体"/>
      <w:b/>
      <w:sz w:val="28"/>
      <w:lang w:val="en-US" w:eastAsia="zh-CN" w:bidi="ar-SA"/>
    </w:rPr>
  </w:style>
  <w:style w:type="character" w:customStyle="1" w:styleId="129">
    <w:name w:val="Char Char16"/>
    <w:qFormat/>
    <w:uiPriority w:val="0"/>
    <w:rPr>
      <w:rFonts w:eastAsia="宋体"/>
      <w:b/>
      <w:bCs/>
      <w:sz w:val="24"/>
      <w:szCs w:val="24"/>
      <w:lang w:val="en-US" w:eastAsia="zh-CN" w:bidi="ar-SA"/>
    </w:rPr>
  </w:style>
  <w:style w:type="character" w:customStyle="1" w:styleId="130">
    <w:name w:val="Body Text First Indent Char"/>
    <w:qFormat/>
    <w:uiPriority w:val="0"/>
    <w:rPr>
      <w:rFonts w:eastAsia="宋体"/>
      <w:kern w:val="2"/>
      <w:sz w:val="24"/>
      <w:lang w:val="en-US" w:eastAsia="zh-CN"/>
    </w:rPr>
  </w:style>
  <w:style w:type="character" w:customStyle="1" w:styleId="131">
    <w:name w:val="Body Text Indent 3 Char"/>
    <w:qFormat/>
    <w:uiPriority w:val="0"/>
    <w:rPr>
      <w:rFonts w:eastAsia="宋体"/>
      <w:kern w:val="2"/>
      <w:sz w:val="16"/>
      <w:szCs w:val="16"/>
      <w:lang w:val="en-US" w:eastAsia="zh-CN" w:bidi="ar-SA"/>
    </w:rPr>
  </w:style>
  <w:style w:type="character" w:customStyle="1" w:styleId="132">
    <w:name w:val="f241"/>
    <w:qFormat/>
    <w:uiPriority w:val="0"/>
    <w:rPr>
      <w:sz w:val="36"/>
      <w:szCs w:val="36"/>
    </w:rPr>
  </w:style>
  <w:style w:type="character" w:customStyle="1" w:styleId="133">
    <w:name w:val="Char Char15"/>
    <w:qFormat/>
    <w:uiPriority w:val="0"/>
    <w:rPr>
      <w:rFonts w:ascii="Arial" w:hAnsi="Arial" w:eastAsia="黑体"/>
      <w:sz w:val="24"/>
      <w:szCs w:val="24"/>
      <w:lang w:val="en-US" w:eastAsia="zh-CN" w:bidi="ar-SA"/>
    </w:rPr>
  </w:style>
  <w:style w:type="character" w:customStyle="1" w:styleId="134">
    <w:name w:val="合同标题 Char"/>
    <w:qFormat/>
    <w:uiPriority w:val="0"/>
    <w:rPr>
      <w:rFonts w:eastAsia="宋体"/>
      <w:b/>
      <w:kern w:val="44"/>
      <w:sz w:val="44"/>
      <w:lang w:val="en-US" w:eastAsia="zh-CN" w:bidi="ar-SA"/>
    </w:rPr>
  </w:style>
  <w:style w:type="character" w:customStyle="1" w:styleId="135">
    <w:name w:val="Comment Subject Char2"/>
    <w:qFormat/>
    <w:uiPriority w:val="0"/>
    <w:rPr>
      <w:rFonts w:ascii="Calibri" w:hAnsi="Calibri" w:eastAsia="宋体"/>
      <w:b/>
      <w:bCs/>
      <w:sz w:val="24"/>
      <w:szCs w:val="24"/>
      <w:lang w:val="en-US" w:eastAsia="zh-CN" w:bidi="ar-SA"/>
    </w:rPr>
  </w:style>
  <w:style w:type="character" w:customStyle="1" w:styleId="136">
    <w:name w:val="Body Text 3 Char"/>
    <w:qFormat/>
    <w:uiPriority w:val="0"/>
    <w:rPr>
      <w:rFonts w:ascii="宋体" w:eastAsia="宋体"/>
      <w:kern w:val="2"/>
      <w:sz w:val="24"/>
      <w:lang w:val="en-US" w:eastAsia="zh-CN" w:bidi="ar-SA"/>
    </w:rPr>
  </w:style>
  <w:style w:type="character" w:customStyle="1" w:styleId="137">
    <w:name w:val="普通文字 Char Char Char"/>
    <w:qFormat/>
    <w:uiPriority w:val="0"/>
    <w:rPr>
      <w:rFonts w:ascii="宋体" w:hAnsi="Courier New" w:eastAsia="宋体"/>
      <w:kern w:val="2"/>
      <w:sz w:val="21"/>
      <w:szCs w:val="21"/>
      <w:lang w:val="en-US" w:eastAsia="zh-CN" w:bidi="ar-SA"/>
    </w:rPr>
  </w:style>
  <w:style w:type="character" w:customStyle="1" w:styleId="138">
    <w:name w:val="Heading 1 Char_9db036e2-d7da-43d6-821d-166ee39c7d3f"/>
    <w:qFormat/>
    <w:uiPriority w:val="0"/>
    <w:rPr>
      <w:rFonts w:eastAsia="宋体"/>
      <w:b/>
      <w:bCs/>
      <w:kern w:val="44"/>
      <w:sz w:val="44"/>
      <w:szCs w:val="44"/>
      <w:lang w:val="en-US" w:eastAsia="zh-CN" w:bidi="ar-SA"/>
    </w:rPr>
  </w:style>
  <w:style w:type="character" w:customStyle="1" w:styleId="139">
    <w:name w:val="正文文本 Char1"/>
    <w:qFormat/>
    <w:uiPriority w:val="0"/>
    <w:rPr>
      <w:kern w:val="2"/>
      <w:sz w:val="21"/>
      <w:szCs w:val="22"/>
    </w:rPr>
  </w:style>
  <w:style w:type="character" w:customStyle="1" w:styleId="140">
    <w:name w:val="title21"/>
    <w:qFormat/>
    <w:uiPriority w:val="0"/>
  </w:style>
  <w:style w:type="character" w:customStyle="1" w:styleId="141">
    <w:name w:val="日期 Char1"/>
    <w:qFormat/>
    <w:uiPriority w:val="0"/>
    <w:rPr>
      <w:kern w:val="2"/>
      <w:sz w:val="21"/>
      <w:szCs w:val="22"/>
    </w:rPr>
  </w:style>
  <w:style w:type="character" w:customStyle="1" w:styleId="142">
    <w:name w:val="Char Char17"/>
    <w:qFormat/>
    <w:uiPriority w:val="0"/>
    <w:rPr>
      <w:rFonts w:ascii="Arial" w:hAnsi="Arial" w:eastAsia="黑体"/>
      <w:b/>
      <w:bCs/>
      <w:sz w:val="24"/>
      <w:szCs w:val="24"/>
      <w:lang w:val="en-US" w:eastAsia="zh-CN" w:bidi="ar-SA"/>
    </w:rPr>
  </w:style>
  <w:style w:type="character" w:customStyle="1" w:styleId="143">
    <w:name w:val="Body Text Char"/>
    <w:qFormat/>
    <w:uiPriority w:val="0"/>
    <w:rPr>
      <w:rFonts w:eastAsia="宋体"/>
      <w:kern w:val="2"/>
      <w:sz w:val="21"/>
      <w:szCs w:val="24"/>
      <w:lang w:val="en-US" w:eastAsia="zh-CN" w:bidi="ar-SA"/>
    </w:rPr>
  </w:style>
  <w:style w:type="character" w:customStyle="1" w:styleId="144">
    <w:name w:val="Char Char8"/>
    <w:qFormat/>
    <w:uiPriority w:val="0"/>
    <w:rPr>
      <w:rFonts w:ascii="宋体" w:hAnsi="宋体" w:eastAsia="宋体"/>
      <w:sz w:val="16"/>
      <w:szCs w:val="16"/>
      <w:lang w:bidi="ar-SA"/>
    </w:rPr>
  </w:style>
  <w:style w:type="character" w:customStyle="1" w:styleId="145">
    <w:name w:val="Comment Text Char"/>
    <w:qFormat/>
    <w:uiPriority w:val="0"/>
    <w:rPr>
      <w:rFonts w:eastAsia="宋体"/>
      <w:sz w:val="24"/>
    </w:rPr>
  </w:style>
  <w:style w:type="character" w:customStyle="1" w:styleId="146">
    <w:name w:val="Body Text First Indent Char2"/>
    <w:qFormat/>
    <w:uiPriority w:val="0"/>
    <w:rPr>
      <w:rFonts w:ascii="Times" w:hAnsi="Times" w:eastAsia="宋体"/>
      <w:kern w:val="28"/>
      <w:sz w:val="28"/>
      <w:szCs w:val="24"/>
      <w:lang w:val="en-US" w:eastAsia="zh-CN" w:bidi="ar-SA"/>
    </w:rPr>
  </w:style>
  <w:style w:type="character" w:customStyle="1" w:styleId="147">
    <w:name w:val="hover40"/>
    <w:qFormat/>
    <w:uiPriority w:val="0"/>
  </w:style>
  <w:style w:type="character" w:customStyle="1" w:styleId="148">
    <w:name w:val="批注主题 Char1"/>
    <w:qFormat/>
    <w:uiPriority w:val="0"/>
    <w:rPr>
      <w:b/>
      <w:bCs/>
      <w:kern w:val="2"/>
      <w:sz w:val="21"/>
      <w:szCs w:val="22"/>
    </w:rPr>
  </w:style>
  <w:style w:type="character" w:customStyle="1" w:styleId="149">
    <w:name w:val="样式 标题 3 + (中文) 黑体 小四 非加粗 段前: 7.8 磅 段后: 0 磅 行距: 固定值 20 磅 Char"/>
    <w:link w:val="150"/>
    <w:qFormat/>
    <w:uiPriority w:val="0"/>
    <w:rPr>
      <w:rFonts w:ascii="Times New Roman" w:hAnsi="Times New Roman" w:eastAsia="黑体" w:cs="宋体"/>
      <w:b/>
      <w:bCs/>
      <w:sz w:val="24"/>
      <w:szCs w:val="32"/>
      <w:lang w:bidi="ar-SA"/>
    </w:rPr>
  </w:style>
  <w:style w:type="paragraph" w:customStyle="1" w:styleId="150">
    <w:name w:val="样式 标题 3 + (中文) 黑体 小四 非加粗 段前: 7.8 磅 段后: 0 磅 行距: 固定值 20 磅"/>
    <w:basedOn w:val="6"/>
    <w:link w:val="149"/>
    <w:qFormat/>
    <w:uiPriority w:val="0"/>
    <w:pPr>
      <w:spacing w:before="0" w:after="0" w:line="400" w:lineRule="exact"/>
    </w:pPr>
    <w:rPr>
      <w:rFonts w:eastAsia="黑体" w:cs="宋体"/>
      <w:sz w:val="24"/>
    </w:rPr>
  </w:style>
  <w:style w:type="character" w:customStyle="1" w:styleId="151">
    <w:name w:val="Heading 3 Char_201765a5-0f52-44a5-a499-e88edb55ed55"/>
    <w:qFormat/>
    <w:uiPriority w:val="0"/>
    <w:rPr>
      <w:rFonts w:ascii="黑体" w:hAnsi="宋体" w:eastAsia="黑体"/>
      <w:bCs/>
      <w:kern w:val="2"/>
      <w:sz w:val="28"/>
      <w:szCs w:val="28"/>
      <w:lang w:val="en-US" w:eastAsia="zh-CN" w:bidi="ar-SA"/>
    </w:rPr>
  </w:style>
  <w:style w:type="character" w:customStyle="1" w:styleId="152">
    <w:name w:val="占位符文本1"/>
    <w:qFormat/>
    <w:uiPriority w:val="99"/>
    <w:rPr>
      <w:color w:val="808080"/>
    </w:rPr>
  </w:style>
  <w:style w:type="character" w:customStyle="1" w:styleId="153">
    <w:name w:val="Char Char11"/>
    <w:qFormat/>
    <w:uiPriority w:val="0"/>
    <w:rPr>
      <w:rFonts w:ascii="宋体" w:hAnsi="宋体" w:eastAsia="宋体"/>
      <w:sz w:val="24"/>
      <w:lang w:bidi="ar-SA"/>
    </w:rPr>
  </w:style>
  <w:style w:type="character" w:customStyle="1" w:styleId="154">
    <w:name w:val="段 Char"/>
    <w:qFormat/>
    <w:uiPriority w:val="0"/>
    <w:rPr>
      <w:rFonts w:ascii="宋体"/>
      <w:b/>
      <w:sz w:val="28"/>
    </w:rPr>
  </w:style>
  <w:style w:type="character" w:customStyle="1" w:styleId="155">
    <w:name w:val="标题5 Char Char"/>
    <w:link w:val="156"/>
    <w:qFormat/>
    <w:uiPriority w:val="0"/>
    <w:rPr>
      <w:rFonts w:ascii="Arial" w:hAnsi="Arial"/>
      <w:b/>
      <w:bCs/>
      <w:sz w:val="24"/>
      <w:szCs w:val="32"/>
      <w:lang w:bidi="ar-SA"/>
    </w:rPr>
  </w:style>
  <w:style w:type="paragraph" w:customStyle="1" w:styleId="156">
    <w:name w:val="标题5"/>
    <w:basedOn w:val="6"/>
    <w:link w:val="155"/>
    <w:qFormat/>
    <w:uiPriority w:val="0"/>
    <w:pPr>
      <w:spacing w:line="413" w:lineRule="auto"/>
    </w:pPr>
    <w:rPr>
      <w:rFonts w:ascii="Arial" w:hAnsi="Arial"/>
      <w:sz w:val="24"/>
    </w:rPr>
  </w:style>
  <w:style w:type="character" w:customStyle="1" w:styleId="157">
    <w:name w:val="body141"/>
    <w:qFormat/>
    <w:uiPriority w:val="0"/>
    <w:rPr>
      <w:sz w:val="21"/>
      <w:szCs w:val="21"/>
    </w:rPr>
  </w:style>
  <w:style w:type="character" w:customStyle="1" w:styleId="158">
    <w:name w:val="引用 Char1"/>
    <w:qFormat/>
    <w:uiPriority w:val="0"/>
    <w:rPr>
      <w:i/>
      <w:iCs/>
      <w:color w:val="000000"/>
      <w:kern w:val="2"/>
      <w:sz w:val="21"/>
    </w:rPr>
  </w:style>
  <w:style w:type="character" w:customStyle="1" w:styleId="159">
    <w:name w:val="Title Char_de734fab-8569-403f-99a3-50baba504666"/>
    <w:qFormat/>
    <w:uiPriority w:val="0"/>
    <w:rPr>
      <w:rFonts w:ascii="Arial" w:hAnsi="Arial" w:eastAsia="宋体"/>
      <w:b/>
      <w:sz w:val="32"/>
      <w:lang w:val="en-US" w:eastAsia="zh-CN" w:bidi="ar-SA"/>
    </w:rPr>
  </w:style>
  <w:style w:type="character" w:customStyle="1" w:styleId="160">
    <w:name w:val="Char Char202"/>
    <w:qFormat/>
    <w:uiPriority w:val="0"/>
    <w:rPr>
      <w:rFonts w:eastAsia="宋体"/>
      <w:b/>
      <w:sz w:val="28"/>
      <w:lang w:bidi="ar-SA"/>
    </w:rPr>
  </w:style>
  <w:style w:type="character" w:customStyle="1" w:styleId="161">
    <w:name w:val="Char Char23"/>
    <w:qFormat/>
    <w:uiPriority w:val="0"/>
    <w:rPr>
      <w:rFonts w:ascii="Times New Roman" w:hAnsi="Times New Roman" w:eastAsia="宋体" w:cs="Times New Roman"/>
      <w:b/>
      <w:bCs/>
      <w:kern w:val="0"/>
      <w:sz w:val="24"/>
      <w:szCs w:val="24"/>
    </w:rPr>
  </w:style>
  <w:style w:type="character" w:customStyle="1" w:styleId="162">
    <w:name w:val="样式 标题 1 + Char"/>
    <w:qFormat/>
    <w:uiPriority w:val="0"/>
    <w:rPr>
      <w:rFonts w:hint="eastAsia" w:ascii="宋体" w:hAnsi="宋体" w:cs="宋体"/>
      <w:b/>
      <w:iCs/>
      <w:snapToGrid w:val="0"/>
      <w:color w:val="000000"/>
      <w:spacing w:val="-4"/>
      <w:kern w:val="44"/>
      <w:sz w:val="21"/>
      <w:szCs w:val="21"/>
      <w:lang w:val="en-US" w:eastAsia="zh-CN" w:bidi="ar-SA"/>
    </w:rPr>
  </w:style>
  <w:style w:type="character" w:customStyle="1" w:styleId="163">
    <w:name w:val="z-窗体底端 Char"/>
    <w:link w:val="164"/>
    <w:qFormat/>
    <w:uiPriority w:val="0"/>
    <w:rPr>
      <w:rFonts w:ascii="Arial" w:hAnsi="Arial" w:cs="Arial"/>
      <w:vanish/>
      <w:kern w:val="2"/>
      <w:sz w:val="16"/>
      <w:szCs w:val="16"/>
    </w:rPr>
  </w:style>
  <w:style w:type="paragraph" w:customStyle="1" w:styleId="164">
    <w:name w:val="z-窗体底端11"/>
    <w:basedOn w:val="1"/>
    <w:next w:val="1"/>
    <w:link w:val="163"/>
    <w:qFormat/>
    <w:uiPriority w:val="0"/>
    <w:pPr>
      <w:pBdr>
        <w:top w:val="single" w:color="auto" w:sz="6" w:space="1"/>
      </w:pBdr>
      <w:spacing w:line="240" w:lineRule="auto"/>
      <w:jc w:val="center"/>
    </w:pPr>
    <w:rPr>
      <w:rFonts w:ascii="Arial" w:hAnsi="Arial"/>
      <w:vanish/>
      <w:sz w:val="16"/>
      <w:szCs w:val="16"/>
    </w:rPr>
  </w:style>
  <w:style w:type="character" w:customStyle="1" w:styleId="165">
    <w:name w:val="文档结构图 Char1"/>
    <w:qFormat/>
    <w:uiPriority w:val="0"/>
    <w:rPr>
      <w:rFonts w:ascii="宋体" w:hAnsi="Times New Roman" w:eastAsia="宋体" w:cs="Times New Roman"/>
      <w:sz w:val="18"/>
      <w:szCs w:val="18"/>
    </w:rPr>
  </w:style>
  <w:style w:type="character" w:customStyle="1" w:styleId="166">
    <w:name w:val="标题 1 Char1"/>
    <w:qFormat/>
    <w:uiPriority w:val="0"/>
    <w:rPr>
      <w:rFonts w:ascii="Times New Roman" w:hAnsi="Times New Roman" w:eastAsia="宋体" w:cs="Times New Roman"/>
      <w:b/>
      <w:bCs/>
      <w:kern w:val="44"/>
      <w:sz w:val="44"/>
      <w:szCs w:val="44"/>
    </w:rPr>
  </w:style>
  <w:style w:type="character" w:customStyle="1" w:styleId="167">
    <w:name w:val="Char Char20"/>
    <w:qFormat/>
    <w:uiPriority w:val="0"/>
    <w:rPr>
      <w:rFonts w:eastAsia="宋体"/>
      <w:b/>
      <w:sz w:val="28"/>
      <w:lang w:bidi="ar-SA"/>
    </w:rPr>
  </w:style>
  <w:style w:type="character" w:customStyle="1" w:styleId="168">
    <w:name w:val="Char Char19"/>
    <w:qFormat/>
    <w:uiPriority w:val="0"/>
    <w:rPr>
      <w:rFonts w:ascii="Arial" w:hAnsi="Arial" w:eastAsia="黑体"/>
      <w:b/>
      <w:bCs/>
      <w:kern w:val="2"/>
      <w:sz w:val="28"/>
      <w:szCs w:val="28"/>
      <w:lang w:val="en-US" w:eastAsia="zh-CN" w:bidi="ar-SA"/>
    </w:rPr>
  </w:style>
  <w:style w:type="character" w:customStyle="1" w:styleId="169">
    <w:name w:val="Char Char26"/>
    <w:qFormat/>
    <w:uiPriority w:val="0"/>
    <w:rPr>
      <w:rFonts w:eastAsia="宋体"/>
      <w:b/>
      <w:sz w:val="28"/>
      <w:lang w:bidi="ar-SA"/>
    </w:rPr>
  </w:style>
  <w:style w:type="character" w:customStyle="1" w:styleId="170">
    <w:name w:val="明显强调11"/>
    <w:qFormat/>
    <w:uiPriority w:val="0"/>
    <w:rPr>
      <w:b/>
      <w:bCs/>
      <w:i/>
      <w:iCs/>
      <w:color w:val="4F81BD"/>
    </w:rPr>
  </w:style>
  <w:style w:type="character" w:customStyle="1" w:styleId="171">
    <w:name w:val="xl29 Char"/>
    <w:link w:val="172"/>
    <w:qFormat/>
    <w:uiPriority w:val="0"/>
    <w:rPr>
      <w:rFonts w:ascii="宋体" w:hAnsi="宋体"/>
      <w:sz w:val="24"/>
    </w:rPr>
  </w:style>
  <w:style w:type="paragraph" w:customStyle="1" w:styleId="172">
    <w:name w:val="xl29"/>
    <w:basedOn w:val="1"/>
    <w:link w:val="171"/>
    <w:qFormat/>
    <w:uiPriority w:val="0"/>
    <w:pPr>
      <w:widowControl/>
      <w:spacing w:before="100" w:after="100"/>
      <w:jc w:val="center"/>
    </w:pPr>
    <w:rPr>
      <w:rFonts w:ascii="宋体" w:hAnsi="宋体"/>
      <w:kern w:val="0"/>
      <w:szCs w:val="20"/>
    </w:rPr>
  </w:style>
  <w:style w:type="character" w:customStyle="1" w:styleId="173">
    <w:name w:val="textcontents"/>
    <w:qFormat/>
    <w:uiPriority w:val="0"/>
    <w:rPr>
      <w:rFonts w:cs="Times New Roman"/>
    </w:rPr>
  </w:style>
  <w:style w:type="character" w:customStyle="1" w:styleId="174">
    <w:name w:val="Document Map Char"/>
    <w:qFormat/>
    <w:uiPriority w:val="0"/>
    <w:rPr>
      <w:rFonts w:eastAsia="宋体"/>
      <w:sz w:val="24"/>
      <w:shd w:val="clear" w:color="auto" w:fill="000080"/>
    </w:rPr>
  </w:style>
  <w:style w:type="character" w:customStyle="1" w:styleId="175">
    <w:name w:val="Heading 4 Char_1a1f0a95-a740-4e97-8cad-a49090882205"/>
    <w:qFormat/>
    <w:uiPriority w:val="0"/>
    <w:rPr>
      <w:rFonts w:ascii="Arial" w:hAnsi="Arial" w:eastAsia="黑体"/>
      <w:b/>
      <w:bCs/>
      <w:kern w:val="2"/>
      <w:sz w:val="28"/>
      <w:szCs w:val="28"/>
      <w:lang w:val="en-US" w:eastAsia="zh-CN" w:bidi="ar-SA"/>
    </w:rPr>
  </w:style>
  <w:style w:type="character" w:customStyle="1" w:styleId="176">
    <w:name w:val="Char Char9"/>
    <w:qFormat/>
    <w:uiPriority w:val="0"/>
    <w:rPr>
      <w:rFonts w:ascii="Arial" w:hAnsi="Arial" w:eastAsia="宋体" w:cs="Arial"/>
      <w:b/>
      <w:sz w:val="32"/>
      <w:lang w:bidi="ar-SA"/>
    </w:rPr>
  </w:style>
  <w:style w:type="character" w:customStyle="1" w:styleId="177">
    <w:name w:val="Heading 9 Char_09937f7a-8e5b-4b3c-9588-34577c6e3ed6"/>
    <w:qFormat/>
    <w:uiPriority w:val="0"/>
    <w:rPr>
      <w:rFonts w:ascii="Arial" w:hAnsi="Arial" w:eastAsia="黑体"/>
      <w:sz w:val="21"/>
      <w:szCs w:val="21"/>
      <w:lang w:val="en-US" w:eastAsia="zh-CN" w:bidi="ar-SA"/>
    </w:rPr>
  </w:style>
  <w:style w:type="character" w:customStyle="1" w:styleId="178">
    <w:name w:val="书籍标题1"/>
    <w:qFormat/>
    <w:uiPriority w:val="0"/>
    <w:rPr>
      <w:b/>
      <w:bCs/>
      <w:smallCaps/>
      <w:spacing w:val="5"/>
    </w:rPr>
  </w:style>
  <w:style w:type="character" w:customStyle="1" w:styleId="179">
    <w:name w:val="t"/>
    <w:qFormat/>
    <w:uiPriority w:val="0"/>
  </w:style>
  <w:style w:type="character" w:customStyle="1" w:styleId="180">
    <w:name w:val="Char Char212"/>
    <w:qFormat/>
    <w:uiPriority w:val="0"/>
    <w:rPr>
      <w:rFonts w:ascii="Arial" w:hAnsi="Arial" w:eastAsia="黑体" w:cs="Times New Roman"/>
      <w:b/>
      <w:bCs/>
      <w:sz w:val="28"/>
      <w:szCs w:val="28"/>
    </w:rPr>
  </w:style>
  <w:style w:type="character" w:customStyle="1" w:styleId="181">
    <w:name w:val="Char Char221"/>
    <w:qFormat/>
    <w:uiPriority w:val="0"/>
    <w:rPr>
      <w:rFonts w:ascii="Arial" w:hAnsi="Arial" w:eastAsia="黑体" w:cs="Times New Roman"/>
      <w:kern w:val="0"/>
      <w:sz w:val="24"/>
      <w:szCs w:val="24"/>
    </w:rPr>
  </w:style>
  <w:style w:type="character" w:customStyle="1" w:styleId="182">
    <w:name w:val="title011"/>
    <w:qFormat/>
    <w:uiPriority w:val="0"/>
    <w:rPr>
      <w:color w:val="000066"/>
      <w:sz w:val="36"/>
      <w:szCs w:val="36"/>
      <w:u w:val="none"/>
    </w:rPr>
  </w:style>
  <w:style w:type="character" w:customStyle="1" w:styleId="183">
    <w:name w:val="font11"/>
    <w:qFormat/>
    <w:uiPriority w:val="0"/>
    <w:rPr>
      <w:rFonts w:hint="eastAsia" w:ascii="宋体" w:hAnsi="宋体" w:eastAsia="宋体" w:cs="宋体"/>
      <w:b/>
      <w:color w:val="000000"/>
      <w:sz w:val="48"/>
      <w:szCs w:val="48"/>
      <w:u w:val="none"/>
    </w:rPr>
  </w:style>
  <w:style w:type="character" w:customStyle="1" w:styleId="184">
    <w:name w:val="样式 宋体1"/>
    <w:qFormat/>
    <w:uiPriority w:val="0"/>
    <w:rPr>
      <w:rFonts w:ascii="宋体" w:hAnsi="宋体" w:eastAsia="宋体"/>
      <w:sz w:val="24"/>
    </w:rPr>
  </w:style>
  <w:style w:type="character" w:customStyle="1" w:styleId="185">
    <w:name w:val="Char Char252"/>
    <w:qFormat/>
    <w:uiPriority w:val="0"/>
    <w:rPr>
      <w:rFonts w:ascii="Times New Roman" w:hAnsi="Times New Roman" w:eastAsia="宋体" w:cs="Times New Roman"/>
      <w:b/>
      <w:kern w:val="0"/>
      <w:sz w:val="28"/>
      <w:szCs w:val="20"/>
    </w:rPr>
  </w:style>
  <w:style w:type="character" w:customStyle="1" w:styleId="186">
    <w:name w:val="font161"/>
    <w:qFormat/>
    <w:uiPriority w:val="0"/>
    <w:rPr>
      <w:b/>
      <w:bCs/>
      <w:sz w:val="32"/>
      <w:szCs w:val="32"/>
    </w:rPr>
  </w:style>
  <w:style w:type="character" w:customStyle="1" w:styleId="187">
    <w:name w:val="h2 Char"/>
    <w:qFormat/>
    <w:uiPriority w:val="0"/>
    <w:rPr>
      <w:rFonts w:ascii="Arial" w:hAnsi="Arial" w:eastAsia="黑体"/>
      <w:b/>
      <w:sz w:val="32"/>
      <w:lang w:val="en-US" w:eastAsia="zh-CN" w:bidi="ar-SA"/>
    </w:rPr>
  </w:style>
  <w:style w:type="character" w:customStyle="1" w:styleId="188">
    <w:name w:val="明显引用 Char"/>
    <w:link w:val="189"/>
    <w:qFormat/>
    <w:uiPriority w:val="0"/>
    <w:rPr>
      <w:b/>
      <w:bCs/>
      <w:i/>
      <w:iCs/>
      <w:color w:val="4F81BD"/>
      <w:kern w:val="2"/>
      <w:sz w:val="21"/>
      <w:szCs w:val="22"/>
      <w:lang w:bidi="ar-SA"/>
    </w:rPr>
  </w:style>
  <w:style w:type="paragraph" w:styleId="189">
    <w:name w:val="Intense Quote"/>
    <w:basedOn w:val="1"/>
    <w:next w:val="1"/>
    <w:link w:val="188"/>
    <w:qFormat/>
    <w:uiPriority w:val="0"/>
    <w:pPr>
      <w:pBdr>
        <w:bottom w:val="single" w:color="4F81BD" w:sz="4" w:space="4"/>
      </w:pBdr>
      <w:spacing w:before="200" w:after="280"/>
      <w:ind w:left="936" w:right="936"/>
    </w:pPr>
    <w:rPr>
      <w:b/>
      <w:bCs/>
      <w:i/>
      <w:iCs/>
      <w:color w:val="4F81BD"/>
      <w:sz w:val="21"/>
      <w:szCs w:val="22"/>
    </w:rPr>
  </w:style>
  <w:style w:type="character" w:customStyle="1" w:styleId="190">
    <w:name w:val="Char Char24"/>
    <w:qFormat/>
    <w:uiPriority w:val="0"/>
    <w:rPr>
      <w:rFonts w:ascii="Arial" w:hAnsi="Arial" w:eastAsia="黑体" w:cs="Times New Roman"/>
      <w:b/>
      <w:bCs/>
      <w:kern w:val="0"/>
      <w:sz w:val="24"/>
      <w:szCs w:val="24"/>
    </w:rPr>
  </w:style>
  <w:style w:type="character" w:customStyle="1" w:styleId="191">
    <w:name w:val="Heading 8 Char_bfec5520-9102-4e20-a265-2648358dbfbc"/>
    <w:qFormat/>
    <w:uiPriority w:val="0"/>
    <w:rPr>
      <w:rFonts w:ascii="Arial" w:hAnsi="Arial" w:eastAsia="黑体"/>
      <w:sz w:val="24"/>
      <w:szCs w:val="24"/>
      <w:lang w:val="en-US" w:eastAsia="zh-CN" w:bidi="ar-SA"/>
    </w:rPr>
  </w:style>
  <w:style w:type="character" w:customStyle="1" w:styleId="192">
    <w:name w:val="明显引用 Char1"/>
    <w:qFormat/>
    <w:uiPriority w:val="0"/>
    <w:rPr>
      <w:b/>
      <w:bCs/>
      <w:i/>
      <w:iCs/>
      <w:color w:val="4F81BD"/>
      <w:kern w:val="2"/>
      <w:sz w:val="21"/>
    </w:rPr>
  </w:style>
  <w:style w:type="character" w:customStyle="1" w:styleId="193">
    <w:name w:val="Footer1 Char Char1"/>
    <w:qFormat/>
    <w:uiPriority w:val="0"/>
    <w:rPr>
      <w:sz w:val="18"/>
      <w:szCs w:val="18"/>
    </w:rPr>
  </w:style>
  <w:style w:type="character" w:customStyle="1" w:styleId="194">
    <w:name w:val="ITTBODYTEXT Char Char"/>
    <w:qFormat/>
    <w:uiPriority w:val="0"/>
    <w:rPr>
      <w:rFonts w:ascii="宋体" w:eastAsia="宋体"/>
      <w:b/>
      <w:sz w:val="21"/>
      <w:lang w:val="en-US" w:eastAsia="zh-CN" w:bidi="ar-SA"/>
    </w:rPr>
  </w:style>
  <w:style w:type="character" w:customStyle="1" w:styleId="195">
    <w:name w:val="Char Char12"/>
    <w:qFormat/>
    <w:uiPriority w:val="0"/>
    <w:rPr>
      <w:rFonts w:ascii="宋体" w:hAnsi="宋体" w:eastAsia="宋体"/>
      <w:sz w:val="18"/>
      <w:szCs w:val="18"/>
      <w:lang w:bidi="ar-SA"/>
    </w:rPr>
  </w:style>
  <w:style w:type="character" w:customStyle="1" w:styleId="196">
    <w:name w:val="普通文字 Char Char1"/>
    <w:qFormat/>
    <w:uiPriority w:val="99"/>
    <w:rPr>
      <w:rFonts w:ascii="宋体" w:hAnsi="Courier New" w:eastAsia="宋体" w:cs="Times New Roman"/>
      <w:szCs w:val="21"/>
    </w:rPr>
  </w:style>
  <w:style w:type="character" w:customStyle="1" w:styleId="197">
    <w:name w:val="dz1"/>
    <w:qFormat/>
    <w:uiPriority w:val="0"/>
    <w:rPr>
      <w:rFonts w:hint="eastAsia" w:ascii="宋体" w:hAnsi="宋体" w:eastAsia="宋体" w:cs="宋体"/>
      <w:sz w:val="30"/>
      <w:szCs w:val="30"/>
    </w:rPr>
  </w:style>
  <w:style w:type="character" w:customStyle="1" w:styleId="198">
    <w:name w:val="正文用 Char"/>
    <w:link w:val="199"/>
    <w:qFormat/>
    <w:uiPriority w:val="0"/>
    <w:rPr>
      <w:rFonts w:ascii="Times New Roman" w:hAnsi="Times New Roman" w:eastAsia="宋体" w:cs="Times New Roman"/>
      <w:kern w:val="0"/>
      <w:szCs w:val="21"/>
    </w:rPr>
  </w:style>
  <w:style w:type="paragraph" w:customStyle="1" w:styleId="199">
    <w:name w:val="正文用"/>
    <w:basedOn w:val="1"/>
    <w:link w:val="198"/>
    <w:qFormat/>
    <w:uiPriority w:val="0"/>
    <w:pPr>
      <w:spacing w:line="360" w:lineRule="exact"/>
      <w:ind w:firstLine="420" w:firstLineChars="200"/>
      <w:jc w:val="left"/>
    </w:pPr>
    <w:rPr>
      <w:kern w:val="0"/>
      <w:sz w:val="20"/>
      <w:szCs w:val="21"/>
    </w:rPr>
  </w:style>
  <w:style w:type="character" w:customStyle="1" w:styleId="200">
    <w:name w:val="Char Char241"/>
    <w:qFormat/>
    <w:uiPriority w:val="0"/>
    <w:rPr>
      <w:rFonts w:ascii="Arial" w:hAnsi="Arial" w:eastAsia="黑体" w:cs="Times New Roman"/>
      <w:b/>
      <w:bCs/>
      <w:kern w:val="0"/>
      <w:sz w:val="24"/>
      <w:szCs w:val="24"/>
    </w:rPr>
  </w:style>
  <w:style w:type="character" w:styleId="201">
    <w:name w:val="Placeholder Text"/>
    <w:qFormat/>
    <w:uiPriority w:val="99"/>
    <w:rPr>
      <w:color w:val="808080"/>
    </w:rPr>
  </w:style>
  <w:style w:type="character" w:customStyle="1" w:styleId="202">
    <w:name w:val="普通文字 Char Char Char2"/>
    <w:qFormat/>
    <w:uiPriority w:val="0"/>
    <w:rPr>
      <w:rFonts w:ascii="宋体" w:hAnsi="Courier New"/>
      <w:kern w:val="2"/>
      <w:sz w:val="21"/>
      <w:szCs w:val="21"/>
    </w:rPr>
  </w:style>
  <w:style w:type="character" w:customStyle="1" w:styleId="203">
    <w:name w:val="Char Char2"/>
    <w:qFormat/>
    <w:uiPriority w:val="0"/>
    <w:rPr>
      <w:rFonts w:ascii="宋体" w:hAnsi="宋体" w:eastAsia="宋体"/>
      <w:b/>
      <w:bCs/>
      <w:kern w:val="2"/>
      <w:sz w:val="21"/>
      <w:szCs w:val="24"/>
      <w:lang w:val="en-US" w:eastAsia="zh-CN" w:bidi="ar-SA"/>
    </w:rPr>
  </w:style>
  <w:style w:type="character" w:customStyle="1" w:styleId="204">
    <w:name w:val="Char Char242"/>
    <w:qFormat/>
    <w:uiPriority w:val="0"/>
    <w:rPr>
      <w:rFonts w:ascii="Arial" w:hAnsi="Arial" w:eastAsia="黑体" w:cs="Times New Roman"/>
      <w:b/>
      <w:bCs/>
      <w:kern w:val="0"/>
      <w:sz w:val="24"/>
      <w:szCs w:val="24"/>
    </w:rPr>
  </w:style>
  <w:style w:type="character" w:customStyle="1" w:styleId="205">
    <w:name w:val="批注文字 Char Char"/>
    <w:qFormat/>
    <w:uiPriority w:val="0"/>
    <w:rPr>
      <w:rFonts w:ascii="宋体" w:hAnsi="Times New Roman" w:eastAsia="宋体" w:cs="Times New Roman"/>
      <w:sz w:val="28"/>
      <w:szCs w:val="20"/>
    </w:rPr>
  </w:style>
  <w:style w:type="character" w:customStyle="1" w:styleId="206">
    <w:name w:val="Comment Text Char2"/>
    <w:qFormat/>
    <w:uiPriority w:val="0"/>
    <w:rPr>
      <w:rFonts w:ascii="Calibri" w:hAnsi="Calibri" w:eastAsia="宋体"/>
      <w:sz w:val="24"/>
      <w:szCs w:val="24"/>
      <w:lang w:val="en-US" w:eastAsia="zh-CN" w:bidi="ar-SA"/>
    </w:rPr>
  </w:style>
  <w:style w:type="character" w:customStyle="1" w:styleId="207">
    <w:name w:val="hover32"/>
    <w:qFormat/>
    <w:uiPriority w:val="0"/>
  </w:style>
  <w:style w:type="character" w:customStyle="1" w:styleId="208">
    <w:name w:val="z-窗体顶端 Char"/>
    <w:link w:val="209"/>
    <w:qFormat/>
    <w:uiPriority w:val="0"/>
    <w:rPr>
      <w:rFonts w:ascii="Arial" w:hAnsi="Arial" w:cs="Arial"/>
      <w:vanish/>
      <w:kern w:val="2"/>
      <w:sz w:val="16"/>
      <w:szCs w:val="16"/>
    </w:rPr>
  </w:style>
  <w:style w:type="paragraph" w:customStyle="1" w:styleId="209">
    <w:name w:val="z-窗体顶端11"/>
    <w:basedOn w:val="1"/>
    <w:next w:val="1"/>
    <w:link w:val="208"/>
    <w:qFormat/>
    <w:uiPriority w:val="0"/>
    <w:pPr>
      <w:pBdr>
        <w:bottom w:val="single" w:color="auto" w:sz="6" w:space="1"/>
      </w:pBdr>
      <w:spacing w:line="240" w:lineRule="auto"/>
      <w:jc w:val="center"/>
    </w:pPr>
    <w:rPr>
      <w:rFonts w:ascii="Arial" w:hAnsi="Arial"/>
      <w:vanish/>
      <w:sz w:val="16"/>
      <w:szCs w:val="16"/>
    </w:rPr>
  </w:style>
  <w:style w:type="character" w:customStyle="1" w:styleId="210">
    <w:name w:val="尾注文本 Char1"/>
    <w:qFormat/>
    <w:uiPriority w:val="0"/>
    <w:rPr>
      <w:kern w:val="2"/>
      <w:sz w:val="21"/>
    </w:rPr>
  </w:style>
  <w:style w:type="character" w:customStyle="1" w:styleId="211">
    <w:name w:val="Char Char22"/>
    <w:qFormat/>
    <w:uiPriority w:val="0"/>
    <w:rPr>
      <w:rFonts w:ascii="Arial" w:hAnsi="Arial" w:eastAsia="黑体" w:cs="Times New Roman"/>
      <w:kern w:val="0"/>
      <w:sz w:val="24"/>
      <w:szCs w:val="24"/>
    </w:rPr>
  </w:style>
  <w:style w:type="character" w:customStyle="1" w:styleId="212">
    <w:name w:val="username"/>
    <w:qFormat/>
    <w:uiPriority w:val="0"/>
  </w:style>
  <w:style w:type="character" w:customStyle="1" w:styleId="213">
    <w:name w:val="hover42"/>
    <w:qFormat/>
    <w:uiPriority w:val="0"/>
  </w:style>
  <w:style w:type="character" w:customStyle="1" w:styleId="214">
    <w:name w:val="msoins"/>
    <w:qFormat/>
    <w:uiPriority w:val="0"/>
  </w:style>
  <w:style w:type="character" w:customStyle="1" w:styleId="215">
    <w:name w:val="Char Char4"/>
    <w:qFormat/>
    <w:uiPriority w:val="0"/>
    <w:rPr>
      <w:rFonts w:ascii="宋体" w:hAnsi="宋体" w:eastAsia="宋体"/>
      <w:szCs w:val="24"/>
      <w:lang w:bidi="ar-SA"/>
    </w:rPr>
  </w:style>
  <w:style w:type="character" w:customStyle="1" w:styleId="216">
    <w:name w:val="明显参考11"/>
    <w:qFormat/>
    <w:uiPriority w:val="0"/>
    <w:rPr>
      <w:b/>
      <w:bCs/>
      <w:smallCaps/>
      <w:color w:val="C0504D"/>
      <w:spacing w:val="5"/>
      <w:u w:val="single"/>
    </w:rPr>
  </w:style>
  <w:style w:type="character" w:customStyle="1" w:styleId="217">
    <w:name w:val="不明显参考11"/>
    <w:qFormat/>
    <w:uiPriority w:val="0"/>
    <w:rPr>
      <w:smallCaps/>
      <w:color w:val="C0504D"/>
      <w:u w:val="single"/>
    </w:rPr>
  </w:style>
  <w:style w:type="character" w:customStyle="1" w:styleId="218">
    <w:name w:val="不明显参考1"/>
    <w:qFormat/>
    <w:uiPriority w:val="0"/>
    <w:rPr>
      <w:smallCaps/>
      <w:color w:val="C0504D"/>
      <w:u w:val="single"/>
    </w:rPr>
  </w:style>
  <w:style w:type="character" w:customStyle="1" w:styleId="219">
    <w:name w:val="Char Char1"/>
    <w:qFormat/>
    <w:uiPriority w:val="0"/>
    <w:rPr>
      <w:rFonts w:eastAsia="宋体"/>
      <w:kern w:val="2"/>
      <w:sz w:val="21"/>
      <w:szCs w:val="24"/>
      <w:lang w:val="en-US" w:eastAsia="zh-CN" w:bidi="ar-SA"/>
    </w:rPr>
  </w:style>
  <w:style w:type="character" w:customStyle="1" w:styleId="220">
    <w:name w:val="Char Char13"/>
    <w:qFormat/>
    <w:uiPriority w:val="0"/>
    <w:rPr>
      <w:rFonts w:ascii="宋体" w:hAnsi="宋体" w:eastAsia="宋体"/>
      <w:sz w:val="18"/>
      <w:szCs w:val="18"/>
      <w:lang w:bidi="ar-SA"/>
    </w:rPr>
  </w:style>
  <w:style w:type="character" w:customStyle="1" w:styleId="221">
    <w:name w:val="标题2 Char"/>
    <w:link w:val="222"/>
    <w:qFormat/>
    <w:uiPriority w:val="0"/>
    <w:rPr>
      <w:rFonts w:ascii="宋体" w:eastAsia="宋体"/>
      <w:b/>
      <w:color w:val="000000"/>
      <w:kern w:val="2"/>
      <w:sz w:val="24"/>
      <w:lang w:val="en-US" w:eastAsia="zh-CN" w:bidi="ar-SA"/>
    </w:rPr>
  </w:style>
  <w:style w:type="paragraph" w:customStyle="1" w:styleId="222">
    <w:name w:val="标题2"/>
    <w:basedOn w:val="1"/>
    <w:next w:val="1"/>
    <w:link w:val="221"/>
    <w:qFormat/>
    <w:uiPriority w:val="0"/>
    <w:pPr>
      <w:spacing w:line="500" w:lineRule="atLeast"/>
      <w:ind w:firstLine="567"/>
      <w:jc w:val="center"/>
    </w:pPr>
    <w:rPr>
      <w:rFonts w:ascii="宋体"/>
      <w:b/>
      <w:color w:val="000000"/>
      <w:szCs w:val="20"/>
    </w:rPr>
  </w:style>
  <w:style w:type="character" w:customStyle="1" w:styleId="223">
    <w:name w:val="title2"/>
    <w:qFormat/>
    <w:uiPriority w:val="0"/>
  </w:style>
  <w:style w:type="character" w:customStyle="1" w:styleId="224">
    <w:name w:val="Char Char232"/>
    <w:qFormat/>
    <w:uiPriority w:val="0"/>
    <w:rPr>
      <w:rFonts w:ascii="Times New Roman" w:hAnsi="Times New Roman" w:eastAsia="宋体" w:cs="Times New Roman"/>
      <w:b/>
      <w:bCs/>
      <w:kern w:val="0"/>
      <w:sz w:val="24"/>
      <w:szCs w:val="24"/>
    </w:rPr>
  </w:style>
  <w:style w:type="character" w:customStyle="1" w:styleId="225">
    <w:name w:val="Comment Subject Char"/>
    <w:qFormat/>
    <w:uiPriority w:val="0"/>
    <w:rPr>
      <w:rFonts w:eastAsia="宋体"/>
      <w:b/>
      <w:sz w:val="24"/>
    </w:rPr>
  </w:style>
  <w:style w:type="character" w:customStyle="1" w:styleId="226">
    <w:name w:val="标题3 Char"/>
    <w:qFormat/>
    <w:uiPriority w:val="0"/>
    <w:rPr>
      <w:rFonts w:hint="eastAsia" w:ascii="宋体" w:hAnsi="宋体" w:eastAsia="宋体" w:cs="宋体"/>
      <w:b/>
      <w:iCs/>
      <w:snapToGrid w:val="0"/>
      <w:spacing w:val="-4"/>
      <w:kern w:val="44"/>
      <w:sz w:val="24"/>
      <w:szCs w:val="24"/>
      <w:lang w:val="en-US" w:eastAsia="zh-CN" w:bidi="ar-SA"/>
    </w:rPr>
  </w:style>
  <w:style w:type="character" w:customStyle="1" w:styleId="227">
    <w:name w:val="正文  基本样式 Char Char"/>
    <w:qFormat/>
    <w:uiPriority w:val="0"/>
    <w:rPr>
      <w:rFonts w:eastAsia="宋体" w:cs="宋体"/>
      <w:sz w:val="28"/>
      <w:szCs w:val="28"/>
      <w:lang w:val="en-US" w:eastAsia="zh-CN" w:bidi="ar-SA"/>
    </w:rPr>
  </w:style>
  <w:style w:type="character" w:customStyle="1" w:styleId="228">
    <w:name w:val="title24"/>
    <w:qFormat/>
    <w:uiPriority w:val="0"/>
  </w:style>
  <w:style w:type="character" w:customStyle="1" w:styleId="229">
    <w:name w:val="bigfont"/>
    <w:qFormat/>
    <w:uiPriority w:val="0"/>
  </w:style>
  <w:style w:type="character" w:customStyle="1" w:styleId="230">
    <w:name w:val="Char Char21"/>
    <w:qFormat/>
    <w:uiPriority w:val="0"/>
    <w:rPr>
      <w:rFonts w:ascii="Arial" w:hAnsi="Arial" w:eastAsia="黑体" w:cs="Times New Roman"/>
      <w:b/>
      <w:bCs/>
      <w:sz w:val="28"/>
      <w:szCs w:val="28"/>
    </w:rPr>
  </w:style>
  <w:style w:type="character" w:customStyle="1" w:styleId="231">
    <w:name w:val="Heading 2 Char_873cab34-7da7-4665-8743-9d946a021e62"/>
    <w:qFormat/>
    <w:uiPriority w:val="0"/>
    <w:rPr>
      <w:rFonts w:ascii="Arial" w:hAnsi="Arial" w:eastAsia="黑体"/>
      <w:b/>
      <w:bCs/>
      <w:kern w:val="2"/>
      <w:sz w:val="32"/>
      <w:szCs w:val="32"/>
      <w:lang w:val="en-US" w:eastAsia="zh-CN" w:bidi="ar-SA"/>
    </w:rPr>
  </w:style>
  <w:style w:type="character" w:customStyle="1" w:styleId="232">
    <w:name w:val="wg正文 仿宋_GB2312 四号"/>
    <w:qFormat/>
    <w:uiPriority w:val="0"/>
    <w:rPr>
      <w:rFonts w:ascii="仿宋_GB2312" w:hAnsi="仿宋_GB2312" w:eastAsia="仿宋_GB2312"/>
      <w:sz w:val="28"/>
    </w:rPr>
  </w:style>
  <w:style w:type="character" w:customStyle="1" w:styleId="233">
    <w:name w:val="times1"/>
    <w:qFormat/>
    <w:uiPriority w:val="0"/>
    <w:rPr>
      <w:color w:val="CDCDCD"/>
      <w:bdr w:val="single" w:color="CDCDCD" w:sz="6" w:space="0"/>
      <w:shd w:val="clear" w:color="auto" w:fill="EFEFEF"/>
    </w:rPr>
  </w:style>
  <w:style w:type="character" w:customStyle="1" w:styleId="234">
    <w:name w:val="Char Char222"/>
    <w:qFormat/>
    <w:uiPriority w:val="0"/>
    <w:rPr>
      <w:rFonts w:ascii="Arial" w:hAnsi="Arial" w:eastAsia="黑体" w:cs="Times New Roman"/>
      <w:kern w:val="0"/>
      <w:sz w:val="24"/>
      <w:szCs w:val="24"/>
    </w:rPr>
  </w:style>
  <w:style w:type="character" w:customStyle="1" w:styleId="235">
    <w:name w:val="xl29 Char Char"/>
    <w:qFormat/>
    <w:uiPriority w:val="0"/>
    <w:rPr>
      <w:rFonts w:ascii="宋体" w:hAnsi="宋体"/>
      <w:sz w:val="24"/>
    </w:rPr>
  </w:style>
  <w:style w:type="character" w:customStyle="1" w:styleId="236">
    <w:name w:val="Body Text Indent Char"/>
    <w:qFormat/>
    <w:uiPriority w:val="0"/>
    <w:rPr>
      <w:rFonts w:eastAsia="宋体"/>
      <w:kern w:val="2"/>
      <w:sz w:val="21"/>
      <w:szCs w:val="24"/>
      <w:lang w:val="en-US" w:eastAsia="zh-CN" w:bidi="ar-SA"/>
    </w:rPr>
  </w:style>
  <w:style w:type="character" w:customStyle="1" w:styleId="237">
    <w:name w:val="正文文本 Char"/>
    <w:qFormat/>
    <w:uiPriority w:val="0"/>
    <w:rPr>
      <w:rFonts w:eastAsia="宋体" w:cs="Times New Roman"/>
      <w:kern w:val="2"/>
      <w:sz w:val="24"/>
      <w:szCs w:val="24"/>
      <w:lang w:val="en-US" w:eastAsia="zh-CN" w:bidi="ar-SA"/>
    </w:rPr>
  </w:style>
  <w:style w:type="character" w:customStyle="1" w:styleId="238">
    <w:name w:val="批注框文本 Char1"/>
    <w:qFormat/>
    <w:uiPriority w:val="0"/>
    <w:rPr>
      <w:rFonts w:ascii="Times New Roman" w:hAnsi="Times New Roman" w:eastAsia="宋体" w:cs="Times New Roman"/>
      <w:sz w:val="18"/>
      <w:szCs w:val="18"/>
    </w:rPr>
  </w:style>
  <w:style w:type="character" w:customStyle="1" w:styleId="239">
    <w:name w:val="样式 标题 3 + 四号 Char"/>
    <w:qFormat/>
    <w:uiPriority w:val="0"/>
    <w:rPr>
      <w:rFonts w:eastAsia="宋体"/>
      <w:b/>
      <w:bCs/>
      <w:kern w:val="2"/>
      <w:sz w:val="28"/>
      <w:szCs w:val="32"/>
      <w:lang w:val="en-US" w:eastAsia="zh-CN" w:bidi="ar-SA"/>
    </w:rPr>
  </w:style>
  <w:style w:type="character" w:customStyle="1" w:styleId="240">
    <w:name w:val="times"/>
    <w:qFormat/>
    <w:uiPriority w:val="0"/>
    <w:rPr>
      <w:color w:val="3399FF"/>
      <w:bdr w:val="single" w:color="D1EDF8" w:sz="6" w:space="0"/>
      <w:shd w:val="clear" w:color="auto" w:fill="EAF9FF"/>
    </w:rPr>
  </w:style>
  <w:style w:type="character" w:customStyle="1" w:styleId="241">
    <w:name w:val="Char Char5"/>
    <w:qFormat/>
    <w:uiPriority w:val="0"/>
    <w:rPr>
      <w:rFonts w:ascii="宋体" w:hAnsi="宋体" w:eastAsia="宋体"/>
      <w:szCs w:val="24"/>
      <w:shd w:val="clear" w:color="auto" w:fill="000080"/>
      <w:lang w:bidi="ar-SA"/>
    </w:rPr>
  </w:style>
  <w:style w:type="character" w:customStyle="1" w:styleId="242">
    <w:name w:val="正文0 Char"/>
    <w:link w:val="243"/>
    <w:qFormat/>
    <w:uiPriority w:val="0"/>
    <w:rPr>
      <w:rFonts w:ascii="Times New Roman" w:hAnsi="Times New Roman" w:eastAsia="仿宋_GB2312" w:cs="Times New Roman"/>
      <w:sz w:val="28"/>
      <w:szCs w:val="24"/>
    </w:rPr>
  </w:style>
  <w:style w:type="paragraph" w:customStyle="1" w:styleId="243">
    <w:name w:val="正文0"/>
    <w:basedOn w:val="1"/>
    <w:link w:val="242"/>
    <w:qFormat/>
    <w:uiPriority w:val="0"/>
    <w:pPr>
      <w:spacing w:beforeLines="50" w:afterLines="50" w:line="312" w:lineRule="auto"/>
      <w:ind w:firstLine="200" w:firstLineChars="200"/>
      <w:jc w:val="left"/>
    </w:pPr>
    <w:rPr>
      <w:rFonts w:eastAsia="仿宋_GB2312"/>
      <w:kern w:val="0"/>
      <w:sz w:val="28"/>
    </w:rPr>
  </w:style>
  <w:style w:type="character" w:customStyle="1" w:styleId="244">
    <w:name w:val="引用 Char"/>
    <w:link w:val="245"/>
    <w:qFormat/>
    <w:uiPriority w:val="0"/>
    <w:rPr>
      <w:i/>
      <w:iCs/>
      <w:color w:val="000000"/>
      <w:kern w:val="2"/>
      <w:sz w:val="21"/>
      <w:szCs w:val="22"/>
      <w:lang w:bidi="ar-SA"/>
    </w:rPr>
  </w:style>
  <w:style w:type="paragraph" w:styleId="245">
    <w:name w:val="Quote"/>
    <w:basedOn w:val="1"/>
    <w:next w:val="1"/>
    <w:link w:val="244"/>
    <w:qFormat/>
    <w:uiPriority w:val="0"/>
    <w:rPr>
      <w:i/>
      <w:iCs/>
      <w:color w:val="000000"/>
      <w:sz w:val="21"/>
      <w:szCs w:val="22"/>
    </w:rPr>
  </w:style>
  <w:style w:type="character" w:customStyle="1" w:styleId="246">
    <w:name w:val="Char Char211"/>
    <w:qFormat/>
    <w:uiPriority w:val="0"/>
    <w:rPr>
      <w:rFonts w:ascii="Arial" w:hAnsi="Arial" w:eastAsia="黑体" w:cs="Times New Roman"/>
      <w:b/>
      <w:bCs/>
      <w:sz w:val="28"/>
      <w:szCs w:val="28"/>
    </w:rPr>
  </w:style>
  <w:style w:type="character" w:customStyle="1" w:styleId="247">
    <w:name w:val="标题4 Char Char"/>
    <w:link w:val="248"/>
    <w:qFormat/>
    <w:uiPriority w:val="0"/>
    <w:rPr>
      <w:rFonts w:ascii="Arial" w:hAnsi="Arial"/>
      <w:b/>
      <w:bCs/>
      <w:sz w:val="24"/>
      <w:szCs w:val="32"/>
      <w:lang w:bidi="ar-SA"/>
    </w:rPr>
  </w:style>
  <w:style w:type="paragraph" w:customStyle="1" w:styleId="248">
    <w:name w:val="标题4"/>
    <w:basedOn w:val="5"/>
    <w:next w:val="31"/>
    <w:link w:val="247"/>
    <w:qFormat/>
    <w:uiPriority w:val="0"/>
    <w:pPr>
      <w:spacing w:line="413" w:lineRule="auto"/>
    </w:pPr>
  </w:style>
  <w:style w:type="character" w:customStyle="1" w:styleId="249">
    <w:name w:val="页眉 Char1"/>
    <w:qFormat/>
    <w:uiPriority w:val="0"/>
    <w:rPr>
      <w:rFonts w:hint="eastAsia" w:ascii="宋体" w:hAnsi="宋体" w:eastAsia="宋体" w:cs="宋体"/>
      <w:kern w:val="2"/>
      <w:sz w:val="18"/>
      <w:lang w:val="en-US" w:eastAsia="zh-CN" w:bidi="ar-SA"/>
    </w:rPr>
  </w:style>
  <w:style w:type="character" w:customStyle="1" w:styleId="250">
    <w:name w:val="明显参考1"/>
    <w:qFormat/>
    <w:uiPriority w:val="0"/>
    <w:rPr>
      <w:b/>
      <w:bCs/>
      <w:smallCaps/>
      <w:color w:val="C0504D"/>
      <w:spacing w:val="5"/>
      <w:u w:val="single"/>
    </w:rPr>
  </w:style>
  <w:style w:type="character" w:customStyle="1" w:styleId="251">
    <w:name w:val="unnamed11"/>
    <w:qFormat/>
    <w:uiPriority w:val="0"/>
    <w:rPr>
      <w:rFonts w:hint="eastAsia" w:ascii="宋体" w:hAnsi="宋体" w:eastAsia="宋体" w:cs="宋体"/>
      <w:sz w:val="18"/>
      <w:szCs w:val="18"/>
    </w:rPr>
  </w:style>
  <w:style w:type="character" w:customStyle="1" w:styleId="252">
    <w:name w:val="Footer1 Char Char"/>
    <w:qFormat/>
    <w:uiPriority w:val="0"/>
    <w:rPr>
      <w:rFonts w:hint="eastAsia" w:ascii="宋体" w:hAnsi="宋体" w:eastAsia="宋体" w:cs="宋体"/>
      <w:kern w:val="2"/>
      <w:sz w:val="18"/>
      <w:szCs w:val="18"/>
      <w:lang w:val="en-US" w:eastAsia="zh-CN" w:bidi="ar-SA"/>
    </w:rPr>
  </w:style>
  <w:style w:type="character" w:customStyle="1" w:styleId="253">
    <w:name w:val="Heading 6 Char_bda400e7-10d6-41eb-ac6c-de6f19d4c25b"/>
    <w:qFormat/>
    <w:uiPriority w:val="0"/>
    <w:rPr>
      <w:rFonts w:ascii="Arial" w:hAnsi="Arial" w:eastAsia="黑体"/>
      <w:b/>
      <w:bCs/>
      <w:sz w:val="24"/>
      <w:szCs w:val="24"/>
      <w:lang w:val="en-US" w:eastAsia="zh-CN" w:bidi="ar-SA"/>
    </w:rPr>
  </w:style>
  <w:style w:type="character" w:customStyle="1" w:styleId="254">
    <w:name w:val="t_xl1"/>
    <w:qFormat/>
    <w:uiPriority w:val="0"/>
    <w:rPr>
      <w:sz w:val="41"/>
      <w:szCs w:val="41"/>
    </w:rPr>
  </w:style>
  <w:style w:type="character" w:customStyle="1" w:styleId="255">
    <w:name w:val="Char Char201"/>
    <w:qFormat/>
    <w:uiPriority w:val="0"/>
    <w:rPr>
      <w:rFonts w:eastAsia="宋体"/>
      <w:b/>
      <w:sz w:val="28"/>
      <w:lang w:bidi="ar-SA"/>
    </w:rPr>
  </w:style>
  <w:style w:type="character" w:customStyle="1" w:styleId="256">
    <w:name w:val="普通文字 Char Char Char Char Char Char Char1"/>
    <w:qFormat/>
    <w:uiPriority w:val="0"/>
    <w:rPr>
      <w:rFonts w:ascii="宋体" w:hAnsi="Courier New" w:eastAsia="宋体" w:cs="Times New Roman"/>
      <w:szCs w:val="21"/>
    </w:rPr>
  </w:style>
  <w:style w:type="character" w:customStyle="1" w:styleId="257">
    <w:name w:val="不明显强调1"/>
    <w:qFormat/>
    <w:uiPriority w:val="0"/>
    <w:rPr>
      <w:i/>
      <w:iCs/>
      <w:color w:val="808080"/>
    </w:rPr>
  </w:style>
  <w:style w:type="character" w:customStyle="1" w:styleId="258">
    <w:name w:val="Char Char"/>
    <w:qFormat/>
    <w:uiPriority w:val="0"/>
    <w:rPr>
      <w:rFonts w:eastAsia="宋体"/>
      <w:kern w:val="2"/>
      <w:sz w:val="18"/>
      <w:szCs w:val="18"/>
      <w:lang w:val="en-US" w:eastAsia="zh-CN" w:bidi="ar-SA"/>
    </w:rPr>
  </w:style>
  <w:style w:type="character" w:customStyle="1" w:styleId="259">
    <w:name w:val="font81"/>
    <w:qFormat/>
    <w:uiPriority w:val="0"/>
    <w:rPr>
      <w:rFonts w:hint="eastAsia" w:ascii="宋体" w:hAnsi="宋体" w:eastAsia="宋体" w:cs="宋体"/>
      <w:color w:val="FF0000"/>
      <w:sz w:val="24"/>
      <w:szCs w:val="24"/>
      <w:u w:val="none"/>
    </w:rPr>
  </w:style>
  <w:style w:type="character" w:customStyle="1" w:styleId="260">
    <w:name w:val="Char Char7"/>
    <w:qFormat/>
    <w:uiPriority w:val="0"/>
    <w:rPr>
      <w:rFonts w:ascii="宋体" w:hAnsi="宋体" w:eastAsia="宋体"/>
      <w:sz w:val="24"/>
      <w:lang w:bidi="ar-SA"/>
    </w:rPr>
  </w:style>
  <w:style w:type="character" w:customStyle="1" w:styleId="261">
    <w:name w:val="不明显强调11"/>
    <w:qFormat/>
    <w:uiPriority w:val="0"/>
    <w:rPr>
      <w:i/>
      <w:iCs/>
      <w:color w:val="808080"/>
    </w:rPr>
  </w:style>
  <w:style w:type="character" w:customStyle="1" w:styleId="262">
    <w:name w:val="明显强调1"/>
    <w:qFormat/>
    <w:uiPriority w:val="0"/>
    <w:rPr>
      <w:b/>
      <w:bCs/>
      <w:i/>
      <w:iCs/>
      <w:color w:val="4F81BD"/>
    </w:rPr>
  </w:style>
  <w:style w:type="character" w:customStyle="1" w:styleId="263">
    <w:name w:val="font21"/>
    <w:qFormat/>
    <w:uiPriority w:val="0"/>
    <w:rPr>
      <w:rFonts w:hint="eastAsia" w:ascii="宋体" w:hAnsi="宋体" w:eastAsia="宋体" w:cs="宋体"/>
      <w:color w:val="000000"/>
      <w:sz w:val="24"/>
      <w:szCs w:val="24"/>
      <w:u w:val="none"/>
    </w:rPr>
  </w:style>
  <w:style w:type="character" w:customStyle="1" w:styleId="264">
    <w:name w:val="标题 4.1.1 Char"/>
    <w:qFormat/>
    <w:uiPriority w:val="0"/>
    <w:rPr>
      <w:rFonts w:eastAsia="宋体"/>
      <w:b/>
      <w:sz w:val="32"/>
      <w:lang w:val="en-US" w:eastAsia="zh-CN" w:bidi="ar-SA"/>
    </w:rPr>
  </w:style>
  <w:style w:type="character" w:customStyle="1" w:styleId="265">
    <w:name w:val="Char Char10"/>
    <w:qFormat/>
    <w:uiPriority w:val="0"/>
    <w:rPr>
      <w:rFonts w:ascii="宋体" w:hAnsi="宋体" w:eastAsia="宋体"/>
      <w:kern w:val="2"/>
      <w:sz w:val="21"/>
      <w:szCs w:val="24"/>
      <w:lang w:val="en-US" w:eastAsia="zh-CN" w:bidi="ar-SA"/>
    </w:rPr>
  </w:style>
  <w:style w:type="character" w:customStyle="1" w:styleId="266">
    <w:name w:val="Char Char3"/>
    <w:qFormat/>
    <w:uiPriority w:val="0"/>
    <w:rPr>
      <w:rFonts w:ascii="宋体" w:hAnsi="宋体" w:eastAsia="宋体"/>
      <w:szCs w:val="24"/>
      <w:lang w:bidi="ar-SA"/>
    </w:rPr>
  </w:style>
  <w:style w:type="character" w:customStyle="1" w:styleId="267">
    <w:name w:val="Char Char251"/>
    <w:qFormat/>
    <w:uiPriority w:val="0"/>
    <w:rPr>
      <w:rFonts w:ascii="Times New Roman" w:hAnsi="Times New Roman" w:eastAsia="宋体" w:cs="Times New Roman"/>
      <w:b/>
      <w:kern w:val="0"/>
      <w:sz w:val="28"/>
      <w:szCs w:val="20"/>
    </w:rPr>
  </w:style>
  <w:style w:type="character" w:customStyle="1" w:styleId="268">
    <w:name w:val="批注文字 Char1"/>
    <w:qFormat/>
    <w:uiPriority w:val="0"/>
    <w:rPr>
      <w:rFonts w:ascii="Times New Roman" w:hAnsi="Times New Roman" w:eastAsia="宋体" w:cs="Times New Roman"/>
      <w:szCs w:val="24"/>
    </w:rPr>
  </w:style>
  <w:style w:type="character" w:customStyle="1" w:styleId="269">
    <w:name w:val="Char Char231"/>
    <w:qFormat/>
    <w:uiPriority w:val="0"/>
    <w:rPr>
      <w:rFonts w:ascii="Times New Roman" w:hAnsi="Times New Roman" w:eastAsia="宋体" w:cs="Times New Roman"/>
      <w:b/>
      <w:bCs/>
      <w:kern w:val="0"/>
      <w:sz w:val="24"/>
      <w:szCs w:val="24"/>
    </w:rPr>
  </w:style>
  <w:style w:type="character" w:customStyle="1" w:styleId="270">
    <w:name w:val="段 Char1"/>
    <w:qFormat/>
    <w:uiPriority w:val="0"/>
    <w:rPr>
      <w:rFonts w:ascii="Arial" w:hAnsi="Arial" w:eastAsia="黑体" w:cs="Times New Roman"/>
      <w:b/>
      <w:bCs/>
      <w:kern w:val="0"/>
      <w:sz w:val="28"/>
      <w:szCs w:val="28"/>
    </w:rPr>
  </w:style>
  <w:style w:type="paragraph" w:customStyle="1" w:styleId="271">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b/>
      <w:bCs/>
      <w:color w:val="000000"/>
      <w:kern w:val="0"/>
      <w:sz w:val="20"/>
      <w:szCs w:val="20"/>
    </w:rPr>
  </w:style>
  <w:style w:type="paragraph" w:customStyle="1" w:styleId="272">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273">
    <w:name w:val="列出段落1"/>
    <w:basedOn w:val="1"/>
    <w:qFormat/>
    <w:uiPriority w:val="0"/>
    <w:pPr>
      <w:ind w:firstLine="420" w:firstLineChars="200"/>
    </w:pPr>
  </w:style>
  <w:style w:type="paragraph" w:customStyle="1" w:styleId="27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20"/>
      <w:szCs w:val="20"/>
    </w:rPr>
  </w:style>
  <w:style w:type="paragraph" w:customStyle="1" w:styleId="275">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rPr>
  </w:style>
  <w:style w:type="paragraph" w:customStyle="1" w:styleId="276">
    <w:name w:val="修订11"/>
    <w:qFormat/>
    <w:uiPriority w:val="0"/>
    <w:rPr>
      <w:rFonts w:ascii="Times New Roman" w:hAnsi="Times New Roman" w:eastAsia="宋体" w:cs="Times New Roman"/>
      <w:kern w:val="2"/>
      <w:sz w:val="21"/>
      <w:szCs w:val="24"/>
      <w:lang w:val="en-US" w:eastAsia="zh-CN" w:bidi="ar-SA"/>
    </w:rPr>
  </w:style>
  <w:style w:type="paragraph" w:customStyle="1" w:styleId="277">
    <w:name w:val="Char Char Char Char Char Char Char Char Char1 Char1"/>
    <w:basedOn w:val="1"/>
    <w:qFormat/>
    <w:uiPriority w:val="0"/>
    <w:pPr>
      <w:tabs>
        <w:tab w:val="left" w:pos="360"/>
      </w:tabs>
      <w:spacing w:line="240" w:lineRule="auto"/>
    </w:pPr>
  </w:style>
  <w:style w:type="paragraph" w:customStyle="1" w:styleId="278">
    <w:name w:val="样式 小四 行距: 固定值 24 磅 左  8 字符"/>
    <w:basedOn w:val="1"/>
    <w:qFormat/>
    <w:uiPriority w:val="0"/>
    <w:pPr>
      <w:spacing w:line="480" w:lineRule="exact"/>
      <w:ind w:left="1470" w:leftChars="100" w:right="100" w:rightChars="100"/>
    </w:pPr>
    <w:rPr>
      <w:rFonts w:cs="宋体"/>
      <w:szCs w:val="20"/>
    </w:rPr>
  </w:style>
  <w:style w:type="paragraph" w:customStyle="1" w:styleId="279">
    <w:name w:val="Title Headings"/>
    <w:qFormat/>
    <w:uiPriority w:val="99"/>
    <w:pPr>
      <w:widowControl w:val="0"/>
      <w:overflowPunct w:val="0"/>
      <w:autoSpaceDE w:val="0"/>
      <w:autoSpaceDN w:val="0"/>
      <w:adjustRightInd w:val="0"/>
      <w:spacing w:line="300" w:lineRule="auto"/>
      <w:ind w:hanging="105"/>
      <w:jc w:val="center"/>
      <w:textAlignment w:val="baseline"/>
    </w:pPr>
    <w:rPr>
      <w:rFonts w:ascii="Times New Roman" w:hAnsi="Times New Roman" w:eastAsia="宋体" w:cs="Times New Roman"/>
      <w:b/>
      <w:sz w:val="24"/>
      <w:lang w:val="en-US" w:eastAsia="zh-CN" w:bidi="ar-SA"/>
    </w:rPr>
  </w:style>
  <w:style w:type="paragraph" w:customStyle="1" w:styleId="280">
    <w:name w:val="样式 标题 1 + 五号 非加粗 自动设置 两端对齐 段前: 0 磅 段后: 0 磅 行距: 固定值 19 磅"/>
    <w:basedOn w:val="4"/>
    <w:qFormat/>
    <w:uiPriority w:val="0"/>
    <w:pPr>
      <w:spacing w:line="380" w:lineRule="exact"/>
      <w:ind w:left="100" w:leftChars="100" w:right="100" w:rightChars="100" w:firstLine="200" w:firstLineChars="200"/>
      <w:jc w:val="both"/>
    </w:pPr>
    <w:rPr>
      <w:rFonts w:ascii="宋体" w:hAnsi="宋体" w:cs="宋体"/>
      <w:kern w:val="0"/>
      <w:sz w:val="21"/>
    </w:rPr>
  </w:style>
  <w:style w:type="paragraph" w:customStyle="1" w:styleId="281">
    <w:name w:val="_Style 43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282">
    <w:name w:val="dl3"/>
    <w:basedOn w:val="1"/>
    <w:qFormat/>
    <w:uiPriority w:val="0"/>
    <w:pPr>
      <w:adjustRightInd w:val="0"/>
      <w:spacing w:line="312" w:lineRule="atLeast"/>
      <w:ind w:left="360"/>
      <w:textAlignment w:val="baseline"/>
    </w:pPr>
    <w:rPr>
      <w:kern w:val="0"/>
      <w:szCs w:val="20"/>
    </w:rPr>
  </w:style>
  <w:style w:type="paragraph" w:customStyle="1" w:styleId="283">
    <w:name w:val="reader-word-layer"/>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84">
    <w:name w:val="Address"/>
    <w:basedOn w:val="1"/>
    <w:next w:val="1"/>
    <w:qFormat/>
    <w:uiPriority w:val="0"/>
    <w:pPr>
      <w:autoSpaceDE w:val="0"/>
      <w:autoSpaceDN w:val="0"/>
      <w:adjustRightInd w:val="0"/>
      <w:jc w:val="left"/>
    </w:pPr>
    <w:rPr>
      <w:i/>
      <w:kern w:val="0"/>
      <w:sz w:val="18"/>
      <w:szCs w:val="20"/>
    </w:rPr>
  </w:style>
  <w:style w:type="paragraph" w:customStyle="1" w:styleId="285">
    <w:name w:val="xl64"/>
    <w:basedOn w:val="1"/>
    <w:qFormat/>
    <w:uiPriority w:val="0"/>
    <w:pPr>
      <w:widowControl/>
      <w:shd w:val="clear" w:color="auto" w:fill="FFFFFF"/>
      <w:spacing w:before="100" w:beforeAutospacing="1" w:after="100" w:afterAutospacing="1"/>
      <w:jc w:val="center"/>
      <w:textAlignment w:val="center"/>
    </w:pPr>
    <w:rPr>
      <w:rFonts w:ascii="Arial Unicode MS" w:hAnsi="Arial Unicode MS" w:eastAsia="Arial Unicode MS" w:cs="Arial Unicode MS"/>
      <w:b/>
      <w:bCs/>
      <w:color w:val="000000"/>
      <w:kern w:val="0"/>
      <w:sz w:val="32"/>
      <w:szCs w:val="32"/>
    </w:rPr>
  </w:style>
  <w:style w:type="paragraph" w:customStyle="1" w:styleId="286">
    <w:name w:val="xl47"/>
    <w:basedOn w:val="1"/>
    <w:qFormat/>
    <w:uiPriority w:val="0"/>
    <w:pPr>
      <w:widowControl/>
      <w:pBdr>
        <w:left w:val="single" w:color="auto" w:sz="8" w:space="0"/>
        <w:bottom w:val="single" w:color="auto" w:sz="8" w:space="0"/>
        <w:right w:val="single" w:color="auto" w:sz="4" w:space="0"/>
      </w:pBdr>
      <w:spacing w:before="100" w:after="100"/>
      <w:jc w:val="center"/>
    </w:pPr>
    <w:rPr>
      <w:kern w:val="0"/>
      <w:szCs w:val="20"/>
    </w:rPr>
  </w:style>
  <w:style w:type="paragraph" w:customStyle="1" w:styleId="287">
    <w:name w:val="font0"/>
    <w:basedOn w:val="1"/>
    <w:qFormat/>
    <w:uiPriority w:val="0"/>
    <w:pPr>
      <w:widowControl/>
      <w:spacing w:before="100" w:beforeAutospacing="1" w:after="100" w:afterAutospacing="1"/>
      <w:jc w:val="left"/>
    </w:pPr>
    <w:rPr>
      <w:rFonts w:hint="eastAsia" w:ascii="宋体" w:hAnsi="宋体"/>
      <w:kern w:val="0"/>
    </w:rPr>
  </w:style>
  <w:style w:type="paragraph" w:customStyle="1" w:styleId="288">
    <w:name w:val="Char Char Char Char Char Char"/>
    <w:basedOn w:val="1"/>
    <w:qFormat/>
    <w:uiPriority w:val="0"/>
    <w:pPr>
      <w:widowControl/>
      <w:spacing w:after="160" w:line="240" w:lineRule="exact"/>
      <w:ind w:firstLine="602" w:firstLineChars="250"/>
      <w:jc w:val="center"/>
    </w:pPr>
    <w:rPr>
      <w:szCs w:val="20"/>
    </w:rPr>
  </w:style>
  <w:style w:type="paragraph" w:customStyle="1" w:styleId="289">
    <w:name w:val="考核原则"/>
    <w:basedOn w:val="1"/>
    <w:qFormat/>
    <w:uiPriority w:val="0"/>
    <w:pPr>
      <w:ind w:firstLine="600"/>
    </w:pPr>
    <w:rPr>
      <w:sz w:val="30"/>
      <w:szCs w:val="30"/>
    </w:rPr>
  </w:style>
  <w:style w:type="paragraph" w:customStyle="1" w:styleId="290">
    <w:name w:val="表格文字"/>
    <w:basedOn w:val="1"/>
    <w:qFormat/>
    <w:uiPriority w:val="0"/>
    <w:pPr>
      <w:adjustRightInd w:val="0"/>
      <w:spacing w:line="420" w:lineRule="atLeast"/>
      <w:jc w:val="left"/>
      <w:textAlignment w:val="baseline"/>
    </w:pPr>
    <w:rPr>
      <w:kern w:val="0"/>
      <w:szCs w:val="20"/>
    </w:rPr>
  </w:style>
  <w:style w:type="paragraph" w:customStyle="1" w:styleId="291">
    <w:name w:val="Char Char Char Char Char Char Char Char Char1 Char11"/>
    <w:basedOn w:val="1"/>
    <w:qFormat/>
    <w:uiPriority w:val="0"/>
    <w:pPr>
      <w:tabs>
        <w:tab w:val="left" w:pos="360"/>
      </w:tabs>
      <w:spacing w:line="240" w:lineRule="auto"/>
    </w:pPr>
  </w:style>
  <w:style w:type="paragraph" w:customStyle="1" w:styleId="292">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color w:val="000000"/>
      <w:kern w:val="0"/>
      <w:sz w:val="20"/>
      <w:szCs w:val="20"/>
    </w:rPr>
  </w:style>
  <w:style w:type="paragraph" w:customStyle="1" w:styleId="29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20"/>
      <w:szCs w:val="20"/>
    </w:rPr>
  </w:style>
  <w:style w:type="paragraph" w:customStyle="1" w:styleId="294">
    <w:name w:val="Char Char Char"/>
    <w:basedOn w:val="1"/>
    <w:qFormat/>
    <w:uiPriority w:val="0"/>
    <w:pPr>
      <w:ind w:firstLine="200" w:firstLineChars="200"/>
    </w:pPr>
    <w:rPr>
      <w:rFonts w:ascii="宋体" w:hAnsi="宋体" w:cs="宋体"/>
    </w:rPr>
  </w:style>
  <w:style w:type="paragraph" w:customStyle="1" w:styleId="295">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color w:val="000000"/>
      <w:kern w:val="0"/>
    </w:rPr>
  </w:style>
  <w:style w:type="paragraph" w:customStyle="1" w:styleId="296">
    <w:name w:val="正文_7"/>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7">
    <w:name w:val="Char12"/>
    <w:basedOn w:val="1"/>
    <w:qFormat/>
    <w:uiPriority w:val="0"/>
    <w:pPr>
      <w:widowControl/>
      <w:spacing w:after="160" w:line="240" w:lineRule="exact"/>
      <w:jc w:val="left"/>
    </w:pPr>
    <w:rPr>
      <w:rFonts w:ascii="Verdana" w:hAnsi="Verdana"/>
      <w:kern w:val="0"/>
      <w:sz w:val="20"/>
      <w:szCs w:val="20"/>
      <w:lang w:eastAsia="en-US"/>
    </w:rPr>
  </w:style>
  <w:style w:type="paragraph" w:customStyle="1" w:styleId="298">
    <w:name w:val="Section #"/>
    <w:next w:val="279"/>
    <w:qFormat/>
    <w:uiPriority w:val="0"/>
    <w:pPr>
      <w:widowControl w:val="0"/>
      <w:tabs>
        <w:tab w:val="left" w:pos="2636"/>
        <w:tab w:val="left" w:pos="3090"/>
      </w:tabs>
      <w:overflowPunct w:val="0"/>
      <w:autoSpaceDE w:val="0"/>
      <w:autoSpaceDN w:val="0"/>
      <w:adjustRightInd w:val="0"/>
      <w:spacing w:after="113" w:line="340" w:lineRule="atLeast"/>
      <w:jc w:val="center"/>
      <w:textAlignment w:val="baseline"/>
    </w:pPr>
    <w:rPr>
      <w:rFonts w:ascii="Optima" w:hAnsi="Optima" w:eastAsia="宋体" w:cs="Times New Roman"/>
      <w:b/>
      <w:sz w:val="30"/>
      <w:lang w:val="en-US" w:eastAsia="zh-CN" w:bidi="ar-SA"/>
    </w:rPr>
  </w:style>
  <w:style w:type="paragraph" w:customStyle="1" w:styleId="299">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eastAsia="Arial Unicode MS"/>
      <w:color w:val="000000"/>
      <w:kern w:val="0"/>
      <w:sz w:val="20"/>
      <w:szCs w:val="20"/>
    </w:rPr>
  </w:style>
  <w:style w:type="paragraph" w:customStyle="1" w:styleId="300">
    <w:name w:val="样式 标题 3 + 段后: 0.5 行1"/>
    <w:basedOn w:val="6"/>
    <w:qFormat/>
    <w:uiPriority w:val="0"/>
    <w:pPr>
      <w:keepNext w:val="0"/>
      <w:keepLines w:val="0"/>
      <w:adjustRightInd w:val="0"/>
      <w:snapToGrid w:val="0"/>
      <w:spacing w:before="0" w:afterLines="50" w:line="360" w:lineRule="auto"/>
      <w:ind w:left="420" w:firstLine="107"/>
    </w:pPr>
    <w:rPr>
      <w:rFonts w:ascii="仿宋_GB2312" w:eastAsia="仿宋_GB2312" w:cs="宋体"/>
      <w:b w:val="0"/>
      <w:bCs w:val="0"/>
      <w:sz w:val="28"/>
      <w:szCs w:val="28"/>
    </w:rPr>
  </w:style>
  <w:style w:type="paragraph" w:customStyle="1" w:styleId="301">
    <w:name w:val="正文 编号"/>
    <w:basedOn w:val="1"/>
    <w:qFormat/>
    <w:uiPriority w:val="0"/>
    <w:pPr>
      <w:tabs>
        <w:tab w:val="left" w:pos="993"/>
      </w:tabs>
    </w:pPr>
  </w:style>
  <w:style w:type="paragraph" w:customStyle="1" w:styleId="302">
    <w:name w:val="二级条"/>
    <w:next w:val="7"/>
    <w:qFormat/>
    <w:uiPriority w:val="0"/>
    <w:pPr>
      <w:widowControl w:val="0"/>
      <w:spacing w:line="440" w:lineRule="exact"/>
    </w:pPr>
    <w:rPr>
      <w:rFonts w:ascii="宋体" w:hAnsi="Times New Roman" w:eastAsia="宋体" w:cs="Times New Roman"/>
      <w:sz w:val="24"/>
      <w:lang w:val="en-US" w:eastAsia="zh-CN" w:bidi="ar-SA"/>
    </w:rPr>
  </w:style>
  <w:style w:type="paragraph" w:customStyle="1" w:styleId="303">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304">
    <w:name w:val="xl59"/>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305">
    <w:name w:val="cenbold12pt"/>
    <w:basedOn w:val="1"/>
    <w:next w:val="1"/>
    <w:qFormat/>
    <w:uiPriority w:val="0"/>
    <w:pPr>
      <w:widowControl/>
      <w:jc w:val="center"/>
    </w:pPr>
    <w:rPr>
      <w:rFonts w:ascii="Arial" w:hAnsi="Arial"/>
      <w:b/>
      <w:kern w:val="0"/>
      <w:szCs w:val="20"/>
      <w:lang w:val="en-GB" w:eastAsia="en-US"/>
    </w:rPr>
  </w:style>
  <w:style w:type="paragraph" w:customStyle="1" w:styleId="306">
    <w:name w:val="日期1"/>
    <w:basedOn w:val="1"/>
    <w:next w:val="1"/>
    <w:qFormat/>
    <w:uiPriority w:val="0"/>
    <w:pPr>
      <w:autoSpaceDE w:val="0"/>
      <w:autoSpaceDN w:val="0"/>
      <w:adjustRightInd w:val="0"/>
      <w:spacing w:line="315" w:lineRule="atLeast"/>
      <w:textAlignment w:val="baseline"/>
    </w:pPr>
    <w:rPr>
      <w:rFonts w:ascii="黑体" w:eastAsia="黑体"/>
      <w:kern w:val="0"/>
      <w:sz w:val="28"/>
      <w:szCs w:val="20"/>
    </w:rPr>
  </w:style>
  <w:style w:type="paragraph" w:customStyle="1" w:styleId="30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08">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color w:val="000000"/>
      <w:kern w:val="0"/>
      <w:sz w:val="20"/>
      <w:szCs w:val="20"/>
    </w:rPr>
  </w:style>
  <w:style w:type="paragraph" w:customStyle="1" w:styleId="309">
    <w:name w:val="正文  基本样式"/>
    <w:basedOn w:val="1"/>
    <w:qFormat/>
    <w:uiPriority w:val="0"/>
    <w:pPr>
      <w:ind w:left="899" w:leftChars="428" w:firstLine="541"/>
    </w:pPr>
    <w:rPr>
      <w:rFonts w:cs="宋体"/>
      <w:kern w:val="0"/>
      <w:sz w:val="28"/>
      <w:szCs w:val="28"/>
    </w:rPr>
  </w:style>
  <w:style w:type="paragraph" w:customStyle="1" w:styleId="310">
    <w:name w:val="样式 标题 2 + 宋体 段前: 1 行 段后: 1 行"/>
    <w:basedOn w:val="5"/>
    <w:qFormat/>
    <w:uiPriority w:val="0"/>
    <w:pPr>
      <w:adjustRightInd w:val="0"/>
      <w:snapToGrid w:val="0"/>
    </w:pPr>
    <w:rPr>
      <w:rFonts w:ascii="宋体" w:hAnsi="宋体" w:cs="宋体"/>
      <w:sz w:val="30"/>
      <w:szCs w:val="20"/>
    </w:rPr>
  </w:style>
  <w:style w:type="paragraph" w:customStyle="1" w:styleId="311">
    <w:name w:val="Char16"/>
    <w:basedOn w:val="1"/>
    <w:qFormat/>
    <w:uiPriority w:val="0"/>
    <w:pPr>
      <w:widowControl/>
      <w:spacing w:after="160" w:line="240" w:lineRule="exact"/>
      <w:jc w:val="left"/>
    </w:pPr>
    <w:rPr>
      <w:rFonts w:ascii="Verdana" w:hAnsi="Verdana"/>
      <w:kern w:val="0"/>
      <w:sz w:val="20"/>
      <w:szCs w:val="20"/>
      <w:lang w:eastAsia="en-US"/>
    </w:rPr>
  </w:style>
  <w:style w:type="paragraph" w:customStyle="1" w:styleId="312">
    <w:name w:val="xl31"/>
    <w:basedOn w:val="1"/>
    <w:qFormat/>
    <w:uiPriority w:val="0"/>
    <w:pPr>
      <w:widowControl/>
      <w:spacing w:before="100" w:beforeAutospacing="1" w:after="100" w:afterAutospacing="1"/>
      <w:jc w:val="left"/>
      <w:textAlignment w:val="center"/>
    </w:pPr>
    <w:rPr>
      <w:rFonts w:ascii="宋体" w:hAnsi="宋体"/>
      <w:kern w:val="0"/>
      <w:sz w:val="18"/>
      <w:szCs w:val="18"/>
    </w:rPr>
  </w:style>
  <w:style w:type="paragraph" w:customStyle="1" w:styleId="313">
    <w:name w:val="xl62"/>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314">
    <w:name w:val="List Paragraph1"/>
    <w:basedOn w:val="1"/>
    <w:qFormat/>
    <w:uiPriority w:val="0"/>
    <w:pPr>
      <w:ind w:firstLine="420" w:firstLineChars="200"/>
    </w:pPr>
    <w:rPr>
      <w:rFonts w:ascii="Calibri" w:hAnsi="Calibri"/>
      <w:szCs w:val="22"/>
    </w:rPr>
  </w:style>
  <w:style w:type="paragraph" w:styleId="315">
    <w:name w:val="List Paragraph"/>
    <w:basedOn w:val="1"/>
    <w:qFormat/>
    <w:uiPriority w:val="34"/>
    <w:pPr>
      <w:ind w:firstLine="420" w:firstLineChars="200"/>
    </w:pPr>
  </w:style>
  <w:style w:type="paragraph" w:customStyle="1" w:styleId="316">
    <w:name w:val="Char Char Char Char1"/>
    <w:basedOn w:val="1"/>
    <w:qFormat/>
    <w:uiPriority w:val="0"/>
    <w:pPr>
      <w:widowControl/>
      <w:spacing w:after="160" w:line="240" w:lineRule="exact"/>
      <w:ind w:left="652" w:firstLine="505"/>
      <w:jc w:val="left"/>
    </w:pPr>
    <w:rPr>
      <w:sz w:val="21"/>
      <w:szCs w:val="20"/>
    </w:rPr>
  </w:style>
  <w:style w:type="paragraph" w:customStyle="1" w:styleId="317">
    <w:name w:val="Char Char Char Char Char Char Char"/>
    <w:basedOn w:val="1"/>
    <w:qFormat/>
    <w:uiPriority w:val="0"/>
  </w:style>
  <w:style w:type="paragraph" w:customStyle="1" w:styleId="31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rPr>
  </w:style>
  <w:style w:type="paragraph" w:customStyle="1" w:styleId="319">
    <w:name w:val="样式6"/>
    <w:basedOn w:val="1"/>
    <w:qFormat/>
    <w:uiPriority w:val="0"/>
    <w:pPr>
      <w:snapToGrid w:val="0"/>
    </w:pPr>
  </w:style>
  <w:style w:type="paragraph" w:customStyle="1" w:styleId="320">
    <w:name w:val="样式1"/>
    <w:basedOn w:val="17"/>
    <w:qFormat/>
    <w:uiPriority w:val="0"/>
    <w:pPr>
      <w:keepNext/>
      <w:tabs>
        <w:tab w:val="left" w:pos="-120"/>
        <w:tab w:val="left" w:pos="765"/>
        <w:tab w:val="left" w:pos="1140"/>
      </w:tabs>
      <w:adjustRightInd w:val="0"/>
      <w:snapToGrid w:val="0"/>
      <w:spacing w:line="300" w:lineRule="auto"/>
      <w:ind w:left="1140" w:firstLine="480" w:firstLineChars="0"/>
      <w:outlineLvl w:val="3"/>
    </w:pPr>
    <w:rPr>
      <w:rFonts w:ascii="宋体"/>
      <w:kern w:val="0"/>
      <w:sz w:val="24"/>
      <w:szCs w:val="20"/>
    </w:rPr>
  </w:style>
  <w:style w:type="paragraph" w:customStyle="1" w:styleId="321">
    <w:name w:val="Definition List"/>
    <w:basedOn w:val="1"/>
    <w:next w:val="322"/>
    <w:qFormat/>
    <w:uiPriority w:val="0"/>
    <w:pPr>
      <w:autoSpaceDE w:val="0"/>
      <w:autoSpaceDN w:val="0"/>
      <w:adjustRightInd w:val="0"/>
      <w:ind w:left="360"/>
      <w:jc w:val="left"/>
    </w:pPr>
    <w:rPr>
      <w:kern w:val="0"/>
      <w:sz w:val="18"/>
      <w:szCs w:val="20"/>
    </w:rPr>
  </w:style>
  <w:style w:type="paragraph" w:customStyle="1" w:styleId="322">
    <w:name w:val="Definition Term"/>
    <w:basedOn w:val="1"/>
    <w:next w:val="321"/>
    <w:qFormat/>
    <w:uiPriority w:val="0"/>
    <w:pPr>
      <w:autoSpaceDE w:val="0"/>
      <w:autoSpaceDN w:val="0"/>
      <w:adjustRightInd w:val="0"/>
      <w:jc w:val="left"/>
    </w:pPr>
    <w:rPr>
      <w:kern w:val="0"/>
      <w:sz w:val="18"/>
      <w:szCs w:val="20"/>
    </w:rPr>
  </w:style>
  <w:style w:type="paragraph" w:customStyle="1" w:styleId="323">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24">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325">
    <w:name w:val="样式 加粗 居中 首行缩进:  0.74 厘米 行距: 固定值 19 磅"/>
    <w:basedOn w:val="1"/>
    <w:qFormat/>
    <w:uiPriority w:val="0"/>
    <w:pPr>
      <w:spacing w:line="380" w:lineRule="exact"/>
      <w:jc w:val="center"/>
    </w:pPr>
    <w:rPr>
      <w:rFonts w:cs="宋体"/>
      <w:b/>
      <w:bCs/>
      <w:kern w:val="0"/>
      <w:szCs w:val="20"/>
    </w:rPr>
  </w:style>
  <w:style w:type="paragraph" w:customStyle="1" w:styleId="326">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327">
    <w:name w:val="TOC 标题11"/>
    <w:basedOn w:val="4"/>
    <w:next w:val="1"/>
    <w:qFormat/>
    <w:uiPriority w:val="0"/>
    <w:pPr>
      <w:spacing w:line="576" w:lineRule="auto"/>
      <w:jc w:val="both"/>
      <w:outlineLvl w:val="9"/>
    </w:pPr>
    <w:rPr>
      <w:rFonts w:ascii="Calibri" w:hAnsi="Calibri"/>
    </w:rPr>
  </w:style>
  <w:style w:type="paragraph" w:customStyle="1" w:styleId="328">
    <w:name w:val="引用1"/>
    <w:basedOn w:val="1"/>
    <w:next w:val="1"/>
    <w:qFormat/>
    <w:uiPriority w:val="0"/>
    <w:pPr>
      <w:spacing w:line="240" w:lineRule="auto"/>
    </w:pPr>
    <w:rPr>
      <w:rFonts w:ascii="Calibri" w:hAnsi="Calibri" w:cs="Calibri"/>
      <w:i/>
      <w:iCs/>
      <w:color w:val="000000"/>
      <w:sz w:val="21"/>
      <w:szCs w:val="22"/>
    </w:rPr>
  </w:style>
  <w:style w:type="paragraph" w:customStyle="1" w:styleId="329">
    <w:name w:val="_Style 45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330">
    <w:name w:val="xl66"/>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331">
    <w:name w:val="xl48"/>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b/>
      <w:bCs/>
      <w:color w:val="000000"/>
      <w:kern w:val="0"/>
      <w:sz w:val="20"/>
      <w:szCs w:val="20"/>
    </w:rPr>
  </w:style>
  <w:style w:type="paragraph" w:customStyle="1" w:styleId="332">
    <w:name w:val="CM1"/>
    <w:basedOn w:val="333"/>
    <w:next w:val="333"/>
    <w:qFormat/>
    <w:uiPriority w:val="0"/>
    <w:pPr>
      <w:spacing w:line="316" w:lineRule="atLeast"/>
    </w:pPr>
    <w:rPr>
      <w:rFonts w:ascii="..ì." w:eastAsia="..ì." w:cs="Times New Roman"/>
      <w:color w:val="auto"/>
    </w:rPr>
  </w:style>
  <w:style w:type="paragraph" w:customStyle="1" w:styleId="333">
    <w:name w:val="Default"/>
    <w:next w:val="48"/>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4">
    <w:name w:val="样式 标题 2 + Times New Roman 四号 非加粗 段前: 5 磅 段后: 0 磅 行距: 固定值 20..."/>
    <w:basedOn w:val="5"/>
    <w:qFormat/>
    <w:uiPriority w:val="0"/>
    <w:pPr>
      <w:spacing w:before="100" w:line="400" w:lineRule="exact"/>
    </w:pPr>
    <w:rPr>
      <w:rFonts w:ascii="Times New Roman" w:hAnsi="Times New Roman" w:cs="宋体"/>
      <w:b w:val="0"/>
      <w:bCs w:val="0"/>
      <w:sz w:val="28"/>
      <w:szCs w:val="20"/>
    </w:rPr>
  </w:style>
  <w:style w:type="paragraph" w:customStyle="1" w:styleId="335">
    <w:name w:val="样式5"/>
    <w:basedOn w:val="1"/>
    <w:qFormat/>
    <w:uiPriority w:val="0"/>
    <w:pPr>
      <w:snapToGrid w:val="0"/>
      <w:outlineLvl w:val="1"/>
    </w:pPr>
    <w:rPr>
      <w:rFonts w:ascii="宋体" w:hAnsi="宋体"/>
      <w:b/>
      <w:color w:val="000000"/>
      <w:szCs w:val="21"/>
    </w:rPr>
  </w:style>
  <w:style w:type="paragraph" w:customStyle="1" w:styleId="336">
    <w:name w:val="Char Char Char Char Char Char Char Char Char1 Char2"/>
    <w:basedOn w:val="1"/>
    <w:qFormat/>
    <w:uiPriority w:val="0"/>
    <w:pPr>
      <w:tabs>
        <w:tab w:val="left" w:pos="360"/>
      </w:tabs>
    </w:pPr>
  </w:style>
  <w:style w:type="paragraph" w:customStyle="1" w:styleId="337">
    <w:name w:val="xl74"/>
    <w:basedOn w:val="1"/>
    <w:qFormat/>
    <w:uiPriority w:val="0"/>
    <w:pPr>
      <w:widowControl/>
      <w:spacing w:before="100" w:beforeAutospacing="1" w:after="100" w:afterAutospacing="1"/>
      <w:jc w:val="center"/>
    </w:pPr>
    <w:rPr>
      <w:rFonts w:ascii="宋体" w:hAnsi="宋体" w:cs="宋体"/>
      <w:b/>
      <w:bCs/>
      <w:kern w:val="0"/>
      <w:sz w:val="36"/>
      <w:szCs w:val="36"/>
    </w:rPr>
  </w:style>
  <w:style w:type="paragraph" w:customStyle="1" w:styleId="338">
    <w:name w:val="1"/>
    <w:basedOn w:val="1"/>
    <w:qFormat/>
    <w:uiPriority w:val="0"/>
  </w:style>
  <w:style w:type="paragraph" w:customStyle="1" w:styleId="339">
    <w:name w:val="条的编号标题（机动处）"/>
    <w:basedOn w:val="1"/>
    <w:qFormat/>
    <w:uiPriority w:val="0"/>
    <w:rPr>
      <w:rFonts w:ascii="黑体" w:eastAsia="黑体"/>
    </w:rPr>
  </w:style>
  <w:style w:type="paragraph" w:customStyle="1" w:styleId="340">
    <w:name w:val="列项——（一级）"/>
    <w:basedOn w:val="7"/>
    <w:next w:val="7"/>
    <w:qFormat/>
    <w:uiPriority w:val="0"/>
    <w:pPr>
      <w:keepNext w:val="0"/>
      <w:keepLines w:val="0"/>
      <w:spacing w:before="0" w:after="0" w:line="440" w:lineRule="exact"/>
      <w:ind w:left="450" w:leftChars="200" w:hanging="250" w:hangingChars="250"/>
      <w:jc w:val="left"/>
      <w:outlineLvl w:val="9"/>
    </w:pPr>
    <w:rPr>
      <w:rFonts w:eastAsia="宋体"/>
      <w:b w:val="0"/>
      <w:bCs w:val="0"/>
      <w:szCs w:val="20"/>
    </w:rPr>
  </w:style>
  <w:style w:type="paragraph" w:customStyle="1" w:styleId="341">
    <w:name w:val="调研内容"/>
    <w:basedOn w:val="1"/>
    <w:qFormat/>
    <w:uiPriority w:val="0"/>
    <w:rPr>
      <w:szCs w:val="20"/>
    </w:rPr>
  </w:style>
  <w:style w:type="paragraph" w:customStyle="1" w:styleId="342">
    <w:name w:val="标题3"/>
    <w:basedOn w:val="1"/>
    <w:qFormat/>
    <w:uiPriority w:val="0"/>
    <w:pPr>
      <w:ind w:firstLine="560" w:firstLineChars="200"/>
    </w:pPr>
    <w:rPr>
      <w:rFonts w:ascii="宋体" w:hAnsi="宋体"/>
      <w:spacing w:val="20"/>
    </w:rPr>
  </w:style>
  <w:style w:type="paragraph" w:customStyle="1" w:styleId="343">
    <w:name w:val="1名"/>
    <w:basedOn w:val="1"/>
    <w:qFormat/>
    <w:uiPriority w:val="0"/>
    <w:pPr>
      <w:tabs>
        <w:tab w:val="left" w:pos="2700"/>
      </w:tabs>
      <w:spacing w:before="120"/>
      <w:ind w:left="2700" w:hanging="1350"/>
    </w:pPr>
    <w:rPr>
      <w:rFonts w:ascii="宋体"/>
      <w:sz w:val="28"/>
    </w:rPr>
  </w:style>
  <w:style w:type="paragraph" w:customStyle="1" w:styleId="344">
    <w:name w:val="Char1"/>
    <w:basedOn w:val="21"/>
    <w:next w:val="3"/>
    <w:qFormat/>
    <w:uiPriority w:val="0"/>
    <w:rPr>
      <w:rFonts w:ascii="Tahoma" w:hAnsi="Tahoma"/>
      <w:sz w:val="24"/>
    </w:rPr>
  </w:style>
  <w:style w:type="paragraph" w:customStyle="1" w:styleId="345">
    <w:name w:val="_Style 451"/>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346">
    <w:name w:val="Non Heading 2"/>
    <w:basedOn w:val="5"/>
    <w:qFormat/>
    <w:uiPriority w:val="0"/>
    <w:pPr>
      <w:keepLines w:val="0"/>
      <w:widowControl/>
      <w:tabs>
        <w:tab w:val="left" w:pos="360"/>
      </w:tabs>
      <w:spacing w:before="60" w:after="120" w:line="240" w:lineRule="auto"/>
      <w:ind w:left="1080" w:hanging="360"/>
      <w:jc w:val="left"/>
      <w:outlineLvl w:val="9"/>
    </w:pPr>
    <w:rPr>
      <w:rFonts w:ascii="Times New Roman" w:hAnsi="Times New Roman"/>
      <w:b w:val="0"/>
      <w:bCs w:val="0"/>
      <w:szCs w:val="24"/>
    </w:rPr>
  </w:style>
  <w:style w:type="paragraph" w:customStyle="1" w:styleId="347">
    <w:name w:val="xl4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olor w:val="000000"/>
      <w:kern w:val="0"/>
      <w:sz w:val="20"/>
      <w:szCs w:val="20"/>
    </w:rPr>
  </w:style>
  <w:style w:type="paragraph" w:customStyle="1" w:styleId="348">
    <w:name w:val="样式 标题 1 + 黑体 三号 非加粗 居中 段前: 6 磅 段后: 6 磅 行距: 固定值 20 磅"/>
    <w:basedOn w:val="4"/>
    <w:qFormat/>
    <w:uiPriority w:val="0"/>
    <w:pPr>
      <w:spacing w:before="120" w:after="120" w:line="400" w:lineRule="exact"/>
    </w:pPr>
    <w:rPr>
      <w:rFonts w:ascii="黑体" w:hAnsi="黑体" w:eastAsia="黑体" w:cs="宋体"/>
      <w:b w:val="0"/>
      <w:bCs w:val="0"/>
      <w:sz w:val="32"/>
      <w:szCs w:val="20"/>
    </w:rPr>
  </w:style>
  <w:style w:type="paragraph" w:customStyle="1" w:styleId="349">
    <w:name w:val="8"/>
    <w:basedOn w:val="350"/>
    <w:qFormat/>
    <w:uiPriority w:val="0"/>
    <w:rPr>
      <w:sz w:val="16"/>
    </w:rPr>
  </w:style>
  <w:style w:type="paragraph" w:customStyle="1" w:styleId="350">
    <w:name w:val="0"/>
    <w:qFormat/>
    <w:uiPriority w:val="0"/>
    <w:pPr>
      <w:spacing w:before="40"/>
    </w:pPr>
    <w:rPr>
      <w:rFonts w:ascii="Arial" w:hAnsi="Arial" w:eastAsia="宋体" w:cs="Times New Roman"/>
      <w:sz w:val="18"/>
      <w:lang w:val="en-US" w:eastAsia="en-US" w:bidi="ar-SA"/>
    </w:rPr>
  </w:style>
  <w:style w:type="paragraph" w:customStyle="1" w:styleId="351">
    <w:name w:val="表标题"/>
    <w:basedOn w:val="16"/>
    <w:qFormat/>
    <w:uiPriority w:val="0"/>
    <w:pPr>
      <w:tabs>
        <w:tab w:val="clear" w:pos="1680"/>
      </w:tabs>
      <w:autoSpaceDE w:val="0"/>
      <w:autoSpaceDN w:val="0"/>
      <w:adjustRightInd w:val="0"/>
      <w:ind w:left="0" w:firstLine="504" w:firstLineChars="210"/>
    </w:pPr>
    <w:rPr>
      <w:rFonts w:eastAsia="仿宋_GB2312"/>
      <w:color w:val="auto"/>
      <w:kern w:val="0"/>
    </w:rPr>
  </w:style>
  <w:style w:type="paragraph" w:customStyle="1" w:styleId="352">
    <w:name w:val="xl6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353">
    <w:name w:val="Char Char Char Char Char Char Char Char Char1 Char"/>
    <w:basedOn w:val="1"/>
    <w:qFormat/>
    <w:uiPriority w:val="0"/>
    <w:pPr>
      <w:tabs>
        <w:tab w:val="left" w:pos="360"/>
      </w:tabs>
    </w:pPr>
  </w:style>
  <w:style w:type="paragraph" w:customStyle="1" w:styleId="354">
    <w:name w:val="xl76"/>
    <w:basedOn w:val="1"/>
    <w:qFormat/>
    <w:uiPriority w:val="0"/>
    <w:pPr>
      <w:widowControl/>
      <w:pBdr>
        <w:bottom w:val="single" w:color="auto" w:sz="4" w:space="0"/>
      </w:pBdr>
      <w:spacing w:before="100" w:beforeAutospacing="1" w:after="100" w:afterAutospacing="1"/>
      <w:jc w:val="center"/>
      <w:textAlignment w:val="bottom"/>
    </w:pPr>
    <w:rPr>
      <w:rFonts w:ascii="宋体" w:hAnsi="宋体" w:cs="宋体"/>
      <w:kern w:val="0"/>
      <w:sz w:val="20"/>
      <w:szCs w:val="20"/>
    </w:rPr>
  </w:style>
  <w:style w:type="paragraph" w:customStyle="1" w:styleId="355">
    <w:name w:val="Char31"/>
    <w:basedOn w:val="1"/>
    <w:qFormat/>
    <w:uiPriority w:val="0"/>
    <w:pPr>
      <w:spacing w:line="240" w:lineRule="auto"/>
    </w:pPr>
    <w:rPr>
      <w:sz w:val="21"/>
    </w:rPr>
  </w:style>
  <w:style w:type="paragraph" w:customStyle="1" w:styleId="356">
    <w:name w:val="Char Char Char Char Char Char1 Char2"/>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357">
    <w:name w:val="p4"/>
    <w:basedOn w:val="1"/>
    <w:qFormat/>
    <w:uiPriority w:val="0"/>
    <w:pPr>
      <w:tabs>
        <w:tab w:val="left" w:pos="780"/>
      </w:tabs>
      <w:spacing w:line="280" w:lineRule="atLeast"/>
      <w:ind w:left="660"/>
    </w:pPr>
    <w:rPr>
      <w:rFonts w:eastAsia="Times New Roman"/>
      <w:snapToGrid w:val="0"/>
      <w:kern w:val="0"/>
      <w:szCs w:val="20"/>
      <w:lang w:eastAsia="en-US"/>
    </w:rPr>
  </w:style>
  <w:style w:type="paragraph" w:customStyle="1" w:styleId="358">
    <w:name w:val="六级标题样式"/>
    <w:basedOn w:val="1"/>
    <w:qFormat/>
    <w:uiPriority w:val="0"/>
    <w:pPr>
      <w:ind w:firstLine="482" w:firstLineChars="200"/>
      <w:jc w:val="left"/>
      <w:outlineLvl w:val="5"/>
    </w:pPr>
    <w:rPr>
      <w:color w:val="5F497A"/>
      <w:kern w:val="0"/>
    </w:rPr>
  </w:style>
  <w:style w:type="paragraph" w:customStyle="1" w:styleId="359">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rPr>
  </w:style>
  <w:style w:type="paragraph" w:customStyle="1" w:styleId="360">
    <w:name w:val="Char Char Char Char11"/>
    <w:basedOn w:val="1"/>
    <w:qFormat/>
    <w:uiPriority w:val="0"/>
    <w:pPr>
      <w:widowControl/>
      <w:spacing w:after="160" w:line="240" w:lineRule="exact"/>
      <w:ind w:left="652" w:firstLine="505"/>
      <w:jc w:val="left"/>
    </w:pPr>
    <w:rPr>
      <w:sz w:val="21"/>
      <w:szCs w:val="20"/>
    </w:rPr>
  </w:style>
  <w:style w:type="paragraph" w:customStyle="1" w:styleId="361">
    <w:name w:val="Char Char Char Char Char Char Char Char Char Char"/>
    <w:basedOn w:val="1"/>
    <w:qFormat/>
    <w:uiPriority w:val="0"/>
    <w:pPr>
      <w:tabs>
        <w:tab w:val="left" w:pos="360"/>
      </w:tabs>
      <w:ind w:left="360" w:hanging="360" w:hangingChars="200"/>
    </w:pPr>
    <w:rPr>
      <w:szCs w:val="20"/>
    </w:rPr>
  </w:style>
  <w:style w:type="paragraph" w:customStyle="1" w:styleId="362">
    <w:name w:val="样式2"/>
    <w:basedOn w:val="2"/>
    <w:qFormat/>
    <w:uiPriority w:val="0"/>
    <w:pPr>
      <w:jc w:val="center"/>
    </w:pPr>
    <w:rPr>
      <w:rFonts w:hAnsi="宋体"/>
      <w:szCs w:val="24"/>
    </w:rPr>
  </w:style>
  <w:style w:type="paragraph" w:customStyle="1" w:styleId="363">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b/>
      <w:bCs/>
      <w:color w:val="000000"/>
      <w:kern w:val="0"/>
      <w:sz w:val="20"/>
      <w:szCs w:val="20"/>
    </w:rPr>
  </w:style>
  <w:style w:type="paragraph" w:customStyle="1" w:styleId="364">
    <w:name w:val="Char Char Char Char3"/>
    <w:basedOn w:val="1"/>
    <w:qFormat/>
    <w:uiPriority w:val="0"/>
    <w:pPr>
      <w:widowControl/>
      <w:spacing w:after="160" w:line="240" w:lineRule="exact"/>
      <w:ind w:left="652" w:firstLine="505"/>
      <w:jc w:val="left"/>
    </w:pPr>
    <w:rPr>
      <w:szCs w:val="20"/>
    </w:rPr>
  </w:style>
  <w:style w:type="paragraph" w:customStyle="1" w:styleId="365">
    <w:name w:val="z-窗体顶端1"/>
    <w:basedOn w:val="1"/>
    <w:next w:val="1"/>
    <w:qFormat/>
    <w:uiPriority w:val="0"/>
    <w:pPr>
      <w:pBdr>
        <w:bottom w:val="single" w:color="auto" w:sz="6" w:space="1"/>
      </w:pBdr>
      <w:jc w:val="center"/>
    </w:pPr>
    <w:rPr>
      <w:rFonts w:ascii="Arial" w:hAnsi="Arial" w:cs="Arial"/>
      <w:vanish/>
      <w:sz w:val="16"/>
      <w:szCs w:val="16"/>
    </w:rPr>
  </w:style>
  <w:style w:type="paragraph" w:customStyle="1" w:styleId="366">
    <w:name w:val="修订111"/>
    <w:qFormat/>
    <w:uiPriority w:val="0"/>
    <w:rPr>
      <w:rFonts w:ascii="Times New Roman" w:hAnsi="Times New Roman" w:eastAsia="宋体" w:cs="Times New Roman"/>
      <w:kern w:val="2"/>
      <w:sz w:val="21"/>
      <w:szCs w:val="24"/>
      <w:lang w:val="en-US" w:eastAsia="zh-CN" w:bidi="ar-SA"/>
    </w:rPr>
  </w:style>
  <w:style w:type="paragraph" w:customStyle="1" w:styleId="367">
    <w:name w:val="样式 标题 3 + 四号 蓝色 行距: 1.5 倍行距"/>
    <w:basedOn w:val="6"/>
    <w:next w:val="40"/>
    <w:qFormat/>
    <w:uiPriority w:val="0"/>
    <w:pPr>
      <w:spacing w:before="0" w:after="0" w:line="360" w:lineRule="auto"/>
    </w:pPr>
    <w:rPr>
      <w:rFonts w:cs="宋体"/>
      <w:color w:val="0000FF"/>
      <w:kern w:val="2"/>
      <w:sz w:val="28"/>
      <w:szCs w:val="20"/>
    </w:rPr>
  </w:style>
  <w:style w:type="paragraph" w:customStyle="1" w:styleId="368">
    <w:name w:val="样式3"/>
    <w:basedOn w:val="1"/>
    <w:qFormat/>
    <w:uiPriority w:val="0"/>
    <w:pPr>
      <w:numPr>
        <w:ilvl w:val="0"/>
        <w:numId w:val="1"/>
      </w:numPr>
      <w:jc w:val="left"/>
    </w:pPr>
  </w:style>
  <w:style w:type="paragraph" w:customStyle="1" w:styleId="369">
    <w:name w:val="p5"/>
    <w:basedOn w:val="1"/>
    <w:qFormat/>
    <w:uiPriority w:val="0"/>
    <w:pPr>
      <w:tabs>
        <w:tab w:val="left" w:pos="1080"/>
      </w:tabs>
      <w:spacing w:line="280" w:lineRule="atLeast"/>
      <w:ind w:left="288" w:hanging="432"/>
    </w:pPr>
    <w:rPr>
      <w:rFonts w:eastAsia="Times New Roman"/>
      <w:snapToGrid w:val="0"/>
      <w:kern w:val="0"/>
      <w:szCs w:val="20"/>
      <w:lang w:eastAsia="en-US"/>
    </w:rPr>
  </w:style>
  <w:style w:type="paragraph" w:customStyle="1" w:styleId="370">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371">
    <w:name w:val="ColumnHeadingCen"/>
    <w:basedOn w:val="372"/>
    <w:qFormat/>
    <w:uiPriority w:val="0"/>
    <w:pPr>
      <w:jc w:val="center"/>
    </w:pPr>
  </w:style>
  <w:style w:type="paragraph" w:customStyle="1" w:styleId="372">
    <w:name w:val="ColumnHeading"/>
    <w:basedOn w:val="1"/>
    <w:qFormat/>
    <w:uiPriority w:val="0"/>
    <w:pPr>
      <w:widowControl/>
      <w:spacing w:before="60" w:after="60"/>
      <w:ind w:left="187"/>
      <w:jc w:val="left"/>
    </w:pPr>
    <w:rPr>
      <w:rFonts w:ascii="Arial" w:hAnsi="Arial"/>
      <w:kern w:val="0"/>
      <w:sz w:val="14"/>
      <w:szCs w:val="20"/>
      <w:lang w:eastAsia="en-US"/>
    </w:rPr>
  </w:style>
  <w:style w:type="paragraph" w:customStyle="1" w:styleId="373">
    <w:name w:val="Char3"/>
    <w:basedOn w:val="1"/>
    <w:qFormat/>
    <w:uiPriority w:val="0"/>
    <w:pPr>
      <w:spacing w:line="240" w:lineRule="auto"/>
    </w:pPr>
    <w:rPr>
      <w:sz w:val="21"/>
    </w:rPr>
  </w:style>
  <w:style w:type="paragraph" w:customStyle="1" w:styleId="374">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b/>
      <w:bCs/>
      <w:color w:val="000000"/>
      <w:kern w:val="0"/>
      <w:sz w:val="20"/>
      <w:szCs w:val="20"/>
    </w:rPr>
  </w:style>
  <w:style w:type="paragraph" w:customStyle="1" w:styleId="375">
    <w:name w:val="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76">
    <w:name w:val="Char Char Char Char Char Char1 Char"/>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377">
    <w:name w:val="Char2"/>
    <w:basedOn w:val="1"/>
    <w:qFormat/>
    <w:uiPriority w:val="0"/>
    <w:pPr>
      <w:ind w:firstLine="200" w:firstLineChars="200"/>
    </w:pPr>
    <w:rPr>
      <w:rFonts w:ascii="宋体" w:hAnsi="宋体" w:cs="宋体"/>
    </w:rPr>
  </w:style>
  <w:style w:type="paragraph" w:customStyle="1" w:styleId="378">
    <w:name w:val="无间隔2"/>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79">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380">
    <w:name w:val="TOC 标题1"/>
    <w:basedOn w:val="4"/>
    <w:next w:val="1"/>
    <w:qFormat/>
    <w:uiPriority w:val="0"/>
    <w:pPr>
      <w:spacing w:line="576" w:lineRule="auto"/>
      <w:outlineLvl w:val="9"/>
    </w:pPr>
    <w:rPr>
      <w:rFonts w:ascii="Calibri" w:hAnsi="Calibri"/>
    </w:rPr>
  </w:style>
  <w:style w:type="paragraph" w:customStyle="1" w:styleId="381">
    <w:name w:val="修订1"/>
    <w:qFormat/>
    <w:uiPriority w:val="99"/>
    <w:rPr>
      <w:rFonts w:ascii="Times New Roman" w:hAnsi="Times New Roman" w:eastAsia="宋体" w:cs="Times New Roman"/>
      <w:kern w:val="2"/>
      <w:sz w:val="21"/>
      <w:szCs w:val="24"/>
      <w:lang w:val="en-US" w:eastAsia="zh-CN" w:bidi="ar-SA"/>
    </w:rPr>
  </w:style>
  <w:style w:type="paragraph" w:customStyle="1" w:styleId="382">
    <w:name w:val="_Style 9"/>
    <w:basedOn w:val="1"/>
    <w:qFormat/>
    <w:uiPriority w:val="34"/>
    <w:pPr>
      <w:ind w:firstLine="420" w:firstLineChars="200"/>
    </w:pPr>
    <w:rPr>
      <w:szCs w:val="21"/>
    </w:rPr>
  </w:style>
  <w:style w:type="paragraph" w:customStyle="1" w:styleId="383">
    <w:name w:val="font8"/>
    <w:basedOn w:val="1"/>
    <w:qFormat/>
    <w:uiPriority w:val="0"/>
    <w:pPr>
      <w:widowControl/>
      <w:spacing w:before="100" w:beforeAutospacing="1" w:after="100" w:afterAutospacing="1"/>
      <w:jc w:val="left"/>
    </w:pPr>
    <w:rPr>
      <w:rFonts w:eastAsia="Arial Unicode MS"/>
      <w:color w:val="000000"/>
      <w:kern w:val="0"/>
      <w:sz w:val="20"/>
      <w:szCs w:val="20"/>
    </w:rPr>
  </w:style>
  <w:style w:type="paragraph" w:customStyle="1" w:styleId="384">
    <w:name w:val="纯文本1"/>
    <w:basedOn w:val="1"/>
    <w:qFormat/>
    <w:uiPriority w:val="0"/>
    <w:pPr>
      <w:adjustRightInd w:val="0"/>
      <w:jc w:val="left"/>
      <w:textAlignment w:val="baseline"/>
    </w:pPr>
    <w:rPr>
      <w:rFonts w:ascii="宋体" w:hAnsi="Courier New"/>
      <w:szCs w:val="20"/>
    </w:rPr>
  </w:style>
  <w:style w:type="paragraph" w:customStyle="1" w:styleId="385">
    <w:name w:val="Char Char Char Char Char Char Char2"/>
    <w:basedOn w:val="1"/>
    <w:qFormat/>
    <w:uiPriority w:val="0"/>
  </w:style>
  <w:style w:type="paragraph" w:customStyle="1" w:styleId="386">
    <w:name w:val="样式 标题 3Pierre_1.1.1 + 段前: 0.5 行 段后: 0.5 行"/>
    <w:basedOn w:val="6"/>
    <w:qFormat/>
    <w:uiPriority w:val="0"/>
    <w:pPr>
      <w:spacing w:beforeLines="50" w:afterLines="50" w:line="312" w:lineRule="auto"/>
    </w:pPr>
    <w:rPr>
      <w:rFonts w:eastAsia="仿宋_GB2312" w:cs="宋体"/>
      <w:sz w:val="28"/>
      <w:szCs w:val="20"/>
    </w:rPr>
  </w:style>
  <w:style w:type="paragraph" w:customStyle="1" w:styleId="38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88">
    <w:name w:val="Non Heading 3"/>
    <w:basedOn w:val="6"/>
    <w:qFormat/>
    <w:uiPriority w:val="0"/>
    <w:pPr>
      <w:keepNext w:val="0"/>
      <w:keepLines w:val="0"/>
      <w:widowControl/>
      <w:tabs>
        <w:tab w:val="left" w:pos="360"/>
      </w:tabs>
      <w:spacing w:before="60" w:after="120" w:line="240" w:lineRule="auto"/>
      <w:ind w:left="720" w:hanging="720"/>
      <w:jc w:val="left"/>
      <w:outlineLvl w:val="9"/>
    </w:pPr>
    <w:rPr>
      <w:b w:val="0"/>
      <w:bCs w:val="0"/>
      <w:sz w:val="24"/>
      <w:szCs w:val="24"/>
    </w:rPr>
  </w:style>
  <w:style w:type="paragraph" w:customStyle="1" w:styleId="389">
    <w:name w:val="一级条标题"/>
    <w:next w:val="302"/>
    <w:qFormat/>
    <w:uiPriority w:val="0"/>
    <w:pPr>
      <w:widowControl w:val="0"/>
      <w:spacing w:line="440" w:lineRule="exact"/>
      <w:ind w:left="826"/>
      <w:outlineLvl w:val="1"/>
    </w:pPr>
    <w:rPr>
      <w:rFonts w:ascii="宋体" w:hAnsi="Times New Roman" w:eastAsia="宋体" w:cs="Times New Roman"/>
      <w:sz w:val="24"/>
      <w:lang w:val="en-US" w:eastAsia="zh-CN" w:bidi="ar-SA"/>
    </w:rPr>
  </w:style>
  <w:style w:type="paragraph" w:customStyle="1" w:styleId="390">
    <w:name w:val="普通(网站)1"/>
    <w:basedOn w:val="1"/>
    <w:qFormat/>
    <w:uiPriority w:val="0"/>
    <w:pPr>
      <w:widowControl/>
      <w:spacing w:before="100" w:beforeAutospacing="1" w:after="100" w:afterAutospacing="1" w:line="240" w:lineRule="auto"/>
      <w:jc w:val="left"/>
    </w:pPr>
    <w:rPr>
      <w:rFonts w:ascii="宋体" w:hAnsi="宋体"/>
      <w:kern w:val="0"/>
      <w:szCs w:val="20"/>
    </w:rPr>
  </w:style>
  <w:style w:type="paragraph" w:customStyle="1" w:styleId="391">
    <w:name w:val="7-1主题词"/>
    <w:basedOn w:val="1"/>
    <w:qFormat/>
    <w:uiPriority w:val="0"/>
    <w:pPr>
      <w:adjustRightInd w:val="0"/>
      <w:snapToGrid w:val="0"/>
      <w:spacing w:line="540" w:lineRule="exact"/>
    </w:pPr>
    <w:rPr>
      <w:rFonts w:ascii="黑体" w:eastAsia="黑体"/>
      <w:b/>
      <w:spacing w:val="-4"/>
      <w:sz w:val="32"/>
      <w:szCs w:val="32"/>
    </w:rPr>
  </w:style>
  <w:style w:type="paragraph" w:customStyle="1" w:styleId="392">
    <w:name w:val="p11"/>
    <w:basedOn w:val="1"/>
    <w:qFormat/>
    <w:uiPriority w:val="0"/>
    <w:pPr>
      <w:tabs>
        <w:tab w:val="left" w:pos="1620"/>
        <w:tab w:val="left" w:pos="1940"/>
      </w:tabs>
      <w:spacing w:line="280" w:lineRule="atLeast"/>
      <w:ind w:left="432" w:hanging="288"/>
      <w:jc w:val="left"/>
    </w:pPr>
    <w:rPr>
      <w:rFonts w:eastAsia="Times New Roman"/>
      <w:snapToGrid w:val="0"/>
      <w:kern w:val="0"/>
      <w:szCs w:val="20"/>
      <w:lang w:eastAsia="en-US"/>
    </w:rPr>
  </w:style>
  <w:style w:type="paragraph" w:customStyle="1" w:styleId="39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b/>
      <w:bCs/>
      <w:color w:val="000000"/>
      <w:kern w:val="0"/>
      <w:sz w:val="20"/>
      <w:szCs w:val="20"/>
    </w:rPr>
  </w:style>
  <w:style w:type="paragraph" w:customStyle="1" w:styleId="394">
    <w:name w:val="样式 首行缩进:  2 字符"/>
    <w:basedOn w:val="1"/>
    <w:qFormat/>
    <w:uiPriority w:val="0"/>
    <w:pPr>
      <w:ind w:firstLine="600" w:firstLineChars="200"/>
    </w:pPr>
    <w:rPr>
      <w:rFonts w:cs="宋体"/>
      <w:sz w:val="28"/>
      <w:szCs w:val="20"/>
    </w:rPr>
  </w:style>
  <w:style w:type="paragraph" w:customStyle="1" w:styleId="395">
    <w:name w:val="xl49"/>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b/>
      <w:bCs/>
      <w:color w:val="000000"/>
      <w:kern w:val="0"/>
      <w:sz w:val="20"/>
      <w:szCs w:val="20"/>
    </w:rPr>
  </w:style>
  <w:style w:type="paragraph" w:customStyle="1" w:styleId="396">
    <w:name w:val="_Style 394"/>
    <w:qFormat/>
    <w:uiPriority w:val="99"/>
    <w:rPr>
      <w:rFonts w:ascii="Times New Roman" w:hAnsi="Times New Roman" w:eastAsia="宋体" w:cs="Times New Roman"/>
      <w:kern w:val="2"/>
      <w:sz w:val="24"/>
      <w:szCs w:val="24"/>
      <w:lang w:val="en-US" w:eastAsia="zh-CN" w:bidi="ar-SA"/>
    </w:rPr>
  </w:style>
  <w:style w:type="paragraph" w:customStyle="1" w:styleId="397">
    <w:name w:val="font9"/>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398">
    <w:name w:val="xl69"/>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399">
    <w:name w:val="cenbold10pt"/>
    <w:basedOn w:val="1"/>
    <w:next w:val="1"/>
    <w:qFormat/>
    <w:uiPriority w:val="0"/>
    <w:pPr>
      <w:widowControl/>
      <w:suppressAutoHyphens/>
      <w:jc w:val="center"/>
    </w:pPr>
    <w:rPr>
      <w:rFonts w:ascii="Arial" w:hAnsi="Arial"/>
      <w:b/>
      <w:kern w:val="0"/>
      <w:sz w:val="20"/>
      <w:szCs w:val="20"/>
      <w:lang w:val="en-GB" w:eastAsia="en-US"/>
    </w:rPr>
  </w:style>
  <w:style w:type="paragraph" w:customStyle="1" w:styleId="400">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1">
    <w:name w:val="样式 标题 1 + 五号 自动设置 段前: 0 磅 段后: 0 磅 行距: 固定值 19 磅"/>
    <w:basedOn w:val="4"/>
    <w:qFormat/>
    <w:uiPriority w:val="0"/>
    <w:pPr>
      <w:spacing w:line="380" w:lineRule="exact"/>
    </w:pPr>
    <w:rPr>
      <w:rFonts w:ascii="宋体" w:hAnsi="宋体" w:cs="宋体"/>
      <w:kern w:val="0"/>
      <w:sz w:val="21"/>
    </w:rPr>
  </w:style>
  <w:style w:type="paragraph" w:customStyle="1" w:styleId="40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rPr>
  </w:style>
  <w:style w:type="paragraph" w:customStyle="1" w:styleId="403">
    <w:name w:val="TextFormField"/>
    <w:basedOn w:val="1"/>
    <w:qFormat/>
    <w:uiPriority w:val="0"/>
    <w:pPr>
      <w:widowControl/>
      <w:spacing w:before="60" w:after="20"/>
      <w:ind w:left="187"/>
      <w:jc w:val="left"/>
    </w:pPr>
    <w:rPr>
      <w:rFonts w:ascii="Arial" w:hAnsi="Arial"/>
      <w:kern w:val="0"/>
      <w:sz w:val="16"/>
      <w:szCs w:val="20"/>
      <w:lang w:eastAsia="en-US"/>
    </w:rPr>
  </w:style>
  <w:style w:type="paragraph" w:customStyle="1" w:styleId="404">
    <w:name w:val="样式4"/>
    <w:basedOn w:val="17"/>
    <w:qFormat/>
    <w:uiPriority w:val="0"/>
    <w:pPr>
      <w:ind w:firstLine="0" w:firstLineChars="0"/>
    </w:pPr>
    <w:rPr>
      <w:rFonts w:ascii="宋体" w:hAnsi="宋体"/>
      <w:color w:val="000000"/>
      <w:sz w:val="24"/>
      <w:szCs w:val="20"/>
    </w:rPr>
  </w:style>
  <w:style w:type="paragraph" w:customStyle="1" w:styleId="405">
    <w:name w:val="样式 样式 首行缩进:  2 字符 + 首行缩进:  2 字符"/>
    <w:basedOn w:val="1"/>
    <w:qFormat/>
    <w:uiPriority w:val="0"/>
    <w:rPr>
      <w:rFonts w:cs="宋体"/>
    </w:rPr>
  </w:style>
  <w:style w:type="paragraph" w:customStyle="1" w:styleId="406">
    <w:name w:val="样式 表格 + (符号) 宋体"/>
    <w:basedOn w:val="407"/>
    <w:qFormat/>
    <w:uiPriority w:val="0"/>
    <w:pPr>
      <w:adjustRightInd w:val="0"/>
      <w:snapToGrid w:val="0"/>
      <w:jc w:val="both"/>
      <w:textAlignment w:val="auto"/>
    </w:pPr>
    <w:rPr>
      <w:rFonts w:ascii="宋体" w:hAnsi="Courier New" w:cs="Courier New"/>
      <w:kern w:val="2"/>
      <w:szCs w:val="21"/>
    </w:rPr>
  </w:style>
  <w:style w:type="paragraph" w:customStyle="1" w:styleId="407">
    <w:name w:val="表格"/>
    <w:basedOn w:val="1"/>
    <w:qFormat/>
    <w:uiPriority w:val="0"/>
    <w:pPr>
      <w:jc w:val="center"/>
      <w:textAlignment w:val="center"/>
    </w:pPr>
    <w:rPr>
      <w:rFonts w:ascii="华文细黑" w:hAnsi="华文细黑"/>
      <w:kern w:val="0"/>
      <w:szCs w:val="20"/>
    </w:rPr>
  </w:style>
  <w:style w:type="paragraph" w:customStyle="1" w:styleId="408">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b/>
      <w:bCs/>
      <w:color w:val="000000"/>
      <w:kern w:val="0"/>
      <w:sz w:val="20"/>
      <w:szCs w:val="20"/>
    </w:rPr>
  </w:style>
  <w:style w:type="paragraph" w:customStyle="1" w:styleId="409">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410">
    <w:name w:val="Char Char Char Char Char Char1 Char12"/>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411">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宋体" w:eastAsia="黑体" w:cs="宋体"/>
      <w:kern w:val="0"/>
      <w:sz w:val="16"/>
      <w:szCs w:val="16"/>
    </w:rPr>
  </w:style>
  <w:style w:type="paragraph" w:customStyle="1" w:styleId="412">
    <w:name w:val="样式 宋体 行距: 固定值 19 磅"/>
    <w:basedOn w:val="1"/>
    <w:qFormat/>
    <w:uiPriority w:val="0"/>
    <w:pPr>
      <w:spacing w:line="380" w:lineRule="exact"/>
      <w:ind w:firstLine="200" w:firstLineChars="200"/>
    </w:pPr>
    <w:rPr>
      <w:rFonts w:ascii="宋体" w:hAnsi="宋体" w:cs="宋体"/>
      <w:kern w:val="0"/>
      <w:szCs w:val="20"/>
    </w:rPr>
  </w:style>
  <w:style w:type="paragraph" w:customStyle="1" w:styleId="413">
    <w:name w:val="样式 样式 纯文本 + 仿宋_GB2312 四号 行距: 固定值 22 磅 + 宋体"/>
    <w:basedOn w:val="1"/>
    <w:qFormat/>
    <w:uiPriority w:val="0"/>
    <w:pPr>
      <w:adjustRightInd w:val="0"/>
      <w:snapToGrid w:val="0"/>
      <w:spacing w:beforeLines="50" w:after="100"/>
      <w:ind w:left="241"/>
    </w:pPr>
    <w:rPr>
      <w:rFonts w:ascii="宋体" w:hAnsi="宋体"/>
      <w:bCs/>
      <w:color w:val="000000"/>
      <w:szCs w:val="48"/>
    </w:rPr>
  </w:style>
  <w:style w:type="paragraph" w:customStyle="1" w:styleId="41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15">
    <w:name w:val="Char14"/>
    <w:basedOn w:val="1"/>
    <w:qFormat/>
    <w:uiPriority w:val="0"/>
    <w:pPr>
      <w:widowControl/>
      <w:spacing w:after="160" w:line="240" w:lineRule="exact"/>
      <w:jc w:val="left"/>
    </w:pPr>
    <w:rPr>
      <w:rFonts w:ascii="Verdana" w:hAnsi="Verdana"/>
      <w:kern w:val="0"/>
      <w:sz w:val="20"/>
      <w:szCs w:val="20"/>
      <w:lang w:eastAsia="en-US"/>
    </w:rPr>
  </w:style>
  <w:style w:type="paragraph" w:customStyle="1" w:styleId="416">
    <w:name w:val="样式 样式 标题 1 + 五号 非加粗 自动设置 两端对齐 段前: 0 磅 段后: 0 磅 行距: 固定值 19 磅 + 左侧:..."/>
    <w:basedOn w:val="280"/>
    <w:qFormat/>
    <w:uiPriority w:val="0"/>
    <w:pPr>
      <w:ind w:left="0" w:leftChars="0" w:right="0" w:rightChars="0" w:firstLine="420"/>
    </w:pPr>
  </w:style>
  <w:style w:type="paragraph" w:styleId="417">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18">
    <w:name w:val="Indent 2"/>
    <w:basedOn w:val="1"/>
    <w:qFormat/>
    <w:uiPriority w:val="0"/>
    <w:pPr>
      <w:widowControl/>
      <w:ind w:left="1134" w:hanging="567"/>
    </w:pPr>
    <w:rPr>
      <w:kern w:val="0"/>
      <w:sz w:val="20"/>
      <w:szCs w:val="20"/>
      <w:lang w:val="en-GB" w:eastAsia="en-US"/>
    </w:rPr>
  </w:style>
  <w:style w:type="paragraph" w:customStyle="1" w:styleId="419">
    <w:name w:val="xl6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420">
    <w:name w:val="xl63"/>
    <w:basedOn w:val="1"/>
    <w:qFormat/>
    <w:uiPriority w:val="0"/>
    <w:pPr>
      <w:widowControl/>
      <w:shd w:val="clear" w:color="auto" w:fill="FFFFFF"/>
      <w:spacing w:before="100" w:beforeAutospacing="1" w:after="100" w:afterAutospacing="1"/>
      <w:jc w:val="center"/>
      <w:textAlignment w:val="center"/>
    </w:pPr>
    <w:rPr>
      <w:rFonts w:ascii="Arial Unicode MS" w:hAnsi="Arial Unicode MS" w:eastAsia="Arial Unicode MS" w:cs="Arial Unicode MS"/>
      <w:b/>
      <w:bCs/>
      <w:color w:val="000000"/>
      <w:kern w:val="0"/>
      <w:sz w:val="32"/>
      <w:szCs w:val="32"/>
    </w:rPr>
  </w:style>
  <w:style w:type="paragraph" w:customStyle="1" w:styleId="421">
    <w:name w:val="Text 2"/>
    <w:basedOn w:val="1"/>
    <w:qFormat/>
    <w:uiPriority w:val="0"/>
    <w:pPr>
      <w:widowControl/>
      <w:spacing w:after="240"/>
      <w:ind w:left="1418"/>
      <w:jc w:val="left"/>
    </w:pPr>
    <w:rPr>
      <w:rFonts w:ascii="Arial" w:hAnsi="Arial"/>
      <w:kern w:val="0"/>
      <w:sz w:val="20"/>
      <w:szCs w:val="20"/>
    </w:rPr>
  </w:style>
  <w:style w:type="paragraph" w:customStyle="1" w:styleId="422">
    <w:name w:val="xl65"/>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423">
    <w:name w:val="Char"/>
    <w:basedOn w:val="1"/>
    <w:qFormat/>
    <w:uiPriority w:val="0"/>
    <w:pPr>
      <w:ind w:firstLine="200" w:firstLineChars="200"/>
    </w:pPr>
    <w:rPr>
      <w:rFonts w:ascii="宋体" w:hAnsi="宋体" w:cs="宋体"/>
    </w:rPr>
  </w:style>
  <w:style w:type="paragraph" w:customStyle="1" w:styleId="424">
    <w:name w:val="Char Char Char Char Char Char Char1"/>
    <w:basedOn w:val="1"/>
    <w:qFormat/>
    <w:uiPriority w:val="0"/>
    <w:pPr>
      <w:spacing w:line="240" w:lineRule="auto"/>
    </w:pPr>
    <w:rPr>
      <w:sz w:val="21"/>
    </w:rPr>
  </w:style>
  <w:style w:type="paragraph" w:customStyle="1" w:styleId="425">
    <w:name w:val="tc"/>
    <w:basedOn w:val="1"/>
    <w:qFormat/>
    <w:uiPriority w:val="0"/>
    <w:pPr>
      <w:widowControl/>
      <w:spacing w:before="120" w:after="20"/>
      <w:ind w:right="630" w:firstLine="187"/>
      <w:jc w:val="right"/>
    </w:pPr>
    <w:rPr>
      <w:rFonts w:ascii="Courier New" w:hAnsi="Courier New"/>
      <w:kern w:val="0"/>
      <w:sz w:val="16"/>
      <w:szCs w:val="20"/>
      <w:lang w:eastAsia="en-US"/>
    </w:rPr>
  </w:style>
  <w:style w:type="paragraph" w:customStyle="1" w:styleId="426">
    <w:name w:val="Char Char Char Char"/>
    <w:basedOn w:val="1"/>
    <w:qFormat/>
    <w:uiPriority w:val="0"/>
  </w:style>
  <w:style w:type="paragraph" w:customStyle="1" w:styleId="427">
    <w:name w:val="Char4"/>
    <w:basedOn w:val="1"/>
    <w:qFormat/>
    <w:uiPriority w:val="0"/>
  </w:style>
  <w:style w:type="paragraph" w:customStyle="1" w:styleId="428">
    <w:name w:val="普通 (Web)"/>
    <w:basedOn w:val="1"/>
    <w:qFormat/>
    <w:uiPriority w:val="0"/>
    <w:pPr>
      <w:widowControl/>
      <w:spacing w:before="100" w:beforeAutospacing="1" w:after="100" w:afterAutospacing="1"/>
      <w:jc w:val="left"/>
    </w:pPr>
    <w:rPr>
      <w:rFonts w:ascii="宋体" w:hAnsi="宋体"/>
      <w:kern w:val="0"/>
    </w:rPr>
  </w:style>
  <w:style w:type="paragraph" w:customStyle="1" w:styleId="429">
    <w:name w:val="Char Char Char Char Char Char Char12"/>
    <w:basedOn w:val="1"/>
    <w:qFormat/>
    <w:uiPriority w:val="0"/>
  </w:style>
  <w:style w:type="paragraph" w:customStyle="1" w:styleId="430">
    <w:name w:val="列出段落11"/>
    <w:basedOn w:val="1"/>
    <w:qFormat/>
    <w:uiPriority w:val="34"/>
    <w:pPr>
      <w:spacing w:line="240" w:lineRule="auto"/>
      <w:ind w:firstLine="420" w:firstLineChars="200"/>
    </w:pPr>
    <w:rPr>
      <w:sz w:val="21"/>
    </w:rPr>
  </w:style>
  <w:style w:type="paragraph" w:customStyle="1" w:styleId="431">
    <w:name w:val="样式 纯文本 + (符号) 宋体"/>
    <w:basedOn w:val="2"/>
    <w:qFormat/>
    <w:uiPriority w:val="0"/>
    <w:pPr>
      <w:tabs>
        <w:tab w:val="left" w:pos="7380"/>
      </w:tabs>
      <w:adjustRightInd w:val="0"/>
      <w:snapToGrid w:val="0"/>
      <w:ind w:firstLine="523" w:firstLineChars="218"/>
    </w:pPr>
    <w:rPr>
      <w:sz w:val="24"/>
      <w:szCs w:val="30"/>
    </w:rPr>
  </w:style>
  <w:style w:type="paragraph" w:customStyle="1" w:styleId="43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rPr>
  </w:style>
  <w:style w:type="paragraph" w:customStyle="1" w:styleId="433">
    <w:name w:val="样式一"/>
    <w:basedOn w:val="1"/>
    <w:qFormat/>
    <w:uiPriority w:val="0"/>
    <w:pPr>
      <w:autoSpaceDE w:val="0"/>
      <w:autoSpaceDN w:val="0"/>
      <w:adjustRightInd w:val="0"/>
      <w:ind w:firstLine="480" w:firstLineChars="200"/>
      <w:textAlignment w:val="baseline"/>
    </w:pPr>
    <w:rPr>
      <w:rFonts w:ascii="宋体" w:hAnsi="宋体"/>
      <w:kern w:val="0"/>
      <w:szCs w:val="20"/>
      <w:lang w:val="en-GB"/>
    </w:rPr>
  </w:style>
  <w:style w:type="paragraph" w:customStyle="1" w:styleId="434">
    <w:name w:val="font7"/>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43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436">
    <w:name w:val="Dash 2 (Double)"/>
    <w:basedOn w:val="1"/>
    <w:qFormat/>
    <w:uiPriority w:val="0"/>
    <w:pPr>
      <w:widowControl/>
      <w:numPr>
        <w:ilvl w:val="0"/>
        <w:numId w:val="2"/>
      </w:numPr>
      <w:spacing w:after="240"/>
      <w:jc w:val="left"/>
    </w:pPr>
    <w:rPr>
      <w:rFonts w:ascii="Arial" w:hAnsi="Arial"/>
      <w:kern w:val="0"/>
      <w:sz w:val="20"/>
      <w:szCs w:val="20"/>
    </w:rPr>
  </w:style>
  <w:style w:type="paragraph" w:customStyle="1" w:styleId="437">
    <w:name w:val="样式7"/>
    <w:basedOn w:val="42"/>
    <w:qFormat/>
    <w:uiPriority w:val="0"/>
    <w:pPr>
      <w:widowControl/>
      <w:tabs>
        <w:tab w:val="left" w:pos="-2420"/>
      </w:tabs>
      <w:autoSpaceDE w:val="0"/>
      <w:autoSpaceDN w:val="0"/>
      <w:snapToGrid w:val="0"/>
      <w:spacing w:line="288" w:lineRule="auto"/>
      <w:ind w:left="0" w:leftChars="0"/>
      <w:textAlignment w:val="bottom"/>
    </w:pPr>
    <w:rPr>
      <w:rFonts w:ascii="宋体" w:hAnsi="Arial Narrow"/>
      <w:color w:val="000000"/>
      <w:spacing w:val="-20"/>
      <w:szCs w:val="20"/>
    </w:rPr>
  </w:style>
  <w:style w:type="paragraph" w:customStyle="1" w:styleId="438">
    <w:name w:val="Table Paragraph"/>
    <w:basedOn w:val="1"/>
    <w:qFormat/>
    <w:uiPriority w:val="1"/>
    <w:rPr>
      <w:rFonts w:ascii="宋体" w:hAnsi="宋体" w:cs="宋体"/>
      <w:lang w:val="zh-CN" w:bidi="zh-CN"/>
    </w:rPr>
  </w:style>
  <w:style w:type="paragraph" w:customStyle="1" w:styleId="439">
    <w:name w:val="H4"/>
    <w:basedOn w:val="1"/>
    <w:next w:val="1"/>
    <w:qFormat/>
    <w:uiPriority w:val="0"/>
    <w:pPr>
      <w:keepNext/>
      <w:autoSpaceDE w:val="0"/>
      <w:autoSpaceDN w:val="0"/>
      <w:adjustRightInd w:val="0"/>
      <w:spacing w:before="100" w:after="100"/>
      <w:jc w:val="left"/>
      <w:outlineLvl w:val="4"/>
    </w:pPr>
    <w:rPr>
      <w:b/>
      <w:kern w:val="0"/>
      <w:sz w:val="18"/>
      <w:szCs w:val="20"/>
    </w:rPr>
  </w:style>
  <w:style w:type="paragraph" w:customStyle="1" w:styleId="440">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441">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eastAsia="Arial Unicode MS"/>
      <w:color w:val="000000"/>
      <w:kern w:val="0"/>
      <w:sz w:val="20"/>
      <w:szCs w:val="20"/>
    </w:rPr>
  </w:style>
  <w:style w:type="paragraph" w:customStyle="1" w:styleId="442">
    <w:name w:val="Char Char Char Char Char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43">
    <w:name w:val="样式 纯文本普通文字 Char + (符号) 宋体 五号 自动设置 行距: 固定值 19 磅"/>
    <w:basedOn w:val="2"/>
    <w:qFormat/>
    <w:uiPriority w:val="0"/>
    <w:pPr>
      <w:spacing w:line="380" w:lineRule="exact"/>
      <w:ind w:firstLine="200" w:firstLineChars="200"/>
    </w:pPr>
    <w:rPr>
      <w:rFonts w:hAnsi="宋体" w:cs="宋体"/>
      <w:szCs w:val="20"/>
    </w:rPr>
  </w:style>
  <w:style w:type="paragraph" w:customStyle="1" w:styleId="444">
    <w:name w:val="xl60"/>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445">
    <w:name w:val="N1"/>
    <w:basedOn w:val="1"/>
    <w:qFormat/>
    <w:uiPriority w:val="0"/>
    <w:pPr>
      <w:widowControl/>
      <w:numPr>
        <w:ilvl w:val="1"/>
        <w:numId w:val="3"/>
      </w:numPr>
      <w:spacing w:before="120" w:after="120"/>
      <w:jc w:val="left"/>
    </w:pPr>
    <w:rPr>
      <w:rFonts w:eastAsia="Times New Roman"/>
      <w:kern w:val="0"/>
      <w:sz w:val="20"/>
      <w:szCs w:val="20"/>
      <w:lang w:eastAsia="en-US"/>
    </w:rPr>
  </w:style>
  <w:style w:type="paragraph" w:customStyle="1" w:styleId="446">
    <w:name w:val="样式 标题 2Pierre_1.1_Heading 2 + 段前: 0.5 行 段后: 0.5 行"/>
    <w:basedOn w:val="5"/>
    <w:qFormat/>
    <w:uiPriority w:val="0"/>
    <w:pPr>
      <w:spacing w:beforeLines="50" w:afterLines="50" w:line="312" w:lineRule="auto"/>
    </w:pPr>
    <w:rPr>
      <w:rFonts w:ascii="Times New Roman" w:hAnsi="Times New Roman" w:eastAsia="仿宋_GB2312" w:cs="宋体"/>
      <w:sz w:val="28"/>
      <w:szCs w:val="20"/>
    </w:rPr>
  </w:style>
  <w:style w:type="paragraph" w:customStyle="1" w:styleId="447">
    <w:name w:val="条文段（机动处）"/>
    <w:basedOn w:val="1"/>
    <w:qFormat/>
    <w:uiPriority w:val="0"/>
    <w:pPr>
      <w:ind w:firstLine="200" w:firstLineChars="200"/>
    </w:pPr>
  </w:style>
  <w:style w:type="paragraph" w:customStyle="1" w:styleId="448">
    <w:name w:val="Char Char Char Char Char Char Char3"/>
    <w:basedOn w:val="1"/>
    <w:qFormat/>
    <w:uiPriority w:val="0"/>
  </w:style>
  <w:style w:type="paragraph" w:customStyle="1" w:styleId="449">
    <w:name w:val="样式 标题 4 + 黑色 首行缩进:  2 字符 行距: 1.5 倍行距 + 首行缩进:  2 字符 + 首行缩进:  2 字符"/>
    <w:basedOn w:val="1"/>
    <w:qFormat/>
    <w:uiPriority w:val="0"/>
    <w:pPr>
      <w:keepNext/>
      <w:keepLines/>
      <w:ind w:firstLine="200" w:firstLineChars="200"/>
      <w:outlineLvl w:val="3"/>
    </w:pPr>
    <w:rPr>
      <w:rFonts w:cs="宋体"/>
      <w:b/>
      <w:bCs/>
      <w:color w:val="000000"/>
      <w:spacing w:val="10"/>
      <w:sz w:val="28"/>
      <w:szCs w:val="20"/>
    </w:rPr>
  </w:style>
  <w:style w:type="paragraph" w:customStyle="1" w:styleId="450">
    <w:name w:val="正文格式"/>
    <w:basedOn w:val="1"/>
    <w:next w:val="1"/>
    <w:qFormat/>
    <w:uiPriority w:val="0"/>
    <w:pPr>
      <w:spacing w:beforeLines="50" w:line="240" w:lineRule="auto"/>
      <w:ind w:firstLine="482"/>
    </w:pPr>
    <w:rPr>
      <w:rFonts w:cs="宋体"/>
      <w:szCs w:val="20"/>
    </w:rPr>
  </w:style>
  <w:style w:type="paragraph" w:customStyle="1" w:styleId="451">
    <w:name w:val="样式 样式 宋体 行距: 固定值 19 磅 + 首行缩进:  2 字符"/>
    <w:basedOn w:val="1"/>
    <w:qFormat/>
    <w:uiPriority w:val="0"/>
    <w:pPr>
      <w:spacing w:line="380" w:lineRule="exact"/>
      <w:ind w:firstLine="420" w:firstLineChars="200"/>
    </w:pPr>
    <w:rPr>
      <w:rFonts w:ascii="宋体" w:hAnsi="宋体" w:cs="宋体"/>
      <w:bCs/>
      <w:kern w:val="0"/>
      <w:szCs w:val="20"/>
    </w:rPr>
  </w:style>
  <w:style w:type="paragraph" w:customStyle="1" w:styleId="452">
    <w:name w:val="Char Char Char Char Char Char1 Char1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453">
    <w:name w:val="p0"/>
    <w:basedOn w:val="1"/>
    <w:qFormat/>
    <w:uiPriority w:val="0"/>
    <w:pPr>
      <w:widowControl/>
    </w:pPr>
    <w:rPr>
      <w:kern w:val="0"/>
      <w:szCs w:val="21"/>
    </w:rPr>
  </w:style>
  <w:style w:type="paragraph" w:customStyle="1" w:styleId="454">
    <w:name w:val="ALT  Normal"/>
    <w:basedOn w:val="1"/>
    <w:qFormat/>
    <w:uiPriority w:val="0"/>
    <w:pPr>
      <w:widowControl/>
      <w:spacing w:after="240"/>
      <w:jc w:val="left"/>
    </w:pPr>
    <w:rPr>
      <w:kern w:val="0"/>
      <w:sz w:val="22"/>
      <w:szCs w:val="20"/>
    </w:rPr>
  </w:style>
  <w:style w:type="paragraph" w:customStyle="1" w:styleId="455">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b/>
      <w:bCs/>
      <w:color w:val="000000"/>
      <w:kern w:val="0"/>
      <w:sz w:val="20"/>
      <w:szCs w:val="20"/>
    </w:rPr>
  </w:style>
  <w:style w:type="paragraph" w:customStyle="1" w:styleId="456">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eastAsia="Arial Unicode MS"/>
      <w:color w:val="000000"/>
      <w:kern w:val="0"/>
      <w:sz w:val="20"/>
      <w:szCs w:val="20"/>
    </w:rPr>
  </w:style>
  <w:style w:type="paragraph" w:customStyle="1" w:styleId="457">
    <w:name w:val="Char141"/>
    <w:basedOn w:val="1"/>
    <w:qFormat/>
    <w:uiPriority w:val="0"/>
    <w:pPr>
      <w:widowControl/>
      <w:spacing w:after="160" w:line="240" w:lineRule="exact"/>
      <w:jc w:val="left"/>
    </w:pPr>
    <w:rPr>
      <w:rFonts w:ascii="Verdana" w:hAnsi="Verdana"/>
      <w:kern w:val="0"/>
      <w:sz w:val="20"/>
      <w:szCs w:val="20"/>
      <w:lang w:eastAsia="en-US"/>
    </w:rPr>
  </w:style>
  <w:style w:type="paragraph" w:customStyle="1" w:styleId="458">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color w:val="000000"/>
      <w:kern w:val="0"/>
      <w:sz w:val="12"/>
      <w:szCs w:val="12"/>
    </w:rPr>
  </w:style>
  <w:style w:type="paragraph" w:customStyle="1" w:styleId="459">
    <w:name w:val="Normal_13"/>
    <w:qFormat/>
    <w:uiPriority w:val="0"/>
    <w:pPr>
      <w:widowControl w:val="0"/>
      <w:adjustRightInd w:val="0"/>
      <w:spacing w:line="360" w:lineRule="atLeast"/>
      <w:jc w:val="both"/>
      <w:textAlignment w:val="baseline"/>
    </w:pPr>
    <w:rPr>
      <w:rFonts w:ascii="Times New Roman" w:hAnsi="Times New Roman" w:eastAsia="宋体" w:cs="Times New Roman"/>
      <w:sz w:val="21"/>
      <w:szCs w:val="22"/>
      <w:lang w:val="en-US" w:eastAsia="zh-CN" w:bidi="ar-SA"/>
    </w:rPr>
  </w:style>
  <w:style w:type="paragraph" w:customStyle="1" w:styleId="460">
    <w:name w:val="样式 标题 3 + 宋体"/>
    <w:basedOn w:val="6"/>
    <w:qFormat/>
    <w:uiPriority w:val="0"/>
    <w:pPr>
      <w:adjustRightInd w:val="0"/>
      <w:snapToGrid w:val="0"/>
      <w:spacing w:before="50" w:afterLines="50" w:line="240" w:lineRule="auto"/>
      <w:ind w:firstLine="200" w:firstLineChars="14"/>
    </w:pPr>
    <w:rPr>
      <w:rFonts w:ascii="宋体" w:hAnsi="宋体"/>
      <w:sz w:val="24"/>
    </w:rPr>
  </w:style>
  <w:style w:type="paragraph" w:customStyle="1" w:styleId="461">
    <w:name w:val="明显引用1"/>
    <w:basedOn w:val="1"/>
    <w:next w:val="1"/>
    <w:qFormat/>
    <w:uiPriority w:val="0"/>
    <w:pPr>
      <w:pBdr>
        <w:bottom w:val="single" w:color="4F81BD" w:sz="4" w:space="4"/>
      </w:pBdr>
      <w:spacing w:before="200" w:after="280" w:line="240" w:lineRule="auto"/>
      <w:ind w:left="936" w:right="936"/>
    </w:pPr>
    <w:rPr>
      <w:rFonts w:ascii="Calibri" w:hAnsi="Calibri" w:cs="Calibri"/>
      <w:b/>
      <w:bCs/>
      <w:i/>
      <w:iCs/>
      <w:color w:val="4F81BD"/>
      <w:sz w:val="21"/>
      <w:szCs w:val="22"/>
    </w:rPr>
  </w:style>
  <w:style w:type="paragraph" w:customStyle="1" w:styleId="462">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宋体" w:eastAsia="黑体" w:cs="宋体"/>
      <w:kern w:val="0"/>
      <w:sz w:val="20"/>
      <w:szCs w:val="20"/>
    </w:rPr>
  </w:style>
  <w:style w:type="paragraph" w:customStyle="1" w:styleId="463">
    <w:name w:val="Head 3.2"/>
    <w:basedOn w:val="1"/>
    <w:qFormat/>
    <w:uiPriority w:val="0"/>
    <w:pPr>
      <w:widowControl/>
      <w:suppressAutoHyphens/>
      <w:ind w:left="360" w:hanging="360"/>
      <w:jc w:val="left"/>
    </w:pPr>
    <w:rPr>
      <w:b/>
      <w:kern w:val="0"/>
      <w:szCs w:val="20"/>
      <w:lang w:val="fr-FR" w:eastAsia="en-US"/>
    </w:rPr>
  </w:style>
  <w:style w:type="paragraph" w:customStyle="1" w:styleId="464">
    <w:name w:val="Char Char Char Char Char Char Char11"/>
    <w:basedOn w:val="1"/>
    <w:qFormat/>
    <w:uiPriority w:val="0"/>
    <w:pPr>
      <w:spacing w:line="240" w:lineRule="auto"/>
    </w:pPr>
    <w:rPr>
      <w:sz w:val="21"/>
    </w:rPr>
  </w:style>
  <w:style w:type="paragraph" w:customStyle="1" w:styleId="465">
    <w:name w:val="xl25"/>
    <w:basedOn w:val="1"/>
    <w:qFormat/>
    <w:uiPriority w:val="0"/>
    <w:pPr>
      <w:widowControl/>
      <w:spacing w:before="100" w:beforeAutospacing="1" w:after="100" w:afterAutospacing="1"/>
      <w:jc w:val="center"/>
    </w:pPr>
    <w:rPr>
      <w:rFonts w:hint="eastAsia" w:ascii="宋体" w:hAnsi="宋体"/>
      <w:color w:val="000000"/>
      <w:kern w:val="0"/>
      <w:sz w:val="22"/>
      <w:szCs w:val="22"/>
    </w:rPr>
  </w:style>
  <w:style w:type="paragraph" w:customStyle="1" w:styleId="466">
    <w:name w:val="z-窗体底端1"/>
    <w:basedOn w:val="1"/>
    <w:next w:val="1"/>
    <w:qFormat/>
    <w:uiPriority w:val="0"/>
    <w:pPr>
      <w:pBdr>
        <w:top w:val="single" w:color="auto" w:sz="6" w:space="1"/>
      </w:pBdr>
      <w:jc w:val="center"/>
    </w:pPr>
    <w:rPr>
      <w:rFonts w:ascii="Arial" w:hAnsi="Arial" w:cs="Arial"/>
      <w:vanish/>
      <w:sz w:val="16"/>
      <w:szCs w:val="16"/>
    </w:rPr>
  </w:style>
  <w:style w:type="paragraph" w:customStyle="1" w:styleId="467">
    <w:name w:val="表格1"/>
    <w:basedOn w:val="2"/>
    <w:qFormat/>
    <w:uiPriority w:val="0"/>
    <w:pPr>
      <w:adjustRightInd w:val="0"/>
      <w:snapToGrid w:val="0"/>
      <w:spacing w:beforeLines="50" w:after="100"/>
    </w:pPr>
    <w:rPr>
      <w:rFonts w:hAnsi="宋体"/>
      <w:bCs/>
      <w:color w:val="000000"/>
      <w:sz w:val="18"/>
      <w:szCs w:val="30"/>
    </w:rPr>
  </w:style>
  <w:style w:type="paragraph" w:customStyle="1" w:styleId="468">
    <w:name w:val="附录一级条"/>
    <w:next w:val="7"/>
    <w:qFormat/>
    <w:uiPriority w:val="0"/>
    <w:pPr>
      <w:spacing w:line="440" w:lineRule="exact"/>
    </w:pPr>
    <w:rPr>
      <w:rFonts w:ascii="宋体" w:hAnsi="Times New Roman" w:eastAsia="宋体" w:cs="Times New Roman"/>
      <w:sz w:val="24"/>
      <w:lang w:val="en-US" w:eastAsia="zh-CN" w:bidi="ar-SA"/>
    </w:rPr>
  </w:style>
  <w:style w:type="paragraph" w:customStyle="1" w:styleId="469">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rPr>
  </w:style>
  <w:style w:type="paragraph" w:customStyle="1" w:styleId="470">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rPr>
  </w:style>
  <w:style w:type="paragraph" w:customStyle="1" w:styleId="471">
    <w:name w:val="A1"/>
    <w:basedOn w:val="5"/>
    <w:qFormat/>
    <w:uiPriority w:val="0"/>
    <w:rPr>
      <w:rFonts w:ascii="宋体"/>
    </w:rPr>
  </w:style>
  <w:style w:type="paragraph" w:customStyle="1" w:styleId="472">
    <w:name w:val="BodyTextNumbered"/>
    <w:basedOn w:val="1"/>
    <w:qFormat/>
    <w:uiPriority w:val="0"/>
    <w:pPr>
      <w:widowControl/>
      <w:spacing w:after="120"/>
      <w:ind w:left="283" w:hanging="283"/>
      <w:jc w:val="left"/>
    </w:pPr>
    <w:rPr>
      <w:rFonts w:ascii="Arial" w:hAnsi="Arial"/>
      <w:kern w:val="0"/>
      <w:sz w:val="22"/>
      <w:szCs w:val="20"/>
      <w:lang w:val="en-GB" w:eastAsia="en-US"/>
    </w:rPr>
  </w:style>
  <w:style w:type="paragraph" w:customStyle="1" w:styleId="473">
    <w:name w:val="font10"/>
    <w:basedOn w:val="1"/>
    <w:qFormat/>
    <w:uiPriority w:val="0"/>
    <w:pPr>
      <w:widowControl/>
      <w:spacing w:before="100" w:beforeAutospacing="1" w:after="100" w:afterAutospacing="1"/>
      <w:jc w:val="left"/>
    </w:pPr>
    <w:rPr>
      <w:rFonts w:eastAsia="Arial Unicode MS"/>
      <w:color w:val="000000"/>
      <w:kern w:val="0"/>
      <w:sz w:val="20"/>
      <w:szCs w:val="20"/>
    </w:rPr>
  </w:style>
  <w:style w:type="paragraph" w:customStyle="1" w:styleId="474">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75">
    <w:name w:val="Char Char Char1 Char"/>
    <w:basedOn w:val="1"/>
    <w:qFormat/>
    <w:uiPriority w:val="0"/>
  </w:style>
  <w:style w:type="paragraph" w:customStyle="1" w:styleId="476">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477">
    <w:name w:val="分项1"/>
    <w:basedOn w:val="1"/>
    <w:qFormat/>
    <w:uiPriority w:val="0"/>
    <w:pPr>
      <w:snapToGrid w:val="0"/>
      <w:spacing w:before="120"/>
    </w:pPr>
    <w:rPr>
      <w:szCs w:val="20"/>
    </w:rPr>
  </w:style>
  <w:style w:type="paragraph" w:customStyle="1" w:styleId="478">
    <w:name w:val="xl26"/>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黑体" w:hAnsi="Arial Unicode MS" w:eastAsia="黑体" w:cs="Arial Unicode MS"/>
      <w:kern w:val="0"/>
      <w:szCs w:val="21"/>
    </w:rPr>
  </w:style>
  <w:style w:type="paragraph" w:customStyle="1" w:styleId="479">
    <w:name w:val="Char13"/>
    <w:basedOn w:val="1"/>
    <w:qFormat/>
    <w:uiPriority w:val="0"/>
    <w:pPr>
      <w:widowControl/>
      <w:spacing w:after="160" w:line="240" w:lineRule="exact"/>
      <w:jc w:val="left"/>
    </w:pPr>
    <w:rPr>
      <w:rFonts w:ascii="Verdana" w:hAnsi="Verdana"/>
      <w:kern w:val="0"/>
      <w:sz w:val="20"/>
      <w:szCs w:val="20"/>
      <w:lang w:eastAsia="en-US"/>
    </w:rPr>
  </w:style>
  <w:style w:type="paragraph" w:customStyle="1" w:styleId="480">
    <w:name w:val="CM6"/>
    <w:basedOn w:val="333"/>
    <w:next w:val="333"/>
    <w:qFormat/>
    <w:uiPriority w:val="0"/>
    <w:pPr>
      <w:spacing w:after="300"/>
    </w:pPr>
    <w:rPr>
      <w:rFonts w:ascii="..ì." w:eastAsia="..ì." w:cs="Times New Roman"/>
      <w:color w:val="auto"/>
    </w:rPr>
  </w:style>
  <w:style w:type="paragraph" w:customStyle="1" w:styleId="481">
    <w:name w:val="Char32"/>
    <w:basedOn w:val="1"/>
    <w:qFormat/>
    <w:uiPriority w:val="0"/>
  </w:style>
  <w:style w:type="paragraph" w:customStyle="1" w:styleId="482">
    <w:name w:val="正文1"/>
    <w:qFormat/>
    <w:uiPriority w:val="0"/>
    <w:pPr>
      <w:widowControl w:val="0"/>
      <w:adjustRightInd w:val="0"/>
      <w:spacing w:line="360" w:lineRule="atLeast"/>
      <w:ind w:firstLine="454"/>
      <w:textAlignment w:val="baseline"/>
    </w:pPr>
    <w:rPr>
      <w:rFonts w:ascii="宋体" w:hAnsi="Times New Roman" w:eastAsia="宋体" w:cs="Times New Roman"/>
      <w:sz w:val="24"/>
      <w:lang w:val="en-US" w:eastAsia="zh-CN" w:bidi="ar-SA"/>
    </w:rPr>
  </w:style>
  <w:style w:type="paragraph" w:customStyle="1" w:styleId="483">
    <w:name w:val="H6"/>
    <w:basedOn w:val="1"/>
    <w:next w:val="1"/>
    <w:qFormat/>
    <w:uiPriority w:val="0"/>
    <w:pPr>
      <w:keepNext/>
      <w:autoSpaceDE w:val="0"/>
      <w:autoSpaceDN w:val="0"/>
      <w:adjustRightInd w:val="0"/>
      <w:spacing w:before="100" w:after="100"/>
      <w:jc w:val="left"/>
      <w:outlineLvl w:val="6"/>
    </w:pPr>
    <w:rPr>
      <w:b/>
      <w:kern w:val="0"/>
      <w:sz w:val="16"/>
      <w:szCs w:val="20"/>
    </w:rPr>
  </w:style>
  <w:style w:type="paragraph" w:customStyle="1" w:styleId="484">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485">
    <w:name w:val="H1"/>
    <w:basedOn w:val="1"/>
    <w:next w:val="1"/>
    <w:qFormat/>
    <w:uiPriority w:val="0"/>
    <w:pPr>
      <w:keepNext/>
      <w:autoSpaceDE w:val="0"/>
      <w:autoSpaceDN w:val="0"/>
      <w:adjustRightInd w:val="0"/>
      <w:spacing w:before="100" w:after="100"/>
      <w:jc w:val="left"/>
      <w:outlineLvl w:val="1"/>
    </w:pPr>
    <w:rPr>
      <w:b/>
      <w:kern w:val="36"/>
      <w:sz w:val="48"/>
      <w:szCs w:val="20"/>
    </w:rPr>
  </w:style>
  <w:style w:type="paragraph" w:customStyle="1" w:styleId="486">
    <w:name w:val="Char Char27"/>
    <w:basedOn w:val="1"/>
    <w:qFormat/>
    <w:uiPriority w:val="0"/>
    <w:pPr>
      <w:spacing w:line="240" w:lineRule="auto"/>
    </w:pPr>
    <w:rPr>
      <w:rFonts w:ascii="Tahoma" w:hAnsi="Tahoma"/>
      <w:szCs w:val="20"/>
    </w:rPr>
  </w:style>
  <w:style w:type="paragraph" w:customStyle="1" w:styleId="487">
    <w:name w:val="Char Char Char Char Char 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488">
    <w:name w:val="xl75"/>
    <w:basedOn w:val="1"/>
    <w:qFormat/>
    <w:uiPriority w:val="0"/>
    <w:pPr>
      <w:widowControl/>
      <w:spacing w:before="100" w:beforeAutospacing="1" w:after="100" w:afterAutospacing="1"/>
      <w:jc w:val="center"/>
    </w:pPr>
    <w:rPr>
      <w:b/>
      <w:bCs/>
      <w:kern w:val="0"/>
      <w:sz w:val="36"/>
      <w:szCs w:val="36"/>
    </w:rPr>
  </w:style>
  <w:style w:type="paragraph" w:customStyle="1" w:styleId="489">
    <w:name w:val="xl6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490">
    <w:name w:val="font6"/>
    <w:basedOn w:val="1"/>
    <w:qFormat/>
    <w:uiPriority w:val="0"/>
    <w:pPr>
      <w:widowControl/>
      <w:spacing w:before="100" w:beforeAutospacing="1" w:after="100" w:afterAutospacing="1"/>
      <w:jc w:val="left"/>
    </w:pPr>
    <w:rPr>
      <w:kern w:val="0"/>
    </w:rPr>
  </w:style>
  <w:style w:type="paragraph" w:customStyle="1" w:styleId="491">
    <w:name w:val="Char Char Char Char Char Char Char Char Char1 Char3"/>
    <w:basedOn w:val="1"/>
    <w:qFormat/>
    <w:uiPriority w:val="0"/>
    <w:pPr>
      <w:tabs>
        <w:tab w:val="left" w:pos="360"/>
      </w:tabs>
    </w:pPr>
  </w:style>
  <w:style w:type="paragraph" w:customStyle="1" w:styleId="492">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493">
    <w:name w:val="Char142"/>
    <w:basedOn w:val="1"/>
    <w:qFormat/>
    <w:uiPriority w:val="0"/>
    <w:pPr>
      <w:widowControl/>
      <w:spacing w:after="160" w:line="240" w:lineRule="exact"/>
      <w:jc w:val="left"/>
    </w:pPr>
    <w:rPr>
      <w:rFonts w:ascii="Verdana" w:hAnsi="Verdana"/>
      <w:kern w:val="0"/>
      <w:sz w:val="20"/>
      <w:szCs w:val="20"/>
      <w:lang w:eastAsia="en-US"/>
    </w:rPr>
  </w:style>
  <w:style w:type="paragraph" w:customStyle="1" w:styleId="494">
    <w:name w:val="Char5"/>
    <w:basedOn w:val="1"/>
    <w:qFormat/>
    <w:uiPriority w:val="0"/>
  </w:style>
  <w:style w:type="paragraph" w:customStyle="1" w:styleId="495">
    <w:name w:val="样式 宋体 行距: 1.5 倍行距"/>
    <w:basedOn w:val="1"/>
    <w:qFormat/>
    <w:uiPriority w:val="0"/>
    <w:pPr>
      <w:jc w:val="center"/>
    </w:pPr>
    <w:rPr>
      <w:b/>
    </w:rPr>
  </w:style>
  <w:style w:type="paragraph" w:customStyle="1" w:styleId="496">
    <w:name w:val="样式 样式 标题 1 + 三号 蓝色 + 自动设置"/>
    <w:basedOn w:val="1"/>
    <w:qFormat/>
    <w:uiPriority w:val="0"/>
    <w:pPr>
      <w:keepNext/>
      <w:keepLines/>
      <w:spacing w:line="480" w:lineRule="auto"/>
      <w:outlineLvl w:val="0"/>
    </w:pPr>
    <w:rPr>
      <w:b/>
      <w:bCs/>
      <w:kern w:val="44"/>
      <w:sz w:val="30"/>
      <w:szCs w:val="44"/>
    </w:rPr>
  </w:style>
  <w:style w:type="paragraph" w:customStyle="1" w:styleId="497">
    <w:name w:val="xl37"/>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color w:val="FF0000"/>
      <w:kern w:val="0"/>
    </w:rPr>
  </w:style>
  <w:style w:type="paragraph" w:customStyle="1" w:styleId="498">
    <w:name w:val="H5"/>
    <w:basedOn w:val="1"/>
    <w:next w:val="1"/>
    <w:qFormat/>
    <w:uiPriority w:val="0"/>
    <w:pPr>
      <w:keepNext/>
      <w:autoSpaceDE w:val="0"/>
      <w:autoSpaceDN w:val="0"/>
      <w:adjustRightInd w:val="0"/>
      <w:spacing w:before="100" w:after="100"/>
      <w:jc w:val="left"/>
      <w:outlineLvl w:val="5"/>
    </w:pPr>
    <w:rPr>
      <w:b/>
      <w:kern w:val="0"/>
      <w:sz w:val="20"/>
      <w:szCs w:val="20"/>
    </w:rPr>
  </w:style>
  <w:style w:type="paragraph" w:customStyle="1" w:styleId="499">
    <w:name w:val="内容"/>
    <w:basedOn w:val="1"/>
    <w:qFormat/>
    <w:uiPriority w:val="0"/>
    <w:pPr>
      <w:adjustRightInd w:val="0"/>
      <w:snapToGrid w:val="0"/>
      <w:ind w:left="100" w:leftChars="100" w:right="100" w:rightChars="100"/>
      <w:jc w:val="left"/>
    </w:pPr>
    <w:rPr>
      <w:sz w:val="28"/>
    </w:rPr>
  </w:style>
  <w:style w:type="paragraph" w:customStyle="1" w:styleId="500">
    <w:name w:val="Char Char Char Char Char Char1 Char3"/>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501">
    <w:name w:val="_Style 469"/>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502">
    <w:name w:val="CM7"/>
    <w:basedOn w:val="333"/>
    <w:next w:val="333"/>
    <w:qFormat/>
    <w:uiPriority w:val="0"/>
    <w:pPr>
      <w:spacing w:after="930"/>
    </w:pPr>
    <w:rPr>
      <w:rFonts w:ascii="..ì." w:eastAsia="..ì." w:cs="Times New Roman"/>
      <w:color w:val="auto"/>
    </w:rPr>
  </w:style>
  <w:style w:type="paragraph" w:customStyle="1" w:styleId="503">
    <w:name w:val="FormField"/>
    <w:basedOn w:val="350"/>
    <w:qFormat/>
    <w:uiPriority w:val="0"/>
    <w:rPr>
      <w:rFonts w:ascii="Courier New" w:hAnsi="Courier New"/>
    </w:rPr>
  </w:style>
  <w:style w:type="paragraph" w:customStyle="1" w:styleId="504">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505">
    <w:name w:val="Char Char Char Char2"/>
    <w:basedOn w:val="1"/>
    <w:qFormat/>
    <w:uiPriority w:val="0"/>
    <w:pPr>
      <w:widowControl/>
      <w:spacing w:after="160" w:line="240" w:lineRule="exact"/>
      <w:ind w:left="652" w:firstLine="505"/>
      <w:jc w:val="left"/>
    </w:pPr>
    <w:rPr>
      <w:szCs w:val="20"/>
    </w:rPr>
  </w:style>
  <w:style w:type="paragraph" w:customStyle="1" w:styleId="506">
    <w:name w:val="Blockquote"/>
    <w:basedOn w:val="1"/>
    <w:qFormat/>
    <w:uiPriority w:val="0"/>
    <w:pPr>
      <w:autoSpaceDE w:val="0"/>
      <w:autoSpaceDN w:val="0"/>
      <w:adjustRightInd w:val="0"/>
      <w:spacing w:before="100" w:after="100"/>
      <w:ind w:left="360" w:right="360"/>
      <w:jc w:val="left"/>
    </w:pPr>
    <w:rPr>
      <w:kern w:val="0"/>
      <w:szCs w:val="20"/>
    </w:rPr>
  </w:style>
  <w:style w:type="paragraph" w:customStyle="1" w:styleId="507">
    <w:name w:val="Char15"/>
    <w:basedOn w:val="1"/>
    <w:qFormat/>
    <w:uiPriority w:val="0"/>
    <w:pPr>
      <w:widowControl/>
      <w:spacing w:after="160" w:line="240" w:lineRule="exact"/>
      <w:jc w:val="left"/>
    </w:pPr>
    <w:rPr>
      <w:rFonts w:ascii="Verdana" w:hAnsi="Verdana"/>
      <w:kern w:val="0"/>
      <w:sz w:val="20"/>
      <w:szCs w:val="20"/>
      <w:lang w:eastAsia="en-US"/>
    </w:rPr>
  </w:style>
  <w:style w:type="paragraph" w:customStyle="1" w:styleId="508">
    <w:name w:val="样式 标题 1 + 宋体"/>
    <w:basedOn w:val="4"/>
    <w:qFormat/>
    <w:uiPriority w:val="0"/>
    <w:pPr>
      <w:adjustRightInd w:val="0"/>
      <w:snapToGrid w:val="0"/>
      <w:spacing w:beforeLines="100" w:afterLines="100" w:line="240" w:lineRule="auto"/>
    </w:pPr>
    <w:rPr>
      <w:rFonts w:ascii="宋体" w:hAnsi="宋体"/>
      <w:sz w:val="32"/>
    </w:rPr>
  </w:style>
  <w:style w:type="paragraph" w:customStyle="1" w:styleId="509">
    <w:name w:val="样式 样式 标题 1 + 段前: 1 行 段后: 0.8 行 + 段前: 1.1 行 段后: 0.8 行"/>
    <w:basedOn w:val="1"/>
    <w:qFormat/>
    <w:uiPriority w:val="0"/>
    <w:pPr>
      <w:keepNext/>
      <w:tabs>
        <w:tab w:val="left" w:pos="1080"/>
      </w:tabs>
      <w:spacing w:beforeLines="110" w:afterLines="80" w:line="288" w:lineRule="auto"/>
      <w:ind w:left="1080" w:hanging="1080"/>
      <w:outlineLvl w:val="0"/>
    </w:pPr>
    <w:rPr>
      <w:rFonts w:eastAsia="仿宋_GB2312" w:cs="宋体"/>
      <w:b/>
      <w:bCs/>
      <w:kern w:val="28"/>
      <w:sz w:val="28"/>
      <w:szCs w:val="28"/>
    </w:rPr>
  </w:style>
  <w:style w:type="paragraph" w:customStyle="1" w:styleId="510">
    <w:name w:val="Char Char Char Char12"/>
    <w:basedOn w:val="1"/>
    <w:qFormat/>
    <w:uiPriority w:val="0"/>
    <w:pPr>
      <w:widowControl/>
      <w:spacing w:after="160" w:line="240" w:lineRule="exact"/>
      <w:ind w:left="652" w:firstLine="505"/>
      <w:jc w:val="left"/>
    </w:pPr>
    <w:rPr>
      <w:szCs w:val="20"/>
    </w:rPr>
  </w:style>
  <w:style w:type="paragraph" w:customStyle="1" w:styleId="511">
    <w:name w:val="Char Char Char Char Char Char Char Char Char1 Char12"/>
    <w:basedOn w:val="1"/>
    <w:qFormat/>
    <w:uiPriority w:val="0"/>
    <w:pPr>
      <w:tabs>
        <w:tab w:val="left" w:pos="360"/>
      </w:tabs>
    </w:pPr>
  </w:style>
  <w:style w:type="character" w:customStyle="1" w:styleId="512">
    <w:name w:val="cm-variable-3"/>
    <w:basedOn w:val="65"/>
    <w:qFormat/>
    <w:uiPriority w:val="0"/>
    <w:rPr>
      <w:color w:val="FFFFFF"/>
    </w:rPr>
  </w:style>
  <w:style w:type="character" w:customStyle="1" w:styleId="513">
    <w:name w:val="cm-meta"/>
    <w:basedOn w:val="65"/>
    <w:qFormat/>
    <w:uiPriority w:val="0"/>
    <w:rPr>
      <w:color w:val="FF00FF"/>
    </w:rPr>
  </w:style>
  <w:style w:type="character" w:customStyle="1" w:styleId="514">
    <w:name w:val="cm-type"/>
    <w:basedOn w:val="65"/>
    <w:qFormat/>
    <w:uiPriority w:val="0"/>
    <w:rPr>
      <w:color w:val="FFFFFF"/>
    </w:rPr>
  </w:style>
  <w:style w:type="character" w:customStyle="1" w:styleId="515">
    <w:name w:val="tabname[data-v-caf4047c]"/>
    <w:basedOn w:val="65"/>
    <w:qFormat/>
    <w:uiPriority w:val="0"/>
  </w:style>
  <w:style w:type="character" w:customStyle="1" w:styleId="516">
    <w:name w:val="codemirror-matchingbracket"/>
    <w:basedOn w:val="65"/>
    <w:qFormat/>
    <w:uiPriority w:val="0"/>
    <w:rPr>
      <w:color w:val="00BB00"/>
    </w:rPr>
  </w:style>
  <w:style w:type="character" w:customStyle="1" w:styleId="517">
    <w:name w:val="codemirror-nonmatchingbracket"/>
    <w:basedOn w:val="65"/>
    <w:qFormat/>
    <w:uiPriority w:val="0"/>
    <w:rPr>
      <w:color w:val="AA2222"/>
    </w:rPr>
  </w:style>
  <w:style w:type="character" w:customStyle="1" w:styleId="518">
    <w:name w:val="codemirror-selectedtext"/>
    <w:basedOn w:val="65"/>
    <w:qFormat/>
    <w:uiPriority w:val="0"/>
  </w:style>
  <w:style w:type="character" w:customStyle="1" w:styleId="519">
    <w:name w:val="cm-string"/>
    <w:basedOn w:val="65"/>
    <w:qFormat/>
    <w:uiPriority w:val="0"/>
    <w:rPr>
      <w:color w:val="F08047"/>
    </w:rPr>
  </w:style>
  <w:style w:type="character" w:customStyle="1" w:styleId="520">
    <w:name w:val="cm-string1"/>
    <w:basedOn w:val="65"/>
    <w:qFormat/>
    <w:uiPriority w:val="0"/>
    <w:rPr>
      <w:color w:val="F08047"/>
    </w:rPr>
  </w:style>
  <w:style w:type="character" w:customStyle="1" w:styleId="521">
    <w:name w:val="tabname[data-v-92a6c0b6]"/>
    <w:basedOn w:val="65"/>
    <w:qFormat/>
    <w:uiPriority w:val="0"/>
  </w:style>
  <w:style w:type="character" w:customStyle="1" w:styleId="522">
    <w:name w:val="cm-error2"/>
    <w:basedOn w:val="65"/>
    <w:qFormat/>
    <w:uiPriority w:val="0"/>
    <w:rPr>
      <w:color w:val="AF2018"/>
    </w:rPr>
  </w:style>
  <w:style w:type="character" w:customStyle="1" w:styleId="523">
    <w:name w:val="active1"/>
    <w:basedOn w:val="65"/>
    <w:qFormat/>
    <w:uiPriority w:val="0"/>
    <w:rPr>
      <w:color w:val="C0C4CC"/>
    </w:rPr>
  </w:style>
  <w:style w:type="character" w:customStyle="1" w:styleId="524">
    <w:name w:val="cm-attribute2"/>
    <w:basedOn w:val="65"/>
    <w:qFormat/>
    <w:uiPriority w:val="0"/>
    <w:rPr>
      <w:color w:val="82C6E0"/>
    </w:rPr>
  </w:style>
  <w:style w:type="character" w:customStyle="1" w:styleId="525">
    <w:name w:val="num[data-v-3af68f61]"/>
    <w:basedOn w:val="65"/>
    <w:qFormat/>
    <w:uiPriority w:val="0"/>
    <w:rPr>
      <w:color w:val="95E68A"/>
      <w:sz w:val="30"/>
      <w:szCs w:val="30"/>
    </w:rPr>
  </w:style>
  <w:style w:type="character" w:customStyle="1" w:styleId="526">
    <w:name w:val="num[data-v-3af68f61]1"/>
    <w:basedOn w:val="65"/>
    <w:qFormat/>
    <w:uiPriority w:val="0"/>
    <w:rPr>
      <w:color w:val="54A8FF"/>
      <w:sz w:val="30"/>
      <w:szCs w:val="30"/>
    </w:rPr>
  </w:style>
  <w:style w:type="character" w:customStyle="1" w:styleId="527">
    <w:name w:val="num[data-v-3af68f61]2"/>
    <w:basedOn w:val="65"/>
    <w:qFormat/>
    <w:uiPriority w:val="0"/>
    <w:rPr>
      <w:color w:val="0052CC"/>
      <w:sz w:val="30"/>
      <w:szCs w:val="30"/>
    </w:rPr>
  </w:style>
  <w:style w:type="character" w:customStyle="1" w:styleId="528">
    <w:name w:val="cm-bracket"/>
    <w:basedOn w:val="65"/>
    <w:qFormat/>
    <w:uiPriority w:val="0"/>
    <w:rPr>
      <w:color w:val="FF00FF"/>
    </w:rPr>
  </w:style>
  <w:style w:type="character" w:customStyle="1" w:styleId="529">
    <w:name w:val="underline[data-v-caf4047c]"/>
    <w:basedOn w:val="65"/>
    <w:qFormat/>
    <w:uiPriority w:val="0"/>
  </w:style>
  <w:style w:type="character" w:customStyle="1" w:styleId="530">
    <w:name w:val="not([class*=suffix])"/>
    <w:basedOn w:val="65"/>
    <w:qFormat/>
    <w:uiPriority w:val="0"/>
    <w:rPr>
      <w:sz w:val="19"/>
      <w:szCs w:val="19"/>
    </w:rPr>
  </w:style>
  <w:style w:type="character" w:customStyle="1" w:styleId="531">
    <w:name w:val="not([class*=suffix])1"/>
    <w:basedOn w:val="65"/>
    <w:qFormat/>
    <w:uiPriority w:val="0"/>
  </w:style>
  <w:style w:type="character" w:customStyle="1" w:styleId="532">
    <w:name w:val="checkbox[data-v-ed3e49a4]"/>
    <w:basedOn w:val="65"/>
    <w:qFormat/>
    <w:uiPriority w:val="0"/>
    <w:rPr>
      <w:bdr w:val="single" w:color="DDDDDD" w:sz="6" w:space="0"/>
    </w:rPr>
  </w:style>
  <w:style w:type="character" w:customStyle="1" w:styleId="533">
    <w:name w:val="cm-keyword"/>
    <w:basedOn w:val="65"/>
    <w:qFormat/>
    <w:uiPriority w:val="0"/>
    <w:rPr>
      <w:color w:val="FF00FF"/>
    </w:rPr>
  </w:style>
  <w:style w:type="character" w:customStyle="1" w:styleId="534">
    <w:name w:val="hover3"/>
    <w:basedOn w:val="65"/>
    <w:qFormat/>
    <w:uiPriority w:val="0"/>
    <w:rPr>
      <w:color w:val="3D89FA"/>
      <w:bdr w:val="single" w:color="3D89FA" w:sz="6" w:space="0"/>
    </w:rPr>
  </w:style>
  <w:style w:type="character" w:customStyle="1" w:styleId="535">
    <w:name w:val="hover4"/>
    <w:basedOn w:val="65"/>
    <w:qFormat/>
    <w:uiPriority w:val="0"/>
    <w:rPr>
      <w:color w:val="C0C4CC"/>
    </w:rPr>
  </w:style>
  <w:style w:type="character" w:customStyle="1" w:styleId="536">
    <w:name w:val="cm-number"/>
    <w:basedOn w:val="65"/>
    <w:qFormat/>
    <w:uiPriority w:val="0"/>
    <w:rPr>
      <w:color w:val="82C6E0"/>
    </w:rPr>
  </w:style>
  <w:style w:type="character" w:customStyle="1" w:styleId="537">
    <w:name w:val="checkbox[data-v-25e63a0a]"/>
    <w:basedOn w:val="65"/>
    <w:qFormat/>
    <w:uiPriority w:val="0"/>
    <w:rPr>
      <w:bdr w:val="single" w:color="DDDDDD" w:sz="6" w:space="0"/>
    </w:rPr>
  </w:style>
  <w:style w:type="character" w:customStyle="1" w:styleId="538">
    <w:name w:val="cm-tag"/>
    <w:basedOn w:val="65"/>
    <w:qFormat/>
    <w:uiPriority w:val="0"/>
    <w:rPr>
      <w:color w:val="7BD827"/>
    </w:rPr>
  </w:style>
  <w:style w:type="character" w:customStyle="1" w:styleId="539">
    <w:name w:val="cm-builtin"/>
    <w:basedOn w:val="65"/>
    <w:qFormat/>
    <w:uiPriority w:val="0"/>
    <w:rPr>
      <w:color w:val="FF9D00"/>
    </w:rPr>
  </w:style>
  <w:style w:type="character" w:customStyle="1" w:styleId="540">
    <w:name w:val="cm-link"/>
    <w:basedOn w:val="65"/>
    <w:qFormat/>
    <w:uiPriority w:val="0"/>
    <w:rPr>
      <w:color w:val="F4C20B"/>
    </w:rPr>
  </w:style>
  <w:style w:type="character" w:customStyle="1" w:styleId="541">
    <w:name w:val="cm-variable-2"/>
    <w:basedOn w:val="65"/>
    <w:qFormat/>
    <w:uiPriority w:val="0"/>
    <w:rPr>
      <w:color w:val="7BD827"/>
    </w:rPr>
  </w:style>
  <w:style w:type="character" w:customStyle="1" w:styleId="542">
    <w:name w:val="required[data-v-349f881b]"/>
    <w:basedOn w:val="65"/>
    <w:qFormat/>
    <w:uiPriority w:val="0"/>
  </w:style>
  <w:style w:type="character" w:customStyle="1" w:styleId="543">
    <w:name w:val="before"/>
    <w:basedOn w:val="65"/>
    <w:qFormat/>
    <w:uiPriority w:val="0"/>
    <w:rPr>
      <w:bdr w:val="single" w:color="FFFFFF" w:sz="6" w:space="0"/>
    </w:rPr>
  </w:style>
  <w:style w:type="character" w:customStyle="1" w:styleId="544">
    <w:name w:val="cm-special"/>
    <w:basedOn w:val="65"/>
    <w:qFormat/>
    <w:uiPriority w:val="0"/>
    <w:rPr>
      <w:color w:val="FF9D00"/>
    </w:rPr>
  </w:style>
  <w:style w:type="character" w:customStyle="1" w:styleId="545">
    <w:name w:val="cm-comment"/>
    <w:basedOn w:val="65"/>
    <w:qFormat/>
    <w:uiPriority w:val="0"/>
    <w:rPr>
      <w:i/>
      <w:iCs/>
      <w:color w:val="999999"/>
    </w:rPr>
  </w:style>
  <w:style w:type="character" w:customStyle="1" w:styleId="546">
    <w:name w:val="cm-atom2"/>
    <w:basedOn w:val="65"/>
    <w:qFormat/>
    <w:uiPriority w:val="0"/>
    <w:rPr>
      <w:color w:val="F4C20B"/>
    </w:rPr>
  </w:style>
  <w:style w:type="character" w:customStyle="1" w:styleId="547">
    <w:name w:val="cm-def2"/>
    <w:basedOn w:val="65"/>
    <w:qFormat/>
    <w:uiPriority w:val="0"/>
    <w:rPr>
      <w:color w:val="FFFFFF"/>
    </w:rPr>
  </w:style>
  <w:style w:type="character" w:customStyle="1" w:styleId="548">
    <w:name w:val="tip[data-v-43d8a6c5]"/>
    <w:basedOn w:val="65"/>
    <w:qFormat/>
    <w:uiPriority w:val="0"/>
    <w:rPr>
      <w:color w:val="0056B1"/>
    </w:rPr>
  </w:style>
  <w:style w:type="character" w:customStyle="1" w:styleId="549">
    <w:name w:val="underline[data-v-92a6c0b6]"/>
    <w:basedOn w:val="65"/>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footer" Target="footer5.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181</Pages>
  <Words>1022</Words>
  <Characters>1114</Characters>
  <Lines>872</Lines>
  <Paragraphs>245</Paragraphs>
  <TotalTime>107</TotalTime>
  <ScaleCrop>false</ScaleCrop>
  <LinksUpToDate>false</LinksUpToDate>
  <CharactersWithSpaces>1134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2025-11-09T01:54:00Z</dcterms:created>
  <dc:creator>Administrator</dc:creator>
  <cp:lastModifiedBy>wwt</cp:lastModifiedBy>
  <cp:lastPrinted>2021-01-05T16:24:00Z</cp:lastPrinted>
  <dcterms:modified xsi:type="dcterms:W3CDTF">2025-11-13T03:43:03Z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7AA28497A5124A46BDFD9C8B7CA11545_13</vt:lpwstr>
  </property>
  <property fmtid="{D5CDD505-2E9C-101B-9397-08002B2CF9AE}" pid="4" name="KSOTemplateDocerSaveRecord">
    <vt:lpwstr>eyJoZGlkIjoiYWE3YzI4NjUwNWM0NzE3YTFmYzg1MzkxZWU3OTJlNTUiLCJ1c2VySWQiOiIyNjg4ODcyOTUifQ==</vt:lpwstr>
  </property>
</Properties>
</file>