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32"/>
          <w:szCs w:val="36"/>
          <w:highlight w:val="none"/>
        </w:rPr>
      </w:pPr>
      <w:r>
        <w:rPr>
          <w:rFonts w:hint="eastAsia" w:ascii="宋体" w:hAnsi="宋体" w:cs="宋体"/>
          <w:b/>
          <w:bCs/>
          <w:color w:val="auto"/>
          <w:sz w:val="32"/>
          <w:szCs w:val="36"/>
          <w:highlight w:val="none"/>
        </w:rPr>
        <w:t>海珠区西片区城市基础设施改造项目设计施工总承包</w:t>
      </w:r>
    </w:p>
    <w:p>
      <w:pPr>
        <w:spacing w:line="360" w:lineRule="auto"/>
        <w:jc w:val="center"/>
        <w:rPr>
          <w:rFonts w:ascii="宋体" w:hAnsi="宋体" w:cs="宋体"/>
          <w:b/>
          <w:bCs/>
          <w:color w:val="auto"/>
          <w:sz w:val="32"/>
          <w:szCs w:val="36"/>
          <w:highlight w:val="none"/>
        </w:rPr>
      </w:pPr>
      <w:r>
        <w:rPr>
          <w:rFonts w:hint="eastAsia" w:ascii="宋体" w:hAnsi="宋体" w:cs="宋体"/>
          <w:b/>
          <w:bCs/>
          <w:color w:val="auto"/>
          <w:sz w:val="32"/>
          <w:szCs w:val="36"/>
          <w:highlight w:val="none"/>
        </w:rPr>
        <w:t>招标公告</w:t>
      </w:r>
    </w:p>
    <w:p>
      <w:pPr>
        <w:keepNext/>
        <w:keepLines/>
        <w:spacing w:before="260" w:after="260" w:line="360" w:lineRule="auto"/>
        <w:outlineLvl w:val="1"/>
        <w:rPr>
          <w:rFonts w:ascii="宋体" w:hAnsi="宋体" w:cs="宋体"/>
          <w:b/>
          <w:bCs/>
          <w:color w:val="auto"/>
          <w:sz w:val="32"/>
          <w:szCs w:val="32"/>
          <w:highlight w:val="none"/>
        </w:rPr>
      </w:pPr>
      <w:bookmarkStart w:id="0" w:name="_Toc247527535"/>
      <w:bookmarkStart w:id="1" w:name="_Toc247513934"/>
      <w:bookmarkStart w:id="2" w:name="_Toc5026"/>
      <w:bookmarkStart w:id="3" w:name="_Toc152042288"/>
      <w:bookmarkStart w:id="4" w:name="_Toc25027"/>
      <w:bookmarkStart w:id="5" w:name="_Toc144974480"/>
      <w:bookmarkStart w:id="6" w:name="_Toc152045512"/>
      <w:r>
        <w:rPr>
          <w:rFonts w:hint="eastAsia" w:ascii="宋体" w:hAnsi="宋体" w:cs="宋体"/>
          <w:b/>
          <w:bCs/>
          <w:color w:val="auto"/>
          <w:sz w:val="32"/>
          <w:szCs w:val="32"/>
          <w:highlight w:val="none"/>
        </w:rPr>
        <w:t>1. 招标条件</w:t>
      </w:r>
      <w:bookmarkEnd w:id="0"/>
      <w:bookmarkEnd w:id="1"/>
      <w:bookmarkEnd w:id="2"/>
      <w:bookmarkEnd w:id="3"/>
      <w:bookmarkEnd w:id="4"/>
      <w:bookmarkEnd w:id="5"/>
      <w:bookmarkEnd w:id="6"/>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Theme="minorEastAsia" w:hAnsiTheme="minorEastAsia" w:eastAsiaTheme="minorEastAsia" w:cstheme="minorEastAsia"/>
          <w:color w:val="auto"/>
          <w:sz w:val="24"/>
          <w:highlight w:val="none"/>
          <w:u w:val="single"/>
        </w:rPr>
        <w:t>海珠区西片区城市基础设施改造项目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广州市海珠区发展和改革局</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穗海发改投批【2023】1 号文</w:t>
      </w:r>
      <w:r>
        <w:rPr>
          <w:rFonts w:hint="eastAsia" w:ascii="宋体" w:hAnsi="宋体" w:cs="宋体"/>
          <w:color w:val="auto"/>
          <w:sz w:val="24"/>
          <w:szCs w:val="24"/>
          <w:highlight w:val="none"/>
        </w:rPr>
        <w:t>批准建设，项目业主为</w:t>
      </w:r>
      <w:r>
        <w:rPr>
          <w:rFonts w:hint="eastAsia" w:asciiTheme="minorEastAsia" w:hAnsiTheme="minorEastAsia" w:eastAsiaTheme="minorEastAsia" w:cstheme="minorEastAsia"/>
          <w:color w:val="auto"/>
          <w:sz w:val="24"/>
          <w:szCs w:val="24"/>
          <w:highlight w:val="none"/>
          <w:u w:val="single"/>
        </w:rPr>
        <w:t>广州市海珠区住房和建设局</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区财政资金</w:t>
      </w:r>
      <w:r>
        <w:rPr>
          <w:rFonts w:hint="eastAsia" w:ascii="宋体" w:hAnsi="宋体" w:cs="宋体"/>
          <w:color w:val="auto"/>
          <w:sz w:val="24"/>
          <w:szCs w:val="24"/>
          <w:highlight w:val="none"/>
        </w:rPr>
        <w:t>，项目出资比例为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Theme="minorEastAsia" w:hAnsiTheme="minorEastAsia" w:eastAsiaTheme="minorEastAsia" w:cstheme="minorEastAsia"/>
          <w:color w:val="auto"/>
          <w:sz w:val="24"/>
          <w:szCs w:val="24"/>
          <w:highlight w:val="none"/>
          <w:u w:val="single"/>
        </w:rPr>
        <w:t>广州市海珠区住房和建设局</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设计施工总承包</w:t>
      </w:r>
      <w:r>
        <w:rPr>
          <w:rFonts w:hint="eastAsia" w:ascii="宋体" w:hAnsi="宋体" w:cs="宋体"/>
          <w:color w:val="auto"/>
          <w:sz w:val="24"/>
          <w:szCs w:val="24"/>
          <w:highlight w:val="none"/>
        </w:rPr>
        <w:t>进行公开招标</w:t>
      </w:r>
    </w:p>
    <w:p>
      <w:pPr>
        <w:keepNext/>
        <w:keepLines/>
        <w:spacing w:before="260" w:after="260" w:line="360" w:lineRule="auto"/>
        <w:outlineLvl w:val="1"/>
        <w:rPr>
          <w:rFonts w:ascii="宋体" w:hAnsi="宋体" w:cs="宋体"/>
          <w:b/>
          <w:bCs/>
          <w:color w:val="auto"/>
          <w:sz w:val="32"/>
          <w:szCs w:val="32"/>
          <w:highlight w:val="none"/>
        </w:rPr>
      </w:pPr>
      <w:bookmarkStart w:id="7" w:name="_Toc152045513"/>
      <w:bookmarkStart w:id="8" w:name="_Toc247527536"/>
      <w:bookmarkStart w:id="9" w:name="_Toc152042289"/>
      <w:bookmarkStart w:id="10" w:name="_Toc30111"/>
      <w:bookmarkStart w:id="11" w:name="_Toc247513935"/>
      <w:bookmarkStart w:id="12" w:name="_Toc144974481"/>
      <w:bookmarkStart w:id="13" w:name="_Toc19680"/>
      <w:r>
        <w:rPr>
          <w:rFonts w:hint="eastAsia" w:ascii="宋体" w:hAnsi="宋体" w:cs="宋体"/>
          <w:b/>
          <w:bCs/>
          <w:color w:val="auto"/>
          <w:sz w:val="32"/>
          <w:szCs w:val="32"/>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2.1工程名称和工程建设地点：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none"/>
        </w:rPr>
        <w:t>招标项目名称：</w:t>
      </w:r>
      <w:r>
        <w:rPr>
          <w:rFonts w:hint="eastAsia" w:ascii="宋体" w:hAnsi="宋体" w:cs="宋体"/>
          <w:color w:val="auto"/>
          <w:sz w:val="24"/>
          <w:szCs w:val="24"/>
          <w:highlight w:val="none"/>
          <w:u w:val="single"/>
        </w:rPr>
        <w:t>海珠区西片区城市基础设施改造项目设计施工总承包</w:t>
      </w:r>
    </w:p>
    <w:p>
      <w:pPr>
        <w:spacing w:line="360" w:lineRule="auto"/>
        <w:ind w:firstLine="480" w:firstLineChars="200"/>
        <w:rPr>
          <w:color w:val="auto"/>
          <w:highlight w:val="none"/>
        </w:rPr>
      </w:pPr>
      <w:r>
        <w:rPr>
          <w:rFonts w:hint="eastAsia" w:hAnsi="宋体" w:cs="宋体"/>
          <w:color w:val="auto"/>
          <w:sz w:val="24"/>
          <w:szCs w:val="24"/>
          <w:highlight w:val="none"/>
          <w:u w:val="none"/>
        </w:rPr>
        <w:t>工程建设地点：</w:t>
      </w:r>
      <w:r>
        <w:rPr>
          <w:rFonts w:hint="eastAsia" w:hAnsi="宋体" w:cs="宋体"/>
          <w:color w:val="auto"/>
          <w:sz w:val="24"/>
          <w:szCs w:val="24"/>
          <w:highlight w:val="none"/>
          <w:u w:val="single"/>
        </w:rPr>
        <w:t>海珠区</w:t>
      </w:r>
      <w:r>
        <w:rPr>
          <w:rFonts w:hint="eastAsia" w:ascii="宋体" w:hAnsi="宋体" w:cs="宋体"/>
          <w:color w:val="auto"/>
          <w:sz w:val="24"/>
          <w:szCs w:val="24"/>
          <w:highlight w:val="none"/>
          <w:u w:val="single"/>
        </w:rPr>
        <w:t>宝业路、江南东路、江南大道（中段）等路段</w:t>
      </w:r>
      <w:r>
        <w:rPr>
          <w:rFonts w:hint="eastAsia"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2.2工程建设规模和工程投资：</w:t>
      </w:r>
      <w:r>
        <w:rPr>
          <w:rFonts w:hint="eastAsia" w:ascii="Cambria" w:hAnsi="Cambria" w:eastAsia="宋体" w:cs="Times New Roman"/>
          <w:color w:val="auto"/>
          <w:kern w:val="2"/>
          <w:sz w:val="24"/>
          <w:szCs w:val="22"/>
          <w:highlight w:val="none"/>
          <w:u w:val="single"/>
          <w:lang w:val="zh-CN" w:eastAsia="zh-CN" w:bidi="ar"/>
        </w:rPr>
        <w:t>对宝业路、江南东路等次干道路段和对</w:t>
      </w:r>
      <w:r>
        <w:rPr>
          <w:rFonts w:hint="eastAsia" w:ascii="Cambria" w:hAnsi="Cambria" w:cs="Times New Roman"/>
          <w:color w:val="auto"/>
          <w:kern w:val="2"/>
          <w:sz w:val="24"/>
          <w:szCs w:val="22"/>
          <w:highlight w:val="none"/>
          <w:u w:val="single"/>
          <w:lang w:val="zh-CN" w:eastAsia="zh-CN" w:bidi="ar"/>
        </w:rPr>
        <w:t>江南大道（中段）</w:t>
      </w:r>
      <w:r>
        <w:rPr>
          <w:rFonts w:hint="eastAsia" w:ascii="Cambria" w:hAnsi="Cambria" w:eastAsia="宋体" w:cs="Times New Roman"/>
          <w:color w:val="auto"/>
          <w:kern w:val="2"/>
          <w:sz w:val="24"/>
          <w:szCs w:val="22"/>
          <w:highlight w:val="none"/>
          <w:u w:val="single"/>
          <w:lang w:val="zh-CN" w:eastAsia="zh-CN" w:bidi="ar"/>
        </w:rPr>
        <w:t>等主干道路段进行节点空间、道路及室外管线提升改造，打造海珠区西片区融合圈。本项目为市政综合工程，建设内容主要为街区外观改造，包括市政道路改造、节点空间提升、建筑立面改造、照明工程及其他配套工程。本次招标内容包含设计和施工内容。（建设内容和规模最终以发包人确定的方案及相关资料为准）。</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none"/>
        </w:rPr>
        <w:t>工程估算（概算）：</w:t>
      </w:r>
      <w:r>
        <w:rPr>
          <w:rFonts w:hint="eastAsia" w:ascii="宋体" w:hAnsi="宋体" w:cs="宋体"/>
          <w:color w:val="auto"/>
          <w:sz w:val="24"/>
          <w:szCs w:val="24"/>
          <w:highlight w:val="none"/>
          <w:u w:val="single"/>
        </w:rPr>
        <w:t>项目总投资19382.56万元，其中：工程费用：16685.18万元，工程建设其他费用：1774.4</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万元，预备费：922.98万元。</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最高投标限价：</w:t>
      </w:r>
      <w:r>
        <w:rPr>
          <w:rFonts w:hint="eastAsia" w:asciiTheme="minorEastAsia" w:hAnsiTheme="minorEastAsia" w:eastAsiaTheme="minorEastAsia" w:cstheme="minorEastAsia"/>
          <w:color w:val="auto"/>
          <w:sz w:val="24"/>
          <w:szCs w:val="24"/>
          <w:highlight w:val="none"/>
          <w:u w:val="single"/>
          <w:lang w:eastAsia="zh-CN"/>
        </w:rPr>
        <w:t>17049.94</w:t>
      </w:r>
      <w:r>
        <w:rPr>
          <w:rFonts w:hint="eastAsia" w:asciiTheme="minorEastAsia" w:hAnsiTheme="minorEastAsia" w:eastAsiaTheme="minorEastAsia" w:cstheme="minorEastAsia"/>
          <w:color w:val="auto"/>
          <w:sz w:val="24"/>
          <w:szCs w:val="24"/>
          <w:highlight w:val="none"/>
          <w:u w:val="single"/>
        </w:rPr>
        <w:t>万元，其中建安工程费最高投标限价为16685.18万元，设计费最高投标限价为</w:t>
      </w:r>
      <w:r>
        <w:rPr>
          <w:rFonts w:hint="eastAsia" w:asciiTheme="minorEastAsia" w:hAnsiTheme="minorEastAsia" w:eastAsiaTheme="minorEastAsia" w:cstheme="minorEastAsia"/>
          <w:color w:val="auto"/>
          <w:sz w:val="24"/>
          <w:szCs w:val="24"/>
          <w:highlight w:val="none"/>
          <w:u w:val="single"/>
          <w:lang w:val="en-US" w:eastAsia="zh-CN"/>
        </w:rPr>
        <w:t>364.76</w:t>
      </w:r>
      <w:r>
        <w:rPr>
          <w:rFonts w:hint="eastAsia" w:asciiTheme="minorEastAsia" w:hAnsiTheme="minorEastAsia" w:eastAsiaTheme="minorEastAsia" w:cstheme="minorEastAsia"/>
          <w:color w:val="auto"/>
          <w:sz w:val="24"/>
          <w:szCs w:val="24"/>
          <w:highlight w:val="none"/>
          <w:u w:val="single"/>
        </w:rPr>
        <w:t>万元。</w:t>
      </w:r>
    </w:p>
    <w:p>
      <w:pPr>
        <w:spacing w:line="360" w:lineRule="auto"/>
        <w:ind w:firstLine="480" w:firstLineChars="200"/>
        <w:rPr>
          <w:rFonts w:ascii="宋体" w:hAnsi="宋体" w:cs="宋体"/>
          <w:b/>
          <w:color w:val="auto"/>
          <w:sz w:val="24"/>
          <w:szCs w:val="24"/>
          <w:highlight w:val="none"/>
        </w:rPr>
      </w:pPr>
      <w:r>
        <w:rPr>
          <w:rFonts w:hint="eastAsia" w:ascii="宋体" w:hAnsi="宋体" w:cs="宋体"/>
          <w:bCs/>
          <w:color w:val="auto"/>
          <w:sz w:val="24"/>
          <w:szCs w:val="24"/>
          <w:highlight w:val="none"/>
        </w:rPr>
        <w:t>2.3计划工期：</w:t>
      </w:r>
      <w:r>
        <w:rPr>
          <w:rFonts w:hint="eastAsia" w:ascii="宋体" w:hAnsi="宋体" w:cs="宋体"/>
          <w:bCs/>
          <w:color w:val="auto"/>
          <w:sz w:val="24"/>
          <w:szCs w:val="24"/>
          <w:highlight w:val="none"/>
          <w:u w:val="single"/>
        </w:rPr>
        <w:t>总工期暂定为</w:t>
      </w:r>
      <w:r>
        <w:rPr>
          <w:rFonts w:hint="eastAsia" w:ascii="宋体" w:hAnsi="宋体" w:cs="宋体"/>
          <w:bCs/>
          <w:color w:val="auto"/>
          <w:sz w:val="24"/>
          <w:szCs w:val="24"/>
          <w:highlight w:val="none"/>
          <w:u w:val="single"/>
          <w:lang w:val="en-US" w:eastAsia="zh-CN"/>
        </w:rPr>
        <w:t>300</w:t>
      </w:r>
      <w:r>
        <w:rPr>
          <w:rFonts w:hint="eastAsia" w:ascii="宋体" w:hAnsi="宋体" w:cs="宋体"/>
          <w:bCs/>
          <w:color w:val="auto"/>
          <w:sz w:val="24"/>
          <w:szCs w:val="24"/>
          <w:highlight w:val="none"/>
          <w:u w:val="single"/>
        </w:rPr>
        <w:t>日历天</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（1）设计工期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日历天，设计开工日期以业主书面通知为准。</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（2）施工工期 </w:t>
      </w:r>
      <w:r>
        <w:rPr>
          <w:rFonts w:hint="eastAsia" w:ascii="宋体" w:hAnsi="宋体" w:cs="宋体"/>
          <w:color w:val="auto"/>
          <w:sz w:val="24"/>
          <w:szCs w:val="24"/>
          <w:highlight w:val="none"/>
          <w:u w:val="single"/>
          <w:lang w:val="en-US" w:eastAsia="zh-CN"/>
        </w:rPr>
        <w:t>270</w:t>
      </w:r>
      <w:r>
        <w:rPr>
          <w:rFonts w:hint="eastAsia" w:ascii="宋体" w:hAnsi="宋体" w:cs="宋体"/>
          <w:color w:val="auto"/>
          <w:sz w:val="24"/>
          <w:szCs w:val="24"/>
          <w:highlight w:val="none"/>
          <w:u w:val="single"/>
        </w:rPr>
        <w:t xml:space="preserve"> 日历天，施工开工日期以监理工程师签发的开工通知书之日为准。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2.4招标范围：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2.4.1标段划分：本次招标划分为1个标段。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2.4.2招标内容：海珠区西片区城市基础设施改造项目的设计及施工，包括但不限于以下内容（具体内容详见合同）：</w:t>
      </w:r>
    </w:p>
    <w:p>
      <w:pPr>
        <w:spacing w:line="360" w:lineRule="auto"/>
        <w:ind w:firstLine="482" w:firstLineChars="200"/>
        <w:rPr>
          <w:rFonts w:ascii="宋体" w:hAnsi="宋体" w:cs="宋体"/>
          <w:b/>
          <w:color w:val="auto"/>
          <w:sz w:val="24"/>
          <w:szCs w:val="24"/>
          <w:highlight w:val="none"/>
        </w:rPr>
      </w:pPr>
      <w:bookmarkStart w:id="14" w:name="OLE_LINK1"/>
      <w:r>
        <w:rPr>
          <w:rFonts w:hint="eastAsia" w:ascii="宋体" w:hAnsi="宋体" w:cs="宋体"/>
          <w:b/>
          <w:color w:val="auto"/>
          <w:sz w:val="24"/>
          <w:szCs w:val="24"/>
          <w:highlight w:val="none"/>
        </w:rPr>
        <w:t>2.4.2.1设计部分</w:t>
      </w:r>
    </w:p>
    <w:p>
      <w:pPr>
        <w:spacing w:line="360" w:lineRule="auto"/>
        <w:ind w:firstLine="537" w:firstLineChars="224"/>
        <w:rPr>
          <w:rFonts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single"/>
        </w:rPr>
        <w:t>按照</w:t>
      </w:r>
      <w:bookmarkStart w:id="15" w:name="_Toc23631"/>
      <w:r>
        <w:rPr>
          <w:rFonts w:hint="eastAsia" w:ascii="宋体" w:hAnsi="宋体" w:eastAsia="宋体" w:cs="宋体"/>
          <w:color w:val="auto"/>
          <w:sz w:val="24"/>
          <w:szCs w:val="28"/>
          <w:highlight w:val="none"/>
          <w:u w:val="single"/>
        </w:rPr>
        <w:t>发包人要求</w:t>
      </w:r>
      <w:bookmarkEnd w:id="15"/>
      <w:r>
        <w:rPr>
          <w:rFonts w:hint="eastAsia" w:asciiTheme="minorEastAsia" w:hAnsiTheme="minorEastAsia" w:eastAsiaTheme="minorEastAsia" w:cstheme="minorEastAsia"/>
          <w:color w:val="auto"/>
          <w:sz w:val="24"/>
          <w:szCs w:val="24"/>
          <w:highlight w:val="none"/>
          <w:u w:val="single"/>
        </w:rPr>
        <w:t>的要求</w:t>
      </w:r>
      <w:r>
        <w:rPr>
          <w:rFonts w:hint="eastAsia" w:asciiTheme="minorEastAsia" w:hAnsiTheme="minorEastAsia" w:eastAsiaTheme="minorEastAsia" w:cstheme="minorEastAsia"/>
          <w:color w:val="auto"/>
          <w:sz w:val="24"/>
          <w:szCs w:val="24"/>
          <w:highlight w:val="none"/>
          <w:u w:val="single"/>
          <w:lang w:eastAsia="zh-CN"/>
        </w:rPr>
        <w:t>（详见招标文件第五章）</w:t>
      </w:r>
      <w:r>
        <w:rPr>
          <w:rFonts w:hint="eastAsia" w:asciiTheme="minorEastAsia" w:hAnsiTheme="minorEastAsia" w:eastAsiaTheme="minorEastAsia" w:cstheme="minorEastAsia"/>
          <w:color w:val="auto"/>
          <w:sz w:val="24"/>
          <w:szCs w:val="24"/>
          <w:highlight w:val="none"/>
          <w:u w:val="single"/>
        </w:rPr>
        <w:t>，负责本项目的全部设计服务工作，（包括但不限于）：</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（1）项目的</w:t>
      </w:r>
      <w:r>
        <w:rPr>
          <w:rFonts w:hint="eastAsia" w:asciiTheme="minorEastAsia" w:hAnsiTheme="minorEastAsia" w:eastAsiaTheme="minorEastAsia" w:cstheme="minorEastAsia"/>
          <w:color w:val="auto"/>
          <w:sz w:val="24"/>
          <w:szCs w:val="24"/>
          <w:highlight w:val="none"/>
          <w:u w:val="single"/>
          <w:lang w:eastAsia="zh-CN"/>
        </w:rPr>
        <w:t>方案设计、</w:t>
      </w:r>
      <w:r>
        <w:rPr>
          <w:rFonts w:hint="eastAsia" w:asciiTheme="minorEastAsia" w:hAnsiTheme="minorEastAsia" w:eastAsiaTheme="minorEastAsia" w:cstheme="minorEastAsia"/>
          <w:color w:val="auto"/>
          <w:sz w:val="24"/>
          <w:szCs w:val="24"/>
          <w:highlight w:val="none"/>
          <w:u w:val="single"/>
        </w:rPr>
        <w:t>初步设计、施工图设计、工程设计概算编制、竣工图编制等后续所有设计和现场服务工作（含其他专业报批所需的所有设计文件及文件格式要求需符合主管部门要求，且验收通过）；</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（2）项目全过程中的方案优化及设计变更等。</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设计其他服务:全过程现场服务工作（设计交底、设计驻场、设计修改和变更等）；负责根据建设要求组织各项专家评审,并承担相应的专家评审费用；协助招标人办理各专业报建及初步设计审查、办理报批报建工作；在项目建设各阶段配合发包人取得主管部门各项批准、验收等工作。</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（4）设计成果文件要求：按合同要求。</w:t>
      </w:r>
      <w:bookmarkStart w:id="28" w:name="_GoBack"/>
      <w:bookmarkEnd w:id="28"/>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2.4.2.2施工部分</w:t>
      </w:r>
    </w:p>
    <w:bookmarkEnd w:id="14"/>
    <w:p>
      <w:pPr>
        <w:spacing w:line="360" w:lineRule="auto"/>
        <w:ind w:firstLine="537" w:firstLineChars="224"/>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w:t>
      </w:r>
      <w:r>
        <w:rPr>
          <w:rFonts w:asciiTheme="minorEastAsia" w:hAnsiTheme="minorEastAsia" w:eastAsiaTheme="minorEastAsia" w:cstheme="minorEastAsia"/>
          <w:color w:val="auto"/>
          <w:sz w:val="24"/>
          <w:szCs w:val="24"/>
          <w:highlight w:val="none"/>
          <w:u w:val="single"/>
        </w:rPr>
        <w:t>）</w:t>
      </w:r>
      <w:r>
        <w:rPr>
          <w:rFonts w:hint="eastAsia" w:ascii="宋体" w:hAnsi="宋体" w:cs="宋体"/>
          <w:color w:val="auto"/>
          <w:sz w:val="24"/>
          <w:szCs w:val="24"/>
          <w:highlight w:val="none"/>
          <w:u w:val="single"/>
        </w:rPr>
        <w:t>施工范围及内容（包括但不限于）：</w:t>
      </w:r>
      <w:r>
        <w:rPr>
          <w:rFonts w:hint="eastAsia" w:asciiTheme="minorEastAsia" w:hAnsiTheme="minorEastAsia" w:eastAsiaTheme="minorEastAsia" w:cstheme="minorEastAsia"/>
          <w:color w:val="auto"/>
          <w:sz w:val="24"/>
          <w:szCs w:val="24"/>
          <w:highlight w:val="none"/>
          <w:u w:val="single"/>
        </w:rPr>
        <w:t>完成本项目所有施工内容，按照招标文件及合同约定的范围和招标人批复的施工图进行施工总承包，包括但不限于包施工预算编制、工程量清单编制。具体以发包人确认的施工图、经审定的施工图预算内容为准。</w:t>
      </w:r>
    </w:p>
    <w:p>
      <w:pPr>
        <w:pStyle w:val="2"/>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w:t>
      </w:r>
      <w:r>
        <w:rPr>
          <w:rFonts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rPr>
        <w:t>负责结算的编制工作，配合发包人对结算的审核及审计工作。</w:t>
      </w:r>
    </w:p>
    <w:p>
      <w:pPr>
        <w:pStyle w:val="2"/>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w:t>
      </w:r>
      <w:r>
        <w:rPr>
          <w:rFonts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rPr>
        <w:t>负责或配合办理工程开工及验收所需的各项手续,包括但不限于办理施工许可证(或临时施工许可)、报监手续、余泥排放证、排污手续、排水接驳、水质检测、排水许可证、环保验收及分项分部工程验收和各专业验收,并承担办理上述手续施工方的费用。</w:t>
      </w:r>
    </w:p>
    <w:p>
      <w:pPr>
        <w:pStyle w:val="2"/>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（4</w:t>
      </w:r>
      <w:r>
        <w:rPr>
          <w:rFonts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rPr>
        <w:t>组织本项目的验收备案和工程资料汇总及整理归档工作。</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2.5</w:t>
      </w:r>
      <w:r>
        <w:rPr>
          <w:rFonts w:hint="eastAsia" w:ascii="宋体" w:hAnsi="宋体" w:cs="宋体"/>
          <w:color w:val="auto"/>
          <w:kern w:val="0"/>
          <w:sz w:val="24"/>
          <w:szCs w:val="24"/>
          <w:highlight w:val="none"/>
        </w:rPr>
        <w:t>前期服务机构：</w:t>
      </w:r>
      <w:r>
        <w:rPr>
          <w:rFonts w:hint="eastAsia" w:asciiTheme="minorEastAsia" w:hAnsiTheme="minorEastAsia" w:eastAsiaTheme="minorEastAsia" w:cstheme="minorEastAsia"/>
          <w:color w:val="auto"/>
          <w:sz w:val="24"/>
          <w:highlight w:val="none"/>
          <w:u w:val="single"/>
        </w:rPr>
        <w:t>广东省国际工程咨询有限公司（可行性研究报告编制单位）</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注：如果有前期服务机构，应公开披露其名称。招标人公开已经完成的项目建议书、可行性研究报告、初步设计文件的，上述单位可以参与该工程总承包项目的投标。</w:t>
      </w:r>
    </w:p>
    <w:p>
      <w:pPr>
        <w:keepNext/>
        <w:keepLines/>
        <w:spacing w:before="260" w:after="260" w:line="360" w:lineRule="auto"/>
        <w:outlineLvl w:val="1"/>
        <w:rPr>
          <w:rFonts w:ascii="宋体" w:hAnsi="宋体" w:cs="宋体"/>
          <w:b/>
          <w:color w:val="auto"/>
          <w:sz w:val="24"/>
          <w:szCs w:val="24"/>
          <w:highlight w:val="none"/>
        </w:rPr>
      </w:pPr>
      <w:r>
        <w:rPr>
          <w:rFonts w:hint="eastAsia" w:ascii="宋体" w:hAnsi="宋体" w:cs="宋体"/>
          <w:b/>
          <w:bCs/>
          <w:color w:val="auto"/>
          <w:sz w:val="32"/>
          <w:szCs w:val="32"/>
          <w:highlight w:val="none"/>
        </w:rPr>
        <w:t>3.投标人资格要求：</w:t>
      </w:r>
    </w:p>
    <w:p>
      <w:pPr>
        <w:pStyle w:val="27"/>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3.1投标人参加投标的意思表达清楚，投标人代表被授权有效；</w:t>
      </w:r>
    </w:p>
    <w:p>
      <w:pPr>
        <w:pStyle w:val="27"/>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3.2投标人（</w:t>
      </w:r>
      <w:r>
        <w:rPr>
          <w:rFonts w:hint="eastAsia" w:asciiTheme="minorEastAsia" w:hAnsiTheme="minorEastAsia" w:eastAsiaTheme="minorEastAsia" w:cstheme="minorEastAsia"/>
          <w:color w:val="auto"/>
          <w:sz w:val="24"/>
          <w:highlight w:val="none"/>
        </w:rPr>
        <w:t>若为联合体投标，指联合体各方</w:t>
      </w:r>
      <w:r>
        <w:rPr>
          <w:rFonts w:hint="eastAsia" w:ascii="宋体" w:hAnsi="宋体" w:eastAsia="宋体" w:cs="宋体"/>
          <w:color w:val="auto"/>
          <w:kern w:val="2"/>
          <w:sz w:val="24"/>
          <w:szCs w:val="24"/>
          <w:highlight w:val="none"/>
        </w:rPr>
        <w:t>）均依法设立，按国家法律经营；</w:t>
      </w:r>
    </w:p>
    <w:p>
      <w:pPr>
        <w:pStyle w:val="27"/>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3.3投标人</w:t>
      </w:r>
      <w:r>
        <w:rPr>
          <w:rFonts w:hint="eastAsia" w:asciiTheme="minorEastAsia" w:hAnsiTheme="minorEastAsia" w:eastAsiaTheme="minorEastAsia" w:cstheme="minorEastAsia"/>
          <w:color w:val="auto"/>
          <w:sz w:val="24"/>
          <w:highlight w:val="none"/>
        </w:rPr>
        <w:t>（若为联合体投标，指联合体各方）</w:t>
      </w:r>
      <w:r>
        <w:rPr>
          <w:rFonts w:hint="eastAsia" w:ascii="宋体" w:hAnsi="宋体" w:eastAsia="宋体" w:cs="宋体"/>
          <w:color w:val="auto"/>
          <w:kern w:val="2"/>
          <w:sz w:val="24"/>
          <w:szCs w:val="24"/>
          <w:highlight w:val="none"/>
        </w:rPr>
        <w:t>持有建设行政主管部门颁发的企业资质证书；</w:t>
      </w:r>
    </w:p>
    <w:p>
      <w:pPr>
        <w:pStyle w:val="27"/>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3.4投标人</w:t>
      </w:r>
      <w:r>
        <w:rPr>
          <w:rFonts w:hint="eastAsia" w:asciiTheme="minorEastAsia" w:hAnsiTheme="minorEastAsia" w:eastAsiaTheme="minorEastAsia" w:cstheme="minorEastAsia"/>
          <w:color w:val="auto"/>
          <w:kern w:val="2"/>
          <w:sz w:val="24"/>
          <w:szCs w:val="22"/>
          <w:highlight w:val="none"/>
        </w:rPr>
        <w:t>（若为联合体投标，</w:t>
      </w:r>
      <w:r>
        <w:rPr>
          <w:rFonts w:hint="eastAsia" w:asciiTheme="minorEastAsia" w:hAnsiTheme="minorEastAsia" w:eastAsiaTheme="minorEastAsia" w:cstheme="minorEastAsia"/>
          <w:color w:val="auto"/>
          <w:sz w:val="24"/>
          <w:szCs w:val="24"/>
          <w:highlight w:val="none"/>
          <w:u w:val="single"/>
        </w:rPr>
        <w:t>由承担施工任务的单位</w:t>
      </w:r>
      <w:r>
        <w:rPr>
          <w:rFonts w:hint="eastAsia" w:asciiTheme="minorEastAsia" w:hAnsiTheme="minorEastAsia" w:eastAsiaTheme="minorEastAsia" w:cstheme="minorEastAsia"/>
          <w:color w:val="auto"/>
          <w:kern w:val="2"/>
          <w:sz w:val="24"/>
          <w:szCs w:val="22"/>
          <w:highlight w:val="none"/>
        </w:rPr>
        <w:t>提供）</w:t>
      </w:r>
      <w:r>
        <w:rPr>
          <w:rFonts w:hint="eastAsia" w:ascii="宋体" w:hAnsi="宋体" w:eastAsia="宋体" w:cs="宋体"/>
          <w:color w:val="auto"/>
          <w:kern w:val="2"/>
          <w:sz w:val="24"/>
          <w:szCs w:val="24"/>
          <w:highlight w:val="none"/>
        </w:rPr>
        <w:t xml:space="preserve">持有建设行政主管部门颁发的安全生产许可证； </w:t>
      </w:r>
    </w:p>
    <w:p>
      <w:pPr>
        <w:pStyle w:val="27"/>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3.5投标人同时具有承接本工程所需的如下设计类和施工类资质：</w:t>
      </w:r>
    </w:p>
    <w:p>
      <w:pPr>
        <w:pStyle w:val="27"/>
        <w:ind w:firstLine="539"/>
        <w:rPr>
          <w:rFonts w:asciiTheme="minorEastAsia" w:hAnsiTheme="minorEastAsia" w:eastAsiaTheme="minorEastAsia" w:cstheme="minorEastAsia"/>
          <w:color w:val="auto"/>
          <w:sz w:val="24"/>
          <w:szCs w:val="24"/>
          <w:highlight w:val="none"/>
          <w:u w:val="single"/>
        </w:rPr>
      </w:pPr>
      <w:r>
        <w:rPr>
          <w:rFonts w:hint="eastAsia" w:ascii="宋体" w:hAnsi="宋体" w:eastAsia="宋体" w:cs="宋体"/>
          <w:color w:val="auto"/>
          <w:sz w:val="24"/>
          <w:szCs w:val="24"/>
          <w:highlight w:val="none"/>
        </w:rPr>
        <w:t>（1）工程设计资质：</w:t>
      </w:r>
      <w:r>
        <w:rPr>
          <w:rFonts w:hint="eastAsia" w:ascii="宋体" w:hAnsi="宋体" w:eastAsia="宋体" w:cs="宋体"/>
          <w:color w:val="auto"/>
          <w:sz w:val="24"/>
          <w:szCs w:val="24"/>
          <w:highlight w:val="none"/>
          <w:u w:val="single"/>
        </w:rPr>
        <w:t>国内申请人须具备建设行政主管部门颁发的</w:t>
      </w:r>
      <w:r>
        <w:rPr>
          <w:rFonts w:hint="eastAsia" w:asciiTheme="minorEastAsia" w:hAnsiTheme="minorEastAsia" w:eastAsiaTheme="minorEastAsia" w:cstheme="minorEastAsia"/>
          <w:color w:val="auto"/>
          <w:sz w:val="24"/>
          <w:szCs w:val="24"/>
          <w:highlight w:val="none"/>
          <w:u w:val="single"/>
        </w:rPr>
        <w:t>工程设计综合资质甲级；或市政行业设计甲级资质；或市政行业（道路工程）专业设计甲级资质。</w:t>
      </w:r>
    </w:p>
    <w:p>
      <w:pPr>
        <w:pStyle w:val="27"/>
        <w:ind w:firstLine="480" w:firstLineChars="200"/>
        <w:rPr>
          <w:rFonts w:ascii="宋体" w:hAnsi="宋体" w:eastAsia="宋体" w:cs="宋体"/>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香港企业独立参加投标的，须在广东省住房和城乡建设主管部门备案且备案的业务范围满足本项目招标资质要求。</w:t>
      </w:r>
    </w:p>
    <w:p>
      <w:pPr>
        <w:pStyle w:val="27"/>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pPr>
        <w:pStyle w:val="27"/>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 1、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填写。</w:t>
      </w:r>
    </w:p>
    <w:p>
      <w:pPr>
        <w:pStyle w:val="27"/>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27"/>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sz w:val="24"/>
          <w:szCs w:val="24"/>
          <w:highlight w:val="none"/>
        </w:rPr>
        <w:t>施工资质：</w:t>
      </w:r>
      <w:r>
        <w:rPr>
          <w:rFonts w:hint="eastAsia" w:ascii="宋体" w:hAnsi="宋体" w:eastAsia="宋体" w:cs="宋体"/>
          <w:color w:val="auto"/>
          <w:sz w:val="24"/>
          <w:szCs w:val="24"/>
          <w:highlight w:val="none"/>
          <w:u w:val="single"/>
        </w:rPr>
        <w:t>市政公用工程施工总承包一级或以上级别资质。</w:t>
      </w:r>
    </w:p>
    <w:p>
      <w:pPr>
        <w:pStyle w:val="6"/>
        <w:kinsoku w:val="0"/>
        <w:overflowPunct w:val="0"/>
        <w:spacing w:before="72"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Times New Roman"/>
          <w:b/>
          <w:bCs/>
          <w:color w:val="auto"/>
          <w:kern w:val="2"/>
          <w:sz w:val="24"/>
          <w:szCs w:val="24"/>
          <w:highlight w:val="none"/>
          <w:lang w:val="en-US" w:eastAsia="zh-CN" w:bidi="ar"/>
        </w:rPr>
        <w:t>《住房和城乡建设部办公厅关于建设工程企业资质有关事宜的通知》（建办市函〔2022〕361号）、</w:t>
      </w:r>
      <w:r>
        <w:rPr>
          <w:rFonts w:hint="eastAsia" w:ascii="宋体" w:hAnsi="宋体" w:eastAsia="宋体" w:cs="Times New Roman"/>
          <w:b/>
          <w:bCs w:val="0"/>
          <w:color w:val="auto"/>
          <w:kern w:val="2"/>
          <w:sz w:val="24"/>
          <w:szCs w:val="24"/>
          <w:highlight w:val="none"/>
          <w:lang w:val="en-US" w:eastAsia="zh-CN" w:bidi="ar"/>
        </w:rPr>
        <w:t>《广东省住房和城乡建设厅关于建设工程企业资质有关事宜的通知》（粤建许函〔2022〕846号）</w:t>
      </w:r>
      <w:r>
        <w:rPr>
          <w:rFonts w:hint="eastAsia" w:asciiTheme="minorEastAsia" w:hAnsiTheme="minorEastAsia" w:eastAsiaTheme="minorEastAsia" w:cstheme="minorEastAsia"/>
          <w:color w:val="auto"/>
          <w:kern w:val="0"/>
          <w:sz w:val="24"/>
          <w:szCs w:val="24"/>
          <w:highlight w:val="none"/>
        </w:rPr>
        <w:t>的要求设置。</w:t>
      </w:r>
    </w:p>
    <w:p>
      <w:pPr>
        <w:pStyle w:val="27"/>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3.6设计负责人、</w:t>
      </w:r>
      <w:r>
        <w:rPr>
          <w:rFonts w:hint="eastAsia" w:asciiTheme="minorEastAsia" w:hAnsiTheme="minorEastAsia" w:eastAsiaTheme="minorEastAsia" w:cstheme="minorEastAsia"/>
          <w:color w:val="auto"/>
          <w:sz w:val="24"/>
          <w:szCs w:val="24"/>
          <w:highlight w:val="none"/>
        </w:rPr>
        <w:t>项目</w:t>
      </w:r>
      <w:r>
        <w:rPr>
          <w:rFonts w:hint="eastAsia" w:ascii="宋体" w:hAnsi="宋体" w:eastAsia="宋体" w:cs="宋体"/>
          <w:color w:val="auto"/>
          <w:sz w:val="24"/>
          <w:szCs w:val="24"/>
          <w:highlight w:val="none"/>
        </w:rPr>
        <w:t>负责人、专职安全员要求：</w:t>
      </w:r>
    </w:p>
    <w:p>
      <w:pPr>
        <w:spacing w:line="360" w:lineRule="auto"/>
        <w:ind w:firstLine="537" w:firstLineChars="224"/>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设计负责人（</w:t>
      </w:r>
      <w:r>
        <w:rPr>
          <w:rFonts w:hint="eastAsia" w:asciiTheme="minorEastAsia" w:hAnsiTheme="minorEastAsia" w:eastAsiaTheme="minorEastAsia" w:cstheme="minorEastAsia"/>
          <w:color w:val="auto"/>
          <w:sz w:val="24"/>
          <w:szCs w:val="24"/>
          <w:highlight w:val="none"/>
          <w:u w:val="single"/>
        </w:rPr>
        <w:t>若为联合体投标，由承担设计任务的单位委派</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须具备市政路桥相关专业高级工程师或以上职称，或市政路桥相关专业中级技术职称从事本专业工作10年或以上（工作时间以毕业证书颁发时间至投标截止日为准）。</w:t>
      </w:r>
    </w:p>
    <w:p>
      <w:pPr>
        <w:pStyle w:val="27"/>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注：设计负责人与项目负责人不能为同一人。</w:t>
      </w:r>
    </w:p>
    <w:p>
      <w:pPr>
        <w:spacing w:line="360" w:lineRule="auto"/>
        <w:ind w:firstLine="537" w:firstLineChars="224"/>
        <w:rPr>
          <w:rFonts w:asciiTheme="minorEastAsia" w:hAnsiTheme="minorEastAsia" w:eastAsiaTheme="minorEastAsia" w:cstheme="minorEastAsia"/>
          <w:color w:val="auto"/>
          <w:sz w:val="24"/>
          <w:szCs w:val="24"/>
          <w:highlight w:val="none"/>
          <w:u w:val="single"/>
        </w:rPr>
      </w:pPr>
      <w:r>
        <w:rPr>
          <w:rFonts w:hint="eastAsia" w:ascii="宋体" w:hAnsi="宋体" w:cs="宋体"/>
          <w:color w:val="auto"/>
          <w:sz w:val="24"/>
          <w:szCs w:val="24"/>
          <w:highlight w:val="none"/>
        </w:rPr>
        <w:t>（2）</w:t>
      </w:r>
      <w:r>
        <w:rPr>
          <w:rFonts w:hint="eastAsia" w:asciiTheme="minorEastAsia" w:hAnsiTheme="minorEastAsia" w:eastAsiaTheme="minorEastAsia" w:cstheme="minorEastAsia"/>
          <w:color w:val="auto"/>
          <w:sz w:val="24"/>
          <w:szCs w:val="24"/>
          <w:highlight w:val="none"/>
        </w:rPr>
        <w:t>项目负责人（</w:t>
      </w:r>
      <w:r>
        <w:rPr>
          <w:rFonts w:hint="eastAsia" w:asciiTheme="minorEastAsia" w:hAnsiTheme="minorEastAsia" w:eastAsiaTheme="minorEastAsia" w:cstheme="minorEastAsia"/>
          <w:color w:val="auto"/>
          <w:sz w:val="24"/>
          <w:szCs w:val="24"/>
          <w:highlight w:val="none"/>
          <w:u w:val="single"/>
        </w:rPr>
        <w:t>兼任施工负责人，若为联合体投标，由承担施工任务的单位委派</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市政公用工程专业一级注册建造师，且持有安全</w:t>
      </w:r>
      <w:r>
        <w:rPr>
          <w:rFonts w:hint="eastAsia" w:asciiTheme="minorEastAsia" w:hAnsiTheme="minorEastAsia" w:eastAsiaTheme="minorEastAsia" w:cstheme="minorEastAsia"/>
          <w:b/>
          <w:bCs/>
          <w:sz w:val="24"/>
          <w:szCs w:val="24"/>
          <w:u w:val="single"/>
        </w:rPr>
        <w:t>生产</w:t>
      </w:r>
      <w:r>
        <w:rPr>
          <w:rFonts w:hint="eastAsia" w:asciiTheme="minorEastAsia" w:hAnsiTheme="minorEastAsia" w:eastAsiaTheme="minorEastAsia" w:cstheme="minorEastAsia"/>
          <w:color w:val="auto"/>
          <w:sz w:val="24"/>
          <w:szCs w:val="24"/>
          <w:highlight w:val="none"/>
          <w:u w:val="single"/>
        </w:rPr>
        <w:t>考核合格证（B类）或建筑施工企业项目负责人安全生产考核合格证书，投标登记时对投标人该项目负责人进行锁定。</w:t>
      </w:r>
    </w:p>
    <w:p>
      <w:pPr>
        <w:spacing w:line="360" w:lineRule="auto"/>
        <w:ind w:firstLine="537" w:firstLineChars="22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建造师的专业及等级标准按《注册建造师执业管理办法（试行）》及《注册建造师执业工程规模标准（试行）》；注册建造师根据《住房和城乡建设部办公厅关于取消一级建造师临时执业证书的通知》（建办市〔2019〕50号），注册建造师不包括一级注册临时建造师。项目负责人在任职期间不得担任专职安全员，项目专职安全员在任职期间也不得担任项目负责人，项目负责人和专职安全员不为同一人。</w:t>
      </w:r>
    </w:p>
    <w:p>
      <w:pPr>
        <w:spacing w:line="360" w:lineRule="auto"/>
        <w:ind w:firstLine="537" w:firstLineChars="224"/>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（3）</w:t>
      </w:r>
      <w:r>
        <w:rPr>
          <w:rFonts w:hint="eastAsia" w:asciiTheme="minorEastAsia" w:hAnsiTheme="minorEastAsia" w:eastAsiaTheme="minorEastAsia" w:cstheme="minorEastAsia"/>
          <w:color w:val="auto"/>
          <w:sz w:val="24"/>
          <w:szCs w:val="24"/>
          <w:highlight w:val="none"/>
        </w:rPr>
        <w:t>专职安全员（</w:t>
      </w:r>
      <w:r>
        <w:rPr>
          <w:rFonts w:hint="eastAsia" w:asciiTheme="minorEastAsia" w:hAnsiTheme="minorEastAsia" w:eastAsiaTheme="minorEastAsia" w:cstheme="minorEastAsia"/>
          <w:color w:val="auto"/>
          <w:sz w:val="24"/>
          <w:szCs w:val="24"/>
          <w:highlight w:val="none"/>
          <w:u w:val="single"/>
        </w:rPr>
        <w:t>若为联合体投标，由承担施工任务的单位委派</w:t>
      </w:r>
      <w:r>
        <w:rPr>
          <w:rFonts w:hint="eastAsia" w:asciiTheme="minorEastAsia" w:hAnsiTheme="minorEastAsia" w:eastAsiaTheme="minorEastAsia" w:cstheme="minorEastAsia"/>
          <w:color w:val="auto"/>
          <w:sz w:val="24"/>
          <w:szCs w:val="24"/>
          <w:highlight w:val="none"/>
        </w:rPr>
        <w:t>）须具有在有效期内的安全生产考核合格证（C类）或建筑施工企业专职安全生产管理人员安全生产考核合格证书（</w:t>
      </w:r>
      <w:r>
        <w:rPr>
          <w:rFonts w:hint="eastAsia" w:asciiTheme="minorEastAsia" w:hAnsiTheme="minorEastAsia" w:eastAsiaTheme="minorEastAsia" w:cstheme="minorEastAsia"/>
          <w:color w:val="auto"/>
          <w:sz w:val="24"/>
          <w:szCs w:val="24"/>
          <w:highlight w:val="none"/>
          <w:u w:val="single"/>
        </w:rPr>
        <w:t>C3</w:t>
      </w:r>
      <w:r>
        <w:rPr>
          <w:rFonts w:hint="eastAsia" w:asciiTheme="minorEastAsia" w:hAnsiTheme="minorEastAsia" w:eastAsiaTheme="minorEastAsia" w:cstheme="minorEastAsia"/>
          <w:color w:val="auto"/>
          <w:sz w:val="24"/>
          <w:szCs w:val="24"/>
          <w:highlight w:val="none"/>
        </w:rPr>
        <w:t>）。</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3.7投标人已按招标公告附件一规定的格式及内容要求签署《投标人声明》。</w:t>
      </w:r>
    </w:p>
    <w:p>
      <w:pPr>
        <w:spacing w:line="360" w:lineRule="auto"/>
        <w:ind w:firstLine="537" w:firstLineChars="224"/>
        <w:outlineLvl w:val="0"/>
        <w:rPr>
          <w:rFonts w:ascii="宋体" w:hAnsi="宋体" w:cs="宋体"/>
          <w:color w:val="auto"/>
          <w:sz w:val="24"/>
          <w:szCs w:val="24"/>
          <w:highlight w:val="none"/>
        </w:rPr>
      </w:pPr>
      <w:bookmarkStart w:id="16" w:name="_Toc253143217"/>
      <w:bookmarkStart w:id="17" w:name="_Toc249845969"/>
      <w:bookmarkStart w:id="18" w:name="_Toc249846224"/>
      <w:bookmarkStart w:id="19" w:name="_Toc245023998"/>
      <w:bookmarkStart w:id="20" w:name="_Toc266093546"/>
      <w:bookmarkStart w:id="21" w:name="_Toc266881398"/>
      <w:r>
        <w:rPr>
          <w:rFonts w:hint="eastAsia" w:ascii="宋体" w:hAnsi="宋体" w:cs="宋体"/>
          <w:color w:val="auto"/>
          <w:sz w:val="24"/>
          <w:szCs w:val="24"/>
          <w:highlight w:val="none"/>
        </w:rPr>
        <w:t>3.8关于联合体投标：</w:t>
      </w:r>
      <w:r>
        <w:rPr>
          <w:rFonts w:hint="eastAsia" w:asciiTheme="minorEastAsia" w:hAnsiTheme="minorEastAsia" w:eastAsiaTheme="minorEastAsia" w:cstheme="minorEastAsia"/>
          <w:color w:val="auto"/>
          <w:sz w:val="24"/>
          <w:szCs w:val="24"/>
          <w:highlight w:val="none"/>
          <w:u w:val="single"/>
        </w:rPr>
        <w:t>本次招标接受联合体投标</w:t>
      </w:r>
      <w:r>
        <w:rPr>
          <w:rFonts w:hint="eastAsia" w:asciiTheme="minorEastAsia" w:hAnsiTheme="minorEastAsia" w:eastAsiaTheme="minorEastAsia" w:cstheme="minorEastAsia"/>
          <w:color w:val="auto"/>
          <w:kern w:val="0"/>
          <w:sz w:val="24"/>
          <w:szCs w:val="24"/>
          <w:highlight w:val="none"/>
          <w:u w:val="single"/>
        </w:rPr>
        <w:t>。</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u w:val="single"/>
        </w:rPr>
        <w:t>允许联合体投标，只接受不多于</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家单位（即：承担设计任务的单位不超过</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家，承担施工任务的单位不超过1家）组成的联合体，应以承担施工任务的单位为主办方，并签定联合体共同投标协议（格式按招标公告附件二内容签署盖章）。联合体共同投标协议应明确约定各方拟承担的工作和责任。</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1）参加联合体的各成员不得再以自己的名义单独投标，也不得同时参加两个或两个以上的联合体投标。组成联合体投标各方在投标登记后，不得再变更其组织形式及成员构成。出现上述情况者，其投标和与此有关的联合体的投标将被拒绝。</w:t>
      </w:r>
    </w:p>
    <w:p>
      <w:pPr>
        <w:numPr>
          <w:ilvl w:val="0"/>
          <w:numId w:val="1"/>
        </w:numPr>
        <w:spacing w:line="360" w:lineRule="auto"/>
        <w:ind w:firstLine="537" w:firstLineChars="22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组成联合体的投标人，应在联合体协议中明确承担每一类工程任务（按资质标准划分）的成员单位。在资格审查环节，具有同一专业资质的单位组成联合体的，按照资质等级较低的单位确定资质等级。</w:t>
      </w:r>
    </w:p>
    <w:p>
      <w:pPr>
        <w:numPr>
          <w:ilvl w:val="0"/>
          <w:numId w:val="1"/>
        </w:numPr>
        <w:spacing w:line="360" w:lineRule="auto"/>
        <w:ind w:firstLine="537" w:firstLineChars="224"/>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投标人拟任本工程项目负责人、设计负责人、专职安全员必须是联合体中对应分工成员的正式员工；以上3项人员不得重复兼任。</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3.9投标人（含联合体各方）已在广州公共资源交易中心企业库办理企业信息登记，拟担任本项目的</w:t>
      </w:r>
      <w:r>
        <w:rPr>
          <w:rFonts w:hint="eastAsia" w:ascii="宋体" w:hAnsi="宋体" w:cs="宋体"/>
          <w:color w:val="auto"/>
          <w:sz w:val="24"/>
          <w:szCs w:val="24"/>
          <w:highlight w:val="none"/>
          <w:u w:val="none"/>
        </w:rPr>
        <w:t>项目负责人、设计负责人、专职安全员是本企业信息登记中的在册人员。</w:t>
      </w:r>
      <w:r>
        <w:rPr>
          <w:rFonts w:hint="eastAsia" w:ascii="宋体" w:hAnsi="宋体" w:cs="宋体"/>
          <w:color w:val="auto"/>
          <w:sz w:val="24"/>
          <w:szCs w:val="24"/>
          <w:highlight w:val="none"/>
        </w:rPr>
        <w:t>（联合体投标的，企业信息登记和人员在册情况为联合体协议分工对应企业库内的登记信息）。</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rPr>
        <w:t>注：企业信息登记取自投标截止时间投标人在广州公共资源交易中心企业库的信息，投标人无需提交相关资料</w:t>
      </w:r>
      <w:r>
        <w:rPr>
          <w:rFonts w:hint="eastAsia" w:ascii="宋体" w:hAnsi="宋体" w:cs="宋体"/>
          <w:color w:val="auto"/>
          <w:kern w:val="0"/>
          <w:sz w:val="24"/>
          <w:szCs w:val="24"/>
          <w:highlight w:val="none"/>
          <w:lang w:val="en-US" w:eastAsia="zh-CN"/>
        </w:rPr>
        <w:t>，若招标人延长递交投标文件截止时间的，</w:t>
      </w:r>
      <w:r>
        <w:rPr>
          <w:rFonts w:hint="eastAsia" w:ascii="宋体" w:hAnsi="宋体" w:cs="宋体"/>
          <w:color w:val="auto"/>
          <w:sz w:val="24"/>
          <w:szCs w:val="24"/>
          <w:highlight w:val="none"/>
        </w:rPr>
        <w:t>企业信息</w:t>
      </w:r>
      <w:r>
        <w:rPr>
          <w:rFonts w:hint="eastAsia" w:ascii="宋体" w:hAnsi="宋体" w:cs="宋体"/>
          <w:color w:val="auto"/>
          <w:kern w:val="0"/>
          <w:sz w:val="24"/>
          <w:szCs w:val="24"/>
          <w:highlight w:val="none"/>
          <w:lang w:val="en-US" w:eastAsia="zh-CN"/>
        </w:rPr>
        <w:t>的评审时点也相应延长。</w:t>
      </w:r>
      <w:r>
        <w:rPr>
          <w:rFonts w:hint="eastAsia" w:ascii="宋体" w:hAnsi="宋体" w:cs="宋体"/>
          <w:color w:val="auto"/>
          <w:sz w:val="24"/>
          <w:szCs w:val="24"/>
          <w:highlight w:val="none"/>
        </w:rPr>
        <w:t>投标人应及时维护其在广州公共资源交易中心企业库信息，确保各项信息在有效期内。</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0信誉要求：投标人（含联合体各方）未被纳入失信联合惩戒名单且被限制参加财政投资工程或政府投资工程或建设工程投标的（具体名单以递交投标文件截止时间“信用广州”https://credit1.gz.gov.cn/sgs/sgsXkNew公布的“失信黑名单”为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注：因联合惩戒措施表述存在细微差别，惩戒措施与上文不完全一致但措施内容相同的，也应属于被限制参与相关项目的投标。</w:t>
      </w:r>
    </w:p>
    <w:p>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3.11</w:t>
      </w:r>
      <w:r>
        <w:rPr>
          <w:rFonts w:hint="eastAsia" w:asciiTheme="minorEastAsia" w:hAnsiTheme="minorEastAsia" w:eastAsiaTheme="minorEastAsia" w:cstheme="minorEastAsia"/>
          <w:color w:val="auto"/>
          <w:sz w:val="24"/>
          <w:highlight w:val="none"/>
        </w:rPr>
        <w:t>投标人未出现以下情形：</w:t>
      </w:r>
      <w:r>
        <w:rPr>
          <w:rFonts w:hint="eastAsia" w:asciiTheme="minorEastAsia" w:hAnsiTheme="minorEastAsia" w:eastAsiaTheme="minorEastAsia" w:cstheme="minorEastAsia"/>
          <w:color w:val="auto"/>
          <w:sz w:val="24"/>
          <w:highlight w:val="none"/>
          <w:u w:val="single"/>
        </w:rPr>
        <w:t>与其它投标人</w:t>
      </w:r>
      <w:r>
        <w:rPr>
          <w:rFonts w:hint="eastAsia" w:ascii="宋体" w:hAnsi="宋体" w:cs="宋体"/>
          <w:color w:val="auto"/>
          <w:sz w:val="24"/>
          <w:szCs w:val="24"/>
          <w:highlight w:val="none"/>
          <w:u w:val="single"/>
        </w:rPr>
        <w:t>（含联合体各方）</w:t>
      </w:r>
      <w:r>
        <w:rPr>
          <w:rFonts w:hint="eastAsia" w:asciiTheme="minorEastAsia" w:hAnsiTheme="minorEastAsia" w:eastAsiaTheme="minorEastAsia" w:cstheme="minorEastAsia"/>
          <w:color w:val="auto"/>
          <w:sz w:val="24"/>
          <w:highlight w:val="none"/>
          <w:u w:val="single"/>
        </w:rPr>
        <w:t>的单位负责人为同一人或者存在控股、管理关系的（按投标人提供的《投标人声明》第七条内容进行评审）。如不同投标人出现单位负责人为同一人或者存在控股、管理关系的情形，则视其无效投标（联合体内各成员之间不受本条限制）。</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注：未在招标公告第3条单列的资审合格条件，不作为资审不合格的依据。</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4.</w:t>
      </w:r>
      <w:bookmarkEnd w:id="16"/>
      <w:bookmarkEnd w:id="17"/>
      <w:bookmarkEnd w:id="18"/>
      <w:bookmarkEnd w:id="19"/>
      <w:bookmarkEnd w:id="20"/>
      <w:bookmarkEnd w:id="21"/>
      <w:r>
        <w:rPr>
          <w:rFonts w:hint="eastAsia" w:ascii="宋体" w:hAnsi="宋体" w:cs="宋体"/>
          <w:b/>
          <w:bCs/>
          <w:color w:val="auto"/>
          <w:sz w:val="32"/>
          <w:szCs w:val="32"/>
          <w:highlight w:val="none"/>
        </w:rPr>
        <w:t>招标文件的获取</w:t>
      </w:r>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4.1凡有意参加投标者，请于</w:t>
      </w:r>
      <w:r>
        <w:rPr>
          <w:rFonts w:hint="eastAsia" w:ascii="宋体" w:hAnsi="宋体"/>
          <w:i w:val="0"/>
          <w:iCs w:val="0"/>
          <w:color w:val="auto"/>
          <w:sz w:val="24"/>
          <w:highlight w:val="none"/>
          <w:u w:val="single"/>
        </w:rPr>
        <w:t>2023年</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u w:val="single"/>
        </w:rPr>
        <w:t>月</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u w:val="single"/>
        </w:rPr>
        <w:t>日 00时00分</w:t>
      </w:r>
      <w:r>
        <w:rPr>
          <w:rFonts w:hint="eastAsia" w:ascii="宋体" w:hAnsi="宋体"/>
          <w:color w:val="auto"/>
          <w:sz w:val="24"/>
          <w:highlight w:val="none"/>
        </w:rPr>
        <w:t>至</w:t>
      </w:r>
      <w:r>
        <w:rPr>
          <w:rFonts w:hint="eastAsia" w:ascii="宋体" w:hAnsi="宋体"/>
          <w:color w:val="auto"/>
          <w:sz w:val="24"/>
          <w:highlight w:val="none"/>
          <w:u w:val="single"/>
        </w:rPr>
        <w:t>2023年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（北京时间，下同）登录</w:t>
      </w:r>
      <w:r>
        <w:rPr>
          <w:rFonts w:hint="eastAsia" w:ascii="宋体" w:hAnsi="宋体"/>
          <w:color w:val="auto"/>
          <w:sz w:val="24"/>
          <w:highlight w:val="none"/>
          <w:u w:val="single"/>
        </w:rPr>
        <w:t>广州公共资源交易中心（http://www.gzggzy.cn/）</w:t>
      </w:r>
      <w:r>
        <w:rPr>
          <w:rFonts w:hint="eastAsia" w:ascii="宋体" w:hAnsi="宋体"/>
          <w:color w:val="auto"/>
          <w:sz w:val="24"/>
          <w:highlight w:val="none"/>
        </w:rPr>
        <w:t>下载招标文件。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4.2 本项目资格审查方式：</w:t>
      </w:r>
      <w:r>
        <w:rPr>
          <w:rFonts w:hint="eastAsia" w:ascii="宋体" w:hAnsi="宋体"/>
          <w:color w:val="auto"/>
          <w:sz w:val="24"/>
          <w:highlight w:val="none"/>
          <w:u w:val="single"/>
        </w:rPr>
        <w:t>资格后审。</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5. 投标文件的递交：</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5.1</w:t>
      </w:r>
      <w:r>
        <w:rPr>
          <w:rFonts w:hint="eastAsia" w:ascii="宋体" w:hAnsi="宋体"/>
          <w:color w:val="auto"/>
          <w:sz w:val="24"/>
          <w:highlight w:val="none"/>
        </w:rPr>
        <w:t>投标文件递交的截止时间为</w:t>
      </w:r>
      <w:r>
        <w:rPr>
          <w:rFonts w:hint="eastAsia" w:ascii="宋体" w:hAnsi="宋体"/>
          <w:color w:val="auto"/>
          <w:sz w:val="24"/>
          <w:highlight w:val="none"/>
          <w:u w:val="single"/>
        </w:rPr>
        <w:t>2023年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投标人应在截止时间前通过广州公共资源交易中心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5.2逾期送达的投标文件，交易平台将予以拒收。</w:t>
      </w:r>
    </w:p>
    <w:p>
      <w:pPr>
        <w:spacing w:line="360" w:lineRule="auto"/>
        <w:ind w:firstLine="480" w:firstLineChars="200"/>
        <w:jc w:val="left"/>
        <w:rPr>
          <w:rFonts w:ascii="宋体" w:hAnsi="宋体" w:cs="宋体"/>
          <w:color w:val="auto"/>
          <w:sz w:val="24"/>
          <w:szCs w:val="24"/>
          <w:highlight w:val="none"/>
        </w:rPr>
      </w:pPr>
      <w:r>
        <w:rPr>
          <w:rFonts w:hint="eastAsia" w:ascii="宋体" w:hAnsi="宋体"/>
          <w:color w:val="auto"/>
          <w:sz w:val="24"/>
          <w:highlight w:val="none"/>
        </w:rPr>
        <w:t>5.3</w:t>
      </w:r>
      <w:r>
        <w:rPr>
          <w:rFonts w:hint="eastAsia" w:ascii="宋体" w:hAnsi="宋体" w:cs="宋体"/>
          <w:color w:val="auto"/>
          <w:sz w:val="24"/>
          <w:szCs w:val="24"/>
          <w:highlight w:val="none"/>
        </w:rPr>
        <w:t>投标登记、递交投标文件及开标时间可登录广州公共资源交易中心网站首页，点击“建设工程”专栏中的“项目查询（日程安排、答疑纪要）”，输入项目编号即可查询（递交投标文件截止时间与开标时间是否有变化，请密切留意招标答疑中的相关信息。递交投标文件截止时间后，开标时间因故推迟的，相关评标信息仍以原递交投标文件截止时间的信息为准）。</w:t>
      </w:r>
    </w:p>
    <w:p>
      <w:pPr>
        <w:keepNext/>
        <w:keepLines/>
        <w:numPr>
          <w:ilvl w:val="0"/>
          <w:numId w:val="2"/>
        </w:numPr>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发布公告的媒介</w:t>
      </w:r>
    </w:p>
    <w:p>
      <w:pPr>
        <w:wordWrap w:val="0"/>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本次招标公告同时在广州公共资源交易网（网址：http://www.gzggzy.cn）、中国招标投标公共服务平台（网址：http://www.cebpubservice.com/）、广东省招标投标监管网(网址：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9"/>
          <w:rFonts w:hint="eastAsia" w:ascii="宋体" w:hAnsi="宋体" w:cs="宋体"/>
          <w:color w:val="auto"/>
          <w:sz w:val="24"/>
          <w:szCs w:val="24"/>
          <w:highlight w:val="none"/>
        </w:rPr>
        <w:t>http://zbtb.gd.gov.cn/login</w:t>
      </w:r>
      <w:r>
        <w:rPr>
          <w:rStyle w:val="19"/>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)发布。本公告的修改、补充，在广州公共资源交易网发布。本公告在各媒体发布的文本如有不同之处，以在广州公共资源交易网发布的文本为准。</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7.费用：</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7.1设计费由投标人根据招标文件要求以及企业自身情况填报，设计费报价不得超过设计费最高投标限价，结算按合同相应条款执行。</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7.2建安工程费由投标人根据招标文件要求以及企业自身情况填报，投标报价不得高于建安工程费最高投标限价。建安工程费最高投标限价只作为招标的依据，中标价只作为签订合同及支付预付款的依据，两者不作为结算依据，具体付款条款及结算条款在合同专用条款明确。</w:t>
      </w:r>
    </w:p>
    <w:p>
      <w:pPr>
        <w:widowControl/>
        <w:shd w:val="clear" w:color="auto" w:fill="FFFFFF"/>
        <w:tabs>
          <w:tab w:val="left" w:pos="105"/>
        </w:tabs>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7.</w:t>
      </w:r>
      <w:r>
        <w:rPr>
          <w:rFonts w:ascii="宋体" w:hAnsi="宋体"/>
          <w:color w:val="auto"/>
          <w:sz w:val="24"/>
          <w:szCs w:val="24"/>
          <w:highlight w:val="none"/>
          <w:u w:val="single"/>
        </w:rPr>
        <w:t>3</w:t>
      </w:r>
      <w:r>
        <w:rPr>
          <w:rFonts w:hint="eastAsia" w:ascii="宋体" w:hAnsi="宋体"/>
          <w:color w:val="auto"/>
          <w:sz w:val="24"/>
          <w:szCs w:val="24"/>
          <w:highlight w:val="none"/>
          <w:u w:val="single"/>
        </w:rPr>
        <w:t xml:space="preserve">设计方案补偿：本工程不设置设计方案经济补偿，投标费用由投标人自理。   </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8.特别提示</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（1）</w:t>
      </w:r>
      <w:r>
        <w:rPr>
          <w:rFonts w:hint="eastAsia" w:ascii="宋体" w:hAnsi="宋体" w:cs="宋体"/>
          <w:color w:val="auto"/>
          <w:kern w:val="0"/>
          <w:sz w:val="24"/>
          <w:szCs w:val="24"/>
          <w:highlight w:val="none"/>
          <w:u w:val="single"/>
        </w:rPr>
        <w:t>将中标工程转包或者违法分包的;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（2）</w:t>
      </w:r>
      <w:r>
        <w:rPr>
          <w:rFonts w:hint="eastAsia" w:ascii="宋体" w:hAnsi="宋体" w:cs="宋体"/>
          <w:color w:val="auto"/>
          <w:kern w:val="0"/>
          <w:sz w:val="24"/>
          <w:szCs w:val="24"/>
          <w:highlight w:val="none"/>
          <w:u w:val="single"/>
        </w:rPr>
        <w:t>在中标工程中不执行质量、安全生产相关规定的，造成质量或安全事故的；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（3）</w:t>
      </w:r>
      <w:r>
        <w:rPr>
          <w:rFonts w:hint="eastAsia" w:ascii="宋体" w:hAnsi="宋体" w:cs="宋体"/>
          <w:color w:val="auto"/>
          <w:kern w:val="0"/>
          <w:sz w:val="24"/>
          <w:szCs w:val="24"/>
          <w:highlight w:val="none"/>
          <w:u w:val="single"/>
        </w:rPr>
        <w:t>存在围标或串标情形的;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（4）</w:t>
      </w:r>
      <w:r>
        <w:rPr>
          <w:rFonts w:hint="eastAsia" w:ascii="宋体" w:hAnsi="宋体" w:cs="宋体"/>
          <w:color w:val="auto"/>
          <w:kern w:val="0"/>
          <w:sz w:val="24"/>
          <w:szCs w:val="24"/>
          <w:highlight w:val="none"/>
          <w:u w:val="single"/>
        </w:rPr>
        <w:t>存在弄虚作假骗取中标</w:t>
      </w:r>
      <w:r>
        <w:rPr>
          <w:rFonts w:hint="eastAsia" w:ascii="宋体" w:hAnsi="宋体" w:cs="宋体"/>
          <w:kern w:val="0"/>
          <w:sz w:val="24"/>
          <w:szCs w:val="24"/>
          <w:u w:val="single"/>
        </w:rPr>
        <w:t>、</w:t>
      </w:r>
      <w:r>
        <w:rPr>
          <w:rFonts w:hint="eastAsia" w:ascii="宋体" w:hAnsi="宋体" w:cs="宋体"/>
          <w:b/>
          <w:bCs/>
          <w:kern w:val="0"/>
          <w:sz w:val="24"/>
          <w:szCs w:val="24"/>
          <w:u w:val="single"/>
        </w:rPr>
        <w:t>行贿</w:t>
      </w:r>
      <w:r>
        <w:rPr>
          <w:rFonts w:hint="eastAsia" w:ascii="宋体" w:hAnsi="宋体" w:cs="宋体"/>
          <w:color w:val="auto"/>
          <w:kern w:val="0"/>
          <w:sz w:val="24"/>
          <w:szCs w:val="24"/>
          <w:highlight w:val="none"/>
          <w:u w:val="single"/>
        </w:rPr>
        <w:t>情形的;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（5）</w:t>
      </w:r>
      <w:r>
        <w:rPr>
          <w:rFonts w:hint="eastAsia" w:ascii="宋体" w:hAnsi="宋体" w:cs="宋体"/>
          <w:color w:val="auto"/>
          <w:kern w:val="0"/>
          <w:sz w:val="24"/>
          <w:szCs w:val="24"/>
          <w:highlight w:val="none"/>
          <w:u w:val="single"/>
        </w:rPr>
        <w:t>拖欠农民工工资的；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（6）</w:t>
      </w:r>
      <w:r>
        <w:rPr>
          <w:rFonts w:hint="eastAsia" w:ascii="宋体" w:hAnsi="宋体" w:cs="宋体"/>
          <w:color w:val="auto"/>
          <w:kern w:val="0"/>
          <w:sz w:val="24"/>
          <w:szCs w:val="24"/>
          <w:highlight w:val="none"/>
          <w:u w:val="single"/>
        </w:rPr>
        <w:t>未按照国家、省、市有关建筑施工实名制管理和工人工资支付分账管理的规定执行，被行政监管部门处罚的；</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bCs/>
          <w:color w:val="auto"/>
          <w:kern w:val="0"/>
          <w:sz w:val="24"/>
          <w:szCs w:val="24"/>
          <w:highlight w:val="none"/>
          <w:u w:val="single"/>
        </w:rPr>
        <w:t>（7）</w:t>
      </w:r>
      <w:r>
        <w:rPr>
          <w:rFonts w:hint="eastAsia" w:ascii="宋体" w:hAnsi="宋体" w:cs="宋体"/>
          <w:color w:val="auto"/>
          <w:kern w:val="0"/>
          <w:sz w:val="24"/>
          <w:szCs w:val="24"/>
          <w:highlight w:val="none"/>
          <w:u w:val="single"/>
        </w:rPr>
        <w:t>中标人在项目实施过程中选取的专业分包单位或劳务企业或劳务班组长与投标时不一致的（如有）；</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9.其他事项：</w:t>
      </w:r>
    </w:p>
    <w:p>
      <w:pPr>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u w:val="single"/>
        </w:rPr>
        <w:t>（1）满足资格审查合格条件的投标人不足 3 名或通过响应性审查的投标人不足3名时为招标失败。招标人在分析招标失败的原因并采取相应措施后，应当依法重新招标。</w:t>
      </w:r>
    </w:p>
    <w:p>
      <w:pPr>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u w:val="single"/>
        </w:rPr>
        <w:t>（2）投标人须保证其提供的投标资料的真实性，招标人有权在招标的任何阶段进行调查和核实，一旦发现虚假，将上报建设管理部门及相关部门严肃查处。</w:t>
      </w:r>
    </w:p>
    <w:p>
      <w:pPr>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u w:val="single"/>
        </w:rPr>
        <w:t>（3）投标时是否需要提交设计模型：否。</w:t>
      </w:r>
    </w:p>
    <w:p>
      <w:pPr>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u w:val="single"/>
        </w:rPr>
        <w:t>（4）参加投标之前，投标人应查询企业登记信息、拟报项目负责人的使用状态，以免出现企业登记信息、拟报项目负责人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u w:val="single"/>
        </w:rPr>
        <w:t>（5）本工程实行限额设计，限额投资。</w:t>
      </w:r>
    </w:p>
    <w:p>
      <w:pPr>
        <w:keepNext/>
        <w:keepLines/>
        <w:spacing w:before="260" w:after="260" w:line="360"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10.联系方式</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（1）招标</w:t>
      </w:r>
      <w:r>
        <w:rPr>
          <w:rFonts w:ascii="宋体" w:hAnsi="宋体" w:cs="宋体"/>
          <w:color w:val="auto"/>
          <w:sz w:val="24"/>
          <w:highlight w:val="none"/>
        </w:rPr>
        <w:t>人：</w:t>
      </w:r>
      <w:r>
        <w:rPr>
          <w:rFonts w:hint="eastAsia" w:asciiTheme="minorEastAsia" w:hAnsiTheme="minorEastAsia" w:eastAsiaTheme="minorEastAsia" w:cstheme="minorEastAsia"/>
          <w:color w:val="auto"/>
          <w:sz w:val="24"/>
          <w:szCs w:val="24"/>
          <w:highlight w:val="none"/>
          <w:u w:val="single"/>
        </w:rPr>
        <w:t>广州市海珠区住房和建设局</w:t>
      </w:r>
    </w:p>
    <w:p>
      <w:pPr>
        <w:snapToGrid w:val="0"/>
        <w:spacing w:line="360" w:lineRule="auto"/>
        <w:ind w:firstLine="480" w:firstLineChars="200"/>
        <w:rPr>
          <w:rFonts w:ascii="宋体" w:hAnsi="宋体" w:cs="宋体" w:eastAsiaTheme="minorEastAsia"/>
          <w:color w:val="auto"/>
          <w:sz w:val="24"/>
          <w:highlight w:val="none"/>
          <w:u w:val="single"/>
        </w:rPr>
      </w:pPr>
      <w:r>
        <w:rPr>
          <w:rFonts w:hint="eastAsia" w:ascii="宋体" w:hAnsi="宋体" w:cs="宋体"/>
          <w:color w:val="auto"/>
          <w:sz w:val="24"/>
          <w:highlight w:val="none"/>
        </w:rPr>
        <w:t>联系人：</w:t>
      </w:r>
      <w:r>
        <w:rPr>
          <w:rFonts w:hint="eastAsia" w:asciiTheme="minorEastAsia" w:hAnsiTheme="minorEastAsia" w:eastAsiaTheme="minorEastAsia" w:cstheme="minorEastAsia"/>
          <w:color w:val="auto"/>
          <w:sz w:val="24"/>
          <w:szCs w:val="24"/>
          <w:highlight w:val="none"/>
          <w:u w:val="single"/>
        </w:rPr>
        <w:t>曾工</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宋体" w:hAnsi="宋体" w:cs="宋体"/>
          <w:color w:val="auto"/>
          <w:sz w:val="24"/>
          <w:highlight w:val="none"/>
        </w:rPr>
        <w:t>联系电话：</w:t>
      </w:r>
      <w:r>
        <w:rPr>
          <w:rFonts w:hint="eastAsia" w:asciiTheme="minorEastAsia" w:hAnsiTheme="minorEastAsia" w:eastAsiaTheme="minorEastAsia" w:cstheme="minorEastAsia"/>
          <w:color w:val="auto"/>
          <w:sz w:val="24"/>
          <w:highlight w:val="none"/>
          <w:u w:val="single"/>
        </w:rPr>
        <w:t>020-89885856</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w:t>
      </w:r>
      <w:r>
        <w:rPr>
          <w:rFonts w:hint="eastAsia" w:asciiTheme="minorEastAsia" w:hAnsiTheme="minorEastAsia" w:eastAsiaTheme="minorEastAsia" w:cstheme="minorEastAsia"/>
          <w:color w:val="auto"/>
          <w:sz w:val="24"/>
          <w:highlight w:val="none"/>
          <w:u w:val="single"/>
        </w:rPr>
        <w:t>广州市海珠区新港中路472号</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（2）招标代理机构：</w:t>
      </w:r>
      <w:r>
        <w:rPr>
          <w:rFonts w:hint="eastAsia" w:asciiTheme="minorEastAsia" w:hAnsiTheme="minorEastAsia" w:eastAsiaTheme="minorEastAsia" w:cstheme="minorEastAsia"/>
          <w:color w:val="auto"/>
          <w:sz w:val="24"/>
          <w:szCs w:val="24"/>
          <w:highlight w:val="none"/>
          <w:u w:val="single"/>
        </w:rPr>
        <w:t>广州盛园咨询服务有限公司</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Theme="minorEastAsia" w:hAnsiTheme="minorEastAsia" w:eastAsiaTheme="minorEastAsia" w:cstheme="minorEastAsia"/>
          <w:color w:val="auto"/>
          <w:sz w:val="24"/>
          <w:highlight w:val="none"/>
          <w:u w:val="single"/>
        </w:rPr>
        <w:t>陈工</w:t>
      </w:r>
      <w:r>
        <w:rPr>
          <w:rFonts w:hint="eastAsia" w:ascii="宋体" w:hAnsi="宋体" w:cs="宋体"/>
          <w:color w:val="auto"/>
          <w:sz w:val="24"/>
          <w:highlight w:val="none"/>
        </w:rPr>
        <w:t xml:space="preserve">        联系电话：</w:t>
      </w:r>
      <w:r>
        <w:rPr>
          <w:rFonts w:hint="eastAsia" w:asciiTheme="minorEastAsia" w:hAnsiTheme="minorEastAsia" w:eastAsiaTheme="minorEastAsia" w:cstheme="minorEastAsia"/>
          <w:color w:val="auto"/>
          <w:sz w:val="24"/>
          <w:szCs w:val="24"/>
          <w:highlight w:val="none"/>
          <w:u w:val="single"/>
        </w:rPr>
        <w:t>020-83822232</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w:t>
      </w:r>
      <w:r>
        <w:rPr>
          <w:rFonts w:hint="eastAsia" w:asciiTheme="minorEastAsia" w:hAnsiTheme="minorEastAsia" w:eastAsiaTheme="minorEastAsia" w:cstheme="minorEastAsia"/>
          <w:color w:val="auto"/>
          <w:sz w:val="24"/>
          <w:highlight w:val="none"/>
          <w:u w:val="single"/>
        </w:rPr>
        <w:t>广州市白云区黄边北路575号4楼</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（3）招标监督机构：</w:t>
      </w:r>
      <w:r>
        <w:rPr>
          <w:rFonts w:hint="eastAsia" w:ascii="宋体" w:hAnsi="宋体" w:cs="宋体"/>
          <w:color w:val="auto"/>
          <w:kern w:val="0"/>
          <w:sz w:val="24"/>
          <w:highlight w:val="none"/>
          <w:u w:val="single"/>
        </w:rPr>
        <w:t>广州市海珠区建设工程招标管理办公室</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监督电话：</w:t>
      </w:r>
      <w:r>
        <w:rPr>
          <w:rFonts w:hint="eastAsia" w:ascii="宋体" w:hAnsi="宋体" w:cs="宋体"/>
          <w:color w:val="auto"/>
          <w:sz w:val="24"/>
          <w:highlight w:val="none"/>
          <w:u w:val="single"/>
        </w:rPr>
        <w:t>020-89885682</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广州市海珠区新港中路472号</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（4）潜在投标人或利害关系人对本招标公告及招标文件有异议的，向招标人书面提出。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Theme="minorEastAsia" w:hAnsiTheme="minorEastAsia" w:eastAsiaTheme="minorEastAsia" w:cstheme="minorEastAsia"/>
          <w:color w:val="auto"/>
          <w:sz w:val="24"/>
          <w:szCs w:val="24"/>
          <w:highlight w:val="none"/>
          <w:u w:val="single"/>
        </w:rPr>
        <w:t>广州市海珠区住房和建设局</w:t>
      </w:r>
    </w:p>
    <w:p>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color w:val="auto"/>
          <w:sz w:val="24"/>
          <w:highlight w:val="none"/>
        </w:rPr>
        <w:t>异议受理电话：</w:t>
      </w:r>
      <w:r>
        <w:rPr>
          <w:rFonts w:hint="eastAsia" w:asciiTheme="minorEastAsia" w:hAnsiTheme="minorEastAsia" w:eastAsiaTheme="minorEastAsia" w:cstheme="minorEastAsia"/>
          <w:color w:val="auto"/>
          <w:sz w:val="24"/>
          <w:highlight w:val="none"/>
          <w:u w:val="single"/>
        </w:rPr>
        <w:t>020-89885856</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Theme="minorEastAsia" w:hAnsiTheme="minorEastAsia" w:eastAsiaTheme="minorEastAsia" w:cstheme="minorEastAsia"/>
          <w:color w:val="auto"/>
          <w:sz w:val="24"/>
          <w:highlight w:val="none"/>
          <w:u w:val="single"/>
        </w:rPr>
        <w:t>广州市海珠区新港中路472号</w:t>
      </w:r>
    </w:p>
    <w:p>
      <w:pPr>
        <w:snapToGrid w:val="0"/>
        <w:spacing w:line="360" w:lineRule="auto"/>
        <w:ind w:firstLine="480" w:firstLineChars="200"/>
        <w:rPr>
          <w:rFonts w:ascii="宋体" w:hAnsi="宋体" w:cs="宋体"/>
          <w:color w:val="auto"/>
          <w:sz w:val="24"/>
          <w:highlight w:val="none"/>
          <w:u w:val="single"/>
        </w:rPr>
      </w:pPr>
    </w:p>
    <w:p>
      <w:pPr>
        <w:spacing w:line="360" w:lineRule="auto"/>
        <w:ind w:right="1348" w:rightChars="642"/>
        <w:jc w:val="right"/>
        <w:rPr>
          <w:rFonts w:ascii="宋体" w:hAnsi="宋体" w:cs="宋体"/>
          <w:color w:val="auto"/>
          <w:sz w:val="24"/>
          <w:highlight w:val="none"/>
        </w:rPr>
      </w:pPr>
      <w:r>
        <w:rPr>
          <w:rFonts w:hint="eastAsia" w:ascii="宋体" w:hAnsi="宋体" w:cs="宋体"/>
          <w:color w:val="auto"/>
          <w:sz w:val="24"/>
          <w:highlight w:val="none"/>
        </w:rPr>
        <w:t>招标人：广州市海珠区住房和建设局</w:t>
      </w:r>
    </w:p>
    <w:p>
      <w:pPr>
        <w:snapToGrid w:val="0"/>
        <w:spacing w:line="360" w:lineRule="auto"/>
        <w:ind w:right="2400" w:firstLine="4320" w:firstLineChars="1800"/>
        <w:jc w:val="right"/>
        <w:rPr>
          <w:rFonts w:ascii="宋体" w:hAnsi="宋体" w:cs="宋体"/>
          <w:color w:val="auto"/>
          <w:sz w:val="24"/>
          <w:highlight w:val="none"/>
        </w:rPr>
      </w:pPr>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附件一</w:t>
      </w:r>
      <w:bookmarkStart w:id="22" w:name="_Toc266881404"/>
      <w:bookmarkStart w:id="23" w:name="_Toc253143223"/>
      <w:bookmarkStart w:id="24" w:name="_Toc249845976"/>
      <w:bookmarkStart w:id="25" w:name="_Toc266093552"/>
      <w:bookmarkStart w:id="26" w:name="_Toc245024004"/>
      <w:bookmarkStart w:id="27" w:name="_Toc249846231"/>
    </w:p>
    <w:bookmarkEnd w:id="22"/>
    <w:bookmarkEnd w:id="23"/>
    <w:bookmarkEnd w:id="24"/>
    <w:bookmarkEnd w:id="25"/>
    <w:bookmarkEnd w:id="26"/>
    <w:bookmarkEnd w:id="27"/>
    <w:p>
      <w:pPr>
        <w:jc w:val="center"/>
        <w:rPr>
          <w:b/>
          <w:color w:val="auto"/>
          <w:kern w:val="0"/>
          <w:sz w:val="44"/>
          <w:szCs w:val="44"/>
          <w:highlight w:val="none"/>
        </w:rPr>
      </w:pPr>
      <w:r>
        <w:rPr>
          <w:rFonts w:hint="eastAsia"/>
          <w:b/>
          <w:color w:val="auto"/>
          <w:kern w:val="0"/>
          <w:sz w:val="44"/>
          <w:szCs w:val="44"/>
          <w:highlight w:val="none"/>
        </w:rPr>
        <w:t>投标人声明</w:t>
      </w:r>
    </w:p>
    <w:p>
      <w:pP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广州市住房和城乡建设局、本招标项目招标人及招标监管机构：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ascii="宋体" w:hAnsi="宋体" w:cs="宋体"/>
          <w:color w:val="auto"/>
          <w:kern w:val="0"/>
          <w:szCs w:val="21"/>
          <w:highlight w:val="none"/>
        </w:rPr>
        <w:t>投标工作，作出郑重声明：</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一、我方保证投标文件及其后提供的一切材料都是真实的。如我方成为本项目中标候选人，我方同意并授权招标人将我方投标文件商务部分文件的人员、业绩、奖项等资料进行公开。</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二、我方保证在本项目投标中不与其他单位围标、串标，不出让投标资格，不向招标人或评标委员会成员行贿。</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三、我方不存在下列情形之一：</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（1）为招标人不具有独立法人资格的附属机构（单位）；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（2）与招标人存在利害关系且可能影响招标公正性；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（3）为本招标项目的监理人；</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（4）为本招标项目的代建人或建设管理单位；</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（5）为本招标项目的造价咨询单位；</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（6）为本招标项目提供招标代理服务的；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（7）与本标段的其他投标人为同一个单位负责人；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（8）与本标段的其他投标人存在控股、管理关系；</w:t>
      </w:r>
    </w:p>
    <w:p>
      <w:pPr>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（9）在近三年内投标人或其法定代表人、拟委派的项目负责人有行贿犯罪行为的；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（10）与本招标项目的监理人或代建人或建设管理单位或造价咨询单位或招标代理机构同为一个法定代表人的；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（11）与本招标项目的监理人或代建人或建设管理单位或造价咨询单位或招标代理机构相互控股或参股的；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（12）与本招标项目的监理人或代建人或建设管理单位或造价咨询单位或招标代理机构相互任职或工作的；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（13）被责令停产停业、暂扣或者吊销许可证、暂扣或者吊销执照的；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（14）被依法暂停或取消投标资格的； </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（15）进入清算程序，或被宣布破产，或其他丧失履约能力的情形；</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（16）在最近三年内有骗取中标或严重违约或重大工程质量问题的；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（17）被工商行政管理机关在全国企业信用信息公示系统中列入严重违法失信企业名单；</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（18）被最高人民法院在“信用中国”网站（www.creditchina.gov.cn）或各级信用信息共享平台中列入失信被执行人名单；</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（19）法律法规规定的其他情形。</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四、我方保证本项目拟派的</w:t>
      </w:r>
      <w:r>
        <w:rPr>
          <w:rFonts w:hint="eastAsia" w:ascii="宋体" w:hAnsi="宋体" w:cs="宋体"/>
          <w:bCs/>
          <w:color w:val="auto"/>
          <w:kern w:val="0"/>
          <w:szCs w:val="21"/>
          <w:highlight w:val="none"/>
        </w:rPr>
        <w:t>项目负责人</w:t>
      </w:r>
      <w:r>
        <w:rPr>
          <w:rFonts w:hint="eastAsia" w:ascii="宋体" w:hAnsi="宋体" w:cs="宋体"/>
          <w:color w:val="auto"/>
          <w:kern w:val="0"/>
          <w:szCs w:val="21"/>
          <w:highlight w:val="none"/>
        </w:rPr>
        <w:t>没有在其他工程项目担任工程总承包项目负责人、施工项目负责人；我方保证本项目拟派的施工负责人和专职安全员没有在其他在建项目中任职。</w:t>
      </w:r>
    </w:p>
    <w:p>
      <w:pPr>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五、</w:t>
      </w:r>
      <w:r>
        <w:rPr>
          <w:rFonts w:hint="eastAsia" w:ascii="宋体" w:hAnsi="宋体" w:cs="宋体"/>
          <w:color w:val="auto"/>
          <w:kern w:val="0"/>
          <w:szCs w:val="21"/>
          <w:highlight w:val="none"/>
        </w:rPr>
        <w:t>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w:t>
      </w:r>
      <w:r>
        <w:rPr>
          <w:rFonts w:hint="eastAsia" w:ascii="宋体" w:hAnsi="宋体" w:cs="宋体"/>
          <w:b/>
          <w:color w:val="auto"/>
          <w:kern w:val="0"/>
          <w:szCs w:val="21"/>
          <w:highlight w:val="none"/>
        </w:rPr>
        <w:t>《关于印发广州市房屋建筑及市政工程实名制和工资支付分账平台化管理工作方案的通知》（穗建筑〔2018〕183号）</w:t>
      </w:r>
      <w:r>
        <w:rPr>
          <w:rFonts w:hint="eastAsia" w:ascii="宋体" w:hAnsi="宋体" w:cs="宋体"/>
          <w:color w:val="auto"/>
          <w:kern w:val="0"/>
          <w:szCs w:val="21"/>
          <w:highlight w:val="none"/>
        </w:rPr>
        <w:t>、《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七、与我方单位负责人为同一人或者与我方存在控股、管理关系的其他单位包括：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。（注：本条由投标申请人如实填写，如有，应列出的联合体各方全部满足招标公告资质要求的相关单位的名称；如无，则填写“无”。）</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八、我方拟委派专职安全员兼任本工程的工地余泥渣土运输与排放管理员，严格遵守建设工程余泥渣土运输与排放管理制度，执行“一不准进、三不准出”规定，选择合法的余泥渣土运输单位及排放点。</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十、我方违反上述保证，或本声明陈述与事实不符，经查实，我方愿意接受公开通报，记录不良行为，承担由此带来的法律后果，并愿意停止参加广州市行政区域内的招标投标活动三个月。其中，本声明陈述与事实不符的，属于弄虚作假骗取中标，将依法接受监管部门的处罚。</w:t>
      </w:r>
    </w:p>
    <w:p>
      <w:pPr>
        <w:widowControl/>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pPr>
        <w:snapToGrid w:val="0"/>
        <w:spacing w:line="360" w:lineRule="auto"/>
        <w:ind w:firstLine="3780" w:firstLineChars="1800"/>
        <w:jc w:val="left"/>
        <w:rPr>
          <w:rFonts w:ascii="宋体" w:hAnsi="宋体" w:cs="宋体"/>
          <w:color w:val="auto"/>
          <w:kern w:val="0"/>
          <w:szCs w:val="21"/>
          <w:highlight w:val="none"/>
        </w:rPr>
      </w:pPr>
    </w:p>
    <w:p>
      <w:pPr>
        <w:snapToGrid w:val="0"/>
        <w:spacing w:line="360" w:lineRule="auto"/>
        <w:ind w:firstLine="2730" w:firstLineChars="1300"/>
        <w:jc w:val="left"/>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pPr>
        <w:snapToGrid w:val="0"/>
        <w:spacing w:line="360" w:lineRule="auto"/>
        <w:ind w:firstLine="2730" w:firstLineChars="1300"/>
        <w:rPr>
          <w:rFonts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p>
      <w:pPr>
        <w:snapToGrid w:val="0"/>
        <w:spacing w:line="360" w:lineRule="auto"/>
        <w:ind w:firstLine="4456" w:firstLineChars="2122"/>
        <w:rPr>
          <w:rFonts w:ascii="宋体" w:hAnsi="宋体" w:cs="宋体"/>
          <w:color w:val="auto"/>
          <w:kern w:val="0"/>
          <w:szCs w:val="21"/>
          <w:highlight w:val="none"/>
        </w:rPr>
      </w:pPr>
      <w:r>
        <w:rPr>
          <w:rFonts w:hint="eastAsia" w:ascii="宋体" w:hAnsi="宋体" w:cs="宋体"/>
          <w:color w:val="auto"/>
          <w:kern w:val="0"/>
          <w:szCs w:val="21"/>
          <w:highlight w:val="none"/>
        </w:rPr>
        <w:t>年   月   日</w:t>
      </w:r>
    </w:p>
    <w:p>
      <w:pPr>
        <w:spacing w:line="360" w:lineRule="auto"/>
        <w:ind w:right="480"/>
        <w:rPr>
          <w:color w:val="auto"/>
          <w:szCs w:val="21"/>
          <w:highlight w:val="none"/>
        </w:rPr>
      </w:pPr>
      <w:r>
        <w:rPr>
          <w:rFonts w:ascii="宋体" w:hAnsi="宋体" w:cs="宋体"/>
          <w:color w:val="auto"/>
          <w:sz w:val="20"/>
          <w:szCs w:val="20"/>
          <w:highlight w:val="none"/>
        </w:rPr>
        <w:t>注：</w:t>
      </w:r>
      <w:r>
        <w:rPr>
          <w:rFonts w:hint="eastAsia"/>
          <w:color w:val="auto"/>
          <w:sz w:val="20"/>
          <w:szCs w:val="20"/>
          <w:highlight w:val="none"/>
        </w:rPr>
        <w:t>联合体投标的，“声明企业”一栏需书写所有联合体成员的单位全称，可由联合体主办方签署、盖章。</w:t>
      </w:r>
    </w:p>
    <w:p>
      <w:pPr>
        <w:pStyle w:val="4"/>
        <w:spacing w:line="360" w:lineRule="auto"/>
        <w:ind w:firstLine="0" w:firstLineChars="0"/>
        <w:rPr>
          <w:color w:val="auto"/>
          <w:highlight w:val="none"/>
        </w:rPr>
      </w:pPr>
      <w:r>
        <w:rPr>
          <w:rFonts w:hint="eastAsia" w:ascii="宋体" w:hAnsi="宋体"/>
          <w:color w:val="auto"/>
          <w:kern w:val="0"/>
          <w:szCs w:val="21"/>
          <w:highlight w:val="none"/>
        </w:rPr>
        <w:br w:type="page"/>
      </w:r>
      <w:r>
        <w:rPr>
          <w:rFonts w:hint="eastAsia"/>
          <w:color w:val="auto"/>
          <w:sz w:val="24"/>
          <w:szCs w:val="24"/>
          <w:highlight w:val="none"/>
        </w:rPr>
        <w:t>附件二：</w:t>
      </w:r>
    </w:p>
    <w:p>
      <w:pPr>
        <w:spacing w:line="360" w:lineRule="auto"/>
        <w:ind w:right="-46"/>
        <w:jc w:val="center"/>
        <w:rPr>
          <w:b/>
          <w:bCs/>
          <w:color w:val="auto"/>
          <w:sz w:val="32"/>
          <w:szCs w:val="32"/>
          <w:highlight w:val="none"/>
        </w:rPr>
      </w:pPr>
      <w:r>
        <w:rPr>
          <w:rFonts w:hint="eastAsia"/>
          <w:b/>
          <w:bCs/>
          <w:color w:val="auto"/>
          <w:sz w:val="32"/>
          <w:szCs w:val="32"/>
          <w:highlight w:val="none"/>
        </w:rPr>
        <w:t>联合体投标协议书</w:t>
      </w:r>
    </w:p>
    <w:p>
      <w:pPr>
        <w:topLinePunct/>
        <w:spacing w:line="440" w:lineRule="exact"/>
        <w:ind w:firstLine="480"/>
        <w:rPr>
          <w:color w:val="auto"/>
          <w:szCs w:val="21"/>
          <w:highlight w:val="none"/>
        </w:rPr>
      </w:pPr>
      <w:r>
        <w:rPr>
          <w:rFonts w:hint="eastAsia" w:ascii="宋体" w:hAnsi="宋体" w:cs="宋体"/>
          <w:color w:val="auto"/>
          <w:sz w:val="24"/>
          <w:highlight w:val="none"/>
          <w:u w:val="single"/>
        </w:rPr>
        <w:t xml:space="preserve">                </w:t>
      </w:r>
      <w:r>
        <w:rPr>
          <w:rFonts w:hint="eastAsia"/>
          <w:color w:val="auto"/>
          <w:szCs w:val="21"/>
          <w:highlight w:val="none"/>
        </w:rPr>
        <w:t>（施工方单位名称、设计方单位名称）自愿组成联合体，共同参加</w:t>
      </w:r>
      <w:r>
        <w:rPr>
          <w:rFonts w:hint="eastAsia"/>
          <w:color w:val="auto"/>
          <w:szCs w:val="21"/>
          <w:highlight w:val="none"/>
          <w:u w:val="single"/>
        </w:rPr>
        <w:t xml:space="preserve">          </w:t>
      </w:r>
      <w:r>
        <w:rPr>
          <w:rFonts w:hint="eastAsia"/>
          <w:color w:val="auto"/>
          <w:szCs w:val="21"/>
          <w:highlight w:val="none"/>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（主办方单位名称）为联合体主办方。</w:t>
      </w:r>
    </w:p>
    <w:p>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440" w:lineRule="exact"/>
        <w:ind w:firstLine="420" w:firstLineChars="200"/>
        <w:rPr>
          <w:rFonts w:ascii="宋体" w:hAnsi="宋体" w:cs="宋体"/>
          <w:color w:val="auto"/>
          <w:sz w:val="18"/>
          <w:szCs w:val="18"/>
          <w:highlight w:val="none"/>
        </w:rPr>
      </w:pPr>
      <w:r>
        <w:rPr>
          <w:color w:val="auto"/>
          <w:szCs w:val="21"/>
          <w:highlight w:val="none"/>
        </w:rPr>
        <w:t>4</w:t>
      </w:r>
      <w:r>
        <w:rPr>
          <w:rFonts w:hint="eastAsia"/>
          <w:color w:val="auto"/>
          <w:szCs w:val="21"/>
          <w:highlight w:val="none"/>
        </w:rPr>
        <w:t>、联合体各成员单位内部的职责分工如下：</w:t>
      </w:r>
    </w:p>
    <w:p>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①</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施工方单位名称）：作为联合体的主办方除负责本工程的施工外，还应负责设计施工总承包管理的职责。联合体其他相关方违约时，主办方应承担连带责任，具体按合同要求。</w:t>
      </w:r>
    </w:p>
    <w:p>
      <w:pPr>
        <w:topLinePunct/>
        <w:spacing w:line="440" w:lineRule="exact"/>
        <w:ind w:firstLine="360" w:firstLineChars="200"/>
        <w:rPr>
          <w:rFonts w:hint="eastAsia"/>
          <w:color w:val="auto"/>
          <w:szCs w:val="21"/>
          <w:highlight w:val="none"/>
        </w:rPr>
      </w:pPr>
      <w:r>
        <w:rPr>
          <w:rFonts w:hint="eastAsia" w:ascii="宋体" w:hAnsi="宋体" w:cs="宋体"/>
          <w:color w:val="auto"/>
          <w:sz w:val="18"/>
          <w:szCs w:val="18"/>
          <w:highlight w:val="none"/>
        </w:rPr>
        <w:t>②</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设计方单位名称）：负责本工程的设计、设计优化等工作，具体按合同要求。</w:t>
      </w:r>
    </w:p>
    <w:p>
      <w:pPr>
        <w:topLinePunct/>
        <w:spacing w:line="440" w:lineRule="exact"/>
        <w:ind w:firstLine="300" w:firstLineChars="200"/>
        <w:rPr>
          <w:rFonts w:hint="eastAsia"/>
          <w:color w:val="auto"/>
          <w:szCs w:val="21"/>
          <w:highlight w:val="none"/>
        </w:rPr>
      </w:pPr>
      <w:r>
        <w:rPr>
          <w:rFonts w:hint="default" w:ascii="Calibri" w:hAnsi="Calibri" w:cs="Calibri"/>
          <w:color w:val="auto"/>
          <w:sz w:val="15"/>
          <w:szCs w:val="15"/>
          <w:highlight w:val="none"/>
          <w:u w:val="single"/>
        </w:rPr>
        <w:t>③</w:t>
      </w:r>
      <w:r>
        <w:rPr>
          <w:rFonts w:hint="eastAsia"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设计方单位名称）：负责本工程的设计、设计优化等工作，具体按合同要求。</w:t>
      </w:r>
    </w:p>
    <w:p>
      <w:pPr>
        <w:topLinePunct/>
        <w:spacing w:line="440" w:lineRule="exact"/>
        <w:ind w:firstLine="420" w:firstLineChars="200"/>
        <w:rPr>
          <w:rFonts w:hint="eastAsia"/>
          <w:color w:val="auto"/>
          <w:szCs w:val="21"/>
          <w:highlight w:val="none"/>
        </w:rPr>
      </w:pPr>
      <w:r>
        <w:rPr>
          <w:rFonts w:hint="eastAsia"/>
          <w:color w:val="auto"/>
          <w:highlight w:val="none"/>
          <w:lang w:val="en-US" w:eastAsia="zh-CN"/>
        </w:rPr>
        <w:t>（根据联合体组成情况修改）</w:t>
      </w:r>
    </w:p>
    <w:p>
      <w:pPr>
        <w:topLinePunct/>
        <w:spacing w:line="440" w:lineRule="exact"/>
        <w:ind w:firstLine="420" w:firstLineChars="200"/>
        <w:rPr>
          <w:rFonts w:hint="eastAsia"/>
          <w:color w:val="auto"/>
          <w:szCs w:val="21"/>
          <w:highlight w:val="none"/>
        </w:rPr>
      </w:pPr>
      <w:r>
        <w:rPr>
          <w:color w:val="auto"/>
          <w:szCs w:val="21"/>
          <w:highlight w:val="none"/>
        </w:rPr>
        <w:t>5</w:t>
      </w:r>
      <w:r>
        <w:rPr>
          <w:rFonts w:hint="eastAsia"/>
          <w:color w:val="auto"/>
          <w:szCs w:val="21"/>
          <w:highlight w:val="none"/>
        </w:rPr>
        <w:t>、本协议书自签署之日起生效，合同履行完毕后自动失效。</w:t>
      </w:r>
    </w:p>
    <w:p>
      <w:pPr>
        <w:topLinePunct/>
        <w:spacing w:line="440" w:lineRule="exact"/>
        <w:ind w:firstLine="420" w:firstLineChars="200"/>
        <w:rPr>
          <w:color w:val="auto"/>
          <w:szCs w:val="21"/>
          <w:highlight w:val="none"/>
        </w:rPr>
      </w:pPr>
      <w:r>
        <w:rPr>
          <w:rFonts w:hint="eastAsia"/>
          <w:color w:val="auto"/>
          <w:szCs w:val="21"/>
          <w:highlight w:val="none"/>
        </w:rPr>
        <w:t>注：本协议书由委托代理人签字的，应附法定代表人签字的授权委托书。</w:t>
      </w:r>
    </w:p>
    <w:p>
      <w:pPr>
        <w:topLinePunct/>
        <w:spacing w:line="432" w:lineRule="auto"/>
        <w:ind w:firstLine="718" w:firstLineChars="342"/>
        <w:rPr>
          <w:rFonts w:ascii="宋体" w:hAnsi="宋体"/>
          <w:color w:val="auto"/>
          <w:szCs w:val="21"/>
          <w:highlight w:val="none"/>
        </w:rPr>
      </w:pPr>
    </w:p>
    <w:p>
      <w:pPr>
        <w:topLinePunct/>
        <w:ind w:firstLine="718" w:firstLineChars="342"/>
        <w:rPr>
          <w:rFonts w:ascii="宋体" w:hAnsi="宋体"/>
          <w:color w:val="auto"/>
          <w:szCs w:val="21"/>
          <w:highlight w:val="none"/>
        </w:rPr>
      </w:pPr>
      <w:r>
        <w:rPr>
          <w:rFonts w:hint="eastAsia" w:ascii="宋体" w:hAnsi="宋体"/>
          <w:color w:val="auto"/>
          <w:szCs w:val="21"/>
          <w:highlight w:val="none"/>
        </w:rPr>
        <w:t>主办方名称：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topLinePunct/>
        <w:ind w:firstLine="718" w:firstLineChars="342"/>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pPr>
        <w:topLinePunct/>
        <w:ind w:firstLine="718" w:firstLineChars="342"/>
        <w:rPr>
          <w:rFonts w:ascii="宋体" w:hAnsi="宋体"/>
          <w:color w:val="auto"/>
          <w:szCs w:val="21"/>
          <w:highlight w:val="none"/>
        </w:rPr>
      </w:pPr>
      <w:r>
        <w:rPr>
          <w:rFonts w:hint="eastAsia" w:ascii="宋体" w:hAnsi="宋体"/>
          <w:color w:val="auto"/>
          <w:szCs w:val="21"/>
          <w:highlight w:val="none"/>
        </w:rPr>
        <w:t>成员</w:t>
      </w:r>
      <w:r>
        <w:rPr>
          <w:rFonts w:hint="eastAsia" w:ascii="宋体" w:hAnsi="宋体"/>
          <w:szCs w:val="21"/>
        </w:rPr>
        <w:t>一</w:t>
      </w:r>
      <w:r>
        <w:rPr>
          <w:rFonts w:hint="eastAsia" w:ascii="宋体" w:hAnsi="宋体"/>
          <w:color w:val="auto"/>
          <w:szCs w:val="21"/>
          <w:highlight w:val="none"/>
        </w:rPr>
        <w:t>名称：（盖单位章）</w:t>
      </w:r>
      <w:r>
        <w:rPr>
          <w:rFonts w:hint="eastAsia" w:ascii="宋体" w:hAnsi="宋体"/>
          <w:color w:val="auto"/>
          <w:szCs w:val="21"/>
          <w:highlight w:val="none"/>
          <w:u w:val="single"/>
        </w:rPr>
        <w:t xml:space="preserve">                 </w:t>
      </w:r>
    </w:p>
    <w:p>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pPr>
        <w:topLinePunct/>
        <w:ind w:firstLine="718" w:firstLineChars="342"/>
        <w:rPr>
          <w:rFonts w:ascii="宋体" w:hAnsi="宋体"/>
          <w:color w:val="auto"/>
          <w:szCs w:val="21"/>
          <w:highlight w:val="none"/>
        </w:rPr>
      </w:pPr>
      <w:r>
        <w:rPr>
          <w:rFonts w:hint="eastAsia" w:ascii="宋体" w:hAnsi="宋体"/>
          <w:color w:val="auto"/>
          <w:szCs w:val="21"/>
          <w:highlight w:val="none"/>
        </w:rPr>
        <w:t>成员</w:t>
      </w:r>
      <w:r>
        <w:rPr>
          <w:rFonts w:hint="eastAsia" w:ascii="宋体" w:hAnsi="宋体"/>
          <w:szCs w:val="21"/>
        </w:rPr>
        <w:t>二</w:t>
      </w:r>
      <w:r>
        <w:rPr>
          <w:rFonts w:hint="eastAsia" w:ascii="宋体" w:hAnsi="宋体"/>
          <w:color w:val="auto"/>
          <w:szCs w:val="21"/>
          <w:highlight w:val="none"/>
        </w:rPr>
        <w:t>名称：（盖单位章）</w:t>
      </w:r>
      <w:r>
        <w:rPr>
          <w:rFonts w:hint="eastAsia" w:ascii="宋体" w:hAnsi="宋体"/>
          <w:color w:val="auto"/>
          <w:szCs w:val="21"/>
          <w:highlight w:val="none"/>
          <w:u w:val="single"/>
        </w:rPr>
        <w:t xml:space="preserve">                 </w:t>
      </w:r>
    </w:p>
    <w:p>
      <w:pPr>
        <w:topLinePunct/>
        <w:ind w:firstLine="718" w:firstLineChars="342"/>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pPr>
        <w:pStyle w:val="2"/>
        <w:rPr>
          <w:rFonts w:hint="default" w:eastAsia="宋体"/>
          <w:color w:val="auto"/>
          <w:highlight w:val="none"/>
          <w:lang w:val="en-US" w:eastAsia="zh-CN"/>
        </w:rPr>
      </w:pPr>
      <w:r>
        <w:rPr>
          <w:rFonts w:hint="eastAsia"/>
          <w:color w:val="auto"/>
          <w:highlight w:val="none"/>
          <w:lang w:val="en-US" w:eastAsia="zh-CN"/>
        </w:rPr>
        <w:t xml:space="preserve">       （根据联合体组成情况修改）</w:t>
      </w:r>
    </w:p>
    <w:p>
      <w:pPr>
        <w:spacing w:line="360" w:lineRule="auto"/>
        <w:ind w:firstLine="210" w:firstLineChars="100"/>
        <w:rPr>
          <w:color w:val="auto"/>
          <w:highlight w:val="none"/>
        </w:rPr>
      </w:pPr>
    </w:p>
    <w:p>
      <w:pPr>
        <w:spacing w:line="360" w:lineRule="auto"/>
        <w:ind w:firstLine="210" w:firstLineChars="100"/>
        <w:rPr>
          <w:color w:val="auto"/>
          <w:sz w:val="24"/>
          <w:szCs w:val="24"/>
          <w:highlight w:val="none"/>
        </w:rPr>
      </w:pPr>
      <w:r>
        <w:rPr>
          <w:color w:val="auto"/>
          <w:highlight w:val="none"/>
        </w:rPr>
        <w:t>注：</w:t>
      </w:r>
      <w:r>
        <w:rPr>
          <w:rFonts w:hint="eastAsia"/>
          <w:color w:val="auto"/>
          <w:highlight w:val="none"/>
        </w:rPr>
        <w:t>单独投标的，无需提交本协议书。</w:t>
      </w:r>
    </w:p>
    <w:p>
      <w:pPr>
        <w:pStyle w:val="26"/>
        <w:ind w:left="0" w:leftChars="0" w:right="1449" w:firstLine="0" w:firstLineChars="0"/>
        <w:jc w:val="both"/>
        <w:rPr>
          <w:rFonts w:ascii="宋体" w:hAnsi="宋体" w:eastAsia="宋体" w:cs="宋体"/>
          <w:color w:val="auto"/>
          <w:sz w:val="24"/>
          <w:szCs w:val="24"/>
          <w:highlight w:val="none"/>
        </w:rPr>
      </w:pPr>
    </w:p>
    <w:sectPr>
      <w:headerReference r:id="rId3" w:type="default"/>
      <w:footerReference r:id="rId4" w:type="default"/>
      <w:endnotePr>
        <w:numFmt w:val="decimal"/>
      </w:endnotePr>
      <w:pgSz w:w="11906" w:h="16838"/>
      <w:pgMar w:top="1440" w:right="1080" w:bottom="918"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187CD"/>
    <w:multiLevelType w:val="singleLevel"/>
    <w:tmpl w:val="28E187CD"/>
    <w:lvl w:ilvl="0" w:tentative="0">
      <w:start w:val="2"/>
      <w:numFmt w:val="decimal"/>
      <w:suff w:val="nothing"/>
      <w:lvlText w:val="%1）"/>
      <w:lvlJc w:val="left"/>
    </w:lvl>
  </w:abstractNum>
  <w:abstractNum w:abstractNumId="1">
    <w:nsid w:val="6183587A"/>
    <w:multiLevelType w:val="singleLevel"/>
    <w:tmpl w:val="6183587A"/>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TRlZTk5MzNhNzAwMzdmNThiNTA1M2NhYTY2ZmUifQ=="/>
  </w:docVars>
  <w:rsids>
    <w:rsidRoot w:val="56D73A8D"/>
    <w:rsid w:val="0000389E"/>
    <w:rsid w:val="00005268"/>
    <w:rsid w:val="00006442"/>
    <w:rsid w:val="00022AC0"/>
    <w:rsid w:val="00026755"/>
    <w:rsid w:val="00026814"/>
    <w:rsid w:val="00027DF9"/>
    <w:rsid w:val="000307DA"/>
    <w:rsid w:val="0003283D"/>
    <w:rsid w:val="00032B6E"/>
    <w:rsid w:val="000431A8"/>
    <w:rsid w:val="00044AE4"/>
    <w:rsid w:val="00052DDB"/>
    <w:rsid w:val="000541CB"/>
    <w:rsid w:val="0005540F"/>
    <w:rsid w:val="0005607F"/>
    <w:rsid w:val="00056B12"/>
    <w:rsid w:val="00056CD8"/>
    <w:rsid w:val="000612E9"/>
    <w:rsid w:val="00061E4D"/>
    <w:rsid w:val="00066E01"/>
    <w:rsid w:val="000678AC"/>
    <w:rsid w:val="000736E5"/>
    <w:rsid w:val="00073BE1"/>
    <w:rsid w:val="00074CC8"/>
    <w:rsid w:val="00074F3C"/>
    <w:rsid w:val="0008074E"/>
    <w:rsid w:val="00082CD7"/>
    <w:rsid w:val="00083AD5"/>
    <w:rsid w:val="00085D24"/>
    <w:rsid w:val="00086012"/>
    <w:rsid w:val="000930B6"/>
    <w:rsid w:val="000938DE"/>
    <w:rsid w:val="000943AC"/>
    <w:rsid w:val="00094BD9"/>
    <w:rsid w:val="00096351"/>
    <w:rsid w:val="000972A0"/>
    <w:rsid w:val="000979B5"/>
    <w:rsid w:val="000A1D2B"/>
    <w:rsid w:val="000A40A4"/>
    <w:rsid w:val="000A4B94"/>
    <w:rsid w:val="000A5B1B"/>
    <w:rsid w:val="000A70F0"/>
    <w:rsid w:val="000B2780"/>
    <w:rsid w:val="000B7643"/>
    <w:rsid w:val="000B7FDD"/>
    <w:rsid w:val="000C0FF9"/>
    <w:rsid w:val="000C3E43"/>
    <w:rsid w:val="000C5771"/>
    <w:rsid w:val="000C5818"/>
    <w:rsid w:val="000D1D74"/>
    <w:rsid w:val="000D1E65"/>
    <w:rsid w:val="000D23F5"/>
    <w:rsid w:val="000E07FB"/>
    <w:rsid w:val="000E0EB8"/>
    <w:rsid w:val="000E1343"/>
    <w:rsid w:val="000E34CE"/>
    <w:rsid w:val="000E7146"/>
    <w:rsid w:val="000F1249"/>
    <w:rsid w:val="000F5D52"/>
    <w:rsid w:val="0010049F"/>
    <w:rsid w:val="001014B3"/>
    <w:rsid w:val="00101EC0"/>
    <w:rsid w:val="001055B6"/>
    <w:rsid w:val="00114BD3"/>
    <w:rsid w:val="0012045F"/>
    <w:rsid w:val="00122A0D"/>
    <w:rsid w:val="00123C6D"/>
    <w:rsid w:val="001242FD"/>
    <w:rsid w:val="00125BB2"/>
    <w:rsid w:val="0012658D"/>
    <w:rsid w:val="001308B9"/>
    <w:rsid w:val="00130B62"/>
    <w:rsid w:val="00136E37"/>
    <w:rsid w:val="00136ED2"/>
    <w:rsid w:val="00137761"/>
    <w:rsid w:val="0014361B"/>
    <w:rsid w:val="001525DE"/>
    <w:rsid w:val="00152CDE"/>
    <w:rsid w:val="00154628"/>
    <w:rsid w:val="00157B44"/>
    <w:rsid w:val="0016221B"/>
    <w:rsid w:val="001632F1"/>
    <w:rsid w:val="00163B6C"/>
    <w:rsid w:val="00172C23"/>
    <w:rsid w:val="001736C2"/>
    <w:rsid w:val="00174965"/>
    <w:rsid w:val="001751FA"/>
    <w:rsid w:val="0017620F"/>
    <w:rsid w:val="00177940"/>
    <w:rsid w:val="0018342F"/>
    <w:rsid w:val="00183533"/>
    <w:rsid w:val="00184AA0"/>
    <w:rsid w:val="001862CC"/>
    <w:rsid w:val="00190168"/>
    <w:rsid w:val="00194DC7"/>
    <w:rsid w:val="001960F5"/>
    <w:rsid w:val="00197855"/>
    <w:rsid w:val="001A75D5"/>
    <w:rsid w:val="001A7AEF"/>
    <w:rsid w:val="001B2B05"/>
    <w:rsid w:val="001B3E77"/>
    <w:rsid w:val="001C0B8D"/>
    <w:rsid w:val="001D0DC7"/>
    <w:rsid w:val="001D3C56"/>
    <w:rsid w:val="001E27BC"/>
    <w:rsid w:val="001E3CAC"/>
    <w:rsid w:val="001E51B8"/>
    <w:rsid w:val="001E5390"/>
    <w:rsid w:val="001E6EE7"/>
    <w:rsid w:val="001E74B5"/>
    <w:rsid w:val="001E7CCE"/>
    <w:rsid w:val="001F033B"/>
    <w:rsid w:val="001F5AEF"/>
    <w:rsid w:val="001F70AD"/>
    <w:rsid w:val="001F73F6"/>
    <w:rsid w:val="002036A8"/>
    <w:rsid w:val="002044AD"/>
    <w:rsid w:val="002079A2"/>
    <w:rsid w:val="00213345"/>
    <w:rsid w:val="00216DFC"/>
    <w:rsid w:val="002177D1"/>
    <w:rsid w:val="00223581"/>
    <w:rsid w:val="00223DB2"/>
    <w:rsid w:val="00223F62"/>
    <w:rsid w:val="00224B3D"/>
    <w:rsid w:val="00226597"/>
    <w:rsid w:val="00227408"/>
    <w:rsid w:val="00231957"/>
    <w:rsid w:val="00231964"/>
    <w:rsid w:val="00232C1D"/>
    <w:rsid w:val="00232D88"/>
    <w:rsid w:val="00233A6F"/>
    <w:rsid w:val="002411CF"/>
    <w:rsid w:val="002437BF"/>
    <w:rsid w:val="00243822"/>
    <w:rsid w:val="00244644"/>
    <w:rsid w:val="002479D6"/>
    <w:rsid w:val="002506E7"/>
    <w:rsid w:val="00252923"/>
    <w:rsid w:val="00254207"/>
    <w:rsid w:val="00260EB6"/>
    <w:rsid w:val="0026140F"/>
    <w:rsid w:val="0026498B"/>
    <w:rsid w:val="002719A3"/>
    <w:rsid w:val="002724A3"/>
    <w:rsid w:val="00273FD5"/>
    <w:rsid w:val="00280511"/>
    <w:rsid w:val="00281AEF"/>
    <w:rsid w:val="00281DBA"/>
    <w:rsid w:val="00294A97"/>
    <w:rsid w:val="0029779F"/>
    <w:rsid w:val="002B09C2"/>
    <w:rsid w:val="002B0CD4"/>
    <w:rsid w:val="002B105B"/>
    <w:rsid w:val="002B2270"/>
    <w:rsid w:val="002B363B"/>
    <w:rsid w:val="002B46CF"/>
    <w:rsid w:val="002C1032"/>
    <w:rsid w:val="002C365A"/>
    <w:rsid w:val="002C3BEA"/>
    <w:rsid w:val="002C4408"/>
    <w:rsid w:val="002C51CA"/>
    <w:rsid w:val="002D45D3"/>
    <w:rsid w:val="002D4929"/>
    <w:rsid w:val="002D6359"/>
    <w:rsid w:val="002E14B8"/>
    <w:rsid w:val="002E46E0"/>
    <w:rsid w:val="002E6CAC"/>
    <w:rsid w:val="002E74BF"/>
    <w:rsid w:val="002F416F"/>
    <w:rsid w:val="003005AC"/>
    <w:rsid w:val="00300D73"/>
    <w:rsid w:val="00302FB1"/>
    <w:rsid w:val="00303331"/>
    <w:rsid w:val="00310B94"/>
    <w:rsid w:val="003128A2"/>
    <w:rsid w:val="00320392"/>
    <w:rsid w:val="00322935"/>
    <w:rsid w:val="00327433"/>
    <w:rsid w:val="003278E2"/>
    <w:rsid w:val="003303C0"/>
    <w:rsid w:val="0033321C"/>
    <w:rsid w:val="003356C2"/>
    <w:rsid w:val="00337A5F"/>
    <w:rsid w:val="003429FB"/>
    <w:rsid w:val="00352CC4"/>
    <w:rsid w:val="0035308D"/>
    <w:rsid w:val="003545CE"/>
    <w:rsid w:val="0035544B"/>
    <w:rsid w:val="003603C9"/>
    <w:rsid w:val="00364CD7"/>
    <w:rsid w:val="00370C4D"/>
    <w:rsid w:val="003719E1"/>
    <w:rsid w:val="00374B86"/>
    <w:rsid w:val="00377910"/>
    <w:rsid w:val="00380825"/>
    <w:rsid w:val="0038126C"/>
    <w:rsid w:val="00384369"/>
    <w:rsid w:val="003861A9"/>
    <w:rsid w:val="00392BC4"/>
    <w:rsid w:val="00394587"/>
    <w:rsid w:val="003A1A09"/>
    <w:rsid w:val="003A273D"/>
    <w:rsid w:val="003A303B"/>
    <w:rsid w:val="003A3515"/>
    <w:rsid w:val="003A45F3"/>
    <w:rsid w:val="003A5487"/>
    <w:rsid w:val="003A5E22"/>
    <w:rsid w:val="003A6CB1"/>
    <w:rsid w:val="003A7B66"/>
    <w:rsid w:val="003B01DE"/>
    <w:rsid w:val="003B0DD5"/>
    <w:rsid w:val="003B0F43"/>
    <w:rsid w:val="003B2F7E"/>
    <w:rsid w:val="003B3808"/>
    <w:rsid w:val="003B5361"/>
    <w:rsid w:val="003B61D4"/>
    <w:rsid w:val="003B71F3"/>
    <w:rsid w:val="003B7991"/>
    <w:rsid w:val="003C12EE"/>
    <w:rsid w:val="003C1FD6"/>
    <w:rsid w:val="003C2F7B"/>
    <w:rsid w:val="003C4225"/>
    <w:rsid w:val="003D1A22"/>
    <w:rsid w:val="003D1FFA"/>
    <w:rsid w:val="003D2758"/>
    <w:rsid w:val="003D31CF"/>
    <w:rsid w:val="003E2DB3"/>
    <w:rsid w:val="003E5064"/>
    <w:rsid w:val="003F41DF"/>
    <w:rsid w:val="003F7D20"/>
    <w:rsid w:val="004009BF"/>
    <w:rsid w:val="00400E79"/>
    <w:rsid w:val="004071A7"/>
    <w:rsid w:val="0041081D"/>
    <w:rsid w:val="004117F0"/>
    <w:rsid w:val="0041219F"/>
    <w:rsid w:val="00412859"/>
    <w:rsid w:val="004136F5"/>
    <w:rsid w:val="004166C9"/>
    <w:rsid w:val="004211C7"/>
    <w:rsid w:val="00422AD6"/>
    <w:rsid w:val="00423111"/>
    <w:rsid w:val="004239BD"/>
    <w:rsid w:val="00423AF0"/>
    <w:rsid w:val="0042544D"/>
    <w:rsid w:val="00425AD2"/>
    <w:rsid w:val="00426025"/>
    <w:rsid w:val="00427C59"/>
    <w:rsid w:val="00427F2B"/>
    <w:rsid w:val="00433E1C"/>
    <w:rsid w:val="00434281"/>
    <w:rsid w:val="00435295"/>
    <w:rsid w:val="0043558A"/>
    <w:rsid w:val="00437753"/>
    <w:rsid w:val="0044186C"/>
    <w:rsid w:val="00441AC9"/>
    <w:rsid w:val="00443AD3"/>
    <w:rsid w:val="004476E3"/>
    <w:rsid w:val="00453ABB"/>
    <w:rsid w:val="00454F04"/>
    <w:rsid w:val="00455F1C"/>
    <w:rsid w:val="00456EF8"/>
    <w:rsid w:val="00461328"/>
    <w:rsid w:val="00463D1F"/>
    <w:rsid w:val="00464BBD"/>
    <w:rsid w:val="00465677"/>
    <w:rsid w:val="004665BB"/>
    <w:rsid w:val="00472E1A"/>
    <w:rsid w:val="00473017"/>
    <w:rsid w:val="0047597F"/>
    <w:rsid w:val="004779A1"/>
    <w:rsid w:val="0048357D"/>
    <w:rsid w:val="0048405F"/>
    <w:rsid w:val="00485804"/>
    <w:rsid w:val="00485E25"/>
    <w:rsid w:val="0049311A"/>
    <w:rsid w:val="00494167"/>
    <w:rsid w:val="0049639A"/>
    <w:rsid w:val="00497B66"/>
    <w:rsid w:val="004A2EDE"/>
    <w:rsid w:val="004A55E6"/>
    <w:rsid w:val="004A7F6E"/>
    <w:rsid w:val="004B201E"/>
    <w:rsid w:val="004B326A"/>
    <w:rsid w:val="004C2E0B"/>
    <w:rsid w:val="004C5E93"/>
    <w:rsid w:val="004C6D62"/>
    <w:rsid w:val="004C7AB3"/>
    <w:rsid w:val="004D08CC"/>
    <w:rsid w:val="004D0CF7"/>
    <w:rsid w:val="004D112E"/>
    <w:rsid w:val="004D1959"/>
    <w:rsid w:val="004D4751"/>
    <w:rsid w:val="004D7069"/>
    <w:rsid w:val="004D7201"/>
    <w:rsid w:val="004E1A5F"/>
    <w:rsid w:val="004E21A9"/>
    <w:rsid w:val="004E3C40"/>
    <w:rsid w:val="004E4747"/>
    <w:rsid w:val="004F1B07"/>
    <w:rsid w:val="004F3AD4"/>
    <w:rsid w:val="004F48C4"/>
    <w:rsid w:val="00500069"/>
    <w:rsid w:val="00501596"/>
    <w:rsid w:val="00502FA0"/>
    <w:rsid w:val="0050357D"/>
    <w:rsid w:val="00504099"/>
    <w:rsid w:val="00504AA5"/>
    <w:rsid w:val="00510D47"/>
    <w:rsid w:val="005120B2"/>
    <w:rsid w:val="00512900"/>
    <w:rsid w:val="00514318"/>
    <w:rsid w:val="00514729"/>
    <w:rsid w:val="00515E78"/>
    <w:rsid w:val="00516B8F"/>
    <w:rsid w:val="00516B97"/>
    <w:rsid w:val="00517CAD"/>
    <w:rsid w:val="005213D2"/>
    <w:rsid w:val="00522923"/>
    <w:rsid w:val="00523653"/>
    <w:rsid w:val="0052622B"/>
    <w:rsid w:val="0053379F"/>
    <w:rsid w:val="00536B4F"/>
    <w:rsid w:val="00542CB1"/>
    <w:rsid w:val="0054745D"/>
    <w:rsid w:val="005478FB"/>
    <w:rsid w:val="00554B4B"/>
    <w:rsid w:val="00555DE4"/>
    <w:rsid w:val="00556E04"/>
    <w:rsid w:val="00561271"/>
    <w:rsid w:val="00561544"/>
    <w:rsid w:val="00564B57"/>
    <w:rsid w:val="005663DE"/>
    <w:rsid w:val="005719A2"/>
    <w:rsid w:val="005751B9"/>
    <w:rsid w:val="00580975"/>
    <w:rsid w:val="00582C30"/>
    <w:rsid w:val="00583223"/>
    <w:rsid w:val="00585873"/>
    <w:rsid w:val="00590B2D"/>
    <w:rsid w:val="0059494D"/>
    <w:rsid w:val="00597E71"/>
    <w:rsid w:val="005A03D5"/>
    <w:rsid w:val="005A33EC"/>
    <w:rsid w:val="005A39AB"/>
    <w:rsid w:val="005B3C92"/>
    <w:rsid w:val="005B7B3E"/>
    <w:rsid w:val="005C0DF7"/>
    <w:rsid w:val="005C2A35"/>
    <w:rsid w:val="005C42E8"/>
    <w:rsid w:val="005C521B"/>
    <w:rsid w:val="005C6875"/>
    <w:rsid w:val="005C7344"/>
    <w:rsid w:val="005D0A7F"/>
    <w:rsid w:val="005D1937"/>
    <w:rsid w:val="005D1B45"/>
    <w:rsid w:val="005D58FD"/>
    <w:rsid w:val="005E0698"/>
    <w:rsid w:val="005E1CC0"/>
    <w:rsid w:val="005F4F0B"/>
    <w:rsid w:val="005F544E"/>
    <w:rsid w:val="005F7755"/>
    <w:rsid w:val="006008D1"/>
    <w:rsid w:val="00607A27"/>
    <w:rsid w:val="00610969"/>
    <w:rsid w:val="00616547"/>
    <w:rsid w:val="00617222"/>
    <w:rsid w:val="006207BA"/>
    <w:rsid w:val="0062113C"/>
    <w:rsid w:val="00627D23"/>
    <w:rsid w:val="00631349"/>
    <w:rsid w:val="0063266B"/>
    <w:rsid w:val="00632D95"/>
    <w:rsid w:val="00633F5B"/>
    <w:rsid w:val="00633F8C"/>
    <w:rsid w:val="006345DD"/>
    <w:rsid w:val="00634CA7"/>
    <w:rsid w:val="006378A2"/>
    <w:rsid w:val="00642EEE"/>
    <w:rsid w:val="00643FF9"/>
    <w:rsid w:val="00644933"/>
    <w:rsid w:val="00645EB2"/>
    <w:rsid w:val="0065083B"/>
    <w:rsid w:val="00652BF8"/>
    <w:rsid w:val="00653B69"/>
    <w:rsid w:val="0066166A"/>
    <w:rsid w:val="00663642"/>
    <w:rsid w:val="006639F2"/>
    <w:rsid w:val="00665E5A"/>
    <w:rsid w:val="00667990"/>
    <w:rsid w:val="00670460"/>
    <w:rsid w:val="00670478"/>
    <w:rsid w:val="0067101C"/>
    <w:rsid w:val="00673F98"/>
    <w:rsid w:val="00674B20"/>
    <w:rsid w:val="006753D1"/>
    <w:rsid w:val="006759F6"/>
    <w:rsid w:val="00675F79"/>
    <w:rsid w:val="00676C09"/>
    <w:rsid w:val="00677057"/>
    <w:rsid w:val="006803E2"/>
    <w:rsid w:val="0068105D"/>
    <w:rsid w:val="00681976"/>
    <w:rsid w:val="006856D3"/>
    <w:rsid w:val="00686030"/>
    <w:rsid w:val="00686A89"/>
    <w:rsid w:val="0069166B"/>
    <w:rsid w:val="0069521D"/>
    <w:rsid w:val="0069779D"/>
    <w:rsid w:val="006A1FE9"/>
    <w:rsid w:val="006A53BB"/>
    <w:rsid w:val="006A5E6C"/>
    <w:rsid w:val="006B0186"/>
    <w:rsid w:val="006B198F"/>
    <w:rsid w:val="006B7C73"/>
    <w:rsid w:val="006B7C7E"/>
    <w:rsid w:val="006C1F8B"/>
    <w:rsid w:val="006C41B2"/>
    <w:rsid w:val="006C5F04"/>
    <w:rsid w:val="006C6157"/>
    <w:rsid w:val="006C6A0A"/>
    <w:rsid w:val="006D240E"/>
    <w:rsid w:val="006D3164"/>
    <w:rsid w:val="006D66F3"/>
    <w:rsid w:val="006E2478"/>
    <w:rsid w:val="006E3B8E"/>
    <w:rsid w:val="006E3FC1"/>
    <w:rsid w:val="006E476C"/>
    <w:rsid w:val="006F0B83"/>
    <w:rsid w:val="006F1881"/>
    <w:rsid w:val="006F547D"/>
    <w:rsid w:val="006F64A4"/>
    <w:rsid w:val="006F7310"/>
    <w:rsid w:val="006F761A"/>
    <w:rsid w:val="00701629"/>
    <w:rsid w:val="00701B4F"/>
    <w:rsid w:val="007025DA"/>
    <w:rsid w:val="00702A24"/>
    <w:rsid w:val="007048A2"/>
    <w:rsid w:val="007113F1"/>
    <w:rsid w:val="0071605C"/>
    <w:rsid w:val="00717085"/>
    <w:rsid w:val="0072297B"/>
    <w:rsid w:val="00724037"/>
    <w:rsid w:val="007256F7"/>
    <w:rsid w:val="007307A0"/>
    <w:rsid w:val="00731390"/>
    <w:rsid w:val="0074191E"/>
    <w:rsid w:val="00744279"/>
    <w:rsid w:val="007473E9"/>
    <w:rsid w:val="00750CE0"/>
    <w:rsid w:val="007524BD"/>
    <w:rsid w:val="0075724A"/>
    <w:rsid w:val="00761FBC"/>
    <w:rsid w:val="007647E1"/>
    <w:rsid w:val="00765C66"/>
    <w:rsid w:val="00775C85"/>
    <w:rsid w:val="00775D2C"/>
    <w:rsid w:val="007835DB"/>
    <w:rsid w:val="00793002"/>
    <w:rsid w:val="0079604A"/>
    <w:rsid w:val="007978C0"/>
    <w:rsid w:val="007A0845"/>
    <w:rsid w:val="007A15F5"/>
    <w:rsid w:val="007A71D8"/>
    <w:rsid w:val="007A7333"/>
    <w:rsid w:val="007B1281"/>
    <w:rsid w:val="007B4CF1"/>
    <w:rsid w:val="007B6E12"/>
    <w:rsid w:val="007C3B49"/>
    <w:rsid w:val="007C4127"/>
    <w:rsid w:val="007D5C06"/>
    <w:rsid w:val="007D7337"/>
    <w:rsid w:val="007E0BE6"/>
    <w:rsid w:val="007E120C"/>
    <w:rsid w:val="007E4A6C"/>
    <w:rsid w:val="007E4CE4"/>
    <w:rsid w:val="007E690F"/>
    <w:rsid w:val="007F2124"/>
    <w:rsid w:val="007F293E"/>
    <w:rsid w:val="007F2C30"/>
    <w:rsid w:val="007F3E79"/>
    <w:rsid w:val="007F71B4"/>
    <w:rsid w:val="007F7510"/>
    <w:rsid w:val="00800418"/>
    <w:rsid w:val="00802BB1"/>
    <w:rsid w:val="00803445"/>
    <w:rsid w:val="008055FF"/>
    <w:rsid w:val="0081110B"/>
    <w:rsid w:val="00811EBC"/>
    <w:rsid w:val="00812F0C"/>
    <w:rsid w:val="008145A7"/>
    <w:rsid w:val="008159E7"/>
    <w:rsid w:val="00816B81"/>
    <w:rsid w:val="00817AC2"/>
    <w:rsid w:val="0082208C"/>
    <w:rsid w:val="0082214B"/>
    <w:rsid w:val="00822816"/>
    <w:rsid w:val="0082316E"/>
    <w:rsid w:val="0082329D"/>
    <w:rsid w:val="00826606"/>
    <w:rsid w:val="008271FC"/>
    <w:rsid w:val="00827766"/>
    <w:rsid w:val="008318C7"/>
    <w:rsid w:val="0083459B"/>
    <w:rsid w:val="00835297"/>
    <w:rsid w:val="00836B7B"/>
    <w:rsid w:val="008434FC"/>
    <w:rsid w:val="008439FF"/>
    <w:rsid w:val="00843B8B"/>
    <w:rsid w:val="0084429B"/>
    <w:rsid w:val="00847699"/>
    <w:rsid w:val="00847FD9"/>
    <w:rsid w:val="0085285D"/>
    <w:rsid w:val="0086496B"/>
    <w:rsid w:val="00867007"/>
    <w:rsid w:val="00870F55"/>
    <w:rsid w:val="0087379A"/>
    <w:rsid w:val="008753CF"/>
    <w:rsid w:val="00875B26"/>
    <w:rsid w:val="00883768"/>
    <w:rsid w:val="008843B0"/>
    <w:rsid w:val="008846EB"/>
    <w:rsid w:val="00884E85"/>
    <w:rsid w:val="0088579C"/>
    <w:rsid w:val="00885EFF"/>
    <w:rsid w:val="00890549"/>
    <w:rsid w:val="00891D2C"/>
    <w:rsid w:val="00893AFE"/>
    <w:rsid w:val="00893EB1"/>
    <w:rsid w:val="00894CDD"/>
    <w:rsid w:val="00895001"/>
    <w:rsid w:val="0089699F"/>
    <w:rsid w:val="008A2882"/>
    <w:rsid w:val="008A2CA1"/>
    <w:rsid w:val="008A2CAF"/>
    <w:rsid w:val="008B15C6"/>
    <w:rsid w:val="008B25E4"/>
    <w:rsid w:val="008B2F3E"/>
    <w:rsid w:val="008B34BC"/>
    <w:rsid w:val="008B6B18"/>
    <w:rsid w:val="008C23FF"/>
    <w:rsid w:val="008C694C"/>
    <w:rsid w:val="008C6FDB"/>
    <w:rsid w:val="008D111A"/>
    <w:rsid w:val="008D2591"/>
    <w:rsid w:val="008D382C"/>
    <w:rsid w:val="008D3A34"/>
    <w:rsid w:val="008E5AB7"/>
    <w:rsid w:val="008E5D77"/>
    <w:rsid w:val="008E622C"/>
    <w:rsid w:val="008E784F"/>
    <w:rsid w:val="008F0090"/>
    <w:rsid w:val="008F2332"/>
    <w:rsid w:val="008F60AE"/>
    <w:rsid w:val="008F79DC"/>
    <w:rsid w:val="0090170A"/>
    <w:rsid w:val="009018EB"/>
    <w:rsid w:val="00902D69"/>
    <w:rsid w:val="00906EDC"/>
    <w:rsid w:val="00907762"/>
    <w:rsid w:val="00912A50"/>
    <w:rsid w:val="00913B9F"/>
    <w:rsid w:val="0092527C"/>
    <w:rsid w:val="00930E8C"/>
    <w:rsid w:val="00932A04"/>
    <w:rsid w:val="00935237"/>
    <w:rsid w:val="00935CA0"/>
    <w:rsid w:val="00941314"/>
    <w:rsid w:val="0094318B"/>
    <w:rsid w:val="009432BF"/>
    <w:rsid w:val="00944DA5"/>
    <w:rsid w:val="0095044B"/>
    <w:rsid w:val="00952275"/>
    <w:rsid w:val="00953194"/>
    <w:rsid w:val="00953451"/>
    <w:rsid w:val="00953AE6"/>
    <w:rsid w:val="00953F76"/>
    <w:rsid w:val="00957BDF"/>
    <w:rsid w:val="00962F60"/>
    <w:rsid w:val="00964B37"/>
    <w:rsid w:val="00965818"/>
    <w:rsid w:val="009660BC"/>
    <w:rsid w:val="0096758C"/>
    <w:rsid w:val="00971644"/>
    <w:rsid w:val="00971BB2"/>
    <w:rsid w:val="0097668E"/>
    <w:rsid w:val="00977C11"/>
    <w:rsid w:val="00980058"/>
    <w:rsid w:val="00981245"/>
    <w:rsid w:val="0098130A"/>
    <w:rsid w:val="009815D8"/>
    <w:rsid w:val="00982439"/>
    <w:rsid w:val="00982F67"/>
    <w:rsid w:val="00986280"/>
    <w:rsid w:val="00986844"/>
    <w:rsid w:val="00991770"/>
    <w:rsid w:val="009944E7"/>
    <w:rsid w:val="00996122"/>
    <w:rsid w:val="0099653F"/>
    <w:rsid w:val="00996E3E"/>
    <w:rsid w:val="009A0F2C"/>
    <w:rsid w:val="009B1105"/>
    <w:rsid w:val="009B4928"/>
    <w:rsid w:val="009B65D7"/>
    <w:rsid w:val="009B6891"/>
    <w:rsid w:val="009C0AA7"/>
    <w:rsid w:val="009C71FE"/>
    <w:rsid w:val="009C7722"/>
    <w:rsid w:val="009D2458"/>
    <w:rsid w:val="009D2A15"/>
    <w:rsid w:val="009D2A56"/>
    <w:rsid w:val="009D2CD2"/>
    <w:rsid w:val="009D3013"/>
    <w:rsid w:val="009D36AB"/>
    <w:rsid w:val="009D60C3"/>
    <w:rsid w:val="009D6BA5"/>
    <w:rsid w:val="009D7721"/>
    <w:rsid w:val="009E1960"/>
    <w:rsid w:val="009E1CE3"/>
    <w:rsid w:val="009E463D"/>
    <w:rsid w:val="009E57C5"/>
    <w:rsid w:val="009E62A0"/>
    <w:rsid w:val="009E7420"/>
    <w:rsid w:val="009F0266"/>
    <w:rsid w:val="009F6D36"/>
    <w:rsid w:val="009F7AE4"/>
    <w:rsid w:val="00A00740"/>
    <w:rsid w:val="00A028C5"/>
    <w:rsid w:val="00A05F68"/>
    <w:rsid w:val="00A07FE0"/>
    <w:rsid w:val="00A1567A"/>
    <w:rsid w:val="00A200FC"/>
    <w:rsid w:val="00A20EC0"/>
    <w:rsid w:val="00A21FE3"/>
    <w:rsid w:val="00A22E4F"/>
    <w:rsid w:val="00A309A0"/>
    <w:rsid w:val="00A30D9D"/>
    <w:rsid w:val="00A321B4"/>
    <w:rsid w:val="00A33C82"/>
    <w:rsid w:val="00A372C4"/>
    <w:rsid w:val="00A417DB"/>
    <w:rsid w:val="00A43E2C"/>
    <w:rsid w:val="00A467E7"/>
    <w:rsid w:val="00A47972"/>
    <w:rsid w:val="00A5059E"/>
    <w:rsid w:val="00A50871"/>
    <w:rsid w:val="00A50E1B"/>
    <w:rsid w:val="00A534E4"/>
    <w:rsid w:val="00A574DE"/>
    <w:rsid w:val="00A61CCE"/>
    <w:rsid w:val="00A659B6"/>
    <w:rsid w:val="00A66F9E"/>
    <w:rsid w:val="00A76521"/>
    <w:rsid w:val="00A7707D"/>
    <w:rsid w:val="00A81D51"/>
    <w:rsid w:val="00A85659"/>
    <w:rsid w:val="00A8630F"/>
    <w:rsid w:val="00A90114"/>
    <w:rsid w:val="00A90743"/>
    <w:rsid w:val="00A91C63"/>
    <w:rsid w:val="00A9637E"/>
    <w:rsid w:val="00AA404B"/>
    <w:rsid w:val="00AA48B3"/>
    <w:rsid w:val="00AB1F82"/>
    <w:rsid w:val="00AB674D"/>
    <w:rsid w:val="00AC2B34"/>
    <w:rsid w:val="00AC3118"/>
    <w:rsid w:val="00AC3298"/>
    <w:rsid w:val="00AC34CF"/>
    <w:rsid w:val="00AD1EF8"/>
    <w:rsid w:val="00AD3BC1"/>
    <w:rsid w:val="00AD688E"/>
    <w:rsid w:val="00AD73C4"/>
    <w:rsid w:val="00AE1348"/>
    <w:rsid w:val="00AE1B8C"/>
    <w:rsid w:val="00AE6BC6"/>
    <w:rsid w:val="00AE6E7D"/>
    <w:rsid w:val="00AF1369"/>
    <w:rsid w:val="00AF15DB"/>
    <w:rsid w:val="00AF5FAF"/>
    <w:rsid w:val="00AF7195"/>
    <w:rsid w:val="00B00BCC"/>
    <w:rsid w:val="00B11784"/>
    <w:rsid w:val="00B1197B"/>
    <w:rsid w:val="00B12693"/>
    <w:rsid w:val="00B145E5"/>
    <w:rsid w:val="00B15594"/>
    <w:rsid w:val="00B165D1"/>
    <w:rsid w:val="00B16D9A"/>
    <w:rsid w:val="00B16DA0"/>
    <w:rsid w:val="00B20428"/>
    <w:rsid w:val="00B21484"/>
    <w:rsid w:val="00B21DE0"/>
    <w:rsid w:val="00B239E6"/>
    <w:rsid w:val="00B279A0"/>
    <w:rsid w:val="00B31326"/>
    <w:rsid w:val="00B32481"/>
    <w:rsid w:val="00B33126"/>
    <w:rsid w:val="00B35369"/>
    <w:rsid w:val="00B369DE"/>
    <w:rsid w:val="00B40B84"/>
    <w:rsid w:val="00B420B4"/>
    <w:rsid w:val="00B506C7"/>
    <w:rsid w:val="00B5276E"/>
    <w:rsid w:val="00B57398"/>
    <w:rsid w:val="00B610CB"/>
    <w:rsid w:val="00B620A2"/>
    <w:rsid w:val="00B6267B"/>
    <w:rsid w:val="00B65770"/>
    <w:rsid w:val="00B70293"/>
    <w:rsid w:val="00B7396F"/>
    <w:rsid w:val="00B7559C"/>
    <w:rsid w:val="00B87DF2"/>
    <w:rsid w:val="00B903B0"/>
    <w:rsid w:val="00B97F75"/>
    <w:rsid w:val="00BB0B34"/>
    <w:rsid w:val="00BB0BE4"/>
    <w:rsid w:val="00BB249B"/>
    <w:rsid w:val="00BB3295"/>
    <w:rsid w:val="00BB5438"/>
    <w:rsid w:val="00BC183E"/>
    <w:rsid w:val="00BC3937"/>
    <w:rsid w:val="00BC39BF"/>
    <w:rsid w:val="00BC5F82"/>
    <w:rsid w:val="00BC62F3"/>
    <w:rsid w:val="00BD316E"/>
    <w:rsid w:val="00BD6AF4"/>
    <w:rsid w:val="00BD7157"/>
    <w:rsid w:val="00BE1A69"/>
    <w:rsid w:val="00BE2A2E"/>
    <w:rsid w:val="00BE4AF7"/>
    <w:rsid w:val="00BE7A5C"/>
    <w:rsid w:val="00BF2B23"/>
    <w:rsid w:val="00BF333F"/>
    <w:rsid w:val="00BF3404"/>
    <w:rsid w:val="00BF4215"/>
    <w:rsid w:val="00BF70E0"/>
    <w:rsid w:val="00BF7521"/>
    <w:rsid w:val="00C010EC"/>
    <w:rsid w:val="00C03A1D"/>
    <w:rsid w:val="00C03C5E"/>
    <w:rsid w:val="00C04921"/>
    <w:rsid w:val="00C053B4"/>
    <w:rsid w:val="00C135B4"/>
    <w:rsid w:val="00C225AF"/>
    <w:rsid w:val="00C23D8B"/>
    <w:rsid w:val="00C31A9A"/>
    <w:rsid w:val="00C3324E"/>
    <w:rsid w:val="00C34477"/>
    <w:rsid w:val="00C3628C"/>
    <w:rsid w:val="00C407C8"/>
    <w:rsid w:val="00C40A67"/>
    <w:rsid w:val="00C41AC4"/>
    <w:rsid w:val="00C4404A"/>
    <w:rsid w:val="00C45D96"/>
    <w:rsid w:val="00C465CB"/>
    <w:rsid w:val="00C46789"/>
    <w:rsid w:val="00C47D55"/>
    <w:rsid w:val="00C52FD5"/>
    <w:rsid w:val="00C57494"/>
    <w:rsid w:val="00C627D7"/>
    <w:rsid w:val="00C7609B"/>
    <w:rsid w:val="00C81163"/>
    <w:rsid w:val="00C84E9C"/>
    <w:rsid w:val="00C904A2"/>
    <w:rsid w:val="00C91AE1"/>
    <w:rsid w:val="00C97E48"/>
    <w:rsid w:val="00CA0BD9"/>
    <w:rsid w:val="00CA3FCF"/>
    <w:rsid w:val="00CA5A87"/>
    <w:rsid w:val="00CA61D8"/>
    <w:rsid w:val="00CA74EC"/>
    <w:rsid w:val="00CA7931"/>
    <w:rsid w:val="00CA7FE3"/>
    <w:rsid w:val="00CB07E3"/>
    <w:rsid w:val="00CB1175"/>
    <w:rsid w:val="00CB27F3"/>
    <w:rsid w:val="00CB2AEB"/>
    <w:rsid w:val="00CB407A"/>
    <w:rsid w:val="00CB42FE"/>
    <w:rsid w:val="00CB44CD"/>
    <w:rsid w:val="00CB5575"/>
    <w:rsid w:val="00CC344B"/>
    <w:rsid w:val="00CC38B3"/>
    <w:rsid w:val="00CC5FFA"/>
    <w:rsid w:val="00CC7FAB"/>
    <w:rsid w:val="00CD2A6A"/>
    <w:rsid w:val="00CD3E5D"/>
    <w:rsid w:val="00CD3E9C"/>
    <w:rsid w:val="00CD6779"/>
    <w:rsid w:val="00CD75CC"/>
    <w:rsid w:val="00CE16B8"/>
    <w:rsid w:val="00CE2E90"/>
    <w:rsid w:val="00CE7FF0"/>
    <w:rsid w:val="00CF0987"/>
    <w:rsid w:val="00CF2357"/>
    <w:rsid w:val="00CF2467"/>
    <w:rsid w:val="00CF3AC8"/>
    <w:rsid w:val="00CF3D21"/>
    <w:rsid w:val="00CF4F18"/>
    <w:rsid w:val="00CF6102"/>
    <w:rsid w:val="00CF6457"/>
    <w:rsid w:val="00CF6DCB"/>
    <w:rsid w:val="00D018E9"/>
    <w:rsid w:val="00D021F1"/>
    <w:rsid w:val="00D03B32"/>
    <w:rsid w:val="00D05D71"/>
    <w:rsid w:val="00D07B3B"/>
    <w:rsid w:val="00D209B5"/>
    <w:rsid w:val="00D20BCA"/>
    <w:rsid w:val="00D2155E"/>
    <w:rsid w:val="00D23D88"/>
    <w:rsid w:val="00D2519A"/>
    <w:rsid w:val="00D27647"/>
    <w:rsid w:val="00D30BD9"/>
    <w:rsid w:val="00D3230F"/>
    <w:rsid w:val="00D332AD"/>
    <w:rsid w:val="00D33F11"/>
    <w:rsid w:val="00D35D17"/>
    <w:rsid w:val="00D368D0"/>
    <w:rsid w:val="00D452CB"/>
    <w:rsid w:val="00D501E5"/>
    <w:rsid w:val="00D54ABA"/>
    <w:rsid w:val="00D55AD6"/>
    <w:rsid w:val="00D55E87"/>
    <w:rsid w:val="00D56BA7"/>
    <w:rsid w:val="00D6133D"/>
    <w:rsid w:val="00D62AFB"/>
    <w:rsid w:val="00D65638"/>
    <w:rsid w:val="00D70713"/>
    <w:rsid w:val="00D70968"/>
    <w:rsid w:val="00D85737"/>
    <w:rsid w:val="00D91FD0"/>
    <w:rsid w:val="00D930DE"/>
    <w:rsid w:val="00D94ADD"/>
    <w:rsid w:val="00DA4525"/>
    <w:rsid w:val="00DB03D7"/>
    <w:rsid w:val="00DB2DDB"/>
    <w:rsid w:val="00DB4E69"/>
    <w:rsid w:val="00DB6352"/>
    <w:rsid w:val="00DB6B32"/>
    <w:rsid w:val="00DC3AFA"/>
    <w:rsid w:val="00DC4A2F"/>
    <w:rsid w:val="00DC5DF5"/>
    <w:rsid w:val="00DD2CCA"/>
    <w:rsid w:val="00DD4632"/>
    <w:rsid w:val="00DD4758"/>
    <w:rsid w:val="00DD51AF"/>
    <w:rsid w:val="00DD54ED"/>
    <w:rsid w:val="00DD736A"/>
    <w:rsid w:val="00DD77A0"/>
    <w:rsid w:val="00DE2C5C"/>
    <w:rsid w:val="00DE366A"/>
    <w:rsid w:val="00DE48A6"/>
    <w:rsid w:val="00DF2139"/>
    <w:rsid w:val="00DF6047"/>
    <w:rsid w:val="00DF6EF9"/>
    <w:rsid w:val="00DF7A97"/>
    <w:rsid w:val="00E0029C"/>
    <w:rsid w:val="00E00F2C"/>
    <w:rsid w:val="00E03C68"/>
    <w:rsid w:val="00E04431"/>
    <w:rsid w:val="00E107E6"/>
    <w:rsid w:val="00E12727"/>
    <w:rsid w:val="00E12A1D"/>
    <w:rsid w:val="00E1343B"/>
    <w:rsid w:val="00E13546"/>
    <w:rsid w:val="00E13EE1"/>
    <w:rsid w:val="00E16230"/>
    <w:rsid w:val="00E21388"/>
    <w:rsid w:val="00E2208C"/>
    <w:rsid w:val="00E23F0F"/>
    <w:rsid w:val="00E23F77"/>
    <w:rsid w:val="00E24AFE"/>
    <w:rsid w:val="00E27117"/>
    <w:rsid w:val="00E30EF4"/>
    <w:rsid w:val="00E32E16"/>
    <w:rsid w:val="00E3390E"/>
    <w:rsid w:val="00E33D6B"/>
    <w:rsid w:val="00E37BDD"/>
    <w:rsid w:val="00E47B3E"/>
    <w:rsid w:val="00E50982"/>
    <w:rsid w:val="00E50A7B"/>
    <w:rsid w:val="00E5100B"/>
    <w:rsid w:val="00E52053"/>
    <w:rsid w:val="00E53106"/>
    <w:rsid w:val="00E54CA8"/>
    <w:rsid w:val="00E55618"/>
    <w:rsid w:val="00E55E6A"/>
    <w:rsid w:val="00E57FA0"/>
    <w:rsid w:val="00E621CD"/>
    <w:rsid w:val="00E62FA6"/>
    <w:rsid w:val="00E70B8B"/>
    <w:rsid w:val="00E77567"/>
    <w:rsid w:val="00E80931"/>
    <w:rsid w:val="00E83BB1"/>
    <w:rsid w:val="00E842EF"/>
    <w:rsid w:val="00E84D63"/>
    <w:rsid w:val="00E8620F"/>
    <w:rsid w:val="00E869F4"/>
    <w:rsid w:val="00E87005"/>
    <w:rsid w:val="00E91831"/>
    <w:rsid w:val="00E93929"/>
    <w:rsid w:val="00E9682F"/>
    <w:rsid w:val="00E97559"/>
    <w:rsid w:val="00EA0E93"/>
    <w:rsid w:val="00EA41B4"/>
    <w:rsid w:val="00EA61B0"/>
    <w:rsid w:val="00EA671F"/>
    <w:rsid w:val="00EA6DB7"/>
    <w:rsid w:val="00EB4A3D"/>
    <w:rsid w:val="00EB746D"/>
    <w:rsid w:val="00EC1390"/>
    <w:rsid w:val="00EC39D8"/>
    <w:rsid w:val="00EC3ECA"/>
    <w:rsid w:val="00EC3F3E"/>
    <w:rsid w:val="00ED203D"/>
    <w:rsid w:val="00ED2AD9"/>
    <w:rsid w:val="00ED598C"/>
    <w:rsid w:val="00ED63BF"/>
    <w:rsid w:val="00EE0A4F"/>
    <w:rsid w:val="00EE357E"/>
    <w:rsid w:val="00EE5E4A"/>
    <w:rsid w:val="00EF631D"/>
    <w:rsid w:val="00EF656A"/>
    <w:rsid w:val="00F0344B"/>
    <w:rsid w:val="00F04FE9"/>
    <w:rsid w:val="00F05656"/>
    <w:rsid w:val="00F11878"/>
    <w:rsid w:val="00F13C5E"/>
    <w:rsid w:val="00F14E49"/>
    <w:rsid w:val="00F151AB"/>
    <w:rsid w:val="00F15436"/>
    <w:rsid w:val="00F20AA7"/>
    <w:rsid w:val="00F30A34"/>
    <w:rsid w:val="00F31A11"/>
    <w:rsid w:val="00F34322"/>
    <w:rsid w:val="00F3439A"/>
    <w:rsid w:val="00F35624"/>
    <w:rsid w:val="00F37AAE"/>
    <w:rsid w:val="00F41363"/>
    <w:rsid w:val="00F446A9"/>
    <w:rsid w:val="00F44FC3"/>
    <w:rsid w:val="00F472C0"/>
    <w:rsid w:val="00F47A2C"/>
    <w:rsid w:val="00F55FBE"/>
    <w:rsid w:val="00F63945"/>
    <w:rsid w:val="00F66F33"/>
    <w:rsid w:val="00F67FE2"/>
    <w:rsid w:val="00F7258B"/>
    <w:rsid w:val="00F75E8A"/>
    <w:rsid w:val="00F773E4"/>
    <w:rsid w:val="00F83A25"/>
    <w:rsid w:val="00F860CE"/>
    <w:rsid w:val="00F86C92"/>
    <w:rsid w:val="00F8708F"/>
    <w:rsid w:val="00F92D24"/>
    <w:rsid w:val="00F94057"/>
    <w:rsid w:val="00FA06BF"/>
    <w:rsid w:val="00FA2663"/>
    <w:rsid w:val="00FA31F7"/>
    <w:rsid w:val="00FA3A13"/>
    <w:rsid w:val="00FA5BE9"/>
    <w:rsid w:val="00FA7429"/>
    <w:rsid w:val="00FB0952"/>
    <w:rsid w:val="00FB1820"/>
    <w:rsid w:val="00FB234D"/>
    <w:rsid w:val="00FB2FC8"/>
    <w:rsid w:val="00FB4E52"/>
    <w:rsid w:val="00FB7FB6"/>
    <w:rsid w:val="00FC0A6E"/>
    <w:rsid w:val="00FC0CA1"/>
    <w:rsid w:val="00FC2399"/>
    <w:rsid w:val="00FC4142"/>
    <w:rsid w:val="00FC6E3F"/>
    <w:rsid w:val="00FD1F47"/>
    <w:rsid w:val="00FD267F"/>
    <w:rsid w:val="00FD7D82"/>
    <w:rsid w:val="00FE079B"/>
    <w:rsid w:val="00FE1C9E"/>
    <w:rsid w:val="00FE373B"/>
    <w:rsid w:val="00FE7D07"/>
    <w:rsid w:val="00FF12FE"/>
    <w:rsid w:val="00FF45F3"/>
    <w:rsid w:val="00FF5465"/>
    <w:rsid w:val="00FF5A71"/>
    <w:rsid w:val="02473CC0"/>
    <w:rsid w:val="036B4BAC"/>
    <w:rsid w:val="03F50006"/>
    <w:rsid w:val="042518DB"/>
    <w:rsid w:val="04804DDC"/>
    <w:rsid w:val="057954E5"/>
    <w:rsid w:val="068F1EF6"/>
    <w:rsid w:val="07616D2B"/>
    <w:rsid w:val="07B73EB6"/>
    <w:rsid w:val="089D34EC"/>
    <w:rsid w:val="08A21C74"/>
    <w:rsid w:val="08C05114"/>
    <w:rsid w:val="09164DE3"/>
    <w:rsid w:val="09642C78"/>
    <w:rsid w:val="09C07B0E"/>
    <w:rsid w:val="0AA8200A"/>
    <w:rsid w:val="0AED16CA"/>
    <w:rsid w:val="0B243789"/>
    <w:rsid w:val="0B5136FF"/>
    <w:rsid w:val="0C4765F0"/>
    <w:rsid w:val="0C4B269C"/>
    <w:rsid w:val="0C630B0E"/>
    <w:rsid w:val="0C9A023C"/>
    <w:rsid w:val="0CA230CA"/>
    <w:rsid w:val="0D7C43DB"/>
    <w:rsid w:val="0D8458C4"/>
    <w:rsid w:val="0DC9777B"/>
    <w:rsid w:val="0E4272F3"/>
    <w:rsid w:val="0EBE46C4"/>
    <w:rsid w:val="0F2A661D"/>
    <w:rsid w:val="0FFE297B"/>
    <w:rsid w:val="10976497"/>
    <w:rsid w:val="12367894"/>
    <w:rsid w:val="128647F4"/>
    <w:rsid w:val="12F21BA5"/>
    <w:rsid w:val="13CA4E90"/>
    <w:rsid w:val="1420371B"/>
    <w:rsid w:val="16526D47"/>
    <w:rsid w:val="16ED5C2D"/>
    <w:rsid w:val="17A308F7"/>
    <w:rsid w:val="17FC0C18"/>
    <w:rsid w:val="182E403B"/>
    <w:rsid w:val="19B81AED"/>
    <w:rsid w:val="19C24451"/>
    <w:rsid w:val="1A0B4BAC"/>
    <w:rsid w:val="1A976C37"/>
    <w:rsid w:val="1B103D73"/>
    <w:rsid w:val="1B5C0B86"/>
    <w:rsid w:val="1B992B9E"/>
    <w:rsid w:val="1BDB0DA5"/>
    <w:rsid w:val="1C8B6E63"/>
    <w:rsid w:val="1CD43A93"/>
    <w:rsid w:val="1D0F45E5"/>
    <w:rsid w:val="1D22612D"/>
    <w:rsid w:val="1D43342E"/>
    <w:rsid w:val="1DF42BB2"/>
    <w:rsid w:val="1E054963"/>
    <w:rsid w:val="1F254C19"/>
    <w:rsid w:val="20800FE2"/>
    <w:rsid w:val="21012835"/>
    <w:rsid w:val="216E0C1E"/>
    <w:rsid w:val="2221070E"/>
    <w:rsid w:val="22310915"/>
    <w:rsid w:val="2320282F"/>
    <w:rsid w:val="234052E2"/>
    <w:rsid w:val="23D71F6E"/>
    <w:rsid w:val="255614EA"/>
    <w:rsid w:val="25B12EB2"/>
    <w:rsid w:val="261B6D15"/>
    <w:rsid w:val="26577740"/>
    <w:rsid w:val="27610546"/>
    <w:rsid w:val="295B4BE8"/>
    <w:rsid w:val="29963672"/>
    <w:rsid w:val="29A04058"/>
    <w:rsid w:val="29BB1941"/>
    <w:rsid w:val="29EF31FF"/>
    <w:rsid w:val="2B9C5ED8"/>
    <w:rsid w:val="2C481953"/>
    <w:rsid w:val="2C701C77"/>
    <w:rsid w:val="2D0D3080"/>
    <w:rsid w:val="2DFA1CE2"/>
    <w:rsid w:val="2E814EDA"/>
    <w:rsid w:val="2EED420A"/>
    <w:rsid w:val="2FB25251"/>
    <w:rsid w:val="31046251"/>
    <w:rsid w:val="314077BA"/>
    <w:rsid w:val="32BE1DB8"/>
    <w:rsid w:val="32C2747D"/>
    <w:rsid w:val="35B23FA8"/>
    <w:rsid w:val="37234B8C"/>
    <w:rsid w:val="38C16C33"/>
    <w:rsid w:val="3A2F0285"/>
    <w:rsid w:val="3A9F6955"/>
    <w:rsid w:val="3B376028"/>
    <w:rsid w:val="3B7C269A"/>
    <w:rsid w:val="3BE968DD"/>
    <w:rsid w:val="3CF61B5D"/>
    <w:rsid w:val="3D141C67"/>
    <w:rsid w:val="3DD55E55"/>
    <w:rsid w:val="3E5A0659"/>
    <w:rsid w:val="3EBB369E"/>
    <w:rsid w:val="3FF0620E"/>
    <w:rsid w:val="40E35B04"/>
    <w:rsid w:val="417724A6"/>
    <w:rsid w:val="41C10BD8"/>
    <w:rsid w:val="42F2698F"/>
    <w:rsid w:val="43372D4A"/>
    <w:rsid w:val="433C7686"/>
    <w:rsid w:val="43854DD3"/>
    <w:rsid w:val="439068AB"/>
    <w:rsid w:val="449907C8"/>
    <w:rsid w:val="458F513E"/>
    <w:rsid w:val="45F8243A"/>
    <w:rsid w:val="4667215A"/>
    <w:rsid w:val="47396565"/>
    <w:rsid w:val="47981D85"/>
    <w:rsid w:val="47B46D77"/>
    <w:rsid w:val="47F9159D"/>
    <w:rsid w:val="48AB044D"/>
    <w:rsid w:val="499A0251"/>
    <w:rsid w:val="49A051EF"/>
    <w:rsid w:val="49D223D6"/>
    <w:rsid w:val="4B6A5037"/>
    <w:rsid w:val="4B947475"/>
    <w:rsid w:val="4BD00C1D"/>
    <w:rsid w:val="4C5E0D5A"/>
    <w:rsid w:val="4DA335EF"/>
    <w:rsid w:val="4DB123AB"/>
    <w:rsid w:val="4EC4795C"/>
    <w:rsid w:val="4F803F4E"/>
    <w:rsid w:val="4FE274DC"/>
    <w:rsid w:val="4FEB47AE"/>
    <w:rsid w:val="50465DC1"/>
    <w:rsid w:val="50E53551"/>
    <w:rsid w:val="51B9200A"/>
    <w:rsid w:val="527775DF"/>
    <w:rsid w:val="52B70144"/>
    <w:rsid w:val="52C3710A"/>
    <w:rsid w:val="546C6511"/>
    <w:rsid w:val="55080BC1"/>
    <w:rsid w:val="559A36FF"/>
    <w:rsid w:val="55CF1A76"/>
    <w:rsid w:val="56623148"/>
    <w:rsid w:val="56CA1873"/>
    <w:rsid w:val="56D73A8D"/>
    <w:rsid w:val="57000212"/>
    <w:rsid w:val="57EB2720"/>
    <w:rsid w:val="58AD00F7"/>
    <w:rsid w:val="596012B4"/>
    <w:rsid w:val="5A710FF0"/>
    <w:rsid w:val="5B030CDF"/>
    <w:rsid w:val="5C7E086D"/>
    <w:rsid w:val="5C927FD9"/>
    <w:rsid w:val="5D751961"/>
    <w:rsid w:val="5DDE3722"/>
    <w:rsid w:val="5E1445E0"/>
    <w:rsid w:val="5E4F0FF4"/>
    <w:rsid w:val="5F2636B2"/>
    <w:rsid w:val="5F3209BE"/>
    <w:rsid w:val="5F5D2E4C"/>
    <w:rsid w:val="5F682C76"/>
    <w:rsid w:val="60417CAB"/>
    <w:rsid w:val="60422D79"/>
    <w:rsid w:val="60B430B8"/>
    <w:rsid w:val="612B657A"/>
    <w:rsid w:val="61D06D08"/>
    <w:rsid w:val="626B082B"/>
    <w:rsid w:val="66BD399D"/>
    <w:rsid w:val="67172DB2"/>
    <w:rsid w:val="67322B49"/>
    <w:rsid w:val="678E6274"/>
    <w:rsid w:val="683662CC"/>
    <w:rsid w:val="684E4359"/>
    <w:rsid w:val="69245A81"/>
    <w:rsid w:val="69711873"/>
    <w:rsid w:val="69842484"/>
    <w:rsid w:val="69E13245"/>
    <w:rsid w:val="6AB64522"/>
    <w:rsid w:val="6B88352D"/>
    <w:rsid w:val="6C82457A"/>
    <w:rsid w:val="6CD034BC"/>
    <w:rsid w:val="6DA02C3B"/>
    <w:rsid w:val="6E233EB8"/>
    <w:rsid w:val="6E315804"/>
    <w:rsid w:val="6EBD65BB"/>
    <w:rsid w:val="6F437792"/>
    <w:rsid w:val="6F4572BA"/>
    <w:rsid w:val="6F544F1E"/>
    <w:rsid w:val="6FE82150"/>
    <w:rsid w:val="71257F04"/>
    <w:rsid w:val="717F7444"/>
    <w:rsid w:val="726A6020"/>
    <w:rsid w:val="7387170D"/>
    <w:rsid w:val="740B5333"/>
    <w:rsid w:val="740E280E"/>
    <w:rsid w:val="75117320"/>
    <w:rsid w:val="75D034DC"/>
    <w:rsid w:val="76A14178"/>
    <w:rsid w:val="776F2682"/>
    <w:rsid w:val="77C554F4"/>
    <w:rsid w:val="77E21D0D"/>
    <w:rsid w:val="78715728"/>
    <w:rsid w:val="78B6564F"/>
    <w:rsid w:val="7A197A04"/>
    <w:rsid w:val="7A29555A"/>
    <w:rsid w:val="7AA26CC1"/>
    <w:rsid w:val="7B302AB3"/>
    <w:rsid w:val="7B4231CA"/>
    <w:rsid w:val="7C3B0109"/>
    <w:rsid w:val="7C467805"/>
    <w:rsid w:val="7DC46119"/>
    <w:rsid w:val="7ED20D09"/>
    <w:rsid w:val="7F737AF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next w:val="1"/>
    <w:link w:val="30"/>
    <w:qFormat/>
    <w:uiPriority w:val="0"/>
    <w:rPr>
      <w:rFonts w:ascii="宋体" w:hAnsi="Courier New"/>
    </w:rPr>
  </w:style>
  <w:style w:type="paragraph" w:styleId="4">
    <w:name w:val="Normal Indent"/>
    <w:basedOn w:val="1"/>
    <w:qFormat/>
    <w:uiPriority w:val="0"/>
    <w:pPr>
      <w:ind w:firstLine="420" w:firstLineChars="200"/>
    </w:pPr>
  </w:style>
  <w:style w:type="paragraph" w:styleId="5">
    <w:name w:val="annotation text"/>
    <w:basedOn w:val="1"/>
    <w:link w:val="23"/>
    <w:qFormat/>
    <w:uiPriority w:val="0"/>
    <w:pPr>
      <w:jc w:val="left"/>
    </w:pPr>
  </w:style>
  <w:style w:type="paragraph" w:styleId="6">
    <w:name w:val="Body Text"/>
    <w:basedOn w:val="1"/>
    <w:qFormat/>
    <w:uiPriority w:val="0"/>
    <w:rPr>
      <w:rFonts w:ascii="方正仿宋_GB2312" w:eastAsia="方正仿宋_GB2312"/>
      <w:sz w:val="32"/>
      <w:szCs w:val="32"/>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Balloon Text"/>
    <w:basedOn w:val="1"/>
    <w:link w:val="22"/>
    <w:qFormat/>
    <w:uiPriority w:val="0"/>
    <w:rPr>
      <w:sz w:val="18"/>
      <w:szCs w:val="18"/>
    </w:rPr>
  </w:style>
  <w:style w:type="paragraph" w:styleId="10">
    <w:name w:val="footer"/>
    <w:basedOn w:val="1"/>
    <w:link w:val="29"/>
    <w:unhideWhenUsed/>
    <w:qFormat/>
    <w:uiPriority w:val="0"/>
    <w:pPr>
      <w:tabs>
        <w:tab w:val="center" w:pos="4153"/>
        <w:tab w:val="right" w:pos="8306"/>
      </w:tabs>
      <w:snapToGrid w:val="0"/>
      <w:jc w:val="left"/>
    </w:pPr>
    <w:rPr>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2"/>
    <w:basedOn w:val="1"/>
    <w:qFormat/>
    <w:uiPriority w:val="0"/>
    <w:rPr>
      <w:rFonts w:ascii="宋体" w:hAnsi="宋体"/>
      <w:kern w:val="0"/>
      <w:sz w:val="20"/>
      <w:szCs w:val="24"/>
      <w:u w:val="single"/>
    </w:rPr>
  </w:style>
  <w:style w:type="paragraph" w:styleId="13">
    <w:name w:val="annotation subject"/>
    <w:basedOn w:val="5"/>
    <w:next w:val="5"/>
    <w:link w:val="21"/>
    <w:qFormat/>
    <w:uiPriority w:val="0"/>
    <w:rPr>
      <w:b/>
      <w:bCs/>
    </w:rPr>
  </w:style>
  <w:style w:type="paragraph" w:styleId="14">
    <w:name w:val="Body Text First Indent"/>
    <w:basedOn w:val="6"/>
    <w:qFormat/>
    <w:uiPriority w:val="0"/>
    <w:pPr>
      <w:ind w:firstLine="420"/>
    </w:pPr>
    <w:rPr>
      <w:rFonts w:ascii="Times New Roman" w:hAnsi="Times New Roman"/>
    </w:rPr>
  </w:style>
  <w:style w:type="paragraph" w:styleId="15">
    <w:name w:val="Body Text First Indent 2"/>
    <w:basedOn w:val="7"/>
    <w:qFormat/>
    <w:uiPriority w:val="0"/>
    <w:pPr>
      <w:ind w:firstLine="420" w:firstLineChars="200"/>
    </w:pPr>
  </w:style>
  <w:style w:type="character" w:styleId="18">
    <w:name w:val="page number"/>
    <w:qFormat/>
    <w:uiPriority w:val="0"/>
  </w:style>
  <w:style w:type="character" w:styleId="19">
    <w:name w:val="Hyperlink"/>
    <w:qFormat/>
    <w:uiPriority w:val="0"/>
    <w:rPr>
      <w:color w:val="000000"/>
      <w:u w:val="none"/>
    </w:rPr>
  </w:style>
  <w:style w:type="character" w:styleId="20">
    <w:name w:val="annotation reference"/>
    <w:qFormat/>
    <w:uiPriority w:val="0"/>
    <w:rPr>
      <w:sz w:val="21"/>
      <w:szCs w:val="21"/>
    </w:rPr>
  </w:style>
  <w:style w:type="character" w:customStyle="1" w:styleId="21">
    <w:name w:val="批注主题 Char"/>
    <w:link w:val="13"/>
    <w:qFormat/>
    <w:uiPriority w:val="0"/>
    <w:rPr>
      <w:rFonts w:ascii="Calibri" w:hAnsi="Calibri"/>
      <w:b/>
      <w:bCs/>
      <w:kern w:val="2"/>
      <w:sz w:val="21"/>
      <w:szCs w:val="22"/>
    </w:rPr>
  </w:style>
  <w:style w:type="character" w:customStyle="1" w:styleId="22">
    <w:name w:val="批注框文本 Char"/>
    <w:link w:val="9"/>
    <w:qFormat/>
    <w:uiPriority w:val="0"/>
    <w:rPr>
      <w:rFonts w:ascii="Calibri" w:hAnsi="Calibri"/>
      <w:kern w:val="2"/>
      <w:sz w:val="18"/>
      <w:szCs w:val="18"/>
    </w:rPr>
  </w:style>
  <w:style w:type="character" w:customStyle="1" w:styleId="23">
    <w:name w:val="批注文字 Char"/>
    <w:link w:val="5"/>
    <w:qFormat/>
    <w:uiPriority w:val="0"/>
    <w:rPr>
      <w:rFonts w:ascii="Calibri" w:hAnsi="Calibri"/>
      <w:kern w:val="2"/>
      <w:sz w:val="21"/>
      <w:szCs w:val="22"/>
    </w:rPr>
  </w:style>
  <w:style w:type="character" w:customStyle="1" w:styleId="24">
    <w:name w:val="Body text|1_"/>
    <w:link w:val="25"/>
    <w:qFormat/>
    <w:uiPriority w:val="0"/>
    <w:rPr>
      <w:rFonts w:ascii="宋体" w:hAnsi="宋体" w:cs="宋体"/>
      <w:lang w:val="zh-TW" w:eastAsia="zh-TW" w:bidi="zh-TW"/>
    </w:rPr>
  </w:style>
  <w:style w:type="paragraph" w:customStyle="1" w:styleId="25">
    <w:name w:val="Body text|1"/>
    <w:basedOn w:val="1"/>
    <w:link w:val="24"/>
    <w:qFormat/>
    <w:uiPriority w:val="0"/>
    <w:pPr>
      <w:spacing w:line="461" w:lineRule="auto"/>
      <w:ind w:firstLine="400"/>
      <w:jc w:val="left"/>
    </w:pPr>
    <w:rPr>
      <w:rFonts w:ascii="宋体" w:hAnsi="宋体" w:cs="宋体"/>
      <w:kern w:val="0"/>
      <w:sz w:val="20"/>
      <w:szCs w:val="20"/>
      <w:lang w:val="zh-TW" w:eastAsia="zh-TW" w:bidi="zh-TW"/>
    </w:rPr>
  </w:style>
  <w:style w:type="paragraph" w:customStyle="1" w:styleId="26">
    <w:name w:val="发文落款"/>
    <w:basedOn w:val="27"/>
    <w:qFormat/>
    <w:uiPriority w:val="0"/>
    <w:pPr>
      <w:ind w:left="4094" w:right="607" w:firstLine="0"/>
      <w:jc w:val="center"/>
    </w:pPr>
  </w:style>
  <w:style w:type="paragraph" w:customStyle="1" w:styleId="27">
    <w:name w:val="公文正文"/>
    <w:qFormat/>
    <w:uiPriority w:val="0"/>
    <w:pPr>
      <w:widowControl w:val="0"/>
      <w:spacing w:line="360" w:lineRule="auto"/>
      <w:ind w:firstLine="629"/>
      <w:jc w:val="both"/>
    </w:pPr>
    <w:rPr>
      <w:rFonts w:ascii="方正仿宋_GB2312" w:hAnsi="Calibri" w:eastAsia="方正仿宋_GB2312" w:cs="Times New Roman"/>
      <w:color w:val="000000"/>
      <w:sz w:val="32"/>
      <w:lang w:val="en-US" w:eastAsia="zh-CN" w:bidi="ar-SA"/>
    </w:rPr>
  </w:style>
  <w:style w:type="paragraph" w:customStyle="1" w:styleId="28">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character" w:customStyle="1" w:styleId="29">
    <w:name w:val="页脚 Char"/>
    <w:basedOn w:val="17"/>
    <w:link w:val="10"/>
    <w:qFormat/>
    <w:uiPriority w:val="0"/>
    <w:rPr>
      <w:rFonts w:hint="default" w:ascii="Calibri" w:hAnsi="Calibri" w:cs="Calibri"/>
      <w:kern w:val="2"/>
      <w:sz w:val="18"/>
      <w:szCs w:val="18"/>
    </w:rPr>
  </w:style>
  <w:style w:type="character" w:customStyle="1" w:styleId="30">
    <w:name w:val="纯文本 Char"/>
    <w:basedOn w:val="17"/>
    <w:link w:val="2"/>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8299</Words>
  <Characters>8816</Characters>
  <Lines>83</Lines>
  <Paragraphs>23</Paragraphs>
  <TotalTime>45</TotalTime>
  <ScaleCrop>false</ScaleCrop>
  <LinksUpToDate>false</LinksUpToDate>
  <CharactersWithSpaces>9116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2021-07-28T08:53:00Z</dcterms:created>
  <dc:creator>Administrator.SC-202103031515</dc:creator>
  <cp:lastModifiedBy>珊記</cp:lastModifiedBy>
  <cp:lastPrinted>2023-02-20T05:31:00Z</cp:lastPrinted>
  <dcterms:modified xsi:type="dcterms:W3CDTF">2023-02-22T08:46:33Z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D1B174E367DC4F90A251BB0350DA0C20</vt:lpwstr>
  </property>
</Properties>
</file>