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jc w:val="center"/>
        <w:rPr>
          <w:rFonts w:ascii="宋体" w:hAnsi="宋体"/>
          <w:b/>
          <w:color w:val="auto"/>
          <w:sz w:val="48"/>
          <w:szCs w:val="48"/>
          <w:highlight w:val="none"/>
        </w:rPr>
      </w:pPr>
    </w:p>
    <w:p>
      <w:pPr>
        <w:wordWrap w:val="0"/>
        <w:topLinePunct/>
        <w:rPr>
          <w:rFonts w:ascii="宋体" w:hAnsi="宋体"/>
          <w:b/>
          <w:color w:val="auto"/>
          <w:sz w:val="48"/>
          <w:szCs w:val="48"/>
          <w:highlight w:val="none"/>
        </w:rPr>
      </w:pPr>
    </w:p>
    <w:p>
      <w:pPr>
        <w:wordWrap w:val="0"/>
        <w:topLinePunct/>
        <w:jc w:val="center"/>
        <w:outlineLvl w:val="0"/>
        <w:rPr>
          <w:rFonts w:ascii="宋体" w:hAnsi="宋体"/>
          <w:b/>
          <w:color w:val="auto"/>
          <w:sz w:val="48"/>
          <w:szCs w:val="48"/>
          <w:highlight w:val="none"/>
        </w:rPr>
      </w:pPr>
      <w:r>
        <w:rPr>
          <w:rFonts w:hint="eastAsia" w:ascii="宋体" w:hAnsi="宋体"/>
          <w:b/>
          <w:color w:val="auto"/>
          <w:sz w:val="48"/>
          <w:szCs w:val="48"/>
          <w:highlight w:val="none"/>
        </w:rPr>
        <w:t>广州市流溪河国家森林公园基础设施配套完善建设项目设计、广州市石门国家森林公园基础设施配套完善建设项目设计</w:t>
      </w:r>
    </w:p>
    <w:p>
      <w:pPr>
        <w:spacing w:line="360" w:lineRule="auto"/>
        <w:jc w:val="center"/>
        <w:rPr>
          <w:rFonts w:ascii="宋体" w:hAnsi="宋体"/>
          <w:color w:val="auto"/>
          <w:sz w:val="36"/>
          <w:highlight w:val="none"/>
          <w:u w:val="single"/>
        </w:rPr>
      </w:pPr>
    </w:p>
    <w:p>
      <w:pPr>
        <w:spacing w:line="360" w:lineRule="auto"/>
        <w:jc w:val="center"/>
        <w:rPr>
          <w:rFonts w:ascii="宋体" w:hAnsi="宋体"/>
          <w:color w:val="auto"/>
          <w:sz w:val="36"/>
          <w:highlight w:val="none"/>
          <w:u w:val="single"/>
        </w:rPr>
      </w:pPr>
    </w:p>
    <w:p>
      <w:pPr>
        <w:spacing w:line="360" w:lineRule="auto"/>
        <w:rPr>
          <w:rFonts w:ascii="宋体" w:hAnsi="宋体"/>
          <w:color w:val="auto"/>
          <w:sz w:val="36"/>
          <w:highlight w:val="none"/>
          <w:u w:val="single"/>
        </w:rPr>
      </w:pPr>
    </w:p>
    <w:p>
      <w:pPr>
        <w:pStyle w:val="2"/>
        <w:rPr>
          <w:color w:val="auto"/>
          <w:highlight w:val="none"/>
        </w:rPr>
      </w:pPr>
    </w:p>
    <w:p>
      <w:pPr>
        <w:spacing w:line="360" w:lineRule="auto"/>
        <w:jc w:val="center"/>
        <w:rPr>
          <w:rFonts w:ascii="宋体" w:hAnsi="宋体"/>
          <w:color w:val="auto"/>
          <w:sz w:val="36"/>
          <w:highlight w:val="none"/>
          <w:u w:val="single"/>
        </w:rPr>
      </w:pPr>
    </w:p>
    <w:p>
      <w:pPr>
        <w:spacing w:line="360" w:lineRule="auto"/>
        <w:jc w:val="center"/>
        <w:rPr>
          <w:rFonts w:ascii="宋体" w:hAnsi="宋体"/>
          <w:b/>
          <w:bCs/>
          <w:color w:val="auto"/>
          <w:spacing w:val="26"/>
          <w:sz w:val="110"/>
          <w:szCs w:val="110"/>
          <w:highlight w:val="none"/>
        </w:rPr>
      </w:pPr>
      <w:r>
        <w:rPr>
          <w:rFonts w:hint="eastAsia" w:ascii="宋体" w:hAnsi="宋体"/>
          <w:b/>
          <w:bCs/>
          <w:color w:val="auto"/>
          <w:spacing w:val="26"/>
          <w:sz w:val="110"/>
          <w:szCs w:val="110"/>
          <w:highlight w:val="none"/>
        </w:rPr>
        <w:t>招标文件</w:t>
      </w:r>
    </w:p>
    <w:p>
      <w:pPr>
        <w:spacing w:line="360" w:lineRule="auto"/>
        <w:jc w:val="center"/>
        <w:rPr>
          <w:rFonts w:ascii="宋体" w:hAnsi="宋体"/>
          <w:color w:val="auto"/>
          <w:sz w:val="32"/>
          <w:highlight w:val="none"/>
        </w:rPr>
      </w:pPr>
    </w:p>
    <w:p>
      <w:pPr>
        <w:spacing w:line="360" w:lineRule="auto"/>
        <w:jc w:val="center"/>
        <w:rPr>
          <w:rFonts w:ascii="宋体" w:hAnsi="宋体"/>
          <w:color w:val="auto"/>
          <w:sz w:val="32"/>
          <w:highlight w:val="none"/>
        </w:rPr>
      </w:pPr>
    </w:p>
    <w:p>
      <w:pPr>
        <w:spacing w:line="360" w:lineRule="auto"/>
        <w:jc w:val="center"/>
        <w:rPr>
          <w:rFonts w:ascii="宋体" w:hAnsi="宋体"/>
          <w:color w:val="auto"/>
          <w:sz w:val="32"/>
          <w:highlight w:val="none"/>
        </w:rPr>
      </w:pPr>
    </w:p>
    <w:p>
      <w:pPr>
        <w:spacing w:line="360" w:lineRule="auto"/>
        <w:jc w:val="center"/>
        <w:rPr>
          <w:rFonts w:ascii="宋体" w:hAnsi="宋体"/>
          <w:color w:val="auto"/>
          <w:sz w:val="32"/>
          <w:highlight w:val="none"/>
        </w:rPr>
      </w:pPr>
    </w:p>
    <w:p>
      <w:pPr>
        <w:spacing w:line="360" w:lineRule="auto"/>
        <w:jc w:val="center"/>
        <w:rPr>
          <w:rFonts w:ascii="宋体" w:hAnsi="宋体"/>
          <w:color w:val="auto"/>
          <w:sz w:val="32"/>
          <w:highlight w:val="none"/>
        </w:rPr>
      </w:pPr>
    </w:p>
    <w:p>
      <w:pPr>
        <w:spacing w:line="360" w:lineRule="auto"/>
        <w:ind w:left="3077" w:leftChars="532" w:hanging="1960" w:hangingChars="700"/>
        <w:jc w:val="left"/>
        <w:rPr>
          <w:rFonts w:ascii="宋体" w:hAnsi="宋体"/>
          <w:bCs/>
          <w:color w:val="auto"/>
          <w:sz w:val="28"/>
          <w:szCs w:val="28"/>
          <w:highlight w:val="none"/>
          <w:u w:val="single"/>
        </w:rPr>
      </w:pPr>
      <w:r>
        <w:rPr>
          <w:rFonts w:hint="eastAsia" w:ascii="宋体" w:hAnsi="宋体"/>
          <w:color w:val="auto"/>
          <w:sz w:val="28"/>
          <w:szCs w:val="28"/>
          <w:highlight w:val="none"/>
        </w:rPr>
        <w:t>招   标   人：</w:t>
      </w:r>
      <w:r>
        <w:rPr>
          <w:rFonts w:hint="eastAsia" w:ascii="宋体" w:hAnsi="宋体"/>
          <w:color w:val="auto"/>
          <w:sz w:val="28"/>
          <w:szCs w:val="28"/>
          <w:highlight w:val="none"/>
          <w:u w:val="single"/>
        </w:rPr>
        <w:t>(主)广州市流溪河国家森林公园管理中心(广州市流溪河林场）,(成)广州市石门国家森林公园管理中心</w:t>
      </w:r>
    </w:p>
    <w:p>
      <w:pPr>
        <w:spacing w:line="360" w:lineRule="auto"/>
        <w:ind w:left="3077" w:leftChars="532" w:hanging="1960" w:hangingChars="700"/>
        <w:jc w:val="left"/>
        <w:rPr>
          <w:rFonts w:ascii="宋体" w:hAnsi="宋体"/>
          <w:bCs/>
          <w:color w:val="auto"/>
          <w:sz w:val="28"/>
          <w:szCs w:val="28"/>
          <w:highlight w:val="none"/>
          <w:u w:val="single"/>
        </w:rPr>
      </w:pPr>
      <w:r>
        <w:rPr>
          <w:rFonts w:hint="eastAsia" w:ascii="宋体" w:hAnsi="宋体"/>
          <w:color w:val="auto"/>
          <w:sz w:val="28"/>
          <w:szCs w:val="28"/>
          <w:highlight w:val="none"/>
        </w:rPr>
        <w:t>招标代理机构：</w:t>
      </w:r>
      <w:r>
        <w:rPr>
          <w:rFonts w:hint="eastAsia" w:ascii="宋体" w:hAnsi="宋体"/>
          <w:bCs/>
          <w:color w:val="auto"/>
          <w:sz w:val="28"/>
          <w:szCs w:val="28"/>
          <w:highlight w:val="none"/>
          <w:u w:val="single"/>
        </w:rPr>
        <w:t>广州市房实建设工程管理有限公司</w:t>
      </w:r>
    </w:p>
    <w:p>
      <w:pPr>
        <w:spacing w:line="360" w:lineRule="auto"/>
        <w:ind w:left="3077" w:leftChars="532" w:hanging="1960" w:hangingChars="700"/>
        <w:jc w:val="left"/>
        <w:rPr>
          <w:rFonts w:ascii="宋体" w:hAnsi="宋体"/>
          <w:color w:val="auto"/>
          <w:sz w:val="32"/>
          <w:highlight w:val="none"/>
        </w:rPr>
        <w:sectPr>
          <w:headerReference r:id="rId3" w:type="default"/>
          <w:footerReference r:id="rId5" w:type="default"/>
          <w:headerReference r:id="rId4" w:type="even"/>
          <w:footerReference r:id="rId6" w:type="even"/>
          <w:endnotePr>
            <w:numFmt w:val="decimal"/>
          </w:endnotePr>
          <w:type w:val="nextColumn"/>
          <w:pgSz w:w="11850" w:h="16783"/>
          <w:pgMar w:top="1440" w:right="1080" w:bottom="1440" w:left="1080" w:header="851" w:footer="907" w:gutter="0"/>
          <w:pgNumType w:start="0"/>
          <w:cols w:space="720" w:num="1"/>
          <w:titlePg/>
          <w:docGrid w:linePitch="286" w:charSpace="0"/>
        </w:sectPr>
      </w:pPr>
      <w:r>
        <w:rPr>
          <w:rFonts w:hint="eastAsia" w:ascii="宋体" w:hAnsi="宋体"/>
          <w:color w:val="auto"/>
          <w:sz w:val="28"/>
          <w:szCs w:val="28"/>
          <w:highlight w:val="none"/>
        </w:rPr>
        <w:t>日        期：</w:t>
      </w:r>
      <w:r>
        <w:rPr>
          <w:rFonts w:hint="eastAsia" w:ascii="宋体" w:hAnsi="宋体"/>
          <w:color w:val="auto"/>
          <w:sz w:val="28"/>
          <w:szCs w:val="28"/>
          <w:highlight w:val="none"/>
          <w:u w:val="single"/>
        </w:rPr>
        <w:t>2025年11月</w:t>
      </w:r>
    </w:p>
    <w:p>
      <w:pPr>
        <w:jc w:val="center"/>
        <w:rPr>
          <w:rFonts w:ascii="宋体" w:hAnsi="宋体"/>
          <w:b/>
          <w:color w:val="auto"/>
          <w:sz w:val="36"/>
          <w:szCs w:val="36"/>
          <w:highlight w:val="none"/>
        </w:rPr>
      </w:pPr>
      <w:r>
        <w:rPr>
          <w:rFonts w:hint="eastAsia" w:ascii="宋体" w:hAnsi="宋体"/>
          <w:b/>
          <w:color w:val="auto"/>
          <w:sz w:val="36"/>
          <w:szCs w:val="36"/>
          <w:highlight w:val="none"/>
        </w:rPr>
        <w:t>目  录</w:t>
      </w:r>
    </w:p>
    <w:p>
      <w:pPr>
        <w:pStyle w:val="23"/>
        <w:tabs>
          <w:tab w:val="right" w:leader="dot" w:pos="9000"/>
          <w:tab w:val="clear" w:pos="8990"/>
        </w:tabs>
        <w:rPr>
          <w:rFonts w:ascii="宋体" w:hAnsi="宋体"/>
          <w:b/>
          <w:color w:val="auto"/>
          <w:sz w:val="32"/>
          <w:highlight w:val="none"/>
        </w:rPr>
      </w:pPr>
    </w:p>
    <w:p>
      <w:pPr>
        <w:pStyle w:val="23"/>
        <w:tabs>
          <w:tab w:val="right" w:leader="dot" w:pos="9746"/>
          <w:tab w:val="clear" w:pos="8990"/>
        </w:tabs>
        <w:rPr>
          <w:b/>
          <w:bCs/>
          <w:color w:val="auto"/>
          <w:highlight w:val="none"/>
        </w:rPr>
      </w:pPr>
      <w:r>
        <w:rPr>
          <w:rFonts w:hint="eastAsia" w:ascii="宋体" w:hAnsi="宋体"/>
          <w:b/>
          <w:color w:val="auto"/>
          <w:sz w:val="28"/>
          <w:szCs w:val="28"/>
          <w:highlight w:val="none"/>
        </w:rPr>
        <w:fldChar w:fldCharType="begin"/>
      </w:r>
      <w:r>
        <w:rPr>
          <w:rFonts w:hint="eastAsia" w:ascii="宋体" w:hAnsi="宋体"/>
          <w:b/>
          <w:color w:val="auto"/>
          <w:sz w:val="28"/>
          <w:szCs w:val="28"/>
          <w:highlight w:val="none"/>
        </w:rPr>
        <w:instrText xml:space="preserve">TOC \o "1-4" \h \u </w:instrText>
      </w:r>
      <w:r>
        <w:rPr>
          <w:rFonts w:hint="eastAsia" w:ascii="宋体" w:hAnsi="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"_Toc8928" </w:instrText>
      </w:r>
      <w:r>
        <w:rPr>
          <w:color w:val="auto"/>
          <w:highlight w:val="none"/>
        </w:rPr>
        <w:fldChar w:fldCharType="separate"/>
      </w:r>
      <w:r>
        <w:rPr>
          <w:rFonts w:hint="eastAsia" w:ascii="宋体" w:hAnsi="宋体" w:cs="宋体"/>
          <w:b/>
          <w:bCs/>
          <w:color w:val="auto"/>
          <w:highlight w:val="none"/>
        </w:rPr>
        <w:t xml:space="preserve">第一章 </w:t>
      </w:r>
      <w:r>
        <w:rPr>
          <w:rFonts w:ascii="宋体" w:hAnsi="宋体" w:cs="宋体"/>
          <w:b/>
          <w:bCs/>
          <w:color w:val="auto"/>
          <w:highlight w:val="none"/>
        </w:rPr>
        <w:t>招标公告</w:t>
      </w:r>
      <w:r>
        <w:rPr>
          <w:b/>
          <w:bCs/>
          <w:color w:val="auto"/>
          <w:highlight w:val="none"/>
        </w:rPr>
        <w:tab/>
      </w:r>
      <w:r>
        <w:rPr>
          <w:b/>
          <w:bCs/>
          <w:color w:val="auto"/>
          <w:highlight w:val="none"/>
        </w:rPr>
        <w:fldChar w:fldCharType="begin"/>
      </w:r>
      <w:r>
        <w:rPr>
          <w:b/>
          <w:bCs/>
          <w:color w:val="auto"/>
          <w:highlight w:val="none"/>
        </w:rPr>
        <w:instrText xml:space="preserve"> PAGEREF _Toc8928 \h </w:instrText>
      </w:r>
      <w:r>
        <w:rPr>
          <w:b/>
          <w:bCs/>
          <w:color w:val="auto"/>
          <w:highlight w:val="none"/>
        </w:rPr>
        <w:fldChar w:fldCharType="separate"/>
      </w:r>
      <w:r>
        <w:rPr>
          <w:b/>
          <w:bCs/>
          <w:color w:val="auto"/>
          <w:highlight w:val="none"/>
        </w:rPr>
        <w:t>1</w:t>
      </w:r>
      <w:r>
        <w:rPr>
          <w:b/>
          <w:bCs/>
          <w:color w:val="auto"/>
          <w:highlight w:val="none"/>
        </w:rPr>
        <w:fldChar w:fldCharType="end"/>
      </w:r>
      <w:r>
        <w:rPr>
          <w:b/>
          <w:bCs/>
          <w:color w:val="auto"/>
          <w:highlight w:val="none"/>
        </w:rPr>
        <w:fldChar w:fldCharType="end"/>
      </w:r>
    </w:p>
    <w:p>
      <w:pPr>
        <w:pStyle w:val="23"/>
        <w:tabs>
          <w:tab w:val="right" w:leader="dot" w:pos="9746"/>
          <w:tab w:val="clear" w:pos="8990"/>
        </w:tabs>
        <w:rPr>
          <w:b/>
          <w:bCs/>
          <w:color w:val="auto"/>
          <w:highlight w:val="none"/>
        </w:rPr>
      </w:pPr>
      <w:r>
        <w:rPr>
          <w:color w:val="auto"/>
          <w:highlight w:val="none"/>
        </w:rPr>
        <w:fldChar w:fldCharType="begin"/>
      </w:r>
      <w:r>
        <w:rPr>
          <w:color w:val="auto"/>
          <w:highlight w:val="none"/>
        </w:rPr>
        <w:instrText xml:space="preserve"> HYPERLINK \l "_Toc1358" </w:instrText>
      </w:r>
      <w:r>
        <w:rPr>
          <w:color w:val="auto"/>
          <w:highlight w:val="none"/>
        </w:rPr>
        <w:fldChar w:fldCharType="separate"/>
      </w:r>
      <w:r>
        <w:rPr>
          <w:rFonts w:hint="eastAsia"/>
          <w:b/>
          <w:bCs/>
          <w:color w:val="auto"/>
          <w:highlight w:val="none"/>
        </w:rPr>
        <w:t xml:space="preserve">第二章 </w:t>
      </w:r>
      <w:r>
        <w:rPr>
          <w:b/>
          <w:bCs/>
          <w:color w:val="auto"/>
          <w:highlight w:val="none"/>
        </w:rPr>
        <w:t>投标须知</w:t>
      </w:r>
      <w:r>
        <w:rPr>
          <w:b/>
          <w:bCs/>
          <w:color w:val="auto"/>
          <w:highlight w:val="none"/>
        </w:rPr>
        <w:tab/>
      </w:r>
      <w:r>
        <w:rPr>
          <w:b/>
          <w:bCs/>
          <w:color w:val="auto"/>
          <w:highlight w:val="none"/>
        </w:rPr>
        <w:fldChar w:fldCharType="begin"/>
      </w:r>
      <w:r>
        <w:rPr>
          <w:b/>
          <w:bCs/>
          <w:color w:val="auto"/>
          <w:highlight w:val="none"/>
        </w:rPr>
        <w:instrText xml:space="preserve"> PAGEREF _Toc1358 \h </w:instrText>
      </w:r>
      <w:r>
        <w:rPr>
          <w:b/>
          <w:bCs/>
          <w:color w:val="auto"/>
          <w:highlight w:val="none"/>
        </w:rPr>
        <w:fldChar w:fldCharType="separate"/>
      </w:r>
      <w:r>
        <w:rPr>
          <w:b/>
          <w:bCs/>
          <w:color w:val="auto"/>
          <w:highlight w:val="none"/>
        </w:rPr>
        <w:t>2</w:t>
      </w:r>
      <w:r>
        <w:rPr>
          <w:b/>
          <w:bCs/>
          <w:color w:val="auto"/>
          <w:highlight w:val="none"/>
        </w:rPr>
        <w:fldChar w:fldCharType="end"/>
      </w:r>
      <w:r>
        <w:rPr>
          <w:b/>
          <w:bCs/>
          <w:color w:val="auto"/>
          <w:highlight w:val="none"/>
        </w:rPr>
        <w:fldChar w:fldCharType="end"/>
      </w:r>
    </w:p>
    <w:p>
      <w:pPr>
        <w:pStyle w:val="2"/>
        <w:tabs>
          <w:tab w:val="right" w:leader="dot" w:pos="9746"/>
        </w:tabs>
        <w:rPr>
          <w:color w:val="auto"/>
          <w:highlight w:val="none"/>
        </w:rPr>
      </w:pPr>
      <w:r>
        <w:rPr>
          <w:color w:val="auto"/>
          <w:highlight w:val="none"/>
        </w:rPr>
        <w:fldChar w:fldCharType="begin"/>
      </w:r>
      <w:r>
        <w:rPr>
          <w:color w:val="auto"/>
          <w:highlight w:val="none"/>
        </w:rPr>
        <w:instrText xml:space="preserve"> HYPERLINK \l "_Toc19256" </w:instrText>
      </w:r>
      <w:r>
        <w:rPr>
          <w:color w:val="auto"/>
          <w:highlight w:val="none"/>
        </w:rPr>
        <w:fldChar w:fldCharType="separate"/>
      </w:r>
      <w:r>
        <w:rPr>
          <w:rFonts w:hint="eastAsia" w:ascii="宋体" w:hAnsi="宋体"/>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_Toc19256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2"/>
        <w:tabs>
          <w:tab w:val="right" w:leader="dot" w:pos="9746"/>
        </w:tabs>
        <w:rPr>
          <w:color w:val="auto"/>
          <w:highlight w:val="none"/>
        </w:rPr>
      </w:pPr>
      <w:r>
        <w:rPr>
          <w:color w:val="auto"/>
          <w:highlight w:val="none"/>
        </w:rPr>
        <w:fldChar w:fldCharType="begin"/>
      </w:r>
      <w:r>
        <w:rPr>
          <w:color w:val="auto"/>
          <w:highlight w:val="none"/>
        </w:rPr>
        <w:instrText xml:space="preserve"> HYPERLINK \l "_Toc1161" </w:instrText>
      </w:r>
      <w:r>
        <w:rPr>
          <w:color w:val="auto"/>
          <w:highlight w:val="none"/>
        </w:rPr>
        <w:fldChar w:fldCharType="separate"/>
      </w:r>
      <w:r>
        <w:rPr>
          <w:rFonts w:hint="eastAsia" w:ascii="宋体" w:hAnsi="宋体"/>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_Toc1161 \h </w:instrText>
      </w:r>
      <w:r>
        <w:rPr>
          <w:color w:val="auto"/>
          <w:highlight w:val="none"/>
        </w:rPr>
        <w:fldChar w:fldCharType="separate"/>
      </w:r>
      <w:r>
        <w:rPr>
          <w:color w:val="auto"/>
          <w:highlight w:val="none"/>
        </w:rPr>
        <w:t>5</w:t>
      </w:r>
      <w:r>
        <w:rPr>
          <w:color w:val="auto"/>
          <w:highlight w:val="none"/>
        </w:rPr>
        <w:fldChar w:fldCharType="end"/>
      </w:r>
      <w:r>
        <w:rPr>
          <w:color w:val="auto"/>
          <w:highlight w:val="none"/>
        </w:rPr>
        <w:fldChar w:fldCharType="end"/>
      </w:r>
    </w:p>
    <w:p>
      <w:pPr>
        <w:pStyle w:val="2"/>
        <w:tabs>
          <w:tab w:val="right" w:leader="dot" w:pos="9746"/>
        </w:tabs>
        <w:rPr>
          <w:color w:val="auto"/>
          <w:highlight w:val="none"/>
        </w:rPr>
      </w:pPr>
      <w:r>
        <w:rPr>
          <w:color w:val="auto"/>
          <w:highlight w:val="none"/>
        </w:rPr>
        <w:fldChar w:fldCharType="begin"/>
      </w:r>
      <w:r>
        <w:rPr>
          <w:color w:val="auto"/>
          <w:highlight w:val="none"/>
        </w:rPr>
        <w:instrText xml:space="preserve"> HYPERLINK \l "_Toc754" </w:instrText>
      </w:r>
      <w:r>
        <w:rPr>
          <w:color w:val="auto"/>
          <w:highlight w:val="none"/>
        </w:rPr>
        <w:fldChar w:fldCharType="separate"/>
      </w:r>
      <w:r>
        <w:rPr>
          <w:rFonts w:hint="eastAsia"/>
          <w:color w:val="auto"/>
          <w:highlight w:val="none"/>
        </w:rPr>
        <w:t>三、投标须知</w:t>
      </w:r>
      <w:bookmarkStart w:id="241" w:name="_GoBack"/>
      <w:bookmarkEnd w:id="241"/>
      <w:r>
        <w:rPr>
          <w:rFonts w:hint="eastAsia"/>
          <w:color w:val="auto"/>
          <w:highlight w:val="none"/>
        </w:rPr>
        <w:t>通用条款</w:t>
      </w:r>
      <w:r>
        <w:rPr>
          <w:color w:val="auto"/>
          <w:highlight w:val="none"/>
        </w:rPr>
        <w:tab/>
      </w:r>
      <w:r>
        <w:rPr>
          <w:color w:val="auto"/>
          <w:highlight w:val="none"/>
        </w:rPr>
        <w:fldChar w:fldCharType="begin"/>
      </w:r>
      <w:r>
        <w:rPr>
          <w:color w:val="auto"/>
          <w:highlight w:val="none"/>
        </w:rPr>
        <w:instrText xml:space="preserve"> PAGEREF _Toc754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7"/>
        <w:tabs>
          <w:tab w:val="right" w:leader="dot" w:pos="9746"/>
        </w:tabs>
        <w:rPr>
          <w:color w:val="auto"/>
          <w:highlight w:val="none"/>
        </w:rPr>
      </w:pPr>
      <w:r>
        <w:rPr>
          <w:color w:val="auto"/>
          <w:highlight w:val="none"/>
        </w:rPr>
        <w:fldChar w:fldCharType="begin"/>
      </w:r>
      <w:r>
        <w:rPr>
          <w:color w:val="auto"/>
          <w:highlight w:val="none"/>
        </w:rPr>
        <w:instrText xml:space="preserve"> HYPERLINK \l "_Toc9106" </w:instrText>
      </w:r>
      <w:r>
        <w:rPr>
          <w:color w:val="auto"/>
          <w:highlight w:val="none"/>
        </w:rPr>
        <w:fldChar w:fldCharType="separate"/>
      </w:r>
      <w:r>
        <w:rPr>
          <w:rFonts w:hint="eastAsia"/>
          <w:color w:val="auto"/>
          <w:highlight w:val="none"/>
        </w:rPr>
        <w:t>（一） 招标</w:t>
      </w:r>
      <w:r>
        <w:rPr>
          <w:color w:val="auto"/>
          <w:highlight w:val="none"/>
        </w:rPr>
        <w:tab/>
      </w:r>
      <w:r>
        <w:rPr>
          <w:color w:val="auto"/>
          <w:highlight w:val="none"/>
        </w:rPr>
        <w:fldChar w:fldCharType="begin"/>
      </w:r>
      <w:r>
        <w:rPr>
          <w:color w:val="auto"/>
          <w:highlight w:val="none"/>
        </w:rPr>
        <w:instrText xml:space="preserve"> PAGEREF _Toc9106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pPr>
        <w:pStyle w:val="17"/>
        <w:tabs>
          <w:tab w:val="right" w:leader="dot" w:pos="9746"/>
        </w:tabs>
        <w:rPr>
          <w:color w:val="auto"/>
          <w:highlight w:val="none"/>
        </w:rPr>
      </w:pPr>
      <w:r>
        <w:rPr>
          <w:color w:val="auto"/>
          <w:highlight w:val="none"/>
        </w:rPr>
        <w:fldChar w:fldCharType="begin"/>
      </w:r>
      <w:r>
        <w:rPr>
          <w:color w:val="auto"/>
          <w:highlight w:val="none"/>
        </w:rPr>
        <w:instrText xml:space="preserve"> HYPERLINK \l "_Toc28139" </w:instrText>
      </w:r>
      <w:r>
        <w:rPr>
          <w:color w:val="auto"/>
          <w:highlight w:val="none"/>
        </w:rPr>
        <w:fldChar w:fldCharType="separate"/>
      </w:r>
      <w:r>
        <w:rPr>
          <w:rFonts w:hint="eastAsia"/>
          <w:color w:val="auto"/>
          <w:highlight w:val="none"/>
        </w:rPr>
        <w:t>（二） 投标</w:t>
      </w:r>
      <w:r>
        <w:rPr>
          <w:color w:val="auto"/>
          <w:highlight w:val="none"/>
        </w:rPr>
        <w:tab/>
      </w:r>
      <w:r>
        <w:rPr>
          <w:color w:val="auto"/>
          <w:highlight w:val="none"/>
        </w:rPr>
        <w:fldChar w:fldCharType="begin"/>
      </w:r>
      <w:r>
        <w:rPr>
          <w:color w:val="auto"/>
          <w:highlight w:val="none"/>
        </w:rPr>
        <w:instrText xml:space="preserve"> PAGEREF _Toc28139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pPr>
        <w:pStyle w:val="17"/>
        <w:tabs>
          <w:tab w:val="right" w:leader="dot" w:pos="9746"/>
        </w:tabs>
        <w:rPr>
          <w:color w:val="auto"/>
          <w:highlight w:val="none"/>
        </w:rPr>
      </w:pPr>
      <w:r>
        <w:rPr>
          <w:color w:val="auto"/>
          <w:highlight w:val="none"/>
        </w:rPr>
        <w:fldChar w:fldCharType="begin"/>
      </w:r>
      <w:r>
        <w:rPr>
          <w:color w:val="auto"/>
          <w:highlight w:val="none"/>
        </w:rPr>
        <w:instrText xml:space="preserve"> HYPERLINK \l "_Toc12058" </w:instrText>
      </w:r>
      <w:r>
        <w:rPr>
          <w:color w:val="auto"/>
          <w:highlight w:val="none"/>
        </w:rPr>
        <w:fldChar w:fldCharType="separate"/>
      </w:r>
      <w:r>
        <w:rPr>
          <w:rFonts w:hint="eastAsia"/>
          <w:color w:val="auto"/>
          <w:highlight w:val="none"/>
        </w:rPr>
        <w:t>（三） 开标、评标</w:t>
      </w:r>
      <w:r>
        <w:rPr>
          <w:color w:val="auto"/>
          <w:highlight w:val="none"/>
        </w:rPr>
        <w:tab/>
      </w:r>
      <w:r>
        <w:rPr>
          <w:color w:val="auto"/>
          <w:highlight w:val="none"/>
        </w:rPr>
        <w:fldChar w:fldCharType="begin"/>
      </w:r>
      <w:r>
        <w:rPr>
          <w:color w:val="auto"/>
          <w:highlight w:val="none"/>
        </w:rPr>
        <w:instrText xml:space="preserve"> PAGEREF _Toc12058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pPr>
        <w:pStyle w:val="17"/>
        <w:tabs>
          <w:tab w:val="right" w:leader="dot" w:pos="9746"/>
        </w:tabs>
        <w:rPr>
          <w:color w:val="auto"/>
          <w:highlight w:val="none"/>
        </w:rPr>
      </w:pPr>
      <w:r>
        <w:rPr>
          <w:color w:val="auto"/>
          <w:highlight w:val="none"/>
        </w:rPr>
        <w:fldChar w:fldCharType="begin"/>
      </w:r>
      <w:r>
        <w:rPr>
          <w:color w:val="auto"/>
          <w:highlight w:val="none"/>
        </w:rPr>
        <w:instrText xml:space="preserve"> HYPERLINK \l "_Toc32425" </w:instrText>
      </w:r>
      <w:r>
        <w:rPr>
          <w:color w:val="auto"/>
          <w:highlight w:val="none"/>
        </w:rPr>
        <w:fldChar w:fldCharType="separate"/>
      </w:r>
      <w:r>
        <w:rPr>
          <w:rFonts w:hint="eastAsia"/>
          <w:color w:val="auto"/>
          <w:highlight w:val="none"/>
        </w:rPr>
        <w:t>（四） 定标</w:t>
      </w:r>
      <w:r>
        <w:rPr>
          <w:color w:val="auto"/>
          <w:highlight w:val="none"/>
        </w:rPr>
        <w:tab/>
      </w:r>
      <w:r>
        <w:rPr>
          <w:color w:val="auto"/>
          <w:highlight w:val="none"/>
        </w:rPr>
        <w:fldChar w:fldCharType="begin"/>
      </w:r>
      <w:r>
        <w:rPr>
          <w:color w:val="auto"/>
          <w:highlight w:val="none"/>
        </w:rPr>
        <w:instrText xml:space="preserve"> PAGEREF _Toc32425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"_Toc32423" </w:instrText>
      </w:r>
      <w:r>
        <w:rPr>
          <w:color w:val="auto"/>
          <w:highlight w:val="none"/>
        </w:rPr>
        <w:fldChar w:fldCharType="separate"/>
      </w:r>
      <w:r>
        <w:rPr>
          <w:rFonts w:hint="eastAsia"/>
          <w:color w:val="auto"/>
          <w:highlight w:val="none"/>
        </w:rPr>
        <w:t>附件1 资格审查表</w:t>
      </w:r>
      <w:r>
        <w:rPr>
          <w:color w:val="auto"/>
          <w:highlight w:val="none"/>
        </w:rPr>
        <w:tab/>
      </w:r>
      <w:r>
        <w:rPr>
          <w:color w:val="auto"/>
          <w:highlight w:val="none"/>
        </w:rPr>
        <w:fldChar w:fldCharType="begin"/>
      </w:r>
      <w:r>
        <w:rPr>
          <w:color w:val="auto"/>
          <w:highlight w:val="none"/>
        </w:rPr>
        <w:instrText xml:space="preserve"> PAGEREF _Toc32423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"_Toc27054" </w:instrText>
      </w:r>
      <w:r>
        <w:rPr>
          <w:color w:val="auto"/>
          <w:highlight w:val="none"/>
        </w:rPr>
        <w:fldChar w:fldCharType="separate"/>
      </w:r>
      <w:r>
        <w:rPr>
          <w:rFonts w:hint="eastAsia"/>
          <w:color w:val="auto"/>
          <w:highlight w:val="none"/>
        </w:rPr>
        <w:t>附件2 投标文件有效性审查表</w:t>
      </w:r>
      <w:r>
        <w:rPr>
          <w:color w:val="auto"/>
          <w:highlight w:val="none"/>
        </w:rPr>
        <w:tab/>
      </w:r>
      <w:r>
        <w:rPr>
          <w:color w:val="auto"/>
          <w:highlight w:val="none"/>
        </w:rPr>
        <w:fldChar w:fldCharType="begin"/>
      </w:r>
      <w:r>
        <w:rPr>
          <w:color w:val="auto"/>
          <w:highlight w:val="none"/>
        </w:rPr>
        <w:instrText xml:space="preserve"> PAGEREF _Toc27054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"_Toc3842" </w:instrText>
      </w:r>
      <w:r>
        <w:rPr>
          <w:color w:val="auto"/>
          <w:highlight w:val="none"/>
        </w:rPr>
        <w:fldChar w:fldCharType="separate"/>
      </w:r>
      <w:r>
        <w:rPr>
          <w:rFonts w:hint="eastAsia"/>
          <w:color w:val="auto"/>
          <w:highlight w:val="none"/>
        </w:rPr>
        <w:t>附件3 技术文件有效性审查表</w:t>
      </w:r>
      <w:r>
        <w:rPr>
          <w:color w:val="auto"/>
          <w:highlight w:val="none"/>
        </w:rPr>
        <w:tab/>
      </w:r>
      <w:r>
        <w:rPr>
          <w:color w:val="auto"/>
          <w:highlight w:val="none"/>
        </w:rPr>
        <w:fldChar w:fldCharType="begin"/>
      </w:r>
      <w:r>
        <w:rPr>
          <w:color w:val="auto"/>
          <w:highlight w:val="none"/>
        </w:rPr>
        <w:instrText xml:space="preserve"> PAGEREF _Toc3842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"_Toc7738" </w:instrText>
      </w:r>
      <w:r>
        <w:rPr>
          <w:color w:val="auto"/>
          <w:highlight w:val="none"/>
        </w:rPr>
        <w:fldChar w:fldCharType="separate"/>
      </w:r>
      <w:r>
        <w:rPr>
          <w:rFonts w:hint="eastAsia"/>
          <w:color w:val="auto"/>
          <w:highlight w:val="none"/>
        </w:rPr>
        <w:t>附件4 技术文件综合评分表</w:t>
      </w:r>
      <w:r>
        <w:rPr>
          <w:color w:val="auto"/>
          <w:highlight w:val="none"/>
        </w:rPr>
        <w:tab/>
      </w:r>
      <w:r>
        <w:rPr>
          <w:color w:val="auto"/>
          <w:highlight w:val="none"/>
        </w:rPr>
        <w:fldChar w:fldCharType="begin"/>
      </w:r>
      <w:r>
        <w:rPr>
          <w:color w:val="auto"/>
          <w:highlight w:val="none"/>
        </w:rPr>
        <w:instrText xml:space="preserve"> PAGEREF _Toc7738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"_Toc7082" </w:instrText>
      </w:r>
      <w:r>
        <w:rPr>
          <w:color w:val="auto"/>
          <w:highlight w:val="none"/>
        </w:rPr>
        <w:fldChar w:fldCharType="separate"/>
      </w:r>
      <w:r>
        <w:rPr>
          <w:rFonts w:hint="eastAsia"/>
          <w:color w:val="auto"/>
          <w:highlight w:val="none"/>
        </w:rPr>
        <w:t>附件5 商务文件综合评分表</w:t>
      </w:r>
      <w:r>
        <w:rPr>
          <w:color w:val="auto"/>
          <w:highlight w:val="none"/>
        </w:rPr>
        <w:tab/>
      </w:r>
      <w:r>
        <w:rPr>
          <w:color w:val="auto"/>
          <w:highlight w:val="none"/>
        </w:rPr>
        <w:fldChar w:fldCharType="begin"/>
      </w:r>
      <w:r>
        <w:rPr>
          <w:color w:val="auto"/>
          <w:highlight w:val="none"/>
        </w:rPr>
        <w:instrText xml:space="preserve"> PAGEREF _Toc7082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pPr>
        <w:pStyle w:val="24"/>
        <w:tabs>
          <w:tab w:val="right" w:leader="dot" w:pos="9746"/>
        </w:tabs>
        <w:rPr>
          <w:strike/>
          <w:color w:val="auto"/>
          <w:highlight w:val="none"/>
        </w:rPr>
      </w:pPr>
      <w:r>
        <w:rPr>
          <w:color w:val="auto"/>
          <w:highlight w:val="none"/>
        </w:rPr>
        <w:fldChar w:fldCharType="begin"/>
      </w:r>
      <w:r>
        <w:rPr>
          <w:color w:val="auto"/>
          <w:highlight w:val="none"/>
        </w:rPr>
        <w:instrText xml:space="preserve"> HYPERLINK \l "_Toc26623" </w:instrText>
      </w:r>
      <w:r>
        <w:rPr>
          <w:color w:val="auto"/>
          <w:highlight w:val="none"/>
        </w:rPr>
        <w:fldChar w:fldCharType="separate"/>
      </w:r>
      <w:r>
        <w:rPr>
          <w:rFonts w:hint="eastAsia"/>
          <w:strike/>
          <w:color w:val="auto"/>
          <w:highlight w:val="none"/>
        </w:rPr>
        <w:t>附件6 投标报价得分表</w:t>
      </w:r>
      <w:r>
        <w:rPr>
          <w:strike/>
          <w:color w:val="auto"/>
          <w:highlight w:val="none"/>
        </w:rPr>
        <w:tab/>
      </w:r>
      <w:r>
        <w:rPr>
          <w:strike/>
          <w:color w:val="auto"/>
          <w:highlight w:val="none"/>
        </w:rPr>
        <w:fldChar w:fldCharType="end"/>
      </w:r>
      <w:r>
        <w:rPr>
          <w:rFonts w:hint="eastAsia"/>
          <w:strike/>
          <w:color w:val="auto"/>
          <w:highlight w:val="none"/>
        </w:rPr>
        <w:t>27</w:t>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"_Toc9024" </w:instrText>
      </w:r>
      <w:r>
        <w:rPr>
          <w:color w:val="auto"/>
          <w:highlight w:val="none"/>
        </w:rPr>
        <w:fldChar w:fldCharType="separate"/>
      </w:r>
      <w:r>
        <w:rPr>
          <w:rFonts w:hint="eastAsia"/>
          <w:color w:val="auto"/>
          <w:highlight w:val="none"/>
        </w:rPr>
        <w:t>附件7 综合得分汇总表</w:t>
      </w:r>
      <w:r>
        <w:rPr>
          <w:color w:val="auto"/>
          <w:highlight w:val="none"/>
        </w:rPr>
        <w:tab/>
      </w:r>
      <w:r>
        <w:rPr>
          <w:color w:val="auto"/>
          <w:highlight w:val="none"/>
        </w:rPr>
        <w:fldChar w:fldCharType="begin"/>
      </w:r>
      <w:r>
        <w:rPr>
          <w:color w:val="auto"/>
          <w:highlight w:val="none"/>
        </w:rPr>
        <w:instrText xml:space="preserve"> PAGEREF _Toc9024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"_Toc1584" </w:instrText>
      </w:r>
      <w:r>
        <w:rPr>
          <w:color w:val="auto"/>
          <w:highlight w:val="none"/>
        </w:rPr>
        <w:fldChar w:fldCharType="separate"/>
      </w:r>
      <w:r>
        <w:rPr>
          <w:rFonts w:hint="eastAsia"/>
          <w:strike/>
          <w:color w:val="auto"/>
          <w:highlight w:val="none"/>
        </w:rPr>
        <w:t>附件8 设计方案评审记录表（适用于投票法）</w:t>
      </w:r>
      <w:r>
        <w:rPr>
          <w:color w:val="auto"/>
          <w:highlight w:val="none"/>
        </w:rPr>
        <w:tab/>
      </w:r>
      <w:r>
        <w:rPr>
          <w:color w:val="auto"/>
          <w:highlight w:val="none"/>
        </w:rPr>
        <w:fldChar w:fldCharType="begin"/>
      </w:r>
      <w:r>
        <w:rPr>
          <w:color w:val="auto"/>
          <w:highlight w:val="none"/>
        </w:rPr>
        <w:instrText xml:space="preserve"> PAGEREF _Toc1584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"_Toc32500" </w:instrText>
      </w:r>
      <w:r>
        <w:rPr>
          <w:color w:val="auto"/>
          <w:highlight w:val="none"/>
        </w:rPr>
        <w:fldChar w:fldCharType="separate"/>
      </w:r>
      <w:r>
        <w:rPr>
          <w:rFonts w:hint="eastAsia"/>
          <w:strike/>
          <w:color w:val="auto"/>
          <w:highlight w:val="none"/>
        </w:rPr>
        <w:t>附件9 投标方案评语（适用于投票法）</w:t>
      </w:r>
      <w:r>
        <w:rPr>
          <w:color w:val="auto"/>
          <w:highlight w:val="none"/>
        </w:rPr>
        <w:tab/>
      </w:r>
      <w:r>
        <w:rPr>
          <w:color w:val="auto"/>
          <w:highlight w:val="none"/>
        </w:rPr>
        <w:fldChar w:fldCharType="begin"/>
      </w:r>
      <w:r>
        <w:rPr>
          <w:color w:val="auto"/>
          <w:highlight w:val="none"/>
        </w:rPr>
        <w:instrText xml:space="preserve"> PAGEREF _Toc32500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"_Toc20703" </w:instrText>
      </w:r>
      <w:r>
        <w:rPr>
          <w:color w:val="auto"/>
          <w:highlight w:val="none"/>
        </w:rPr>
        <w:fldChar w:fldCharType="separate"/>
      </w:r>
      <w:r>
        <w:rPr>
          <w:rFonts w:hint="eastAsia"/>
          <w:strike/>
          <w:color w:val="auto"/>
          <w:highlight w:val="none"/>
        </w:rPr>
        <w:t>附件10 投票表格（适用于投票法）</w:t>
      </w:r>
      <w:r>
        <w:rPr>
          <w:color w:val="auto"/>
          <w:highlight w:val="none"/>
        </w:rPr>
        <w:tab/>
      </w:r>
      <w:r>
        <w:rPr>
          <w:color w:val="auto"/>
          <w:highlight w:val="none"/>
        </w:rPr>
        <w:fldChar w:fldCharType="begin"/>
      </w:r>
      <w:r>
        <w:rPr>
          <w:color w:val="auto"/>
          <w:highlight w:val="none"/>
        </w:rPr>
        <w:instrText xml:space="preserve"> PAGEREF _Toc20703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"_Toc942" </w:instrText>
      </w:r>
      <w:r>
        <w:rPr>
          <w:color w:val="auto"/>
          <w:highlight w:val="none"/>
        </w:rPr>
        <w:fldChar w:fldCharType="separate"/>
      </w:r>
      <w:r>
        <w:rPr>
          <w:rFonts w:hint="eastAsia"/>
          <w:strike/>
          <w:color w:val="auto"/>
          <w:highlight w:val="none"/>
        </w:rPr>
        <w:t>附件11 投票汇总表格（适用于投票法）</w:t>
      </w:r>
      <w:r>
        <w:rPr>
          <w:color w:val="auto"/>
          <w:highlight w:val="none"/>
        </w:rPr>
        <w:tab/>
      </w:r>
      <w:r>
        <w:rPr>
          <w:color w:val="auto"/>
          <w:highlight w:val="none"/>
        </w:rPr>
        <w:fldChar w:fldCharType="begin"/>
      </w:r>
      <w:r>
        <w:rPr>
          <w:color w:val="auto"/>
          <w:highlight w:val="none"/>
        </w:rPr>
        <w:instrText xml:space="preserve"> PAGEREF _Toc942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"_Toc6658" </w:instrText>
      </w:r>
      <w:r>
        <w:rPr>
          <w:color w:val="auto"/>
          <w:highlight w:val="none"/>
        </w:rPr>
        <w:fldChar w:fldCharType="separate"/>
      </w:r>
      <w:r>
        <w:rPr>
          <w:rFonts w:hint="eastAsia"/>
          <w:strike/>
          <w:color w:val="auto"/>
          <w:highlight w:val="none"/>
        </w:rPr>
        <w:t>附件12 定标委员会组建及定标办法</w:t>
      </w:r>
      <w:r>
        <w:rPr>
          <w:color w:val="auto"/>
          <w:highlight w:val="none"/>
        </w:rPr>
        <w:tab/>
      </w:r>
      <w:r>
        <w:rPr>
          <w:color w:val="auto"/>
          <w:highlight w:val="none"/>
        </w:rPr>
        <w:fldChar w:fldCharType="begin"/>
      </w:r>
      <w:r>
        <w:rPr>
          <w:color w:val="auto"/>
          <w:highlight w:val="none"/>
        </w:rPr>
        <w:instrText xml:space="preserve"> PAGEREF _Toc6658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"_Toc4462" </w:instrText>
      </w:r>
      <w:r>
        <w:rPr>
          <w:color w:val="auto"/>
          <w:highlight w:val="none"/>
        </w:rPr>
        <w:fldChar w:fldCharType="separate"/>
      </w:r>
      <w:r>
        <w:rPr>
          <w:rFonts w:hint="eastAsia"/>
          <w:strike/>
          <w:color w:val="auto"/>
          <w:highlight w:val="none"/>
        </w:rPr>
        <w:t>附件13 定标办法设置说明</w:t>
      </w:r>
      <w:r>
        <w:rPr>
          <w:color w:val="auto"/>
          <w:highlight w:val="none"/>
        </w:rPr>
        <w:tab/>
      </w:r>
      <w:r>
        <w:rPr>
          <w:color w:val="auto"/>
          <w:highlight w:val="none"/>
        </w:rPr>
        <w:fldChar w:fldCharType="begin"/>
      </w:r>
      <w:r>
        <w:rPr>
          <w:color w:val="auto"/>
          <w:highlight w:val="none"/>
        </w:rPr>
        <w:instrText xml:space="preserve"> PAGEREF _Toc4462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23"/>
        <w:tabs>
          <w:tab w:val="right" w:leader="dot" w:pos="9746"/>
          <w:tab w:val="clear" w:pos="8990"/>
        </w:tabs>
        <w:rPr>
          <w:b/>
          <w:bCs/>
          <w:color w:val="auto"/>
          <w:highlight w:val="none"/>
        </w:rPr>
      </w:pPr>
      <w:r>
        <w:rPr>
          <w:color w:val="auto"/>
          <w:highlight w:val="none"/>
        </w:rPr>
        <w:fldChar w:fldCharType="begin"/>
      </w:r>
      <w:r>
        <w:rPr>
          <w:color w:val="auto"/>
          <w:highlight w:val="none"/>
        </w:rPr>
        <w:instrText xml:space="preserve"> HYPERLINK \l "_Toc10928" </w:instrText>
      </w:r>
      <w:r>
        <w:rPr>
          <w:color w:val="auto"/>
          <w:highlight w:val="none"/>
        </w:rPr>
        <w:fldChar w:fldCharType="separate"/>
      </w:r>
      <w:r>
        <w:rPr>
          <w:b/>
          <w:bCs/>
          <w:color w:val="auto"/>
          <w:highlight w:val="none"/>
        </w:rPr>
        <w:t>第三章  合同条款</w:t>
      </w:r>
      <w:r>
        <w:rPr>
          <w:rFonts w:hint="eastAsia"/>
          <w:b/>
          <w:bCs/>
          <w:color w:val="auto"/>
          <w:highlight w:val="none"/>
        </w:rPr>
        <w:t xml:space="preserve"> </w:t>
      </w:r>
      <w:r>
        <w:rPr>
          <w:b/>
          <w:bCs/>
          <w:color w:val="auto"/>
          <w:highlight w:val="none"/>
        </w:rPr>
        <w:tab/>
      </w:r>
      <w:r>
        <w:rPr>
          <w:b/>
          <w:bCs/>
          <w:color w:val="auto"/>
          <w:highlight w:val="none"/>
        </w:rPr>
        <w:fldChar w:fldCharType="begin"/>
      </w:r>
      <w:r>
        <w:rPr>
          <w:b/>
          <w:bCs/>
          <w:color w:val="auto"/>
          <w:highlight w:val="none"/>
        </w:rPr>
        <w:instrText xml:space="preserve"> PAGEREF _Toc10928 \h </w:instrText>
      </w:r>
      <w:r>
        <w:rPr>
          <w:b/>
          <w:bCs/>
          <w:color w:val="auto"/>
          <w:highlight w:val="none"/>
        </w:rPr>
        <w:fldChar w:fldCharType="separate"/>
      </w:r>
      <w:r>
        <w:rPr>
          <w:b/>
          <w:bCs/>
          <w:color w:val="auto"/>
          <w:highlight w:val="none"/>
        </w:rPr>
        <w:t>40</w:t>
      </w:r>
      <w:r>
        <w:rPr>
          <w:b/>
          <w:bCs/>
          <w:color w:val="auto"/>
          <w:highlight w:val="none"/>
        </w:rPr>
        <w:fldChar w:fldCharType="end"/>
      </w:r>
      <w:r>
        <w:rPr>
          <w:b/>
          <w:bCs/>
          <w:color w:val="auto"/>
          <w:highlight w:val="none"/>
        </w:rPr>
        <w:fldChar w:fldCharType="end"/>
      </w:r>
    </w:p>
    <w:p>
      <w:pPr>
        <w:pStyle w:val="23"/>
        <w:tabs>
          <w:tab w:val="right" w:leader="dot" w:pos="9746"/>
          <w:tab w:val="clear" w:pos="8990"/>
        </w:tabs>
        <w:rPr>
          <w:b/>
          <w:bCs/>
          <w:color w:val="auto"/>
          <w:highlight w:val="none"/>
        </w:rPr>
      </w:pPr>
      <w:r>
        <w:rPr>
          <w:color w:val="auto"/>
          <w:highlight w:val="none"/>
        </w:rPr>
        <w:fldChar w:fldCharType="begin"/>
      </w:r>
      <w:r>
        <w:rPr>
          <w:color w:val="auto"/>
          <w:highlight w:val="none"/>
        </w:rPr>
        <w:instrText xml:space="preserve"> HYPERLINK \l "_Toc15312" </w:instrText>
      </w:r>
      <w:r>
        <w:rPr>
          <w:color w:val="auto"/>
          <w:highlight w:val="none"/>
        </w:rPr>
        <w:fldChar w:fldCharType="separate"/>
      </w:r>
      <w:r>
        <w:rPr>
          <w:b/>
          <w:bCs/>
          <w:color w:val="auto"/>
          <w:highlight w:val="none"/>
        </w:rPr>
        <w:t xml:space="preserve">第四章  </w:t>
      </w:r>
      <w:r>
        <w:rPr>
          <w:rFonts w:hint="eastAsia"/>
          <w:b/>
          <w:bCs/>
          <w:color w:val="auto"/>
          <w:highlight w:val="none"/>
        </w:rPr>
        <w:t>设计</w:t>
      </w:r>
      <w:r>
        <w:rPr>
          <w:b/>
          <w:bCs/>
          <w:color w:val="auto"/>
          <w:highlight w:val="none"/>
        </w:rPr>
        <w:t>任务书及前期资料</w:t>
      </w:r>
      <w:r>
        <w:rPr>
          <w:b/>
          <w:bCs/>
          <w:color w:val="auto"/>
          <w:highlight w:val="none"/>
        </w:rPr>
        <w:tab/>
      </w:r>
      <w:r>
        <w:rPr>
          <w:b/>
          <w:bCs/>
          <w:color w:val="auto"/>
          <w:highlight w:val="none"/>
        </w:rPr>
        <w:fldChar w:fldCharType="begin"/>
      </w:r>
      <w:r>
        <w:rPr>
          <w:b/>
          <w:bCs/>
          <w:color w:val="auto"/>
          <w:highlight w:val="none"/>
        </w:rPr>
        <w:instrText xml:space="preserve"> PAGEREF _Toc15312 \h </w:instrText>
      </w:r>
      <w:r>
        <w:rPr>
          <w:b/>
          <w:bCs/>
          <w:color w:val="auto"/>
          <w:highlight w:val="none"/>
        </w:rPr>
        <w:fldChar w:fldCharType="separate"/>
      </w:r>
      <w:r>
        <w:rPr>
          <w:b/>
          <w:bCs/>
          <w:color w:val="auto"/>
          <w:highlight w:val="none"/>
        </w:rPr>
        <w:t>41</w:t>
      </w:r>
      <w:r>
        <w:rPr>
          <w:b/>
          <w:bCs/>
          <w:color w:val="auto"/>
          <w:highlight w:val="none"/>
        </w:rPr>
        <w:fldChar w:fldCharType="end"/>
      </w:r>
      <w:r>
        <w:rPr>
          <w:b/>
          <w:bCs/>
          <w:color w:val="auto"/>
          <w:highlight w:val="none"/>
        </w:rPr>
        <w:fldChar w:fldCharType="end"/>
      </w:r>
    </w:p>
    <w:p>
      <w:pPr>
        <w:pStyle w:val="23"/>
        <w:tabs>
          <w:tab w:val="right" w:leader="dot" w:pos="9746"/>
          <w:tab w:val="clear" w:pos="8990"/>
        </w:tabs>
        <w:rPr>
          <w:b/>
          <w:bCs/>
          <w:color w:val="auto"/>
          <w:highlight w:val="none"/>
        </w:rPr>
      </w:pPr>
      <w:r>
        <w:rPr>
          <w:color w:val="auto"/>
          <w:highlight w:val="none"/>
        </w:rPr>
        <w:fldChar w:fldCharType="begin"/>
      </w:r>
      <w:r>
        <w:rPr>
          <w:color w:val="auto"/>
          <w:highlight w:val="none"/>
        </w:rPr>
        <w:instrText xml:space="preserve"> HYPERLINK \l "_Toc15050" </w:instrText>
      </w:r>
      <w:r>
        <w:rPr>
          <w:color w:val="auto"/>
          <w:highlight w:val="none"/>
        </w:rPr>
        <w:fldChar w:fldCharType="separate"/>
      </w:r>
      <w:r>
        <w:rPr>
          <w:b/>
          <w:bCs/>
          <w:color w:val="auto"/>
          <w:highlight w:val="none"/>
        </w:rPr>
        <w:t>第五章  投标文件格式</w:t>
      </w:r>
      <w:r>
        <w:rPr>
          <w:b/>
          <w:bCs/>
          <w:color w:val="auto"/>
          <w:highlight w:val="none"/>
        </w:rPr>
        <w:tab/>
      </w:r>
      <w:r>
        <w:rPr>
          <w:b/>
          <w:bCs/>
          <w:color w:val="auto"/>
          <w:highlight w:val="none"/>
        </w:rPr>
        <w:fldChar w:fldCharType="begin"/>
      </w:r>
      <w:r>
        <w:rPr>
          <w:b/>
          <w:bCs/>
          <w:color w:val="auto"/>
          <w:highlight w:val="none"/>
        </w:rPr>
        <w:instrText xml:space="preserve"> PAGEREF _Toc15050 \h </w:instrText>
      </w:r>
      <w:r>
        <w:rPr>
          <w:b/>
          <w:bCs/>
          <w:color w:val="auto"/>
          <w:highlight w:val="none"/>
        </w:rPr>
        <w:fldChar w:fldCharType="separate"/>
      </w:r>
      <w:r>
        <w:rPr>
          <w:b/>
          <w:bCs/>
          <w:color w:val="auto"/>
          <w:highlight w:val="none"/>
        </w:rPr>
        <w:t>49</w:t>
      </w:r>
      <w:r>
        <w:rPr>
          <w:b/>
          <w:bCs/>
          <w:color w:val="auto"/>
          <w:highlight w:val="none"/>
        </w:rPr>
        <w:fldChar w:fldCharType="end"/>
      </w:r>
      <w:r>
        <w:rPr>
          <w:b/>
          <w:bCs/>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"_Toc5214" </w:instrText>
      </w:r>
      <w:r>
        <w:rPr>
          <w:color w:val="auto"/>
          <w:highlight w:val="none"/>
        </w:rPr>
        <w:fldChar w:fldCharType="separate"/>
      </w:r>
      <w:r>
        <w:rPr>
          <w:rFonts w:hint="eastAsia"/>
          <w:color w:val="auto"/>
          <w:highlight w:val="none"/>
        </w:rPr>
        <w:t xml:space="preserve">附件14 设计招标文件编制要求 </w:t>
      </w:r>
      <w:r>
        <w:rPr>
          <w:color w:val="auto"/>
          <w:highlight w:val="none"/>
        </w:rPr>
        <w:tab/>
      </w:r>
      <w:r>
        <w:rPr>
          <w:color w:val="auto"/>
          <w:highlight w:val="none"/>
        </w:rPr>
        <w:fldChar w:fldCharType="begin"/>
      </w:r>
      <w:r>
        <w:rPr>
          <w:color w:val="auto"/>
          <w:highlight w:val="none"/>
        </w:rPr>
        <w:instrText xml:space="preserve"> PAGEREF _Toc5214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"_Toc12672" </w:instrText>
      </w:r>
      <w:r>
        <w:rPr>
          <w:color w:val="auto"/>
          <w:highlight w:val="none"/>
        </w:rPr>
        <w:fldChar w:fldCharType="separate"/>
      </w:r>
      <w:r>
        <w:rPr>
          <w:rFonts w:hint="eastAsia"/>
          <w:color w:val="auto"/>
          <w:highlight w:val="none"/>
        </w:rPr>
        <w:t>附件15 投标函</w:t>
      </w:r>
      <w:r>
        <w:rPr>
          <w:color w:val="auto"/>
          <w:highlight w:val="none"/>
        </w:rPr>
        <w:tab/>
      </w:r>
      <w:r>
        <w:rPr>
          <w:color w:val="auto"/>
          <w:highlight w:val="none"/>
        </w:rPr>
        <w:fldChar w:fldCharType="begin"/>
      </w:r>
      <w:r>
        <w:rPr>
          <w:color w:val="auto"/>
          <w:highlight w:val="none"/>
        </w:rPr>
        <w:instrText xml:space="preserve"> PAGEREF _Toc12672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"_Toc6981" </w:instrText>
      </w:r>
      <w:r>
        <w:rPr>
          <w:color w:val="auto"/>
          <w:highlight w:val="none"/>
        </w:rPr>
        <w:fldChar w:fldCharType="separate"/>
      </w:r>
      <w:r>
        <w:rPr>
          <w:rFonts w:hint="eastAsia"/>
          <w:color w:val="auto"/>
          <w:highlight w:val="none"/>
        </w:rPr>
        <w:t>附件16 投标人声明</w:t>
      </w:r>
      <w:r>
        <w:rPr>
          <w:color w:val="auto"/>
          <w:highlight w:val="none"/>
        </w:rPr>
        <w:tab/>
      </w:r>
      <w:r>
        <w:rPr>
          <w:color w:val="auto"/>
          <w:highlight w:val="none"/>
        </w:rPr>
        <w:fldChar w:fldCharType="begin"/>
      </w:r>
      <w:r>
        <w:rPr>
          <w:color w:val="auto"/>
          <w:highlight w:val="none"/>
        </w:rPr>
        <w:instrText xml:space="preserve"> PAGEREF _Toc6981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"_Toc12533" </w:instrText>
      </w:r>
      <w:r>
        <w:rPr>
          <w:color w:val="auto"/>
          <w:highlight w:val="none"/>
        </w:rPr>
        <w:fldChar w:fldCharType="separate"/>
      </w:r>
      <w:r>
        <w:rPr>
          <w:rFonts w:hint="eastAsia"/>
          <w:color w:val="auto"/>
          <w:highlight w:val="none"/>
        </w:rPr>
        <w:t>附件17 法定代表人证明书及法定代表人授权书</w:t>
      </w:r>
      <w:r>
        <w:rPr>
          <w:color w:val="auto"/>
          <w:highlight w:val="none"/>
        </w:rPr>
        <w:tab/>
      </w:r>
      <w:r>
        <w:rPr>
          <w:color w:val="auto"/>
          <w:highlight w:val="none"/>
        </w:rPr>
        <w:fldChar w:fldCharType="begin"/>
      </w:r>
      <w:r>
        <w:rPr>
          <w:color w:val="auto"/>
          <w:highlight w:val="none"/>
        </w:rPr>
        <w:instrText xml:space="preserve"> PAGEREF _Toc12533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"_Toc21721" </w:instrText>
      </w:r>
      <w:r>
        <w:rPr>
          <w:color w:val="auto"/>
          <w:highlight w:val="none"/>
        </w:rPr>
        <w:fldChar w:fldCharType="separate"/>
      </w:r>
      <w:r>
        <w:rPr>
          <w:rFonts w:hint="eastAsia"/>
          <w:color w:val="auto"/>
          <w:highlight w:val="none"/>
        </w:rPr>
        <w:t>附件18 联合体投标协议</w:t>
      </w:r>
      <w:r>
        <w:rPr>
          <w:color w:val="auto"/>
          <w:highlight w:val="none"/>
        </w:rPr>
        <w:tab/>
      </w:r>
      <w:r>
        <w:rPr>
          <w:color w:val="auto"/>
          <w:highlight w:val="none"/>
        </w:rPr>
        <w:fldChar w:fldCharType="begin"/>
      </w:r>
      <w:r>
        <w:rPr>
          <w:color w:val="auto"/>
          <w:highlight w:val="none"/>
        </w:rPr>
        <w:instrText xml:space="preserve"> PAGEREF _Toc21721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"_Toc9461" </w:instrText>
      </w:r>
      <w:r>
        <w:rPr>
          <w:color w:val="auto"/>
          <w:highlight w:val="none"/>
        </w:rPr>
        <w:fldChar w:fldCharType="separate"/>
      </w:r>
      <w:r>
        <w:rPr>
          <w:rFonts w:hint="eastAsia"/>
          <w:color w:val="auto"/>
          <w:highlight w:val="none"/>
        </w:rPr>
        <w:t>附件19 设计费报价表</w:t>
      </w:r>
      <w:r>
        <w:rPr>
          <w:color w:val="auto"/>
          <w:highlight w:val="none"/>
        </w:rPr>
        <w:tab/>
      </w:r>
      <w:r>
        <w:rPr>
          <w:color w:val="auto"/>
          <w:highlight w:val="none"/>
        </w:rPr>
        <w:fldChar w:fldCharType="begin"/>
      </w:r>
      <w:r>
        <w:rPr>
          <w:color w:val="auto"/>
          <w:highlight w:val="none"/>
        </w:rPr>
        <w:instrText xml:space="preserve"> PAGEREF _Toc9461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pPr>
        <w:pStyle w:val="24"/>
        <w:tabs>
          <w:tab w:val="right" w:leader="dot" w:pos="9746"/>
        </w:tabs>
        <w:rPr>
          <w:color w:val="auto"/>
          <w:highlight w:val="none"/>
        </w:rPr>
      </w:pPr>
      <w:r>
        <w:rPr>
          <w:color w:val="auto"/>
          <w:highlight w:val="none"/>
        </w:rPr>
        <w:fldChar w:fldCharType="begin"/>
      </w:r>
      <w:r>
        <w:rPr>
          <w:color w:val="auto"/>
          <w:highlight w:val="none"/>
        </w:rPr>
        <w:instrText xml:space="preserve"> HYPERLINK \l "_Toc30971" </w:instrText>
      </w:r>
      <w:r>
        <w:rPr>
          <w:color w:val="auto"/>
          <w:highlight w:val="none"/>
        </w:rPr>
        <w:fldChar w:fldCharType="separate"/>
      </w:r>
      <w:r>
        <w:rPr>
          <w:rFonts w:hint="eastAsia"/>
          <w:color w:val="auto"/>
          <w:highlight w:val="none"/>
        </w:rPr>
        <w:t>附件20 本项目拟投入的人员基</w:t>
      </w:r>
      <w:r>
        <w:rPr>
          <w:rFonts w:hint="eastAsia" w:ascii="Arial" w:hAnsi="Arial"/>
          <w:bCs/>
          <w:color w:val="auto"/>
          <w:highlight w:val="none"/>
        </w:rPr>
        <w:t>本情况表</w:t>
      </w:r>
      <w:r>
        <w:rPr>
          <w:color w:val="auto"/>
          <w:highlight w:val="none"/>
        </w:rPr>
        <w:tab/>
      </w:r>
      <w:r>
        <w:rPr>
          <w:color w:val="auto"/>
          <w:highlight w:val="none"/>
        </w:rPr>
        <w:fldChar w:fldCharType="begin"/>
      </w:r>
      <w:r>
        <w:rPr>
          <w:color w:val="auto"/>
          <w:highlight w:val="none"/>
        </w:rPr>
        <w:instrText xml:space="preserve"> PAGEREF _Toc30971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pPr>
        <w:pStyle w:val="24"/>
        <w:tabs>
          <w:tab w:val="right" w:leader="dot" w:pos="9026"/>
        </w:tabs>
        <w:rPr>
          <w:color w:val="auto"/>
          <w:szCs w:val="22"/>
          <w:highlight w:val="none"/>
        </w:rPr>
      </w:pPr>
      <w:r>
        <w:rPr>
          <w:rFonts w:hint="eastAsia" w:ascii="宋体" w:hAnsi="宋体"/>
          <w:color w:val="auto"/>
          <w:szCs w:val="28"/>
          <w:highlight w:val="none"/>
        </w:rPr>
        <w:fldChar w:fldCharType="end"/>
      </w:r>
    </w:p>
    <w:p>
      <w:pPr>
        <w:snapToGrid w:val="0"/>
        <w:spacing w:line="360" w:lineRule="exact"/>
        <w:rPr>
          <w:rFonts w:ascii="宋体" w:hAnsi="宋体"/>
          <w:b/>
          <w:color w:val="auto"/>
          <w:sz w:val="36"/>
          <w:szCs w:val="28"/>
          <w:highlight w:val="none"/>
        </w:rPr>
      </w:pPr>
    </w:p>
    <w:p>
      <w:pPr>
        <w:spacing w:line="360" w:lineRule="exact"/>
        <w:rPr>
          <w:rFonts w:ascii="宋体" w:hAnsi="宋体"/>
          <w:color w:val="auto"/>
          <w:highlight w:val="none"/>
        </w:rPr>
      </w:pPr>
    </w:p>
    <w:p>
      <w:pPr>
        <w:pStyle w:val="3"/>
        <w:rPr>
          <w:rFonts w:hint="default"/>
          <w:color w:val="auto"/>
          <w:highlight w:val="none"/>
        </w:rPr>
        <w:sectPr>
          <w:headerReference r:id="rId7" w:type="default"/>
          <w:footerReference r:id="rId8" w:type="default"/>
          <w:type w:val="nextColumn"/>
          <w:pgSz w:w="11906" w:h="16838"/>
          <w:pgMar w:top="1440" w:right="1080" w:bottom="1440" w:left="1080" w:header="851" w:footer="992" w:gutter="0"/>
          <w:pgNumType w:start="1"/>
          <w:cols w:space="720" w:num="1"/>
          <w:docGrid w:type="lines" w:linePitch="312" w:charSpace="0"/>
        </w:sectPr>
      </w:pPr>
      <w:bookmarkStart w:id="0" w:name="_Toc89"/>
    </w:p>
    <w:p>
      <w:pPr>
        <w:pStyle w:val="3"/>
        <w:rPr>
          <w:rFonts w:hint="default"/>
          <w:color w:val="auto"/>
          <w:highlight w:val="none"/>
        </w:rPr>
      </w:pPr>
      <w:bookmarkStart w:id="1" w:name="_Toc8928"/>
      <w:r>
        <w:rPr>
          <w:rFonts w:cs="宋体"/>
          <w:color w:val="auto"/>
          <w:highlight w:val="none"/>
        </w:rPr>
        <w:t>第一章 招标公告</w:t>
      </w:r>
      <w:bookmarkEnd w:id="1"/>
    </w:p>
    <w:p>
      <w:pPr>
        <w:spacing w:line="360" w:lineRule="exact"/>
        <w:jc w:val="center"/>
        <w:rPr>
          <w:color w:val="auto"/>
          <w:highlight w:val="none"/>
        </w:rPr>
      </w:pPr>
      <w:r>
        <w:rPr>
          <w:color w:val="auto"/>
          <w:highlight w:val="none"/>
        </w:rPr>
        <w:t>（另册）</w:t>
      </w:r>
      <w:bookmarkEnd w:id="0"/>
    </w:p>
    <w:p>
      <w:pPr>
        <w:pStyle w:val="3"/>
        <w:rPr>
          <w:rFonts w:hint="default"/>
          <w:color w:val="auto"/>
          <w:highlight w:val="none"/>
        </w:rPr>
      </w:pPr>
      <w:r>
        <w:rPr>
          <w:color w:val="auto"/>
          <w:highlight w:val="none"/>
        </w:rPr>
        <w:br w:type="page"/>
      </w:r>
      <w:bookmarkStart w:id="2" w:name="_Toc22131"/>
      <w:bookmarkStart w:id="3" w:name="_Toc25668"/>
      <w:bookmarkStart w:id="4" w:name="_Toc24101"/>
      <w:bookmarkStart w:id="5" w:name="_Toc1358"/>
      <w:r>
        <w:rPr>
          <w:color w:val="auto"/>
          <w:highlight w:val="none"/>
        </w:rPr>
        <w:t>第二章 投标须知</w:t>
      </w:r>
      <w:bookmarkEnd w:id="2"/>
      <w:bookmarkEnd w:id="3"/>
      <w:bookmarkEnd w:id="4"/>
      <w:bookmarkEnd w:id="5"/>
    </w:p>
    <w:p>
      <w:pPr>
        <w:pStyle w:val="4"/>
        <w:rPr>
          <w:rStyle w:val="38"/>
          <w:rFonts w:ascii="宋体" w:hAnsi="宋体"/>
          <w:b/>
          <w:color w:val="auto"/>
          <w:highlight w:val="none"/>
        </w:rPr>
      </w:pPr>
      <w:bookmarkStart w:id="6" w:name="_Toc19256"/>
      <w:bookmarkStart w:id="7" w:name="_Toc10659"/>
      <w:r>
        <w:rPr>
          <w:rFonts w:hint="eastAsia" w:ascii="宋体" w:hAnsi="宋体"/>
          <w:color w:val="auto"/>
          <w:highlight w:val="none"/>
        </w:rPr>
        <w:t>一、投标须知前附表</w:t>
      </w:r>
      <w:bookmarkEnd w:id="6"/>
      <w:bookmarkEnd w:id="7"/>
    </w:p>
    <w:p>
      <w:pPr>
        <w:pStyle w:val="8"/>
        <w:ind w:firstLine="424" w:firstLineChars="201"/>
        <w:rPr>
          <w:rFonts w:ascii="宋体" w:hAnsi="宋体"/>
          <w:b/>
          <w:bCs/>
          <w:color w:val="auto"/>
          <w:highlight w:val="none"/>
        </w:rPr>
      </w:pPr>
      <w:r>
        <w:rPr>
          <w:rFonts w:hint="eastAsia" w:ascii="宋体" w:hAnsi="宋体"/>
          <w:b/>
          <w:bCs/>
          <w:color w:val="auto"/>
          <w:highlight w:val="none"/>
        </w:rPr>
        <w:t>本投标须知前附表使用GZYLZB2023-3招标文件范本，与范本不同之处均以下划线标明，所有标明下划线部分属于本表的组成部分，同其他部分具有同等效力。对范本《投标须知通用条款》可选择部分的选择使用，均已在本表中注明，通用条款可选择部分中未被本投标须知前附表选择的部分无效。</w:t>
      </w:r>
    </w:p>
    <w:tbl>
      <w:tblPr>
        <w:tblStyle w:val="2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183"/>
        <w:gridCol w:w="694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blHeader/>
          <w:jc w:val="center"/>
        </w:trPr>
        <w:tc>
          <w:tcPr>
            <w:tcW w:w="766"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b/>
                <w:bCs/>
                <w:color w:val="auto"/>
                <w:szCs w:val="21"/>
                <w:highlight w:val="none"/>
              </w:rPr>
            </w:pPr>
            <w:r>
              <w:rPr>
                <w:rFonts w:hint="eastAsia" w:ascii="宋体" w:hAnsi="宋体"/>
                <w:b/>
                <w:bCs/>
                <w:color w:val="auto"/>
                <w:szCs w:val="21"/>
                <w:highlight w:val="none"/>
              </w:rPr>
              <w:t>条款号</w:t>
            </w:r>
          </w:p>
        </w:tc>
        <w:tc>
          <w:tcPr>
            <w:tcW w:w="2183" w:type="dxa"/>
            <w:tcBorders>
              <w:top w:val="double" w:color="auto" w:sz="4" w:space="0"/>
              <w:left w:val="single" w:color="auto" w:sz="4" w:space="0"/>
              <w:bottom w:val="single" w:color="auto" w:sz="4" w:space="0"/>
              <w:right w:val="single" w:color="auto" w:sz="4" w:space="0"/>
            </w:tcBorders>
            <w:vAlign w:val="center"/>
          </w:tcPr>
          <w:p>
            <w:pPr>
              <w:jc w:val="center"/>
              <w:rPr>
                <w:rFonts w:ascii="宋体" w:hAnsi="宋体"/>
                <w:b/>
                <w:bCs/>
                <w:color w:val="auto"/>
                <w:szCs w:val="21"/>
                <w:highlight w:val="none"/>
              </w:rPr>
            </w:pPr>
            <w:r>
              <w:rPr>
                <w:rFonts w:hint="eastAsia" w:ascii="宋体" w:hAnsi="宋体"/>
                <w:b/>
                <w:bCs/>
                <w:color w:val="auto"/>
                <w:szCs w:val="21"/>
                <w:highlight w:val="none"/>
              </w:rPr>
              <w:t>内容</w:t>
            </w:r>
          </w:p>
        </w:tc>
        <w:tc>
          <w:tcPr>
            <w:tcW w:w="6941" w:type="dxa"/>
            <w:tcBorders>
              <w:top w:val="double" w:color="auto" w:sz="4" w:space="0"/>
              <w:left w:val="single" w:color="auto" w:sz="4" w:space="0"/>
              <w:bottom w:val="single" w:color="auto" w:sz="4" w:space="0"/>
              <w:right w:val="double" w:color="auto" w:sz="4" w:space="0"/>
            </w:tcBorders>
            <w:vAlign w:val="center"/>
          </w:tcPr>
          <w:p>
            <w:pPr>
              <w:pStyle w:val="19"/>
              <w:jc w:val="center"/>
              <w:rPr>
                <w:rFonts w:ascii="宋体" w:hAnsi="宋体" w:eastAsia="宋体"/>
                <w:b/>
                <w:bCs/>
                <w:color w:val="auto"/>
                <w:szCs w:val="21"/>
                <w:highlight w:val="none"/>
              </w:rPr>
            </w:pPr>
            <w:r>
              <w:rPr>
                <w:rFonts w:hint="eastAsia" w:ascii="宋体" w:hAnsi="宋体" w:eastAsia="宋体"/>
                <w:b/>
                <w:bCs/>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1.1</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定义</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rPr>
              <w:t>招标人：</w:t>
            </w:r>
            <w:r>
              <w:rPr>
                <w:rFonts w:hint="eastAsia" w:ascii="宋体" w:hAnsi="宋体"/>
                <w:color w:val="auto"/>
                <w:szCs w:val="21"/>
                <w:highlight w:val="none"/>
                <w:u w:val="single"/>
              </w:rPr>
              <w:t>(主)广州市流溪河国家森林公园管理中心(广州市流溪河林场）,(成)广州市石门国家森林公园管理中心</w:t>
            </w:r>
          </w:p>
          <w:p>
            <w:pPr>
              <w:rPr>
                <w:rFonts w:ascii="宋体" w:hAnsi="宋体"/>
                <w:color w:val="auto"/>
                <w:szCs w:val="21"/>
                <w:highlight w:val="none"/>
              </w:rPr>
            </w:pPr>
            <w:r>
              <w:rPr>
                <w:rFonts w:hint="eastAsia" w:ascii="宋体" w:hAnsi="宋体" w:eastAsia="Times New Roman"/>
                <w:color w:val="auto"/>
                <w:highlight w:val="none"/>
              </w:rPr>
              <w:t>项目建设管理单位：</w:t>
            </w:r>
            <w:r>
              <w:rPr>
                <w:rFonts w:hint="eastAsia" w:ascii="宋体" w:hAnsi="宋体" w:eastAsia="Times New Roman"/>
                <w:color w:val="auto"/>
                <w:highlight w:val="none"/>
                <w:u w:val="single"/>
              </w:rPr>
              <w:t xml:space="preserve"> / </w:t>
            </w:r>
          </w:p>
          <w:p>
            <w:pPr>
              <w:rPr>
                <w:rFonts w:ascii="宋体" w:hAnsi="宋体"/>
                <w:color w:val="auto"/>
                <w:szCs w:val="21"/>
                <w:highlight w:val="none"/>
              </w:rPr>
            </w:pPr>
            <w:r>
              <w:rPr>
                <w:rFonts w:hint="eastAsia" w:ascii="宋体" w:hAnsi="宋体"/>
                <w:color w:val="auto"/>
                <w:szCs w:val="21"/>
                <w:highlight w:val="none"/>
              </w:rPr>
              <w:t>招标代理机构：</w:t>
            </w:r>
            <w:r>
              <w:rPr>
                <w:rFonts w:hint="eastAsia" w:ascii="宋体" w:hAnsi="宋体"/>
                <w:color w:val="auto"/>
                <w:szCs w:val="21"/>
                <w:highlight w:val="none"/>
                <w:u w:val="single"/>
              </w:rPr>
              <w:t>广州市房实建设工程管理有限公司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工程名称</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广州市流溪河国家森林公园基础设施配套完善建设项目设计、广州市石门国家森林公园基础设施配套完善建设项目设计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工程建设地点</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工程建设规模</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招标内容</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投资总额</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1.2</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strike/>
                <w:color w:val="auto"/>
                <w:szCs w:val="21"/>
                <w:highlight w:val="none"/>
              </w:rPr>
              <w:t>勘察</w:t>
            </w:r>
            <w:r>
              <w:rPr>
                <w:rFonts w:hint="eastAsia" w:ascii="宋体" w:hAnsi="宋体"/>
                <w:color w:val="auto"/>
                <w:szCs w:val="21"/>
                <w:highlight w:val="none"/>
              </w:rPr>
              <w:t>设计服务期限</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详见本项目招标公告。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1.3</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投标人资格要求</w:t>
            </w:r>
          </w:p>
        </w:tc>
        <w:tc>
          <w:tcPr>
            <w:tcW w:w="6941" w:type="dxa"/>
            <w:tcBorders>
              <w:top w:val="single" w:color="auto" w:sz="4" w:space="0"/>
              <w:left w:val="single" w:color="auto" w:sz="4" w:space="0"/>
              <w:bottom w:val="single" w:color="auto" w:sz="4" w:space="0"/>
              <w:right w:val="double" w:color="auto" w:sz="4" w:space="0"/>
            </w:tcBorders>
            <w:vAlign w:val="center"/>
          </w:tcPr>
          <w:p>
            <w:pPr>
              <w:numPr>
                <w:ilvl w:val="0"/>
                <w:numId w:val="3"/>
              </w:numPr>
              <w:rPr>
                <w:rFonts w:ascii="宋体" w:hAnsi="宋体" w:eastAsia="Times New Roman"/>
                <w:color w:val="auto"/>
                <w:highlight w:val="none"/>
                <w:u w:val="single"/>
              </w:rPr>
            </w:pPr>
            <w:r>
              <w:rPr>
                <w:rFonts w:hint="eastAsia" w:ascii="宋体" w:hAnsi="宋体" w:eastAsia="Times New Roman"/>
                <w:color w:val="auto"/>
                <w:highlight w:val="none"/>
              </w:rPr>
              <w:t>资质要求：</w:t>
            </w:r>
            <w:r>
              <w:rPr>
                <w:rFonts w:hint="eastAsia" w:ascii="宋体" w:hAnsi="宋体"/>
                <w:color w:val="auto"/>
                <w:szCs w:val="21"/>
                <w:highlight w:val="none"/>
                <w:u w:val="single"/>
              </w:rPr>
              <w:t>详见本项目招标公告</w:t>
            </w:r>
            <w:r>
              <w:rPr>
                <w:rFonts w:hint="eastAsia" w:ascii="宋体" w:hAnsi="宋体"/>
                <w:color w:val="auto"/>
                <w:highlight w:val="none"/>
                <w:u w:val="single"/>
              </w:rPr>
              <w:t>。</w:t>
            </w:r>
          </w:p>
          <w:p>
            <w:pPr>
              <w:numPr>
                <w:ilvl w:val="0"/>
                <w:numId w:val="3"/>
              </w:numPr>
              <w:rPr>
                <w:rFonts w:ascii="宋体" w:hAnsi="宋体" w:eastAsia="Times New Roman"/>
                <w:color w:val="auto"/>
                <w:highlight w:val="none"/>
                <w:u w:val="single"/>
              </w:rPr>
            </w:pPr>
            <w:r>
              <w:rPr>
                <w:rFonts w:hint="eastAsia" w:ascii="宋体" w:hAnsi="宋体" w:eastAsia="Times New Roman"/>
                <w:color w:val="auto"/>
                <w:highlight w:val="none"/>
              </w:rPr>
              <w:t>项目负责人资格要求：</w:t>
            </w:r>
            <w:r>
              <w:rPr>
                <w:rFonts w:hint="eastAsia" w:ascii="宋体" w:hAnsi="宋体"/>
                <w:color w:val="auto"/>
                <w:szCs w:val="21"/>
                <w:highlight w:val="none"/>
                <w:u w:val="single"/>
              </w:rPr>
              <w:t>详见本项目招标公告</w:t>
            </w:r>
            <w:r>
              <w:rPr>
                <w:rFonts w:hint="eastAsia" w:ascii="宋体" w:hAnsi="宋体"/>
                <w:color w:val="auto"/>
                <w:highlight w:val="none"/>
                <w:u w:val="single"/>
              </w:rPr>
              <w:t>。</w:t>
            </w:r>
          </w:p>
          <w:p>
            <w:pPr>
              <w:numPr>
                <w:ilvl w:val="0"/>
                <w:numId w:val="3"/>
              </w:numPr>
              <w:rPr>
                <w:rFonts w:ascii="宋体" w:hAnsi="宋体" w:eastAsia="Times New Roman"/>
                <w:color w:val="auto"/>
                <w:highlight w:val="none"/>
                <w:u w:val="single"/>
              </w:rPr>
            </w:pPr>
            <w:r>
              <w:rPr>
                <w:rFonts w:hint="eastAsia" w:ascii="宋体" w:hAnsi="宋体" w:eastAsia="Times New Roman"/>
                <w:color w:val="auto"/>
                <w:highlight w:val="none"/>
              </w:rPr>
              <w:t>业绩要求（选择性条款）：</w:t>
            </w:r>
            <w:r>
              <w:rPr>
                <w:rFonts w:hint="eastAsia" w:ascii="宋体" w:hAnsi="宋体"/>
                <w:color w:val="auto"/>
                <w:szCs w:val="21"/>
                <w:highlight w:val="none"/>
                <w:u w:val="single"/>
              </w:rPr>
              <w:t>详见本项目招标公告</w:t>
            </w:r>
            <w:r>
              <w:rPr>
                <w:rFonts w:hint="eastAsia" w:ascii="宋体" w:hAnsi="宋体"/>
                <w:color w:val="auto"/>
                <w:highlight w:val="none"/>
                <w:u w:val="single"/>
              </w:rPr>
              <w:t>。</w:t>
            </w:r>
          </w:p>
          <w:p>
            <w:pPr>
              <w:rPr>
                <w:rFonts w:ascii="宋体" w:hAnsi="宋体"/>
                <w:color w:val="auto"/>
                <w:szCs w:val="21"/>
                <w:highlight w:val="none"/>
                <w:u w:val="single"/>
              </w:rPr>
            </w:pPr>
            <w:r>
              <w:rPr>
                <w:rFonts w:hint="eastAsia" w:ascii="宋体" w:hAnsi="宋体" w:eastAsia="Times New Roman"/>
                <w:color w:val="auto"/>
                <w:highlight w:val="none"/>
              </w:rPr>
              <w:t>（4）投</w:t>
            </w:r>
            <w:r>
              <w:rPr>
                <w:rFonts w:ascii="宋体" w:hAnsi="宋体" w:eastAsia="Times New Roman"/>
                <w:color w:val="auto"/>
                <w:highlight w:val="none"/>
              </w:rPr>
              <w:t>标人不得存在的其他情形</w:t>
            </w:r>
            <w:r>
              <w:rPr>
                <w:rFonts w:hint="eastAsia" w:ascii="宋体" w:hAnsi="宋体" w:eastAsia="Times New Roman"/>
                <w:color w:val="auto"/>
                <w:highlight w:val="none"/>
              </w:rPr>
              <w:t>：</w:t>
            </w:r>
            <w:r>
              <w:rPr>
                <w:rFonts w:hint="eastAsia" w:ascii="宋体" w:hAnsi="宋体"/>
                <w:color w:val="auto"/>
                <w:szCs w:val="21"/>
                <w:highlight w:val="none"/>
                <w:u w:val="single"/>
              </w:rPr>
              <w:t>详见本项目招标公告</w:t>
            </w:r>
            <w:r>
              <w:rPr>
                <w:rFonts w:hint="eastAsia" w:ascii="宋体" w:hAnsi="宋体"/>
                <w:color w:val="auto"/>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1.4</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关于联合体投标</w:t>
            </w:r>
          </w:p>
        </w:tc>
        <w:tc>
          <w:tcPr>
            <w:tcW w:w="6941"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color w:val="auto"/>
                <w:highlight w:val="none"/>
                <w:u w:val="single"/>
              </w:rPr>
            </w:pPr>
            <w:r>
              <w:rPr>
                <w:rFonts w:hint="eastAsia" w:ascii="宋体" w:hAnsi="宋体" w:cs="宋体"/>
                <w:color w:val="auto"/>
                <w:szCs w:val="21"/>
                <w:highlight w:val="none"/>
              </w:rPr>
              <w:t>■</w:t>
            </w:r>
            <w:r>
              <w:rPr>
                <w:rFonts w:ascii="宋体" w:hAnsi="宋体"/>
                <w:color w:val="auto"/>
                <w:highlight w:val="none"/>
              </w:rPr>
              <w:t>接受，应满足下列要求：</w:t>
            </w:r>
            <w:r>
              <w:rPr>
                <w:rFonts w:hint="eastAsia" w:ascii="宋体" w:hAnsi="宋体"/>
                <w:color w:val="auto"/>
                <w:szCs w:val="21"/>
                <w:highlight w:val="none"/>
                <w:u w:val="single"/>
              </w:rPr>
              <w:t>详见本项目招标公告</w:t>
            </w:r>
            <w:r>
              <w:rPr>
                <w:rFonts w:hint="eastAsia" w:ascii="宋体" w:hAnsi="宋体"/>
                <w:color w:val="auto"/>
                <w:highlight w:val="none"/>
              </w:rPr>
              <w:t>。</w:t>
            </w:r>
          </w:p>
          <w:p>
            <w:pPr>
              <w:jc w:val="left"/>
              <w:rPr>
                <w:rFonts w:ascii="宋体" w:hAnsi="宋体"/>
                <w:color w:val="auto"/>
                <w:szCs w:val="21"/>
                <w:highlight w:val="none"/>
              </w:rPr>
            </w:pPr>
            <w:r>
              <w:rPr>
                <w:rFonts w:hint="eastAsia" w:ascii="宋体" w:hAnsi="宋体" w:cs="宋体"/>
                <w:color w:val="auto"/>
                <w:szCs w:val="21"/>
                <w:highlight w:val="none"/>
              </w:rPr>
              <w:t>□</w:t>
            </w:r>
            <w:r>
              <w:rPr>
                <w:rFonts w:ascii="宋体" w:hAnsi="宋体"/>
                <w:color w:val="auto"/>
                <w:highlight w:val="none"/>
              </w:rPr>
              <w:t>不接受</w:t>
            </w:r>
            <w:r>
              <w:rPr>
                <w:rFonts w:hint="eastAsia" w:ascii="宋体" w:hAnsi="宋体"/>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1.6</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踏勘现场</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□集中组织，时间：</w:t>
            </w:r>
            <w:r>
              <w:rPr>
                <w:rFonts w:hint="eastAsia" w:ascii="宋体" w:hAnsi="宋体"/>
                <w:color w:val="auto"/>
                <w:szCs w:val="21"/>
                <w:highlight w:val="none"/>
                <w:u w:val="single"/>
              </w:rPr>
              <w:t xml:space="preserve">           </w:t>
            </w:r>
            <w:r>
              <w:rPr>
                <w:rFonts w:hint="eastAsia" w:ascii="宋体" w:hAnsi="宋体"/>
                <w:color w:val="auto"/>
                <w:szCs w:val="21"/>
                <w:highlight w:val="none"/>
              </w:rPr>
              <w:t>，集中</w:t>
            </w:r>
            <w:r>
              <w:rPr>
                <w:rFonts w:hint="eastAsia" w:ascii="宋体" w:hAnsi="宋体" w:cs="宋体"/>
                <w:color w:val="auto"/>
                <w:szCs w:val="21"/>
                <w:highlight w:val="none"/>
              </w:rPr>
              <w:t>地点：</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■不集中组织（自公告之日起具备现场踏勘条件）。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3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2.1</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招标答疑与澄清</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1.方式：网上答疑。</w:t>
            </w:r>
          </w:p>
          <w:p>
            <w:pPr>
              <w:rPr>
                <w:rFonts w:ascii="宋体" w:hAnsi="宋体"/>
                <w:color w:val="auto"/>
                <w:szCs w:val="21"/>
                <w:highlight w:val="none"/>
              </w:rPr>
            </w:pPr>
            <w:r>
              <w:rPr>
                <w:rFonts w:hint="eastAsia" w:ascii="宋体" w:hAnsi="宋体"/>
                <w:color w:val="auto"/>
                <w:szCs w:val="21"/>
                <w:highlight w:val="none"/>
              </w:rPr>
              <w:t>2.投标人提问期限：自招标公告发布之日起3天内。</w:t>
            </w:r>
          </w:p>
          <w:p>
            <w:pPr>
              <w:rPr>
                <w:rFonts w:ascii="宋体" w:hAnsi="宋体" w:cs="宋体"/>
                <w:color w:val="auto"/>
                <w:szCs w:val="21"/>
                <w:highlight w:val="none"/>
              </w:rPr>
            </w:pPr>
            <w:r>
              <w:rPr>
                <w:rFonts w:hint="eastAsia" w:ascii="宋体" w:hAnsi="宋体"/>
                <w:color w:val="auto"/>
                <w:szCs w:val="21"/>
                <w:highlight w:val="none"/>
              </w:rPr>
              <w:t>3.招标人澄清或答疑期限：投标截止时间</w:t>
            </w:r>
            <w:r>
              <w:rPr>
                <w:rFonts w:hint="eastAsia" w:ascii="宋体" w:hAnsi="宋体"/>
                <w:color w:val="auto"/>
                <w:szCs w:val="21"/>
                <w:highlight w:val="none"/>
                <w:u w:val="single"/>
              </w:rPr>
              <w:t>15</w:t>
            </w:r>
            <w:r>
              <w:rPr>
                <w:rFonts w:hint="eastAsia" w:ascii="宋体" w:hAnsi="宋体"/>
                <w:color w:val="auto"/>
                <w:szCs w:val="21"/>
                <w:highlight w:val="none"/>
              </w:rPr>
              <w:t>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2.3</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投标文件编制要求</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s="仿宋_GB2312"/>
                <w:color w:val="auto"/>
                <w:szCs w:val="21"/>
                <w:highlight w:val="none"/>
              </w:rPr>
            </w:pPr>
            <w:r>
              <w:rPr>
                <w:rFonts w:hint="eastAsia" w:ascii="宋体" w:hAnsi="宋体" w:cs="仿宋_GB2312"/>
                <w:color w:val="auto"/>
                <w:szCs w:val="21"/>
                <w:highlight w:val="none"/>
              </w:rPr>
              <w:t>投标文件为含电子签名及电子签章的加密电子投标文件</w:t>
            </w:r>
            <w:r>
              <w:rPr>
                <w:rFonts w:ascii="宋体" w:hAnsi="宋体" w:cs="仿宋_GB2312"/>
                <w:color w:val="auto"/>
                <w:szCs w:val="21"/>
                <w:highlight w:val="none"/>
              </w:rPr>
              <w:t>1</w:t>
            </w:r>
            <w:r>
              <w:rPr>
                <w:rFonts w:hint="eastAsia" w:ascii="宋体" w:hAnsi="宋体" w:cs="仿宋_GB2312"/>
                <w:color w:val="auto"/>
                <w:szCs w:val="21"/>
                <w:highlight w:val="none"/>
              </w:rPr>
              <w:t>套。</w:t>
            </w:r>
          </w:p>
          <w:p>
            <w:pPr>
              <w:rPr>
                <w:rFonts w:ascii="宋体" w:hAnsi="宋体" w:cs="仿宋_GB2312"/>
                <w:color w:val="auto"/>
                <w:szCs w:val="21"/>
                <w:highlight w:val="none"/>
              </w:rPr>
            </w:pPr>
            <w:r>
              <w:rPr>
                <w:rFonts w:hint="eastAsia" w:ascii="宋体" w:hAnsi="宋体"/>
                <w:color w:val="auto"/>
                <w:szCs w:val="21"/>
                <w:highlight w:val="none"/>
              </w:rPr>
              <w:t>技术文件页数最多不超过</w:t>
            </w:r>
            <w:r>
              <w:rPr>
                <w:rFonts w:hint="eastAsia" w:ascii="宋体" w:hAnsi="宋体"/>
                <w:color w:val="auto"/>
                <w:szCs w:val="21"/>
                <w:highlight w:val="none"/>
                <w:u w:val="single"/>
              </w:rPr>
              <w:t>400</w:t>
            </w:r>
            <w:r>
              <w:rPr>
                <w:rFonts w:hint="eastAsia" w:ascii="宋体" w:hAnsi="宋体"/>
                <w:color w:val="auto"/>
                <w:szCs w:val="21"/>
                <w:highlight w:val="none"/>
              </w:rPr>
              <w:t>页（其中单个工程设计项目不超过</w:t>
            </w:r>
            <w:r>
              <w:rPr>
                <w:rFonts w:hint="eastAsia" w:ascii="宋体" w:hAnsi="宋体"/>
                <w:color w:val="auto"/>
                <w:szCs w:val="21"/>
                <w:highlight w:val="none"/>
                <w:u w:val="single"/>
              </w:rPr>
              <w:t>200</w:t>
            </w:r>
            <w:r>
              <w:rPr>
                <w:rFonts w:hint="eastAsia" w:ascii="宋体" w:hAnsi="宋体"/>
                <w:color w:val="auto"/>
                <w:szCs w:val="21"/>
                <w:highlight w:val="none"/>
              </w:rPr>
              <w:t>页，不包括封面及目录页）。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2.4.3</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最高投标限价</w:t>
            </w:r>
          </w:p>
        </w:tc>
        <w:tc>
          <w:tcPr>
            <w:tcW w:w="6941" w:type="dxa"/>
            <w:tcBorders>
              <w:top w:val="single" w:color="auto" w:sz="4" w:space="0"/>
              <w:left w:val="single" w:color="auto" w:sz="4" w:space="0"/>
              <w:bottom w:val="single" w:color="auto" w:sz="4" w:space="0"/>
              <w:right w:val="double" w:color="auto" w:sz="4" w:space="0"/>
            </w:tcBorders>
            <w:vAlign w:val="center"/>
          </w:tcPr>
          <w:p>
            <w:pPr>
              <w:numPr>
                <w:ilvl w:val="255"/>
                <w:numId w:val="0"/>
              </w:numPr>
              <w:jc w:val="left"/>
              <w:rPr>
                <w:rFonts w:ascii="宋体" w:hAnsi="宋体" w:cs="宋体"/>
                <w:color w:val="auto"/>
                <w:szCs w:val="21"/>
                <w:highlight w:val="none"/>
              </w:rPr>
            </w:pPr>
            <w:r>
              <w:rPr>
                <w:rFonts w:hint="eastAsia" w:ascii="宋体" w:hAnsi="宋体" w:cs="宋体"/>
                <w:color w:val="auto"/>
                <w:szCs w:val="21"/>
                <w:highlight w:val="none"/>
              </w:rPr>
              <w:t>本项目最高投标限价为人民币1869.67万元，具体如下：</w:t>
            </w:r>
          </w:p>
          <w:p>
            <w:pPr>
              <w:numPr>
                <w:ilvl w:val="255"/>
                <w:numId w:val="0"/>
              </w:numPr>
              <w:jc w:val="left"/>
              <w:rPr>
                <w:rFonts w:ascii="宋体" w:hAnsi="宋体" w:cs="宋体"/>
                <w:color w:val="auto"/>
                <w:szCs w:val="21"/>
                <w:highlight w:val="none"/>
              </w:rPr>
            </w:pPr>
            <w:r>
              <w:rPr>
                <w:rFonts w:hint="eastAsia" w:ascii="宋体" w:hAnsi="宋体" w:cs="宋体"/>
                <w:color w:val="auto"/>
                <w:szCs w:val="21"/>
                <w:highlight w:val="none"/>
              </w:rPr>
              <w:t>1.广州市流溪河国家森林公园基础设施配套完善建设项目设计最高投标限价为人民币955.13万元，其中：工程设计费为人民币884.38万元；竣工图编制费为人民币70.75万元。</w:t>
            </w:r>
          </w:p>
          <w:p>
            <w:pPr>
              <w:jc w:val="left"/>
              <w:rPr>
                <w:rFonts w:ascii="宋体" w:hAnsi="宋体"/>
                <w:color w:val="auto"/>
                <w:szCs w:val="21"/>
                <w:highlight w:val="none"/>
                <w:u w:val="single"/>
              </w:rPr>
            </w:pPr>
            <w:r>
              <w:rPr>
                <w:rFonts w:hint="eastAsia" w:ascii="宋体" w:hAnsi="宋体" w:cs="宋体"/>
                <w:color w:val="auto"/>
                <w:szCs w:val="21"/>
                <w:highlight w:val="none"/>
              </w:rPr>
              <w:t>2.广州市石门国家森林公园基础设施配套完善建设项目设计最高投标限价为人民币914.54万元，其中：工程设计费为人民币846.80万元；竣工图编制费为人民币67.74万元。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2.4.5</w:t>
            </w:r>
          </w:p>
        </w:tc>
        <w:tc>
          <w:tcPr>
            <w:tcW w:w="2183" w:type="dxa"/>
            <w:tcBorders>
              <w:top w:val="single" w:color="auto" w:sz="4" w:space="0"/>
              <w:left w:val="single" w:color="auto" w:sz="4" w:space="0"/>
              <w:bottom w:val="single" w:color="auto" w:sz="4" w:space="0"/>
              <w:right w:val="single" w:color="auto" w:sz="4" w:space="0"/>
            </w:tcBorders>
            <w:vAlign w:val="center"/>
          </w:tcPr>
          <w:p>
            <w:pPr>
              <w:rPr>
                <w:rFonts w:ascii="宋体" w:hAnsi="宋体" w:cs="仿宋_GB2312"/>
                <w:color w:val="auto"/>
                <w:szCs w:val="21"/>
                <w:highlight w:val="none"/>
              </w:rPr>
            </w:pPr>
            <w:r>
              <w:rPr>
                <w:rFonts w:hint="eastAsia" w:ascii="宋体" w:hAnsi="宋体" w:cs="仿宋_GB2312"/>
                <w:color w:val="auto"/>
                <w:szCs w:val="21"/>
                <w:highlight w:val="none"/>
              </w:rPr>
              <w:t>投标报价的其他要求</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s="仿宋_GB2312"/>
                <w:color w:val="auto"/>
                <w:szCs w:val="21"/>
                <w:highlight w:val="none"/>
                <w:u w:val="single"/>
              </w:rPr>
            </w:pPr>
            <w:r>
              <w:rPr>
                <w:rFonts w:hint="eastAsia" w:ascii="宋体" w:hAnsi="宋体" w:cs="仿宋_GB2312"/>
                <w:color w:val="auto"/>
                <w:szCs w:val="21"/>
                <w:highlight w:val="none"/>
                <w:u w:val="single"/>
              </w:rPr>
              <w:t>投标人在最高投标限价内根据企业自身实力进行报价,并按此计算单项工程的工程设计报价下浮率[报价下浮率=</w:t>
            </w:r>
            <w:r>
              <w:rPr>
                <w:rFonts w:hint="eastAsia" w:ascii="宋体" w:hAnsi="宋体" w:cs="宋体"/>
                <w:color w:val="auto"/>
                <w:szCs w:val="21"/>
                <w:highlight w:val="none"/>
                <w:u w:val="single"/>
              </w:rPr>
              <w:t>（单项工程设计最高投标限价-单项工程设计投标报价）/单项工程设计最高投标限价*100%</w:t>
            </w:r>
            <w:r>
              <w:rPr>
                <w:rFonts w:hint="eastAsia" w:ascii="宋体" w:hAnsi="宋体" w:cs="仿宋_GB2312"/>
                <w:color w:val="auto"/>
                <w:szCs w:val="21"/>
                <w:highlight w:val="none"/>
                <w:u w:val="single"/>
              </w:rPr>
              <w:t>]。报价下浮率保留两位小数，第三位小数四舍五入。</w:t>
            </w:r>
          </w:p>
          <w:p>
            <w:pPr>
              <w:rPr>
                <w:rFonts w:ascii="宋体" w:hAnsi="宋体" w:cs="仿宋_GB2312"/>
                <w:color w:val="auto"/>
                <w:szCs w:val="21"/>
                <w:highlight w:val="none"/>
                <w:u w:val="single"/>
              </w:rPr>
            </w:pPr>
            <w:r>
              <w:rPr>
                <w:rFonts w:hint="eastAsia" w:ascii="宋体" w:hAnsi="宋体" w:cs="仿宋_GB2312"/>
                <w:color w:val="auto"/>
                <w:szCs w:val="21"/>
                <w:highlight w:val="none"/>
                <w:u w:val="single"/>
              </w:rPr>
              <w:t>投标总报价超过本项目最高投标限价或单项工程设计投标报价超过其</w:t>
            </w:r>
            <w:r>
              <w:rPr>
                <w:rFonts w:hint="eastAsia" w:ascii="宋体" w:hAnsi="宋体" w:cs="宋体"/>
                <w:color w:val="auto"/>
                <w:szCs w:val="21"/>
                <w:highlight w:val="none"/>
                <w:u w:val="single"/>
              </w:rPr>
              <w:t>最高投标限价均</w:t>
            </w:r>
            <w:r>
              <w:rPr>
                <w:rFonts w:hint="eastAsia" w:ascii="宋体" w:hAnsi="宋体" w:cs="仿宋_GB2312"/>
                <w:color w:val="auto"/>
                <w:szCs w:val="21"/>
                <w:highlight w:val="none"/>
                <w:u w:val="single"/>
              </w:rPr>
              <w:t>将被否决。</w:t>
            </w:r>
          </w:p>
          <w:p>
            <w:pPr>
              <w:rPr>
                <w:rFonts w:ascii="宋体" w:hAnsi="宋体" w:cs="仿宋_GB2312"/>
                <w:color w:val="auto"/>
                <w:szCs w:val="21"/>
                <w:highlight w:val="none"/>
              </w:rPr>
            </w:pPr>
            <w:r>
              <w:rPr>
                <w:rFonts w:hint="eastAsia" w:ascii="宋体" w:hAnsi="宋体" w:cs="仿宋_GB2312"/>
                <w:color w:val="auto"/>
                <w:szCs w:val="21"/>
                <w:highlight w:val="none"/>
                <w:u w:val="single"/>
              </w:rPr>
              <w:t>本项目报价不参与投标竞争，结算方式以签定的设计合同约定的相应条款执行。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2.5</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投标有效期</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90</w:t>
            </w:r>
            <w:r>
              <w:rPr>
                <w:rFonts w:hint="eastAsia" w:ascii="宋体" w:hAnsi="宋体"/>
                <w:color w:val="auto"/>
                <w:szCs w:val="21"/>
                <w:highlight w:val="none"/>
              </w:rPr>
              <w:t>日历天（从投标截止时间计起）。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2.6</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投标保证金</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■方式一：不要求。</w:t>
            </w:r>
          </w:p>
          <w:p>
            <w:pPr>
              <w:rPr>
                <w:rFonts w:ascii="宋体" w:hAnsi="宋体" w:cs="宋体"/>
                <w:color w:val="auto"/>
                <w:szCs w:val="21"/>
                <w:highlight w:val="none"/>
              </w:rPr>
            </w:pPr>
            <w:r>
              <w:rPr>
                <w:rFonts w:hint="eastAsia" w:ascii="宋体" w:hAnsi="宋体" w:cs="宋体"/>
                <w:color w:val="auto"/>
                <w:szCs w:val="21"/>
                <w:highlight w:val="none"/>
              </w:rPr>
              <w:t>□方式二：要求，具体要求如下：</w:t>
            </w:r>
          </w:p>
          <w:p>
            <w:pPr>
              <w:rPr>
                <w:rFonts w:ascii="宋体" w:hAnsi="宋体" w:cs="宋体"/>
                <w:color w:val="auto"/>
                <w:szCs w:val="21"/>
                <w:highlight w:val="none"/>
              </w:rPr>
            </w:pPr>
            <w:r>
              <w:rPr>
                <w:rFonts w:hint="eastAsia" w:ascii="宋体" w:hAnsi="宋体" w:cs="宋体"/>
                <w:color w:val="auto"/>
                <w:szCs w:val="21"/>
                <w:highlight w:val="none"/>
              </w:rPr>
              <w:t>1.投标保证金的金额：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w:t>
            </w:r>
          </w:p>
          <w:p>
            <w:pPr>
              <w:rPr>
                <w:rFonts w:ascii="宋体" w:hAnsi="宋体" w:cs="宋体"/>
                <w:color w:val="auto"/>
                <w:szCs w:val="21"/>
                <w:highlight w:val="none"/>
              </w:rPr>
            </w:pPr>
            <w:r>
              <w:rPr>
                <w:rFonts w:hint="eastAsia" w:ascii="宋体" w:hAnsi="宋体" w:cs="宋体"/>
                <w:color w:val="auto"/>
                <w:szCs w:val="21"/>
                <w:highlight w:val="none"/>
              </w:rPr>
              <w:t>2.投标保证金的形式：投标保证金可采用投标保函、转账、现金、支票、汇票、投标保证保险等形式，须在投标文件截止时间前完成缴纳。</w:t>
            </w:r>
          </w:p>
          <w:p>
            <w:pPr>
              <w:rPr>
                <w:rFonts w:ascii="宋体" w:hAnsi="宋体" w:cs="宋体"/>
                <w:color w:val="auto"/>
                <w:szCs w:val="21"/>
                <w:highlight w:val="none"/>
              </w:rPr>
            </w:pPr>
            <w:r>
              <w:rPr>
                <w:rFonts w:hint="eastAsia" w:ascii="宋体" w:hAnsi="宋体" w:cs="宋体"/>
                <w:color w:val="auto"/>
                <w:szCs w:val="21"/>
                <w:highlight w:val="none"/>
              </w:rPr>
              <w:t>□方式三：招标人自定的其它方式（招标人不得限定投标保证金只能以现金形式提交）。</w:t>
            </w:r>
          </w:p>
          <w:p>
            <w:pPr>
              <w:rPr>
                <w:rFonts w:ascii="宋体" w:hAnsi="宋体"/>
                <w:color w:val="auto"/>
                <w:szCs w:val="21"/>
                <w:highlight w:val="none"/>
              </w:rPr>
            </w:pPr>
            <w:r>
              <w:rPr>
                <w:rFonts w:hint="eastAsia" w:ascii="宋体" w:hAnsi="宋体" w:eastAsia="Times New Roman" w:cs="宋体"/>
                <w:color w:val="auto"/>
                <w:szCs w:val="21"/>
                <w:highlight w:val="none"/>
              </w:rPr>
              <w:t>注：招标人可对信用良好企业、中小企业免收投标保证金。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2.7</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投标文件的递交</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s="仿宋_GB2312"/>
                <w:color w:val="auto"/>
                <w:szCs w:val="21"/>
                <w:highlight w:val="none"/>
              </w:rPr>
            </w:pPr>
            <w:r>
              <w:rPr>
                <w:rFonts w:ascii="宋体" w:hAnsi="宋体" w:cs="仿宋_GB2312"/>
                <w:color w:val="auto"/>
                <w:szCs w:val="21"/>
                <w:highlight w:val="none"/>
              </w:rPr>
              <w:t>1.</w:t>
            </w:r>
            <w:r>
              <w:rPr>
                <w:rFonts w:hint="eastAsia" w:ascii="宋体" w:hAnsi="宋体" w:cs="仿宋_GB2312"/>
                <w:color w:val="auto"/>
                <w:szCs w:val="21"/>
                <w:highlight w:val="none"/>
              </w:rPr>
              <w:t>投标截止时间：</w:t>
            </w:r>
            <w:r>
              <w:rPr>
                <w:rFonts w:hint="eastAsia" w:ascii="宋体" w:hAnsi="宋体" w:cs="仿宋_GB2312"/>
                <w:color w:val="auto"/>
                <w:szCs w:val="21"/>
                <w:highlight w:val="none"/>
                <w:u w:val="single"/>
              </w:rPr>
              <w:t>2025</w:t>
            </w:r>
            <w:r>
              <w:rPr>
                <w:rFonts w:hint="eastAsia" w:ascii="宋体" w:hAnsi="宋体" w:cs="仿宋_GB2312"/>
                <w:color w:val="auto"/>
                <w:szCs w:val="21"/>
                <w:highlight w:val="none"/>
              </w:rPr>
              <w:t>年</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月</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日</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时</w:t>
            </w:r>
            <w:r>
              <w:rPr>
                <w:rFonts w:ascii="宋体" w:hAnsi="宋体" w:cs="仿宋_GB2312"/>
                <w:color w:val="auto"/>
                <w:szCs w:val="21"/>
                <w:highlight w:val="none"/>
                <w:u w:val="single"/>
              </w:rPr>
              <w:t xml:space="preserve">   </w:t>
            </w:r>
            <w:r>
              <w:rPr>
                <w:rFonts w:hint="eastAsia" w:ascii="宋体" w:hAnsi="宋体" w:cs="仿宋_GB2312"/>
                <w:color w:val="auto"/>
                <w:szCs w:val="21"/>
                <w:highlight w:val="none"/>
              </w:rPr>
              <w:t>分。</w:t>
            </w:r>
          </w:p>
          <w:p>
            <w:pPr>
              <w:rPr>
                <w:rFonts w:ascii="宋体" w:hAnsi="宋体"/>
                <w:color w:val="auto"/>
                <w:szCs w:val="21"/>
                <w:highlight w:val="none"/>
                <w:u w:val="single"/>
              </w:rPr>
            </w:pPr>
            <w:r>
              <w:rPr>
                <w:rFonts w:hint="eastAsia" w:ascii="宋体" w:hAnsi="宋体" w:cs="仿宋_GB2312"/>
                <w:color w:val="auto"/>
                <w:szCs w:val="21"/>
                <w:highlight w:val="none"/>
              </w:rPr>
              <w:t>2.递交方式：</w:t>
            </w:r>
            <w:r>
              <w:rPr>
                <w:rFonts w:hint="eastAsia" w:ascii="宋体" w:hAnsi="宋体" w:cs="仿宋_GB2312"/>
                <w:color w:val="auto"/>
                <w:szCs w:val="21"/>
                <w:highlight w:val="none"/>
                <w:u w:val="single"/>
              </w:rPr>
              <w:t>广州交易集团有限公司（广州公共资源交易中心）网站</w:t>
            </w:r>
            <w:r>
              <w:rPr>
                <w:rFonts w:hint="eastAsia" w:ascii="宋体" w:hAnsi="宋体" w:cs="仿宋_GB2312"/>
                <w:color w:val="auto"/>
                <w:szCs w:val="21"/>
                <w:highlight w:val="none"/>
              </w:rPr>
              <w:t>上递交电子投标文件。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3.1</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开标时间和地点</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1.开标时间：</w:t>
            </w:r>
            <w:r>
              <w:rPr>
                <w:rFonts w:hint="eastAsia" w:ascii="宋体" w:hAnsi="宋体" w:cs="仿宋_GB2312"/>
                <w:color w:val="auto"/>
                <w:szCs w:val="21"/>
                <w:highlight w:val="none"/>
                <w:u w:val="single"/>
              </w:rPr>
              <w:t>2025</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分（与投标截止时间为同一时间）。</w:t>
            </w:r>
          </w:p>
          <w:p>
            <w:pPr>
              <w:rPr>
                <w:rFonts w:ascii="宋体" w:hAnsi="宋体"/>
                <w:color w:val="auto"/>
                <w:szCs w:val="21"/>
                <w:highlight w:val="none"/>
              </w:rPr>
            </w:pPr>
            <w:r>
              <w:rPr>
                <w:rFonts w:hint="eastAsia" w:ascii="宋体" w:hAnsi="宋体"/>
                <w:color w:val="auto"/>
                <w:szCs w:val="21"/>
                <w:highlight w:val="none"/>
              </w:rPr>
              <w:t>2.开标方式：</w:t>
            </w:r>
            <w:r>
              <w:rPr>
                <w:rFonts w:hint="eastAsia" w:ascii="宋体" w:hAnsi="宋体" w:cs="仿宋_GB2312"/>
                <w:color w:val="auto"/>
                <w:szCs w:val="21"/>
                <w:highlight w:val="none"/>
                <w:u w:val="single"/>
              </w:rPr>
              <w:t>广州交易集团有限公司（广州公共资源交易中心）网站</w:t>
            </w:r>
            <w:r>
              <w:rPr>
                <w:rFonts w:hint="eastAsia" w:ascii="宋体" w:hAnsi="宋体"/>
                <w:color w:val="auto"/>
                <w:szCs w:val="21"/>
                <w:highlight w:val="none"/>
              </w:rPr>
              <w:t>上电子开标。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3.3.1</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olor w:val="auto"/>
                <w:szCs w:val="21"/>
                <w:highlight w:val="none"/>
              </w:rPr>
            </w:pPr>
            <w:r>
              <w:rPr>
                <w:rFonts w:hint="eastAsia" w:ascii="宋体" w:hAnsi="宋体"/>
                <w:color w:val="auto"/>
                <w:szCs w:val="21"/>
                <w:highlight w:val="none"/>
              </w:rPr>
              <w:t>评标委员会的组建</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eastAsia="Times New Roman"/>
                <w:color w:val="auto"/>
                <w:szCs w:val="21"/>
                <w:highlight w:val="none"/>
              </w:rPr>
            </w:pPr>
            <w:r>
              <w:rPr>
                <w:rFonts w:hint="eastAsia" w:ascii="宋体" w:hAnsi="宋体" w:eastAsia="Times New Roman" w:cs="宋体"/>
                <w:color w:val="auto"/>
                <w:szCs w:val="21"/>
                <w:highlight w:val="none"/>
              </w:rPr>
              <w:t>□方式一：评标委员会共</w:t>
            </w:r>
            <w:r>
              <w:rPr>
                <w:rFonts w:hint="eastAsia" w:ascii="宋体" w:hAnsi="宋体" w:eastAsia="Times New Roman" w:cs="宋体"/>
                <w:color w:val="auto"/>
                <w:szCs w:val="21"/>
                <w:highlight w:val="none"/>
                <w:u w:val="single"/>
              </w:rPr>
              <w:t xml:space="preserve"> </w:t>
            </w:r>
            <w:r>
              <w:rPr>
                <w:rFonts w:hint="eastAsia" w:ascii="宋体" w:hAnsi="宋体" w:cs="宋体"/>
                <w:color w:val="auto"/>
                <w:szCs w:val="21"/>
                <w:highlight w:val="none"/>
                <w:u w:val="single"/>
              </w:rPr>
              <w:t xml:space="preserve"> </w:t>
            </w:r>
            <w:r>
              <w:rPr>
                <w:rFonts w:hint="eastAsia" w:ascii="宋体" w:hAnsi="宋体" w:eastAsia="Times New Roman" w:cs="宋体"/>
                <w:color w:val="auto"/>
                <w:szCs w:val="21"/>
                <w:highlight w:val="none"/>
                <w:u w:val="single"/>
              </w:rPr>
              <w:t xml:space="preserve"> </w:t>
            </w:r>
            <w:r>
              <w:rPr>
                <w:rFonts w:hint="eastAsia" w:ascii="宋体" w:hAnsi="宋体" w:eastAsia="Times New Roman" w:cs="宋体"/>
                <w:color w:val="auto"/>
                <w:szCs w:val="21"/>
                <w:highlight w:val="none"/>
              </w:rPr>
              <w:t>人。</w:t>
            </w:r>
          </w:p>
          <w:p>
            <w:pPr>
              <w:rPr>
                <w:rFonts w:ascii="宋体" w:hAnsi="宋体" w:eastAsia="Times New Roman"/>
                <w:color w:val="auto"/>
                <w:szCs w:val="21"/>
                <w:highlight w:val="none"/>
              </w:rPr>
            </w:pPr>
            <w:r>
              <w:rPr>
                <w:rFonts w:hint="eastAsia" w:ascii="宋体" w:hAnsi="宋体" w:cs="宋体"/>
                <w:color w:val="auto"/>
                <w:szCs w:val="21"/>
                <w:highlight w:val="none"/>
              </w:rPr>
              <w:t>■</w:t>
            </w:r>
            <w:r>
              <w:rPr>
                <w:rFonts w:hint="eastAsia" w:ascii="宋体" w:hAnsi="宋体" w:eastAsia="Times New Roman" w:cs="宋体"/>
                <w:color w:val="auto"/>
                <w:szCs w:val="21"/>
                <w:highlight w:val="none"/>
              </w:rPr>
              <w:t>方式二：评标委员会共</w:t>
            </w:r>
            <w:r>
              <w:rPr>
                <w:rFonts w:hint="eastAsia" w:ascii="宋体" w:hAnsi="宋体" w:eastAsia="Times New Roman" w:cs="宋体"/>
                <w:color w:val="auto"/>
                <w:szCs w:val="21"/>
                <w:highlight w:val="none"/>
                <w:u w:val="single"/>
              </w:rPr>
              <w:t xml:space="preserve"> </w:t>
            </w:r>
            <w:r>
              <w:rPr>
                <w:rFonts w:hint="eastAsia" w:ascii="宋体" w:hAnsi="宋体" w:cs="宋体"/>
                <w:color w:val="auto"/>
                <w:szCs w:val="21"/>
                <w:highlight w:val="none"/>
                <w:u w:val="single"/>
              </w:rPr>
              <w:t>7</w:t>
            </w:r>
            <w:r>
              <w:rPr>
                <w:rFonts w:hint="eastAsia" w:ascii="宋体" w:hAnsi="宋体" w:eastAsia="Times New Roman" w:cs="宋体"/>
                <w:color w:val="auto"/>
                <w:szCs w:val="21"/>
                <w:highlight w:val="none"/>
                <w:u w:val="single"/>
              </w:rPr>
              <w:t xml:space="preserve"> </w:t>
            </w:r>
            <w:r>
              <w:rPr>
                <w:rFonts w:hint="eastAsia" w:ascii="宋体" w:hAnsi="宋体" w:eastAsia="Times New Roman" w:cs="宋体"/>
                <w:color w:val="auto"/>
                <w:szCs w:val="21"/>
                <w:highlight w:val="none"/>
              </w:rPr>
              <w:t>人，其中招标人代表</w:t>
            </w:r>
            <w:r>
              <w:rPr>
                <w:rFonts w:hint="eastAsia" w:ascii="宋体" w:hAnsi="宋体" w:eastAsia="Times New Roman" w:cs="宋体"/>
                <w:color w:val="auto"/>
                <w:szCs w:val="21"/>
                <w:highlight w:val="none"/>
                <w:u w:val="single"/>
              </w:rPr>
              <w:t xml:space="preserve"> </w:t>
            </w:r>
            <w:r>
              <w:rPr>
                <w:rFonts w:hint="eastAsia" w:ascii="宋体" w:hAnsi="宋体" w:cs="宋体"/>
                <w:color w:val="auto"/>
                <w:szCs w:val="21"/>
                <w:highlight w:val="none"/>
                <w:u w:val="single"/>
              </w:rPr>
              <w:t>2</w:t>
            </w:r>
            <w:r>
              <w:rPr>
                <w:rFonts w:hint="eastAsia" w:ascii="宋体" w:hAnsi="宋体" w:eastAsia="Times New Roman" w:cs="宋体"/>
                <w:color w:val="auto"/>
                <w:szCs w:val="21"/>
                <w:highlight w:val="none"/>
                <w:u w:val="single"/>
              </w:rPr>
              <w:t xml:space="preserve"> </w:t>
            </w:r>
            <w:r>
              <w:rPr>
                <w:rFonts w:hint="eastAsia" w:ascii="宋体" w:hAnsi="宋体" w:eastAsia="Times New Roman" w:cs="宋体"/>
                <w:color w:val="auto"/>
                <w:szCs w:val="21"/>
                <w:highlight w:val="none"/>
              </w:rPr>
              <w:t>人，技术、经济等方面专家</w:t>
            </w:r>
            <w:r>
              <w:rPr>
                <w:rFonts w:hint="eastAsia" w:ascii="宋体" w:hAnsi="宋体" w:eastAsia="Times New Roman" w:cs="宋体"/>
                <w:color w:val="auto"/>
                <w:szCs w:val="21"/>
                <w:highlight w:val="none"/>
                <w:u w:val="single"/>
              </w:rPr>
              <w:t xml:space="preserve"> </w:t>
            </w:r>
            <w:r>
              <w:rPr>
                <w:rFonts w:hint="eastAsia" w:ascii="宋体" w:hAnsi="宋体" w:cs="宋体"/>
                <w:color w:val="auto"/>
                <w:szCs w:val="21"/>
                <w:highlight w:val="none"/>
                <w:u w:val="single"/>
              </w:rPr>
              <w:t>5</w:t>
            </w:r>
            <w:r>
              <w:rPr>
                <w:rFonts w:hint="eastAsia" w:ascii="宋体" w:hAnsi="宋体" w:eastAsia="Times New Roman" w:cs="宋体"/>
                <w:color w:val="auto"/>
                <w:szCs w:val="21"/>
                <w:highlight w:val="none"/>
                <w:u w:val="single"/>
              </w:rPr>
              <w:t xml:space="preserve"> </w:t>
            </w:r>
            <w:r>
              <w:rPr>
                <w:rFonts w:hint="eastAsia" w:ascii="宋体" w:hAnsi="宋体" w:eastAsia="Times New Roman" w:cs="宋体"/>
                <w:color w:val="auto"/>
                <w:szCs w:val="21"/>
                <w:highlight w:val="none"/>
              </w:rPr>
              <w:t>人。</w:t>
            </w:r>
          </w:p>
          <w:p>
            <w:pPr>
              <w:rPr>
                <w:rFonts w:ascii="宋体" w:hAnsi="宋体" w:eastAsia="Times New Roman"/>
                <w:color w:val="auto"/>
                <w:szCs w:val="21"/>
                <w:highlight w:val="none"/>
                <w:u w:val="single"/>
              </w:rPr>
            </w:pPr>
            <w:r>
              <w:rPr>
                <w:rFonts w:hint="eastAsia" w:ascii="宋体" w:hAnsi="宋体" w:eastAsia="Times New Roman" w:cs="宋体"/>
                <w:color w:val="auto"/>
                <w:szCs w:val="21"/>
                <w:highlight w:val="none"/>
              </w:rPr>
              <w:t>评标专家从政府评标专家库随机抽取。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3.3.4</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eastAsia="Times New Roman"/>
                <w:color w:val="auto"/>
                <w:szCs w:val="21"/>
                <w:highlight w:val="none"/>
              </w:rPr>
            </w:pPr>
            <w:r>
              <w:rPr>
                <w:rFonts w:hint="eastAsia" w:ascii="宋体" w:hAnsi="宋体" w:cs="宋体"/>
                <w:color w:val="auto"/>
                <w:szCs w:val="21"/>
                <w:highlight w:val="none"/>
              </w:rPr>
              <w:t>■</w:t>
            </w:r>
            <w:r>
              <w:rPr>
                <w:rFonts w:hint="eastAsia" w:ascii="宋体" w:hAnsi="宋体" w:eastAsia="Times New Roman"/>
                <w:color w:val="auto"/>
                <w:szCs w:val="21"/>
                <w:highlight w:val="none"/>
              </w:rPr>
              <w:t>不采用评定分离，中标候选人</w:t>
            </w:r>
            <w:r>
              <w:rPr>
                <w:rFonts w:hint="eastAsia" w:ascii="宋体" w:hAnsi="宋体" w:eastAsia="Times New Roman"/>
                <w:color w:val="auto"/>
                <w:szCs w:val="21"/>
                <w:highlight w:val="none"/>
                <w:u w:val="single"/>
              </w:rPr>
              <w:t xml:space="preserve"> 3 </w:t>
            </w:r>
            <w:r>
              <w:rPr>
                <w:rFonts w:hint="eastAsia" w:ascii="宋体" w:hAnsi="宋体" w:eastAsia="Times New Roman"/>
                <w:color w:val="auto"/>
                <w:szCs w:val="21"/>
                <w:highlight w:val="none"/>
              </w:rPr>
              <w:t>名（不超过3名）。</w:t>
            </w:r>
          </w:p>
          <w:p>
            <w:pPr>
              <w:rPr>
                <w:rFonts w:ascii="宋体" w:hAnsi="宋体"/>
                <w:color w:val="auto"/>
                <w:szCs w:val="21"/>
                <w:highlight w:val="none"/>
              </w:rPr>
            </w:pPr>
            <w:r>
              <w:rPr>
                <w:rFonts w:hint="eastAsia" w:ascii="宋体" w:hAnsi="宋体" w:eastAsia="Times New Roman"/>
                <w:color w:val="auto"/>
                <w:szCs w:val="21"/>
                <w:highlight w:val="none"/>
              </w:rPr>
              <w:t>□采用评定分离，中标候选人</w:t>
            </w:r>
            <w:r>
              <w:rPr>
                <w:rFonts w:hint="eastAsia" w:ascii="宋体" w:hAnsi="宋体" w:eastAsia="Times New Roman"/>
                <w:color w:val="auto"/>
                <w:szCs w:val="21"/>
                <w:highlight w:val="none"/>
                <w:u w:val="single"/>
              </w:rPr>
              <w:t xml:space="preserve">      </w:t>
            </w:r>
            <w:r>
              <w:rPr>
                <w:rFonts w:hint="eastAsia" w:ascii="宋体" w:hAnsi="宋体" w:eastAsia="Times New Roman"/>
                <w:color w:val="auto"/>
                <w:szCs w:val="21"/>
                <w:highlight w:val="none"/>
              </w:rPr>
              <w:t>名（建议3-5名）。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3.4</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strike/>
                <w:color w:val="auto"/>
                <w:szCs w:val="21"/>
                <w:highlight w:val="none"/>
              </w:rPr>
            </w:pPr>
            <w:r>
              <w:rPr>
                <w:rFonts w:hint="eastAsia" w:ascii="宋体" w:hAnsi="宋体"/>
                <w:color w:val="auto"/>
                <w:szCs w:val="21"/>
                <w:highlight w:val="none"/>
              </w:rPr>
              <w:t>评标办法</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eastAsia="Times New Roman"/>
                <w:color w:val="auto"/>
                <w:szCs w:val="21"/>
                <w:highlight w:val="none"/>
              </w:rPr>
            </w:pPr>
            <w:r>
              <w:rPr>
                <w:rFonts w:hint="eastAsia" w:ascii="宋体" w:hAnsi="宋体" w:cs="宋体"/>
                <w:color w:val="auto"/>
                <w:szCs w:val="21"/>
                <w:highlight w:val="none"/>
              </w:rPr>
              <w:t>■</w:t>
            </w:r>
            <w:r>
              <w:rPr>
                <w:rFonts w:hint="eastAsia" w:ascii="宋体" w:hAnsi="宋体" w:eastAsia="Times New Roman"/>
                <w:color w:val="auto"/>
                <w:szCs w:val="21"/>
                <w:highlight w:val="none"/>
              </w:rPr>
              <w:t>综合评分法一（投标人综合得分＝商务得分×30%+技术得分×70%）。</w:t>
            </w:r>
          </w:p>
          <w:p>
            <w:pPr>
              <w:rPr>
                <w:rFonts w:ascii="宋体" w:hAnsi="宋体" w:eastAsia="Times New Roman"/>
                <w:color w:val="auto"/>
                <w:szCs w:val="21"/>
                <w:highlight w:val="none"/>
              </w:rPr>
            </w:pPr>
            <w:r>
              <w:rPr>
                <w:rFonts w:hint="eastAsia" w:ascii="宋体" w:hAnsi="宋体" w:eastAsia="Times New Roman" w:cs="宋体"/>
                <w:color w:val="auto"/>
                <w:szCs w:val="21"/>
                <w:highlight w:val="none"/>
              </w:rPr>
              <w:t>□</w:t>
            </w:r>
            <w:r>
              <w:rPr>
                <w:rFonts w:hint="eastAsia" w:ascii="宋体" w:hAnsi="宋体" w:eastAsia="Times New Roman"/>
                <w:color w:val="auto"/>
                <w:szCs w:val="21"/>
                <w:highlight w:val="none"/>
              </w:rPr>
              <w:t>综合评分法二（投标人综合得分＝商务得分×20%+技术得分×70%+报价得分×10%）。</w:t>
            </w:r>
          </w:p>
          <w:p>
            <w:pPr>
              <w:rPr>
                <w:rFonts w:ascii="宋体" w:hAnsi="宋体" w:eastAsia="Times New Roman"/>
                <w:strike/>
                <w:color w:val="auto"/>
                <w:szCs w:val="21"/>
                <w:highlight w:val="none"/>
                <w:u w:val="single"/>
              </w:rPr>
            </w:pPr>
            <w:r>
              <w:rPr>
                <w:rFonts w:hint="eastAsia" w:ascii="宋体" w:hAnsi="宋体" w:eastAsia="Times New Roman" w:cs="宋体"/>
                <w:color w:val="auto"/>
                <w:szCs w:val="21"/>
                <w:highlight w:val="none"/>
              </w:rPr>
              <w:t>□</w:t>
            </w:r>
            <w:r>
              <w:rPr>
                <w:rFonts w:hint="eastAsia" w:ascii="宋体" w:eastAsia="Times New Roman"/>
                <w:color w:val="auto"/>
                <w:highlight w:val="none"/>
              </w:rPr>
              <w:t>投票法。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3.4.1（9）</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olor w:val="auto"/>
                <w:szCs w:val="21"/>
                <w:highlight w:val="none"/>
              </w:rPr>
            </w:pPr>
            <w:r>
              <w:rPr>
                <w:rFonts w:hint="eastAsia" w:ascii="宋体" w:hAnsi="宋体"/>
                <w:color w:val="auto"/>
                <w:szCs w:val="21"/>
                <w:highlight w:val="none"/>
              </w:rPr>
              <w:t>商务和技术得分汇总方式（适用于综合评分法）</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eastAsia="Times New Roman"/>
                <w:color w:val="auto"/>
                <w:szCs w:val="21"/>
                <w:highlight w:val="none"/>
              </w:rPr>
            </w:pPr>
            <w:r>
              <w:rPr>
                <w:rFonts w:hint="eastAsia" w:ascii="宋体" w:hAnsi="宋体" w:cs="宋体"/>
                <w:color w:val="auto"/>
                <w:szCs w:val="21"/>
                <w:highlight w:val="none"/>
              </w:rPr>
              <w:t>■</w:t>
            </w:r>
            <w:r>
              <w:rPr>
                <w:rFonts w:hint="eastAsia" w:ascii="宋体" w:hAnsi="宋体" w:eastAsia="Times New Roman" w:cs="宋体"/>
                <w:color w:val="auto"/>
                <w:szCs w:val="21"/>
                <w:highlight w:val="none"/>
              </w:rPr>
              <w:t>方式一：所有评委分数去</w:t>
            </w:r>
            <w:r>
              <w:rPr>
                <w:rFonts w:hint="eastAsia" w:ascii="宋体" w:hAnsi="宋体" w:eastAsia="Times New Roman"/>
                <w:color w:val="auto"/>
                <w:szCs w:val="21"/>
                <w:highlight w:val="none"/>
              </w:rPr>
              <w:t>掉一个最高分和一个最低分，剩余分数的算术平均值为投标人商务和技术文件的得分</w:t>
            </w:r>
            <w:r>
              <w:rPr>
                <w:rFonts w:hint="eastAsia" w:ascii="宋体" w:hAnsi="宋体" w:eastAsia="Times New Roman" w:cs="宋体"/>
                <w:color w:val="auto"/>
                <w:szCs w:val="21"/>
                <w:highlight w:val="none"/>
              </w:rPr>
              <w:t>。</w:t>
            </w:r>
          </w:p>
          <w:p>
            <w:pPr>
              <w:rPr>
                <w:rFonts w:ascii="宋体" w:hAnsi="宋体" w:eastAsia="Times New Roman"/>
                <w:color w:val="auto"/>
                <w:szCs w:val="21"/>
                <w:highlight w:val="none"/>
              </w:rPr>
            </w:pPr>
            <w:r>
              <w:rPr>
                <w:rFonts w:hint="eastAsia" w:ascii="宋体" w:hAnsi="宋体" w:eastAsia="Times New Roman" w:cs="宋体"/>
                <w:color w:val="auto"/>
                <w:szCs w:val="21"/>
                <w:highlight w:val="none"/>
              </w:rPr>
              <w:t>□方式二：所有评委分数</w:t>
            </w:r>
            <w:r>
              <w:rPr>
                <w:rFonts w:hint="eastAsia" w:ascii="宋体" w:hAnsi="宋体" w:eastAsia="Times New Roman"/>
                <w:color w:val="auto"/>
                <w:szCs w:val="21"/>
                <w:highlight w:val="none"/>
              </w:rPr>
              <w:t>的算术平均值为投标人商务和技术文件的得分</w:t>
            </w:r>
            <w:r>
              <w:rPr>
                <w:rFonts w:hint="eastAsia" w:ascii="宋体" w:hAnsi="宋体" w:eastAsia="Times New Roman"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4.4</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技术成果经济补偿</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□是，具体要求：</w:t>
            </w:r>
            <w:r>
              <w:rPr>
                <w:rFonts w:hint="eastAsia" w:ascii="宋体" w:hAnsi="宋体" w:cs="宋体"/>
                <w:color w:val="auto"/>
                <w:szCs w:val="21"/>
                <w:highlight w:val="none"/>
                <w:u w:val="single"/>
              </w:rPr>
              <w:t xml:space="preserve"> </w:t>
            </w:r>
            <w:r>
              <w:rPr>
                <w:rFonts w:hint="eastAsia" w:ascii="宋体" w:hAnsi="宋体"/>
                <w:color w:val="auto"/>
                <w:szCs w:val="21"/>
                <w:highlight w:val="none"/>
                <w:u w:val="single"/>
              </w:rPr>
              <w:t>/</w:t>
            </w:r>
            <w:r>
              <w:rPr>
                <w:rFonts w:hint="eastAsia" w:ascii="宋体" w:hAnsi="宋体" w:cs="宋体"/>
                <w:color w:val="auto"/>
                <w:szCs w:val="21"/>
                <w:highlight w:val="none"/>
              </w:rPr>
              <w:t>。</w:t>
            </w:r>
          </w:p>
          <w:p>
            <w:pPr>
              <w:rPr>
                <w:rFonts w:ascii="宋体" w:hAnsi="宋体"/>
                <w:color w:val="auto"/>
                <w:szCs w:val="21"/>
                <w:highlight w:val="none"/>
              </w:rPr>
            </w:pPr>
            <w:r>
              <w:rPr>
                <w:rFonts w:hint="eastAsia" w:ascii="宋体" w:hAnsi="宋体" w:cs="宋体"/>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jc w:val="center"/>
        </w:trPr>
        <w:tc>
          <w:tcPr>
            <w:tcW w:w="7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4.5</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olor w:val="auto"/>
                <w:szCs w:val="21"/>
                <w:highlight w:val="none"/>
              </w:rPr>
            </w:pPr>
            <w:r>
              <w:rPr>
                <w:rFonts w:hint="eastAsia" w:ascii="宋体" w:hAnsi="宋体"/>
                <w:color w:val="auto"/>
                <w:szCs w:val="21"/>
                <w:highlight w:val="none"/>
              </w:rPr>
              <w:t>履约担保</w:t>
            </w:r>
          </w:p>
        </w:tc>
        <w:tc>
          <w:tcPr>
            <w:tcW w:w="6941" w:type="dxa"/>
            <w:tcBorders>
              <w:top w:val="single" w:color="auto" w:sz="4" w:space="0"/>
              <w:left w:val="single" w:color="auto" w:sz="4" w:space="0"/>
              <w:bottom w:val="single" w:color="auto" w:sz="4" w:space="0"/>
              <w:right w:val="double" w:color="auto" w:sz="4" w:space="0"/>
            </w:tcBorders>
            <w:vAlign w:val="center"/>
          </w:tcPr>
          <w:p>
            <w:pPr>
              <w:rPr>
                <w:rFonts w:ascii="宋体" w:hAnsi="宋体" w:eastAsia="Times New Roman"/>
                <w:color w:val="auto"/>
                <w:highlight w:val="none"/>
              </w:rPr>
            </w:pPr>
            <w:r>
              <w:rPr>
                <w:rFonts w:hint="eastAsia" w:ascii="宋体" w:hAnsi="宋体" w:eastAsia="Times New Roman"/>
                <w:color w:val="auto"/>
                <w:highlight w:val="none"/>
              </w:rPr>
              <w:t>□要求。履约保证金金额：</w:t>
            </w:r>
            <w:r>
              <w:rPr>
                <w:rFonts w:hint="eastAsia" w:ascii="宋体" w:hAnsi="宋体" w:eastAsia="Times New Roman"/>
                <w:color w:val="auto"/>
                <w:highlight w:val="none"/>
                <w:u w:val="single"/>
              </w:rPr>
              <w:t xml:space="preserve">          </w:t>
            </w:r>
            <w:r>
              <w:rPr>
                <w:rFonts w:hint="eastAsia" w:ascii="宋体" w:hAnsi="宋体" w:eastAsia="Times New Roman"/>
                <w:color w:val="auto"/>
                <w:highlight w:val="none"/>
              </w:rPr>
              <w:t>；履约保证金形式：可采用</w:t>
            </w:r>
            <w:r>
              <w:rPr>
                <w:rFonts w:hint="eastAsia" w:ascii="宋体" w:hAnsi="宋体" w:eastAsia="Times New Roman"/>
                <w:color w:val="auto"/>
                <w:highlight w:val="none"/>
                <w:u w:val="single"/>
              </w:rPr>
              <w:t>银行或担保公司</w:t>
            </w:r>
            <w:r>
              <w:rPr>
                <w:rFonts w:hint="eastAsia" w:ascii="宋体" w:hAnsi="宋体" w:eastAsia="Times New Roman" w:cs="宋体"/>
                <w:color w:val="auto"/>
                <w:szCs w:val="21"/>
                <w:highlight w:val="none"/>
                <w:u w:val="single"/>
              </w:rPr>
              <w:t>保函、</w:t>
            </w:r>
            <w:r>
              <w:rPr>
                <w:rFonts w:hint="eastAsia" w:ascii="宋体" w:hAnsi="宋体" w:eastAsia="Times New Roman"/>
                <w:color w:val="auto"/>
                <w:highlight w:val="none"/>
                <w:u w:val="single"/>
              </w:rPr>
              <w:t>转账、现金、支票、汇票、</w:t>
            </w:r>
            <w:r>
              <w:rPr>
                <w:rFonts w:hint="eastAsia" w:ascii="宋体" w:hAnsi="宋体" w:eastAsia="Times New Roman" w:cs="宋体"/>
                <w:color w:val="auto"/>
                <w:szCs w:val="21"/>
                <w:highlight w:val="none"/>
                <w:u w:val="single"/>
              </w:rPr>
              <w:t>履约保证保险</w:t>
            </w:r>
            <w:r>
              <w:rPr>
                <w:rFonts w:hint="eastAsia" w:ascii="宋体" w:hAnsi="宋体" w:eastAsia="Times New Roman" w:cs="宋体"/>
                <w:color w:val="auto"/>
                <w:szCs w:val="21"/>
                <w:highlight w:val="none"/>
              </w:rPr>
              <w:t>等形式（招标人不能限定只能以现金形式提交）</w:t>
            </w:r>
            <w:r>
              <w:rPr>
                <w:rFonts w:hint="eastAsia" w:ascii="宋体" w:hAnsi="宋体" w:eastAsia="Times New Roman"/>
                <w:color w:val="auto"/>
                <w:highlight w:val="none"/>
              </w:rPr>
              <w:t>。</w:t>
            </w:r>
          </w:p>
          <w:p>
            <w:pPr>
              <w:rPr>
                <w:rFonts w:ascii="宋体" w:hAnsi="宋体" w:eastAsia="Times New Roman"/>
                <w:color w:val="auto"/>
                <w:szCs w:val="21"/>
                <w:highlight w:val="none"/>
              </w:rPr>
            </w:pPr>
            <w:r>
              <w:rPr>
                <w:rFonts w:hint="eastAsia" w:ascii="宋体" w:hAnsi="宋体" w:cs="宋体"/>
                <w:color w:val="auto"/>
                <w:szCs w:val="21"/>
                <w:highlight w:val="none"/>
              </w:rPr>
              <w:t>■</w:t>
            </w:r>
            <w:r>
              <w:rPr>
                <w:rFonts w:hint="eastAsia" w:ascii="宋体" w:hAnsi="宋体" w:eastAsia="Times New Roman"/>
                <w:color w:val="auto"/>
                <w:highlight w:val="none"/>
              </w:rPr>
              <w:t>不要求。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766"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szCs w:val="21"/>
                <w:highlight w:val="none"/>
              </w:rPr>
            </w:pPr>
          </w:p>
        </w:tc>
        <w:tc>
          <w:tcPr>
            <w:tcW w:w="2183" w:type="dxa"/>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其他</w:t>
            </w:r>
          </w:p>
        </w:tc>
        <w:tc>
          <w:tcPr>
            <w:tcW w:w="6941" w:type="dxa"/>
            <w:tcBorders>
              <w:top w:val="single" w:color="auto" w:sz="4" w:space="0"/>
              <w:left w:val="single" w:color="auto" w:sz="4" w:space="0"/>
              <w:bottom w:val="double" w:color="auto" w:sz="4" w:space="0"/>
              <w:right w:val="double" w:color="auto" w:sz="4" w:space="0"/>
            </w:tcBorders>
            <w:vAlign w:val="center"/>
          </w:tcPr>
          <w:p>
            <w:pPr>
              <w:spacing w:before="40" w:after="40"/>
              <w:rPr>
                <w:rFonts w:ascii="宋体" w:hAnsi="宋体"/>
                <w:color w:val="auto"/>
                <w:szCs w:val="21"/>
                <w:highlight w:val="none"/>
                <w:u w:val="single"/>
              </w:rPr>
            </w:pPr>
            <w:r>
              <w:rPr>
                <w:rFonts w:hint="eastAsia" w:ascii="宋体" w:hAnsi="宋体" w:eastAsia="Times New Roman" w:cs="宋体"/>
                <w:color w:val="auto"/>
                <w:szCs w:val="21"/>
                <w:highlight w:val="none"/>
                <w:u w:val="single"/>
              </w:rPr>
              <w:t>中标人代缴公共资源交易服务费，其费用包含在中标人投标报价中，交易中心向中标人开具增值税发票。</w:t>
            </w:r>
          </w:p>
        </w:tc>
      </w:tr>
    </w:tbl>
    <w:p>
      <w:pPr>
        <w:pStyle w:val="4"/>
        <w:rPr>
          <w:rFonts w:ascii="宋体" w:hAnsi="宋体"/>
          <w:color w:val="auto"/>
          <w:highlight w:val="none"/>
        </w:rPr>
      </w:pPr>
      <w:r>
        <w:rPr>
          <w:rFonts w:ascii="宋体" w:hAnsi="宋体"/>
          <w:color w:val="auto"/>
          <w:highlight w:val="none"/>
        </w:rPr>
        <w:br w:type="page"/>
      </w:r>
      <w:bookmarkStart w:id="8" w:name="_Toc2064"/>
      <w:bookmarkStart w:id="9" w:name="_Toc1161"/>
      <w:r>
        <w:rPr>
          <w:rFonts w:hint="eastAsia" w:ascii="宋体" w:hAnsi="宋体"/>
          <w:color w:val="auto"/>
          <w:highlight w:val="none"/>
        </w:rPr>
        <w:t>二、投标须知修改表</w:t>
      </w:r>
      <w:bookmarkEnd w:id="8"/>
      <w:bookmarkEnd w:id="9"/>
    </w:p>
    <w:p>
      <w:pPr>
        <w:adjustRightInd w:val="0"/>
        <w:snapToGrid w:val="0"/>
        <w:ind w:firstLine="420"/>
        <w:rPr>
          <w:rFonts w:ascii="宋体" w:hAnsi="宋体"/>
          <w:color w:val="auto"/>
          <w:highlight w:val="none"/>
        </w:rPr>
      </w:pPr>
      <w:r>
        <w:rPr>
          <w:rFonts w:hint="eastAsia" w:ascii="宋体" w:hAnsi="宋体"/>
          <w:b/>
          <w:color w:val="auto"/>
          <w:szCs w:val="21"/>
          <w:highlight w:val="none"/>
        </w:rPr>
        <w:t>本投标须知使用GZYLZB2023-3招标文件范本的投标须知通用条款，与该通用条款不同之处，均在本表中列明，修改之处均以下划线标明，并以现文为准，原文不再有效。没有在本表中列明的条款，以原文为准。本招标文件中不再转录投标须知通用条款，请投标人自行到广州市林业和园林局网站（网址：</w:t>
      </w:r>
      <w:r>
        <w:rPr>
          <w:rFonts w:hint="eastAsia" w:ascii="宋体" w:hAnsi="宋体"/>
          <w:b/>
          <w:color w:val="auto"/>
          <w:szCs w:val="21"/>
          <w:highlight w:val="none"/>
          <w:u w:val="single"/>
        </w:rPr>
        <w:t>http://lyylj.gz.gov.cn/</w:t>
      </w:r>
      <w:r>
        <w:rPr>
          <w:rFonts w:hint="eastAsia" w:ascii="宋体" w:hAnsi="宋体"/>
          <w:b/>
          <w:color w:val="auto"/>
          <w:szCs w:val="21"/>
          <w:highlight w:val="none"/>
        </w:rPr>
        <w:t>）下载查阅。</w:t>
      </w:r>
    </w:p>
    <w:tbl>
      <w:tblPr>
        <w:tblStyle w:val="29"/>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47"/>
        <w:gridCol w:w="3843"/>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1047"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条款号</w:t>
            </w:r>
          </w:p>
        </w:tc>
        <w:tc>
          <w:tcPr>
            <w:tcW w:w="3843"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范本原文</w:t>
            </w:r>
          </w:p>
        </w:tc>
        <w:tc>
          <w:tcPr>
            <w:tcW w:w="4688" w:type="dxa"/>
            <w:vAlign w:val="center"/>
          </w:tcPr>
          <w:p>
            <w:pPr>
              <w:jc w:val="center"/>
              <w:rPr>
                <w:rFonts w:ascii="宋体" w:hAnsi="宋体" w:cs="宋体"/>
                <w:b/>
                <w:bCs/>
                <w:color w:val="auto"/>
                <w:szCs w:val="21"/>
                <w:highlight w:val="none"/>
              </w:rPr>
            </w:pPr>
            <w:r>
              <w:rPr>
                <w:rFonts w:hint="eastAsia" w:ascii="宋体" w:hAnsi="宋体" w:cs="宋体"/>
                <w:b/>
                <w:bCs/>
                <w:color w:val="auto"/>
                <w:szCs w:val="21"/>
                <w:highlight w:val="none"/>
              </w:rPr>
              <w:t>现文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047" w:type="dxa"/>
          </w:tcPr>
          <w:p>
            <w:pPr>
              <w:jc w:val="left"/>
              <w:rPr>
                <w:rFonts w:ascii="宋体" w:hAnsi="宋体" w:cs="宋体"/>
                <w:color w:val="auto"/>
                <w:szCs w:val="21"/>
                <w:highlight w:val="none"/>
              </w:rPr>
            </w:pPr>
            <w:r>
              <w:rPr>
                <w:rFonts w:hint="eastAsia" w:ascii="宋体" w:hAnsi="宋体" w:cs="宋体"/>
                <w:color w:val="auto"/>
                <w:szCs w:val="21"/>
                <w:highlight w:val="none"/>
              </w:rPr>
              <w:t>1.4.1（1）</w:t>
            </w:r>
          </w:p>
        </w:tc>
        <w:tc>
          <w:tcPr>
            <w:tcW w:w="3843" w:type="dxa"/>
          </w:tcPr>
          <w:p>
            <w:pPr>
              <w:rPr>
                <w:rFonts w:ascii="宋体" w:hAnsi="宋体" w:cs="宋体"/>
                <w:color w:val="auto"/>
                <w:szCs w:val="21"/>
                <w:highlight w:val="none"/>
              </w:rPr>
            </w:pPr>
            <w:r>
              <w:rPr>
                <w:rFonts w:hint="eastAsia" w:ascii="宋体" w:hAnsi="宋体" w:cs="宋体"/>
                <w:color w:val="auto"/>
                <w:highlight w:val="none"/>
              </w:rPr>
              <w:t>联合体各方应按招标文件提供的格式签订联合体协议书，明确联合体牵头人和各方权利义务；</w:t>
            </w:r>
          </w:p>
        </w:tc>
        <w:tc>
          <w:tcPr>
            <w:tcW w:w="4688" w:type="dxa"/>
          </w:tcPr>
          <w:p>
            <w:pPr>
              <w:adjustRightInd w:val="0"/>
              <w:snapToGrid w:val="0"/>
              <w:ind w:left="-1"/>
              <w:rPr>
                <w:rFonts w:ascii="宋体" w:hAnsi="宋体" w:cs="宋体"/>
                <w:b/>
                <w:color w:val="auto"/>
                <w:szCs w:val="21"/>
                <w:highlight w:val="none"/>
              </w:rPr>
            </w:pPr>
            <w:r>
              <w:rPr>
                <w:rFonts w:hint="eastAsia" w:ascii="宋体" w:hAnsi="宋体" w:eastAsia="Times New Roman" w:cs="宋体"/>
                <w:b/>
                <w:color w:val="auto"/>
                <w:szCs w:val="21"/>
                <w:highlight w:val="none"/>
              </w:rPr>
              <w:t>修改</w:t>
            </w:r>
            <w:r>
              <w:rPr>
                <w:rFonts w:hint="eastAsia" w:ascii="宋体" w:hAnsi="宋体" w:cs="宋体"/>
                <w:b/>
                <w:color w:val="auto"/>
                <w:szCs w:val="21"/>
                <w:highlight w:val="none"/>
              </w:rPr>
              <w:t>：</w:t>
            </w:r>
            <w:r>
              <w:rPr>
                <w:rFonts w:hint="eastAsia" w:ascii="宋体" w:hAnsi="宋体" w:cs="宋体"/>
                <w:color w:val="auto"/>
                <w:highlight w:val="none"/>
              </w:rPr>
              <w:t>联合体各方应按招标文件提供的格式签订联合体协议书，明确联合体</w:t>
            </w:r>
            <w:r>
              <w:rPr>
                <w:rFonts w:hint="eastAsia" w:ascii="宋体" w:hAnsi="宋体" w:cs="宋体"/>
                <w:color w:val="auto"/>
                <w:highlight w:val="none"/>
                <w:u w:val="single"/>
              </w:rPr>
              <w:t>主办方</w:t>
            </w:r>
            <w:r>
              <w:rPr>
                <w:rFonts w:hint="eastAsia" w:ascii="宋体" w:hAnsi="宋体" w:cs="宋体"/>
                <w:color w:val="auto"/>
                <w:highlight w:val="none"/>
              </w:rPr>
              <w:t>和各方权利义务；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047" w:type="dxa"/>
          </w:tcPr>
          <w:p>
            <w:pPr>
              <w:jc w:val="left"/>
              <w:rPr>
                <w:rFonts w:ascii="宋体" w:hAnsi="宋体" w:cs="宋体"/>
                <w:color w:val="auto"/>
                <w:szCs w:val="21"/>
                <w:highlight w:val="none"/>
              </w:rPr>
            </w:pPr>
            <w:r>
              <w:rPr>
                <w:rFonts w:hint="eastAsia" w:ascii="宋体" w:hAnsi="宋体" w:cs="宋体"/>
                <w:color w:val="auto"/>
                <w:szCs w:val="21"/>
                <w:highlight w:val="none"/>
              </w:rPr>
              <w:t>1.5（1</w:t>
            </w:r>
            <w:r>
              <w:rPr>
                <w:rFonts w:hint="eastAsia" w:ascii="宋体" w:hAnsi="宋体" w:eastAsia="Times New Roman" w:cs="宋体"/>
                <w:color w:val="auto"/>
                <w:szCs w:val="21"/>
                <w:highlight w:val="none"/>
              </w:rPr>
              <w:t>3</w:t>
            </w:r>
            <w:r>
              <w:rPr>
                <w:rFonts w:hint="eastAsia" w:ascii="宋体" w:hAnsi="宋体" w:cs="宋体"/>
                <w:color w:val="auto"/>
                <w:szCs w:val="21"/>
                <w:highlight w:val="none"/>
              </w:rPr>
              <w:t>）</w:t>
            </w:r>
          </w:p>
        </w:tc>
        <w:tc>
          <w:tcPr>
            <w:tcW w:w="3843" w:type="dxa"/>
          </w:tcPr>
          <w:p>
            <w:pPr>
              <w:rPr>
                <w:rFonts w:ascii="宋体" w:hAnsi="宋体" w:cs="宋体"/>
                <w:color w:val="auto"/>
                <w:szCs w:val="21"/>
                <w:highlight w:val="none"/>
              </w:rPr>
            </w:pPr>
            <w:r>
              <w:rPr>
                <w:rFonts w:hint="eastAsia" w:ascii="宋体" w:hAnsi="宋体" w:cs="宋体"/>
                <w:color w:val="auto"/>
                <w:highlight w:val="none"/>
              </w:rPr>
              <w:t>被工商行政管理机关在</w:t>
            </w:r>
            <w:r>
              <w:rPr>
                <w:rFonts w:hint="eastAsia" w:hAnsi="宋体" w:eastAsia="Times New Roman" w:cs="宋体"/>
                <w:color w:val="auto"/>
                <w:highlight w:val="none"/>
              </w:rPr>
              <w:t>全国</w:t>
            </w:r>
            <w:r>
              <w:rPr>
                <w:rFonts w:hint="eastAsia" w:ascii="宋体" w:hAnsi="宋体" w:cs="宋体"/>
                <w:color w:val="auto"/>
                <w:highlight w:val="none"/>
              </w:rPr>
              <w:t>企业信用信息公示系统中列入严重违法失信企业名单；</w:t>
            </w:r>
          </w:p>
        </w:tc>
        <w:tc>
          <w:tcPr>
            <w:tcW w:w="4688" w:type="dxa"/>
          </w:tcPr>
          <w:p>
            <w:pPr>
              <w:adjustRightInd w:val="0"/>
              <w:snapToGrid w:val="0"/>
              <w:ind w:left="-1"/>
              <w:rPr>
                <w:rFonts w:ascii="宋体" w:hAnsi="宋体" w:cs="宋体"/>
                <w:b/>
                <w:color w:val="auto"/>
                <w:szCs w:val="21"/>
                <w:highlight w:val="none"/>
              </w:rPr>
            </w:pPr>
            <w:r>
              <w:rPr>
                <w:rFonts w:hint="eastAsia" w:ascii="宋体" w:hAnsi="宋体" w:eastAsia="Times New Roman" w:cs="宋体"/>
                <w:b/>
                <w:color w:val="auto"/>
                <w:szCs w:val="21"/>
                <w:highlight w:val="none"/>
              </w:rPr>
              <w:t>修改</w:t>
            </w:r>
            <w:r>
              <w:rPr>
                <w:rFonts w:hint="eastAsia" w:ascii="宋体" w:hAnsi="宋体" w:cs="宋体"/>
                <w:b/>
                <w:color w:val="auto"/>
                <w:szCs w:val="21"/>
                <w:highlight w:val="none"/>
              </w:rPr>
              <w:t>：</w:t>
            </w:r>
            <w:r>
              <w:rPr>
                <w:rFonts w:hint="eastAsia" w:ascii="宋体" w:hAnsi="宋体" w:cs="宋体"/>
                <w:color w:val="auto"/>
                <w:highlight w:val="none"/>
              </w:rPr>
              <w:t>被工商行政管理机关在</w:t>
            </w:r>
            <w:r>
              <w:rPr>
                <w:rFonts w:hint="eastAsia" w:hAnsi="宋体" w:cs="宋体"/>
                <w:color w:val="auto"/>
                <w:highlight w:val="none"/>
                <w:u w:val="single"/>
              </w:rPr>
              <w:t>国家</w:t>
            </w:r>
            <w:r>
              <w:rPr>
                <w:rFonts w:hint="eastAsia" w:ascii="宋体" w:hAnsi="宋体" w:cs="宋体"/>
                <w:color w:val="auto"/>
                <w:highlight w:val="none"/>
              </w:rPr>
              <w:t>企业信用信息公示系统中列入严重违法失信企业名单；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047"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2.1.1</w:t>
            </w:r>
          </w:p>
        </w:tc>
        <w:tc>
          <w:tcPr>
            <w:tcW w:w="3843" w:type="dxa"/>
            <w:vAlign w:val="center"/>
          </w:tcPr>
          <w:p>
            <w:pPr>
              <w:jc w:val="left"/>
              <w:rPr>
                <w:rFonts w:ascii="宋体" w:hAnsi="宋体" w:cs="宋体"/>
                <w:color w:val="auto"/>
                <w:szCs w:val="21"/>
                <w:highlight w:val="none"/>
              </w:rPr>
            </w:pPr>
            <w:r>
              <w:rPr>
                <w:rFonts w:hint="eastAsia" w:ascii="宋体" w:hAnsi="宋体" w:cs="宋体"/>
                <w:color w:val="auto"/>
                <w:szCs w:val="21"/>
                <w:highlight w:val="none"/>
              </w:rPr>
              <w:t>招标答疑采用网上答疑方式。投标人若对招标文件有疑问，可在规定时间内通过广州公共资源交易网站进入提问区域提交问题，提交问题时一律不得署名。</w:t>
            </w:r>
          </w:p>
        </w:tc>
        <w:tc>
          <w:tcPr>
            <w:tcW w:w="4688" w:type="dxa"/>
            <w:vAlign w:val="center"/>
          </w:tcPr>
          <w:p>
            <w:pPr>
              <w:jc w:val="left"/>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招标答疑采用网上答疑方式。投标人若对招标文件有疑问，可在规定时间内通过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网站进入提问区域提交问题，提交问题时一律不得署名。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2.1.3</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澄清或答疑纪要是招标文件的组成部分，对投标人起约束作用。若招标答疑纪要或澄清与招标文件有矛盾时，以交易平台网站最后发布的答疑纪要或澄清为准。</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澄清或答疑纪要是招标文件的组成部分，对投标人起约束作用。若招标答疑纪要或澄清与招标文件有矛盾时，以交易平台网站最后发布的答疑纪要或澄清为准。</w:t>
            </w:r>
            <w:r>
              <w:rPr>
                <w:rFonts w:hint="eastAsia" w:ascii="宋体" w:hAnsi="宋体" w:cs="宋体"/>
                <w:color w:val="auto"/>
                <w:szCs w:val="21"/>
                <w:highlight w:val="none"/>
                <w:u w:val="single"/>
              </w:rPr>
              <w:t>招标文件的澄清或修改一经在交易平台网站发布，视作已发放给所有投标人。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2.3.1</w:t>
            </w:r>
          </w:p>
        </w:tc>
        <w:tc>
          <w:tcPr>
            <w:tcW w:w="3843" w:type="dxa"/>
            <w:vAlign w:val="center"/>
          </w:tcPr>
          <w:p>
            <w:pPr>
              <w:rPr>
                <w:rFonts w:ascii="宋体" w:hAnsi="宋体" w:cs="宋体"/>
                <w:color w:val="auto"/>
                <w:szCs w:val="21"/>
                <w:highlight w:val="none"/>
              </w:rPr>
            </w:pPr>
            <w:r>
              <w:rPr>
                <w:rFonts w:hint="eastAsia" w:ascii="宋体" w:hAnsi="宋体" w:cs="宋体"/>
                <w:color w:val="auto"/>
                <w:highlight w:val="none"/>
              </w:rPr>
              <w:t>投标文件应做到清晰、完整，文本、图纸文件大小应满足交易平台的要求，具体投标文件编制要求详见第五章《投标文件格式》。</w:t>
            </w:r>
            <w:r>
              <w:rPr>
                <w:rFonts w:hint="eastAsia" w:ascii="宋体" w:hAnsi="宋体"/>
                <w:color w:val="auto"/>
                <w:szCs w:val="21"/>
                <w:highlight w:val="none"/>
              </w:rPr>
              <w:t>技术文件页数不宜超过2</w:t>
            </w:r>
            <w:r>
              <w:rPr>
                <w:rFonts w:hint="eastAsia" w:ascii="宋体" w:hAnsi="宋体"/>
                <w:color w:val="auto"/>
                <w:szCs w:val="21"/>
                <w:highlight w:val="none"/>
                <w:u w:val="single"/>
              </w:rPr>
              <w:t>00</w:t>
            </w:r>
            <w:r>
              <w:rPr>
                <w:rFonts w:hint="eastAsia" w:ascii="宋体" w:hAnsi="宋体"/>
                <w:color w:val="auto"/>
                <w:szCs w:val="21"/>
                <w:highlight w:val="none"/>
              </w:rPr>
              <w:t>页，不包括封面及目录页</w:t>
            </w:r>
            <w:r>
              <w:rPr>
                <w:rFonts w:hint="eastAsia" w:ascii="宋体" w:hAnsi="宋体" w:cs="宋体"/>
                <w:color w:val="auto"/>
                <w:highlight w:val="none"/>
              </w:rPr>
              <w:t>。除非另有规定，否则投标文件的计量单位宜采用国际标准计量单位，尺寸齐全、准确，所有文字说明和文字标注以中文为准，报价均为人民币，时间均为北京时间。</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highlight w:val="none"/>
              </w:rPr>
              <w:t>投标文件应做到清晰、完整，文本、图纸文件大小应满足交易平台的要求，具体投标文件编制要求详见第五章《投标文件格式》。</w:t>
            </w:r>
            <w:r>
              <w:rPr>
                <w:rFonts w:hint="eastAsia" w:ascii="宋体" w:hAnsi="宋体"/>
                <w:color w:val="auto"/>
                <w:szCs w:val="21"/>
                <w:highlight w:val="none"/>
                <w:u w:val="single"/>
              </w:rPr>
              <w:t>技术文件页数最多不超过400页（其中单个工程设计项目不超过200页，不包括封面及目录页）</w:t>
            </w:r>
            <w:r>
              <w:rPr>
                <w:rFonts w:hint="eastAsia" w:ascii="宋体" w:hAnsi="宋体" w:cs="宋体"/>
                <w:color w:val="auto"/>
                <w:highlight w:val="none"/>
              </w:rPr>
              <w:t>。除非另有规定，否则投标文件的计量单位宜采用国际标准计量单位，尺寸齐全、准确，所有文字说明和文字标注以中文为准，报价均为人民币，时间均为北京时间。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2.5</w:t>
            </w:r>
          </w:p>
        </w:tc>
        <w:tc>
          <w:tcPr>
            <w:tcW w:w="3843" w:type="dxa"/>
          </w:tcPr>
          <w:p>
            <w:pPr>
              <w:pStyle w:val="18"/>
              <w:adjustRightInd w:val="0"/>
              <w:snapToGrid w:val="0"/>
              <w:ind w:left="721" w:hanging="721" w:hangingChars="342"/>
              <w:rPr>
                <w:rFonts w:hAnsi="宋体" w:cs="宋体"/>
                <w:b/>
                <w:bCs/>
                <w:color w:val="auto"/>
                <w:szCs w:val="21"/>
                <w:highlight w:val="none"/>
              </w:rPr>
            </w:pPr>
            <w:r>
              <w:rPr>
                <w:rFonts w:hint="eastAsia" w:hAnsi="宋体" w:cs="宋体"/>
                <w:b/>
                <w:bCs/>
                <w:color w:val="auto"/>
                <w:szCs w:val="21"/>
                <w:highlight w:val="none"/>
              </w:rPr>
              <w:t>投标有效期</w:t>
            </w:r>
          </w:p>
          <w:p>
            <w:pPr>
              <w:pStyle w:val="18"/>
              <w:adjustRightInd w:val="0"/>
              <w:snapToGrid w:val="0"/>
              <w:ind w:left="17" w:hanging="16" w:hangingChars="8"/>
              <w:rPr>
                <w:rFonts w:hAnsi="宋体" w:cs="宋体"/>
                <w:color w:val="auto"/>
                <w:szCs w:val="21"/>
                <w:highlight w:val="none"/>
              </w:rPr>
            </w:pPr>
            <w:r>
              <w:rPr>
                <w:rFonts w:hint="eastAsia" w:hAnsi="宋体" w:cs="宋体"/>
                <w:color w:val="auto"/>
                <w:szCs w:val="21"/>
                <w:highlight w:val="none"/>
              </w:rPr>
              <w:t>2.5.1 投标有效期见投标须知前附表。在此期限内，凡符合本招标文件要求的投标文件均保持有效。在提交投标文件截止时间后到招标文件规定的投标有效期终止之前，投标人不得补充、修改或者撤回其投标文件，否则其保证金将被没收。</w:t>
            </w:r>
          </w:p>
          <w:p>
            <w:pPr>
              <w:adjustRightInd w:val="0"/>
              <w:snapToGrid w:val="0"/>
              <w:ind w:left="17" w:hanging="16" w:hangingChars="8"/>
              <w:rPr>
                <w:rFonts w:ascii="宋体" w:hAnsi="宋体" w:cs="宋体"/>
                <w:color w:val="auto"/>
                <w:szCs w:val="21"/>
                <w:highlight w:val="none"/>
              </w:rPr>
            </w:pPr>
            <w:r>
              <w:rPr>
                <w:rFonts w:hint="eastAsia" w:ascii="宋体" w:hAnsi="宋体" w:cs="宋体"/>
                <w:color w:val="auto"/>
                <w:szCs w:val="21"/>
                <w:highlight w:val="none"/>
              </w:rPr>
              <w:t>2.5.2 招标人因特殊情况需要延长投标有效期的，应当通知所有投标人延长投标有效期。同意延长投标有效期的投标人应当相应延长其投标保证金的有效期，但不得修改投标文件的实质性内容，在延长期内本招标文件的规定仍然适用。拒绝延长投标有效期的投标人有权收回投标保证金。</w:t>
            </w:r>
          </w:p>
        </w:tc>
        <w:tc>
          <w:tcPr>
            <w:tcW w:w="4688" w:type="dxa"/>
          </w:tcPr>
          <w:p>
            <w:pPr>
              <w:rPr>
                <w:rFonts w:ascii="宋体" w:hAnsi="宋体" w:cs="宋体"/>
                <w:color w:val="auto"/>
                <w:szCs w:val="21"/>
                <w:highlight w:val="none"/>
              </w:rPr>
            </w:pPr>
            <w:r>
              <w:rPr>
                <w:rFonts w:hint="eastAsia" w:ascii="宋体" w:hAnsi="宋体" w:cs="宋体"/>
                <w:b/>
                <w:bCs/>
                <w:color w:val="auto"/>
                <w:szCs w:val="21"/>
                <w:highlight w:val="none"/>
              </w:rPr>
              <w:t>修改：投标有效期</w:t>
            </w:r>
          </w:p>
          <w:p>
            <w:pPr>
              <w:pStyle w:val="18"/>
              <w:adjustRightInd w:val="0"/>
              <w:snapToGrid w:val="0"/>
              <w:rPr>
                <w:rFonts w:hAnsi="宋体" w:cs="宋体"/>
                <w:color w:val="auto"/>
                <w:szCs w:val="21"/>
                <w:highlight w:val="none"/>
              </w:rPr>
            </w:pPr>
            <w:r>
              <w:rPr>
                <w:rFonts w:hint="eastAsia" w:hAnsi="宋体" w:cs="宋体"/>
                <w:color w:val="auto"/>
                <w:szCs w:val="21"/>
                <w:highlight w:val="none"/>
              </w:rPr>
              <w:t>2.5.1 投标有效期见投标须知前附表。在此期限内，凡符合本招标文件要求的投标文件均保持有效。在提交投标文件截止时间后到招标文件规定的投标有效期终止之前，投标人不得补充、修改或者撤回其投标文件</w:t>
            </w:r>
            <w:r>
              <w:rPr>
                <w:rFonts w:hint="eastAsia" w:hAnsi="宋体" w:cs="宋体"/>
                <w:strike/>
                <w:color w:val="auto"/>
                <w:szCs w:val="21"/>
                <w:highlight w:val="none"/>
              </w:rPr>
              <w:t>，否则其保证金将被没收</w:t>
            </w:r>
            <w:r>
              <w:rPr>
                <w:rFonts w:hint="eastAsia" w:hAnsi="宋体" w:cs="宋体"/>
                <w:color w:val="auto"/>
                <w:szCs w:val="21"/>
                <w:highlight w:val="none"/>
              </w:rPr>
              <w:t>。</w:t>
            </w:r>
          </w:p>
          <w:p>
            <w:pPr>
              <w:pStyle w:val="2"/>
              <w:ind w:left="0" w:leftChars="0"/>
              <w:rPr>
                <w:rFonts w:ascii="宋体" w:hAnsi="宋体" w:cs="宋体"/>
                <w:color w:val="auto"/>
                <w:szCs w:val="21"/>
                <w:highlight w:val="none"/>
              </w:rPr>
            </w:pPr>
            <w:r>
              <w:rPr>
                <w:rFonts w:hint="eastAsia" w:ascii="宋体" w:hAnsi="宋体" w:cs="宋体"/>
                <w:color w:val="auto"/>
                <w:szCs w:val="21"/>
                <w:highlight w:val="none"/>
              </w:rPr>
              <w:t>2.5.2 招标人因特殊情况需要延长投标有效期的，应当通知所有投标人延长投标有效期。同意延长投标有效期的投标人</w:t>
            </w:r>
            <w:r>
              <w:rPr>
                <w:rFonts w:hint="eastAsia" w:ascii="宋体" w:hAnsi="宋体" w:cs="宋体"/>
                <w:strike/>
                <w:color w:val="auto"/>
                <w:szCs w:val="21"/>
                <w:highlight w:val="none"/>
              </w:rPr>
              <w:t>应当相应延长其投标保证金的有效期，但</w:t>
            </w:r>
            <w:r>
              <w:rPr>
                <w:rFonts w:hint="eastAsia" w:ascii="宋体" w:hAnsi="宋体" w:cs="宋体"/>
                <w:color w:val="auto"/>
                <w:szCs w:val="21"/>
                <w:highlight w:val="none"/>
              </w:rPr>
              <w:t>不得修改投标文件的实质性内容，在延长期内本招标文件的规定仍然适用。</w:t>
            </w:r>
            <w:r>
              <w:rPr>
                <w:rFonts w:hint="eastAsia" w:ascii="宋体" w:hAnsi="宋体" w:cs="宋体"/>
                <w:strike/>
                <w:color w:val="auto"/>
                <w:szCs w:val="21"/>
                <w:highlight w:val="none"/>
              </w:rPr>
              <w:t>拒绝延长投标有效期的投标人有权收回投标保证金。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2.6</w:t>
            </w:r>
          </w:p>
        </w:tc>
        <w:tc>
          <w:tcPr>
            <w:tcW w:w="3843" w:type="dxa"/>
            <w:vAlign w:val="center"/>
          </w:tcPr>
          <w:p>
            <w:pPr>
              <w:rPr>
                <w:rFonts w:ascii="宋体" w:hAnsi="宋体" w:cs="宋体"/>
                <w:color w:val="auto"/>
                <w:szCs w:val="21"/>
                <w:highlight w:val="none"/>
              </w:rPr>
            </w:pPr>
            <w:r>
              <w:rPr>
                <w:rFonts w:hint="eastAsia" w:ascii="宋体" w:hAnsi="宋体" w:cs="宋体"/>
                <w:b/>
                <w:bCs/>
                <w:color w:val="auto"/>
                <w:szCs w:val="21"/>
                <w:highlight w:val="none"/>
              </w:rPr>
              <w:t>投标保证金</w:t>
            </w:r>
          </w:p>
          <w:p>
            <w:pPr>
              <w:rPr>
                <w:rFonts w:ascii="宋体" w:hAnsi="宋体" w:cs="宋体"/>
                <w:color w:val="auto"/>
                <w:szCs w:val="21"/>
                <w:highlight w:val="none"/>
              </w:rPr>
            </w:pPr>
            <w:r>
              <w:rPr>
                <w:rFonts w:hint="eastAsia" w:ascii="宋体" w:hAnsi="宋体" w:cs="宋体"/>
                <w:color w:val="auto"/>
                <w:szCs w:val="21"/>
                <w:highlight w:val="none"/>
              </w:rPr>
              <w:t>2.6.1  投标人应按投标须知前附表所述金额和时间递交投标保证金。招标人可委托广州公共资源交易中心具体实施保证金的收取和退还工作，并按照《广东省实施&lt;中华人民共和国招标投标法&gt;办法》第二十五条规定，按期退回投标保证金。</w:t>
            </w:r>
          </w:p>
          <w:p>
            <w:pPr>
              <w:rPr>
                <w:rFonts w:ascii="宋体" w:hAnsi="宋体" w:cs="宋体"/>
                <w:color w:val="auto"/>
                <w:szCs w:val="21"/>
                <w:highlight w:val="none"/>
              </w:rPr>
            </w:pPr>
            <w:r>
              <w:rPr>
                <w:rFonts w:hint="eastAsia" w:ascii="宋体" w:hAnsi="宋体" w:cs="宋体"/>
                <w:color w:val="auto"/>
                <w:szCs w:val="21"/>
                <w:highlight w:val="none"/>
              </w:rPr>
              <w:t>2.6.2  所有投标保证金必须由投标单位的银行基本账户转出。</w:t>
            </w:r>
          </w:p>
          <w:p>
            <w:pPr>
              <w:rPr>
                <w:rFonts w:ascii="宋体" w:hAnsi="宋体" w:cs="宋体"/>
                <w:color w:val="auto"/>
                <w:szCs w:val="21"/>
                <w:highlight w:val="none"/>
              </w:rPr>
            </w:pPr>
            <w:r>
              <w:rPr>
                <w:rFonts w:hint="eastAsia" w:ascii="宋体" w:hAnsi="宋体" w:cs="宋体"/>
                <w:color w:val="auto"/>
                <w:szCs w:val="21"/>
                <w:highlight w:val="none"/>
              </w:rPr>
              <w:t>2.6.3  如采用转账、现金、支票、汇票形式提交的，可委托广州公共资源交易中心代收投标保证金的，其缴纳情况以广州公共资源交易中心数据库记录的信息为准。缴费的操作详见广州公共资源交易中心操作指引。</w:t>
            </w:r>
          </w:p>
          <w:p>
            <w:pPr>
              <w:rPr>
                <w:rFonts w:ascii="宋体" w:hAnsi="宋体" w:cs="宋体"/>
                <w:color w:val="auto"/>
                <w:szCs w:val="21"/>
                <w:highlight w:val="none"/>
              </w:rPr>
            </w:pPr>
            <w:r>
              <w:rPr>
                <w:rFonts w:hint="eastAsia" w:ascii="宋体" w:hAnsi="宋体" w:cs="宋体"/>
                <w:color w:val="auto"/>
                <w:szCs w:val="21"/>
                <w:highlight w:val="none"/>
              </w:rPr>
              <w:t>2.6.4  如采用保函或保险形式提交的，银行保函需开具给招标人，银行保函有效期不少于投标有效期。保证保险须开具给招标人（受益人须为招标人），保证保险有效期不少于投标有效期。纸质保函或保险等凭证需在投标截止时间前将原件单独密封（封口处加盖投标人单位公章）递交至开标室。</w:t>
            </w:r>
          </w:p>
          <w:p>
            <w:pPr>
              <w:rPr>
                <w:rFonts w:ascii="宋体" w:hAnsi="宋体" w:cs="宋体"/>
                <w:color w:val="auto"/>
                <w:szCs w:val="21"/>
                <w:highlight w:val="none"/>
              </w:rPr>
            </w:pPr>
            <w:r>
              <w:rPr>
                <w:rFonts w:hint="eastAsia" w:ascii="宋体" w:hAnsi="宋体" w:cs="宋体"/>
                <w:color w:val="auto"/>
                <w:szCs w:val="21"/>
                <w:highlight w:val="none"/>
              </w:rPr>
              <w:t>2.6.5  投标人未按要求递交投标保证金的，其投标文件将被否决。</w:t>
            </w:r>
          </w:p>
          <w:p>
            <w:pPr>
              <w:rPr>
                <w:rFonts w:ascii="宋体" w:hAnsi="宋体" w:cs="宋体"/>
                <w:color w:val="auto"/>
                <w:szCs w:val="21"/>
                <w:highlight w:val="none"/>
              </w:rPr>
            </w:pPr>
            <w:r>
              <w:rPr>
                <w:rFonts w:hint="eastAsia" w:ascii="宋体" w:hAnsi="宋体" w:cs="宋体"/>
                <w:color w:val="auto"/>
                <w:szCs w:val="21"/>
                <w:highlight w:val="none"/>
              </w:rPr>
              <w:t>2.6.6  有下列情形之一的，投标保证金将不予退还：</w:t>
            </w:r>
          </w:p>
          <w:p>
            <w:pPr>
              <w:rPr>
                <w:rFonts w:ascii="宋体" w:hAnsi="宋体" w:cs="宋体"/>
                <w:color w:val="auto"/>
                <w:szCs w:val="21"/>
                <w:highlight w:val="none"/>
              </w:rPr>
            </w:pPr>
            <w:r>
              <w:rPr>
                <w:rFonts w:hint="eastAsia" w:ascii="宋体" w:hAnsi="宋体" w:cs="宋体"/>
                <w:color w:val="auto"/>
                <w:szCs w:val="21"/>
                <w:highlight w:val="none"/>
              </w:rPr>
              <w:t xml:space="preserve">（1）投标人在投标有效期内撤销投标文件； </w:t>
            </w:r>
          </w:p>
          <w:p>
            <w:pPr>
              <w:rPr>
                <w:rFonts w:ascii="宋体" w:hAnsi="宋体" w:cs="宋体"/>
                <w:color w:val="auto"/>
                <w:szCs w:val="21"/>
                <w:highlight w:val="none"/>
              </w:rPr>
            </w:pPr>
            <w:r>
              <w:rPr>
                <w:rFonts w:hint="eastAsia" w:ascii="宋体" w:hAnsi="宋体" w:cs="宋体"/>
                <w:color w:val="auto"/>
                <w:szCs w:val="21"/>
                <w:highlight w:val="none"/>
              </w:rPr>
              <w:t>（2）中标人在收到中标通知书后，无正当理由不与招标人订立合同，在签订合同时向招标人提出附加条件，或者不按照招标文件要求提交履约保证金。</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修改：</w:t>
            </w:r>
          </w:p>
          <w:p>
            <w:pPr>
              <w:rPr>
                <w:rFonts w:ascii="宋体" w:hAnsi="宋体" w:cs="宋体"/>
                <w:color w:val="auto"/>
                <w:szCs w:val="21"/>
                <w:highlight w:val="none"/>
              </w:rPr>
            </w:pPr>
            <w:r>
              <w:rPr>
                <w:rFonts w:hint="eastAsia" w:ascii="宋体" w:hAnsi="宋体" w:cs="宋体"/>
                <w:b/>
                <w:bCs/>
                <w:color w:val="auto"/>
                <w:szCs w:val="21"/>
                <w:highlight w:val="none"/>
              </w:rPr>
              <w:t>投标保证金</w:t>
            </w:r>
          </w:p>
          <w:p>
            <w:pPr>
              <w:rPr>
                <w:rFonts w:ascii="宋体" w:hAnsi="宋体" w:cs="宋体"/>
                <w:color w:val="auto"/>
                <w:szCs w:val="21"/>
                <w:highlight w:val="none"/>
              </w:rPr>
            </w:pPr>
            <w:r>
              <w:rPr>
                <w:rFonts w:hint="eastAsia" w:ascii="宋体" w:hAnsi="宋体" w:cs="宋体"/>
                <w:color w:val="auto"/>
                <w:szCs w:val="21"/>
                <w:highlight w:val="none"/>
              </w:rPr>
              <w:t>投标人不需要提交投标保证金。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2.7.6</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无</w:t>
            </w:r>
          </w:p>
        </w:tc>
        <w:tc>
          <w:tcPr>
            <w:tcW w:w="4688" w:type="dxa"/>
            <w:vAlign w:val="center"/>
          </w:tcPr>
          <w:p>
            <w:pPr>
              <w:rPr>
                <w:rFonts w:ascii="宋体" w:hAnsi="宋体" w:cs="宋体"/>
                <w:color w:val="auto"/>
                <w:szCs w:val="21"/>
                <w:highlight w:val="none"/>
                <w:u w:val="single"/>
              </w:rPr>
            </w:pPr>
            <w:r>
              <w:rPr>
                <w:rFonts w:hint="eastAsia" w:ascii="宋体" w:hAnsi="宋体" w:cs="宋体"/>
                <w:b/>
                <w:color w:val="auto"/>
                <w:szCs w:val="21"/>
                <w:highlight w:val="none"/>
              </w:rPr>
              <w:t>增加：</w:t>
            </w:r>
            <w:r>
              <w:rPr>
                <w:rFonts w:hint="eastAsia" w:ascii="宋体" w:hAnsi="宋体" w:cs="宋体"/>
                <w:color w:val="auto"/>
                <w:szCs w:val="21"/>
                <w:highlight w:val="none"/>
                <w:u w:val="single"/>
              </w:rPr>
              <w:t>拒绝接收投标文件光盘（备用）的情况：</w:t>
            </w:r>
          </w:p>
          <w:p>
            <w:pPr>
              <w:rPr>
                <w:rFonts w:ascii="宋体" w:hAnsi="宋体" w:cs="宋体"/>
                <w:color w:val="auto"/>
                <w:szCs w:val="21"/>
                <w:highlight w:val="none"/>
                <w:u w:val="single"/>
              </w:rPr>
            </w:pPr>
            <w:r>
              <w:rPr>
                <w:rFonts w:hint="eastAsia" w:ascii="宋体" w:hAnsi="宋体" w:cs="宋体"/>
                <w:color w:val="auto"/>
                <w:szCs w:val="21"/>
                <w:highlight w:val="none"/>
                <w:u w:val="single"/>
              </w:rPr>
              <w:t>（1）逾期或未在指定地点递交投标文件光盘（备用）；</w:t>
            </w:r>
          </w:p>
          <w:p>
            <w:pPr>
              <w:rPr>
                <w:rFonts w:ascii="宋体" w:hAnsi="宋体" w:cs="宋体"/>
                <w:color w:val="auto"/>
                <w:szCs w:val="21"/>
                <w:highlight w:val="none"/>
                <w:u w:val="single"/>
              </w:rPr>
            </w:pPr>
            <w:r>
              <w:rPr>
                <w:rFonts w:hint="eastAsia" w:ascii="宋体" w:hAnsi="宋体" w:cs="宋体"/>
                <w:color w:val="auto"/>
                <w:szCs w:val="21"/>
                <w:highlight w:val="none"/>
                <w:u w:val="single"/>
              </w:rPr>
              <w:t>（2）投标人递交的投标文件光盘（备用）未按招标文件要求密封或未在密封处盖章的；</w:t>
            </w:r>
          </w:p>
          <w:p>
            <w:pPr>
              <w:rPr>
                <w:rFonts w:ascii="宋体" w:hAnsi="宋体" w:cs="宋体"/>
                <w:color w:val="auto"/>
                <w:szCs w:val="21"/>
                <w:highlight w:val="none"/>
              </w:rPr>
            </w:pPr>
            <w:r>
              <w:rPr>
                <w:rFonts w:hint="eastAsia" w:ascii="宋体" w:hAnsi="宋体" w:cs="宋体"/>
                <w:color w:val="auto"/>
                <w:szCs w:val="21"/>
                <w:highlight w:val="none"/>
                <w:u w:val="single"/>
              </w:rPr>
              <w:t>（3）投标人代表未凭法定代表人证明书原件（格式见招标文件附录）、法定代表人授权委托书原件（非法定代表人递交投标文件光盘时提供，格式见招标文件附录）、本人身份证复印件（提供原件核对）递交投标文件光盘（备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2.9.1</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提交投标文件光盘备用</w:t>
            </w:r>
          </w:p>
          <w:p>
            <w:pPr>
              <w:rPr>
                <w:rFonts w:ascii="宋体" w:hAnsi="宋体" w:cs="宋体"/>
                <w:color w:val="auto"/>
                <w:szCs w:val="21"/>
                <w:highlight w:val="none"/>
              </w:rPr>
            </w:pPr>
            <w:r>
              <w:rPr>
                <w:rFonts w:hint="eastAsia" w:ascii="宋体" w:hAnsi="宋体" w:cs="宋体"/>
                <w:color w:val="auto"/>
                <w:szCs w:val="21"/>
                <w:highlight w:val="none"/>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c>
          <w:tcPr>
            <w:tcW w:w="4688" w:type="dxa"/>
            <w:vAlign w:val="center"/>
          </w:tcPr>
          <w:p>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提交投标文件光盘备用</w:t>
            </w:r>
          </w:p>
          <w:p>
            <w:pPr>
              <w:rPr>
                <w:rFonts w:ascii="宋体" w:hAnsi="宋体" w:cs="宋体"/>
                <w:color w:val="auto"/>
                <w:szCs w:val="21"/>
                <w:highlight w:val="none"/>
              </w:rPr>
            </w:pPr>
            <w:r>
              <w:rPr>
                <w:rFonts w:hint="eastAsia" w:ascii="宋体" w:hAnsi="宋体" w:cs="宋体"/>
                <w:color w:val="auto"/>
                <w:szCs w:val="21"/>
                <w:highlight w:val="none"/>
              </w:rPr>
              <w:t>投标人可制作非加密的电子投标文件刻入光盘（1份），在招标公告规定的时间、地点提交备用。</w:t>
            </w:r>
            <w:r>
              <w:rPr>
                <w:rFonts w:hint="eastAsia" w:ascii="宋体" w:hAnsi="宋体" w:cs="宋体"/>
                <w:b/>
                <w:bCs/>
                <w:color w:val="auto"/>
                <w:szCs w:val="21"/>
                <w:highlight w:val="none"/>
                <w:u w:val="single"/>
              </w:rPr>
              <w:t>投标文件光盘（备用）1份包括“开标文件光盘”“资格审查文件光盘”“商务文件光盘”“技术文件（设计方案）光盘”“保密文件光盘”共5只光盘。</w:t>
            </w:r>
          </w:p>
          <w:p>
            <w:pPr>
              <w:jc w:val="left"/>
              <w:rPr>
                <w:rFonts w:ascii="宋体" w:hAnsi="宋体" w:cs="宋体"/>
                <w:color w:val="auto"/>
                <w:szCs w:val="21"/>
                <w:highlight w:val="none"/>
              </w:rPr>
            </w:pPr>
            <w:r>
              <w:rPr>
                <w:rFonts w:hint="eastAsia" w:ascii="宋体" w:hAnsi="宋体" w:cs="宋体"/>
                <w:color w:val="auto"/>
                <w:szCs w:val="21"/>
                <w:highlight w:val="none"/>
                <w:u w:val="single"/>
              </w:rPr>
              <w:t>（1）</w:t>
            </w:r>
            <w:r>
              <w:rPr>
                <w:rFonts w:hint="eastAsia" w:ascii="宋体" w:hAnsi="宋体" w:cs="宋体"/>
                <w:b/>
                <w:color w:val="auto"/>
                <w:szCs w:val="21"/>
                <w:highlight w:val="none"/>
                <w:u w:val="single"/>
              </w:rPr>
              <w:t>开标文件光盘</w:t>
            </w:r>
            <w:r>
              <w:rPr>
                <w:rFonts w:hint="eastAsia" w:ascii="宋体" w:hAnsi="宋体" w:cs="宋体"/>
                <w:color w:val="auto"/>
                <w:szCs w:val="21"/>
                <w:highlight w:val="none"/>
                <w:u w:val="single"/>
              </w:rPr>
              <w:t>包括下列内容：(a)一套PDF格式制作的电子版开标信封文本文件。(b)一套WORD格式的电子版开标信封文本文件。</w:t>
            </w:r>
            <w:r>
              <w:rPr>
                <w:rFonts w:hint="eastAsia" w:ascii="宋体" w:hAnsi="宋体" w:cs="宋体"/>
                <w:color w:val="auto"/>
                <w:szCs w:val="21"/>
                <w:highlight w:val="none"/>
              </w:rPr>
              <w:t xml:space="preserve"> </w:t>
            </w:r>
          </w:p>
          <w:p>
            <w:pPr>
              <w:jc w:val="left"/>
              <w:rPr>
                <w:rFonts w:ascii="宋体" w:hAnsi="宋体" w:cs="宋体"/>
                <w:color w:val="auto"/>
                <w:szCs w:val="21"/>
                <w:highlight w:val="none"/>
              </w:rPr>
            </w:pPr>
            <w:r>
              <w:rPr>
                <w:rFonts w:hint="eastAsia" w:ascii="宋体" w:hAnsi="宋体" w:cs="宋体"/>
                <w:color w:val="auto"/>
                <w:szCs w:val="21"/>
                <w:highlight w:val="none"/>
                <w:u w:val="single"/>
              </w:rPr>
              <w:t>（2）</w:t>
            </w:r>
            <w:r>
              <w:rPr>
                <w:rFonts w:hint="eastAsia" w:ascii="宋体" w:hAnsi="宋体" w:cs="宋体"/>
                <w:b/>
                <w:color w:val="auto"/>
                <w:szCs w:val="21"/>
                <w:highlight w:val="none"/>
                <w:u w:val="single"/>
              </w:rPr>
              <w:t>资格审查文件光盘</w:t>
            </w:r>
            <w:r>
              <w:rPr>
                <w:rFonts w:hint="eastAsia" w:ascii="宋体" w:hAnsi="宋体" w:cs="宋体"/>
                <w:color w:val="auto"/>
                <w:szCs w:val="21"/>
                <w:highlight w:val="none"/>
                <w:u w:val="single"/>
              </w:rPr>
              <w:t>包括下列内容：</w:t>
            </w: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(a)一套PDF格式制作的电子版资格审查文件文本文件。(b)一套WORD格式的电子版资格审查文件文本文件。</w:t>
            </w:r>
            <w:r>
              <w:rPr>
                <w:rFonts w:hint="eastAsia" w:ascii="宋体" w:hAnsi="宋体" w:cs="宋体"/>
                <w:color w:val="auto"/>
                <w:szCs w:val="21"/>
                <w:highlight w:val="none"/>
              </w:rPr>
              <w:t xml:space="preserve"> </w:t>
            </w:r>
          </w:p>
          <w:p>
            <w:pPr>
              <w:jc w:val="left"/>
              <w:rPr>
                <w:rFonts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b/>
                <w:color w:val="auto"/>
                <w:szCs w:val="21"/>
                <w:highlight w:val="none"/>
                <w:u w:val="single"/>
              </w:rPr>
              <w:t>商务文件光盘</w:t>
            </w:r>
            <w:r>
              <w:rPr>
                <w:rFonts w:hint="eastAsia" w:ascii="宋体" w:hAnsi="宋体" w:cs="宋体"/>
                <w:color w:val="auto"/>
                <w:szCs w:val="21"/>
                <w:highlight w:val="none"/>
                <w:u w:val="single"/>
              </w:rPr>
              <w:t>包括下列内容：</w:t>
            </w:r>
          </w:p>
          <w:p>
            <w:pPr>
              <w:rPr>
                <w:rFonts w:ascii="宋体" w:hAnsi="宋体" w:cs="宋体"/>
                <w:color w:val="auto"/>
                <w:szCs w:val="21"/>
                <w:highlight w:val="none"/>
                <w:u w:val="single"/>
              </w:rPr>
            </w:pPr>
            <w:r>
              <w:rPr>
                <w:rFonts w:hint="eastAsia" w:ascii="宋体" w:hAnsi="宋体" w:cs="宋体"/>
                <w:color w:val="auto"/>
                <w:szCs w:val="21"/>
                <w:highlight w:val="none"/>
                <w:u w:val="single"/>
              </w:rPr>
              <w:t>(a)一套PDF格式制作的电子版商务文件文本文件。(b)一套WORD格式的电子版商务文件文本文件。</w:t>
            </w:r>
          </w:p>
          <w:p>
            <w:pPr>
              <w:rPr>
                <w:rFonts w:ascii="宋体" w:hAnsi="宋体" w:cs="宋体"/>
                <w:color w:val="auto"/>
                <w:szCs w:val="21"/>
                <w:highlight w:val="none"/>
                <w:u w:val="single"/>
              </w:rPr>
            </w:pPr>
            <w:r>
              <w:rPr>
                <w:rFonts w:hint="eastAsia" w:ascii="宋体" w:hAnsi="宋体" w:cs="宋体"/>
                <w:color w:val="auto"/>
                <w:szCs w:val="21"/>
                <w:highlight w:val="none"/>
                <w:u w:val="single"/>
              </w:rPr>
              <w:t>（4）</w:t>
            </w:r>
            <w:r>
              <w:rPr>
                <w:rFonts w:hint="eastAsia" w:ascii="宋体" w:hAnsi="宋体" w:cs="宋体"/>
                <w:b/>
                <w:color w:val="auto"/>
                <w:szCs w:val="21"/>
                <w:highlight w:val="none"/>
                <w:u w:val="single"/>
              </w:rPr>
              <w:t>技术文件（设计方案）光盘</w:t>
            </w:r>
            <w:r>
              <w:rPr>
                <w:rFonts w:hint="eastAsia" w:ascii="宋体" w:hAnsi="宋体" w:cs="宋体"/>
                <w:color w:val="auto"/>
                <w:szCs w:val="21"/>
                <w:highlight w:val="none"/>
                <w:u w:val="single"/>
              </w:rPr>
              <w:t>包括下列内容：</w:t>
            </w:r>
          </w:p>
          <w:p>
            <w:pPr>
              <w:rPr>
                <w:rFonts w:ascii="宋体" w:hAnsi="宋体" w:cs="宋体"/>
                <w:color w:val="auto"/>
                <w:szCs w:val="21"/>
                <w:highlight w:val="none"/>
                <w:u w:val="single"/>
              </w:rPr>
            </w:pPr>
            <w:r>
              <w:rPr>
                <w:rFonts w:hint="eastAsia" w:ascii="宋体" w:hAnsi="宋体" w:cs="宋体"/>
                <w:color w:val="auto"/>
                <w:szCs w:val="21"/>
                <w:highlight w:val="none"/>
                <w:u w:val="single"/>
              </w:rPr>
              <w:t>(a)一套PDF格式制作的电子版技术文件（设计方案）文本文件。(b)一套WORD或PPT格式的电子版技术文件（设计方案）文本文件（不须包含设计图形部分内容）。(c)一套AutoCAD格式的设计图形文件。</w:t>
            </w:r>
          </w:p>
          <w:p>
            <w:pPr>
              <w:rPr>
                <w:rFonts w:ascii="宋体" w:hAnsi="宋体" w:cs="宋体"/>
                <w:color w:val="auto"/>
                <w:szCs w:val="21"/>
                <w:highlight w:val="none"/>
                <w:u w:val="single"/>
              </w:rPr>
            </w:pPr>
            <w:r>
              <w:rPr>
                <w:rFonts w:hint="eastAsia" w:ascii="宋体" w:hAnsi="宋体" w:cs="宋体"/>
                <w:color w:val="auto"/>
                <w:szCs w:val="21"/>
                <w:highlight w:val="none"/>
                <w:u w:val="single"/>
              </w:rPr>
              <w:t>（5）</w:t>
            </w:r>
            <w:r>
              <w:rPr>
                <w:rFonts w:hint="eastAsia" w:ascii="宋体" w:hAnsi="宋体" w:cs="宋体"/>
                <w:b/>
                <w:color w:val="auto"/>
                <w:szCs w:val="21"/>
                <w:highlight w:val="none"/>
                <w:u w:val="single"/>
              </w:rPr>
              <w:t>保密文件光盘</w:t>
            </w:r>
            <w:r>
              <w:rPr>
                <w:rFonts w:hint="eastAsia" w:ascii="宋体" w:hAnsi="宋体" w:cs="宋体"/>
                <w:color w:val="auto"/>
                <w:szCs w:val="21"/>
                <w:highlight w:val="none"/>
                <w:u w:val="single"/>
              </w:rPr>
              <w:t>包括下列内容：</w:t>
            </w:r>
          </w:p>
          <w:p>
            <w:pPr>
              <w:rPr>
                <w:rFonts w:ascii="宋体" w:hAnsi="宋体" w:cs="宋体"/>
                <w:color w:val="auto"/>
                <w:szCs w:val="21"/>
                <w:highlight w:val="none"/>
                <w:u w:val="single"/>
              </w:rPr>
            </w:pPr>
            <w:r>
              <w:rPr>
                <w:rFonts w:hint="eastAsia" w:ascii="宋体" w:hAnsi="宋体" w:cs="宋体"/>
                <w:color w:val="auto"/>
                <w:szCs w:val="21"/>
                <w:highlight w:val="none"/>
                <w:u w:val="single"/>
              </w:rPr>
              <w:t>(a)一张JPG格式内容为表现图的图形文件，加盖投标人公章，项目负责人署名。表现图内容应与设计方案一致（并注明表现图在设计方案中的页码或图号），用于分辨投标文件对应的投标人身份。</w:t>
            </w:r>
          </w:p>
          <w:p>
            <w:pPr>
              <w:rPr>
                <w:rFonts w:ascii="宋体" w:hAnsi="宋体" w:cs="宋体"/>
                <w:color w:val="auto"/>
                <w:szCs w:val="21"/>
                <w:highlight w:val="none"/>
              </w:rPr>
            </w:pPr>
            <w:r>
              <w:rPr>
                <w:rFonts w:hint="eastAsia" w:ascii="宋体" w:hAnsi="宋体" w:cs="宋体"/>
                <w:b/>
                <w:color w:val="auto"/>
                <w:szCs w:val="21"/>
                <w:highlight w:val="none"/>
                <w:u w:val="single"/>
              </w:rPr>
              <w:t>注：</w:t>
            </w:r>
            <w:r>
              <w:rPr>
                <w:rFonts w:hint="eastAsia" w:ascii="宋体" w:hAnsi="宋体" w:cs="宋体"/>
                <w:color w:val="auto"/>
                <w:szCs w:val="21"/>
                <w:highlight w:val="none"/>
                <w:u w:val="single"/>
              </w:rPr>
              <w:t>刻录好的投标文件光盘分别密封在不透明的密封袋并作标记，其中</w:t>
            </w:r>
            <w:r>
              <w:rPr>
                <w:rFonts w:hint="eastAsia" w:ascii="宋体" w:hAnsi="宋体" w:cs="宋体"/>
                <w:b/>
                <w:bCs/>
                <w:color w:val="auto"/>
                <w:szCs w:val="21"/>
                <w:highlight w:val="none"/>
                <w:u w:val="single"/>
              </w:rPr>
              <w:t>“开标文件光盘”“资格审查文件光盘”“商务文件光盘”应分别在密封袋上写明（1）招标人名称；（2）“[工程名称][开标文件光盘或资格审查文件光盘或商务文件光盘]”字样；（3）投标人名称；并在封口处加盖投标人单位公章；“技术文件（设计方案）光盘”“保密文件光盘”应仅在密封袋上写明（1）招标人名称；（2）“[工程名称][技术文件（设计方案）光盘或保密文件光盘]”字样。</w:t>
            </w:r>
            <w:r>
              <w:rPr>
                <w:rFonts w:hint="eastAsia" w:ascii="宋体" w:hAnsi="宋体" w:cs="宋体"/>
                <w:color w:val="auto"/>
                <w:szCs w:val="21"/>
                <w:highlight w:val="none"/>
              </w:rPr>
              <w:t>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r>
              <w:rPr>
                <w:rFonts w:hint="eastAsia" w:ascii="宋体" w:hAnsi="宋体" w:cs="宋体"/>
                <w:color w:val="auto"/>
                <w:szCs w:val="21"/>
                <w:highlight w:val="none"/>
                <w:u w:val="single"/>
              </w:rPr>
              <w:t>，但应自行承担不提交光盘（备用）的风险。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3.1.6 (3)</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投标人未按要求递交投标保证金的。</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3.2.1（5）</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投标报价高于最高投标限价的，或未按招标文件要求报价的；</w:t>
            </w:r>
          </w:p>
        </w:tc>
        <w:tc>
          <w:tcPr>
            <w:tcW w:w="4688" w:type="dxa"/>
            <w:vAlign w:val="center"/>
          </w:tcPr>
          <w:p>
            <w:pPr>
              <w:rPr>
                <w:rFonts w:ascii="宋体" w:hAnsi="宋体" w:cs="宋体"/>
                <w:b/>
                <w:color w:val="auto"/>
                <w:szCs w:val="21"/>
                <w:highlight w:val="none"/>
              </w:rPr>
            </w:pPr>
            <w:r>
              <w:rPr>
                <w:rFonts w:hint="eastAsia" w:ascii="宋体" w:hAnsi="宋体" w:cs="宋体"/>
                <w:b/>
                <w:bCs/>
                <w:color w:val="auto"/>
                <w:szCs w:val="21"/>
                <w:highlight w:val="none"/>
              </w:rPr>
              <w:t>修改：</w:t>
            </w:r>
            <w:r>
              <w:rPr>
                <w:rFonts w:hint="eastAsia" w:ascii="宋体" w:hAnsi="宋体" w:cs="宋体"/>
                <w:color w:val="auto"/>
                <w:szCs w:val="21"/>
                <w:highlight w:val="none"/>
              </w:rPr>
              <w:t>投标报价高于最高投标限价</w:t>
            </w:r>
            <w:r>
              <w:rPr>
                <w:rFonts w:hint="eastAsia" w:ascii="宋体" w:hAnsi="宋体" w:cs="宋体"/>
                <w:color w:val="auto"/>
                <w:szCs w:val="21"/>
                <w:highlight w:val="none"/>
                <w:u w:val="single"/>
              </w:rPr>
              <w:t>总价或分项最高投标限价</w:t>
            </w:r>
            <w:r>
              <w:rPr>
                <w:rFonts w:hint="eastAsia" w:ascii="宋体" w:hAnsi="宋体" w:cs="宋体"/>
                <w:color w:val="auto"/>
                <w:szCs w:val="21"/>
                <w:highlight w:val="none"/>
              </w:rPr>
              <w:t>的，或未按招标文件要求报价的；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11</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3.4</w:t>
            </w:r>
          </w:p>
        </w:tc>
        <w:tc>
          <w:tcPr>
            <w:tcW w:w="3843" w:type="dxa"/>
            <w:vAlign w:val="center"/>
          </w:tcPr>
          <w:p>
            <w:pPr>
              <w:rPr>
                <w:rFonts w:ascii="宋体" w:hAnsi="宋体" w:cs="宋体"/>
                <w:b/>
                <w:bCs/>
                <w:color w:val="auto"/>
                <w:szCs w:val="21"/>
                <w:highlight w:val="none"/>
              </w:rPr>
            </w:pPr>
            <w:r>
              <w:rPr>
                <w:rFonts w:hint="eastAsia" w:ascii="宋体" w:hAnsi="宋体" w:cs="宋体"/>
                <w:b/>
                <w:bCs/>
                <w:color w:val="auto"/>
                <w:szCs w:val="21"/>
                <w:highlight w:val="none"/>
              </w:rPr>
              <w:t>评标办法及评标程序</w:t>
            </w:r>
          </w:p>
          <w:p>
            <w:pPr>
              <w:rPr>
                <w:rFonts w:ascii="宋体" w:hAnsi="宋体" w:cs="宋体"/>
                <w:b/>
                <w:bCs/>
                <w:color w:val="auto"/>
                <w:szCs w:val="21"/>
                <w:highlight w:val="none"/>
              </w:rPr>
            </w:pPr>
            <w:r>
              <w:rPr>
                <w:rFonts w:hint="eastAsia" w:ascii="宋体" w:hAnsi="宋体" w:cs="宋体"/>
                <w:b/>
                <w:bCs/>
                <w:color w:val="auto"/>
                <w:szCs w:val="21"/>
                <w:highlight w:val="none"/>
              </w:rPr>
              <w:t>3.4.1  办法一   综合评分法</w:t>
            </w:r>
          </w:p>
          <w:p>
            <w:pPr>
              <w:pStyle w:val="18"/>
              <w:ind w:left="17" w:hanging="16" w:hangingChars="8"/>
              <w:rPr>
                <w:rFonts w:hAnsi="宋体" w:cs="宋体"/>
                <w:color w:val="auto"/>
                <w:szCs w:val="21"/>
                <w:highlight w:val="none"/>
              </w:rPr>
            </w:pPr>
            <w:r>
              <w:rPr>
                <w:rFonts w:hint="eastAsia" w:hAnsi="宋体" w:cs="宋体"/>
                <w:color w:val="auto"/>
                <w:szCs w:val="21"/>
                <w:highlight w:val="none"/>
              </w:rPr>
              <w:t>（1）评标委员会专家按附件1《资格审查表》对各投标文件进行资格审查，编写资格审查报告。只有通过资格审查的投标文件方可进入下一阶段的评审。如果有否决投标提议，则评标委员会成员共同表决，按照少数服从多数的原则决定是否否决。</w:t>
            </w:r>
          </w:p>
          <w:p>
            <w:pPr>
              <w:pStyle w:val="18"/>
              <w:ind w:left="17" w:hanging="16" w:hangingChars="8"/>
              <w:rPr>
                <w:rFonts w:hAnsi="宋体" w:cs="宋体"/>
                <w:color w:val="auto"/>
                <w:szCs w:val="21"/>
                <w:highlight w:val="none"/>
              </w:rPr>
            </w:pPr>
            <w:r>
              <w:rPr>
                <w:rFonts w:hint="eastAsia" w:hAnsi="宋体" w:cs="宋体"/>
                <w:color w:val="auto"/>
                <w:szCs w:val="21"/>
                <w:highlight w:val="none"/>
              </w:rPr>
              <w:t>（2）评标委员会专家按附件2《投标文件有效性审查表》对各投标文件进行评审，只有通过投标文件有效性审查的投标文件方可进入下一阶段的评审。如果有否决投标提议，则评标委员会成员共同表决，按照少数服从多数的原则决定是否否决。</w:t>
            </w:r>
          </w:p>
          <w:p>
            <w:pPr>
              <w:pStyle w:val="18"/>
              <w:ind w:left="17" w:hanging="16" w:hangingChars="8"/>
              <w:rPr>
                <w:rFonts w:hAnsi="宋体" w:cs="宋体"/>
                <w:color w:val="auto"/>
                <w:szCs w:val="21"/>
                <w:highlight w:val="none"/>
              </w:rPr>
            </w:pPr>
            <w:r>
              <w:rPr>
                <w:rFonts w:hint="eastAsia" w:hAnsi="宋体" w:cs="宋体"/>
                <w:color w:val="auto"/>
                <w:szCs w:val="21"/>
                <w:highlight w:val="none"/>
              </w:rPr>
              <w:t>（3）评标委员会专家按附件3《技术文件有效性审查表》对各投标文件进行评审，只有通过技术有效性审查的投标文件方可进入下一阶段的评审。如果有否决投标提议，则评标委员会成员共同表决，按照少数服从多数的原则决定是否否决。</w:t>
            </w:r>
          </w:p>
          <w:p>
            <w:pPr>
              <w:pStyle w:val="18"/>
              <w:ind w:left="17" w:hanging="16" w:hangingChars="8"/>
              <w:rPr>
                <w:rFonts w:hAnsi="宋体" w:cs="宋体"/>
                <w:color w:val="auto"/>
                <w:szCs w:val="21"/>
                <w:highlight w:val="none"/>
              </w:rPr>
            </w:pPr>
            <w:r>
              <w:rPr>
                <w:rFonts w:hint="eastAsia" w:hAnsi="宋体" w:cs="宋体"/>
                <w:color w:val="auto"/>
                <w:szCs w:val="21"/>
                <w:highlight w:val="none"/>
              </w:rPr>
              <w:t>（4）评标委员会专家按附件4《技术文件综合评分表》对各投标单位的技术文件（设计方案）进行综合评分。</w:t>
            </w:r>
          </w:p>
          <w:p>
            <w:pPr>
              <w:pStyle w:val="18"/>
              <w:ind w:left="17" w:hanging="16" w:hangingChars="8"/>
              <w:rPr>
                <w:rFonts w:hAnsi="宋体" w:cs="宋体"/>
                <w:color w:val="auto"/>
                <w:szCs w:val="21"/>
                <w:highlight w:val="none"/>
              </w:rPr>
            </w:pPr>
            <w:r>
              <w:rPr>
                <w:rFonts w:hint="eastAsia" w:hAnsi="宋体" w:cs="宋体"/>
                <w:color w:val="auto"/>
                <w:szCs w:val="21"/>
                <w:highlight w:val="none"/>
              </w:rPr>
              <w:t>（5）评标委员会专家揭晓技术文件评审结果。</w:t>
            </w:r>
          </w:p>
          <w:p>
            <w:pPr>
              <w:pStyle w:val="18"/>
              <w:ind w:left="17" w:hanging="16" w:hangingChars="8"/>
              <w:rPr>
                <w:rFonts w:hAnsi="宋体" w:cs="宋体"/>
                <w:color w:val="auto"/>
                <w:szCs w:val="21"/>
                <w:highlight w:val="none"/>
              </w:rPr>
            </w:pPr>
            <w:r>
              <w:rPr>
                <w:rFonts w:hint="eastAsia" w:hAnsi="宋体" w:cs="宋体"/>
                <w:color w:val="auto"/>
                <w:szCs w:val="21"/>
                <w:highlight w:val="none"/>
              </w:rPr>
              <w:t>（6）评标委员会专家按附件5《商务文件综合评分表》对各投标单位的商务文件进行综合评分。</w:t>
            </w:r>
          </w:p>
          <w:p>
            <w:pPr>
              <w:pStyle w:val="18"/>
              <w:ind w:left="17" w:hanging="16" w:hangingChars="8"/>
              <w:rPr>
                <w:rFonts w:hAnsi="宋体" w:cs="宋体"/>
                <w:color w:val="auto"/>
                <w:szCs w:val="21"/>
                <w:highlight w:val="none"/>
              </w:rPr>
            </w:pPr>
            <w:r>
              <w:rPr>
                <w:rFonts w:hint="eastAsia" w:hAnsi="宋体" w:cs="宋体"/>
                <w:color w:val="auto"/>
                <w:szCs w:val="21"/>
                <w:highlight w:val="none"/>
              </w:rPr>
              <w:t>（7）评标委员会专家评出各投标人商务和技术文件的分数，按投标须知前附表规定计算每个投标人的商务和技术文件得分。分数出现小数点，保留小数点后二位，第三位小数四舍五入。</w:t>
            </w:r>
          </w:p>
          <w:p>
            <w:pPr>
              <w:pStyle w:val="18"/>
              <w:ind w:left="17" w:hanging="16" w:hangingChars="8"/>
              <w:rPr>
                <w:rFonts w:hAnsi="宋体" w:cs="宋体"/>
                <w:color w:val="auto"/>
                <w:szCs w:val="21"/>
                <w:highlight w:val="none"/>
              </w:rPr>
            </w:pPr>
            <w:r>
              <w:rPr>
                <w:rFonts w:hint="eastAsia" w:hAnsi="宋体" w:cs="宋体"/>
                <w:color w:val="auto"/>
                <w:szCs w:val="21"/>
                <w:highlight w:val="none"/>
              </w:rPr>
              <w:t>（8）评标委员会专家按附件6《投标报价得分表》对各投标单位的报价进行评分。</w:t>
            </w:r>
          </w:p>
          <w:p>
            <w:pPr>
              <w:pStyle w:val="18"/>
              <w:ind w:left="17" w:hanging="16" w:hangingChars="8"/>
              <w:rPr>
                <w:rFonts w:hAnsi="宋体" w:cs="宋体"/>
                <w:color w:val="auto"/>
                <w:szCs w:val="21"/>
                <w:highlight w:val="none"/>
              </w:rPr>
            </w:pPr>
            <w:r>
              <w:rPr>
                <w:rFonts w:hint="eastAsia" w:hAnsi="宋体" w:cs="宋体"/>
                <w:color w:val="auto"/>
                <w:szCs w:val="21"/>
                <w:highlight w:val="none"/>
              </w:rPr>
              <w:t>（9）评标委员会按投标须知前附表的规定计算各投标人的综合得分，填写附件7《综合得分汇总表》。</w:t>
            </w:r>
          </w:p>
          <w:p>
            <w:pPr>
              <w:pStyle w:val="18"/>
              <w:ind w:left="17" w:hanging="16" w:hangingChars="8"/>
              <w:rPr>
                <w:rFonts w:hAnsi="宋体" w:cs="宋体"/>
                <w:color w:val="auto"/>
                <w:szCs w:val="21"/>
                <w:highlight w:val="none"/>
              </w:rPr>
            </w:pPr>
            <w:r>
              <w:rPr>
                <w:rFonts w:hint="eastAsia" w:hAnsi="宋体" w:cs="宋体"/>
                <w:color w:val="auto"/>
                <w:szCs w:val="21"/>
                <w:highlight w:val="none"/>
              </w:rPr>
              <w:t>综合评分法一：投标人综合得分＝商务文件得分×30%+技术文件得分×70%。</w:t>
            </w:r>
          </w:p>
          <w:p>
            <w:pPr>
              <w:pStyle w:val="18"/>
              <w:ind w:left="17" w:hanging="16" w:hangingChars="8"/>
              <w:rPr>
                <w:rFonts w:hAnsi="宋体" w:cs="宋体"/>
                <w:color w:val="auto"/>
                <w:szCs w:val="21"/>
                <w:highlight w:val="none"/>
              </w:rPr>
            </w:pPr>
            <w:r>
              <w:rPr>
                <w:rFonts w:hint="eastAsia" w:hAnsi="宋体" w:cs="宋体"/>
                <w:color w:val="auto"/>
                <w:szCs w:val="21"/>
                <w:highlight w:val="none"/>
              </w:rPr>
              <w:t>综合评分法二：投标人综合得分＝商务文件得分×20%+技术文件得分×70%+投标报价得分×10%。</w:t>
            </w:r>
          </w:p>
          <w:p>
            <w:pPr>
              <w:pStyle w:val="18"/>
              <w:ind w:left="17" w:hanging="16" w:hangingChars="8"/>
              <w:rPr>
                <w:rFonts w:hAnsi="宋体" w:cs="宋体"/>
                <w:color w:val="auto"/>
                <w:szCs w:val="21"/>
                <w:highlight w:val="none"/>
              </w:rPr>
            </w:pPr>
            <w:r>
              <w:rPr>
                <w:rFonts w:hint="eastAsia" w:hAnsi="宋体" w:cs="宋体"/>
                <w:color w:val="auto"/>
                <w:szCs w:val="21"/>
                <w:highlight w:val="none"/>
              </w:rPr>
              <w:t>（10）评标委员会编写、签署评标报告。不采用评定分离的，评标委员会向招标人推荐按综合得分结果排序的中标候选人；采用评定分离的，评标委员会向招标人推荐不排序的中标候选人。评标报告由评标委员会全体成员签名，对评标结论持有异议的评标委员会成员可以书面方式阐述其不同意见和理由。</w:t>
            </w:r>
          </w:p>
          <w:p>
            <w:pPr>
              <w:pStyle w:val="18"/>
              <w:ind w:left="17" w:hanging="16" w:hangingChars="8"/>
              <w:rPr>
                <w:rFonts w:hAnsi="宋体" w:cs="宋体"/>
                <w:color w:val="auto"/>
                <w:szCs w:val="21"/>
                <w:highlight w:val="none"/>
              </w:rPr>
            </w:pPr>
            <w:r>
              <w:rPr>
                <w:rFonts w:hint="eastAsia" w:hAnsi="宋体" w:cs="宋体"/>
                <w:color w:val="auto"/>
                <w:szCs w:val="21"/>
                <w:highlight w:val="none"/>
              </w:rPr>
              <w:t>（11）招标人（或招标代理机构）提前将揭晓评标结果的会议时间和地点通知所有投标人，并邀请投标人出席。公开展示所有投标文件，并根据请求告知已投标但未出席会议的投标人。</w:t>
            </w:r>
          </w:p>
          <w:p>
            <w:pPr>
              <w:pStyle w:val="18"/>
              <w:adjustRightInd w:val="0"/>
              <w:snapToGrid w:val="0"/>
              <w:ind w:left="17" w:hanging="16" w:hangingChars="8"/>
              <w:rPr>
                <w:rFonts w:hAnsi="宋体" w:cs="宋体"/>
                <w:color w:val="auto"/>
                <w:szCs w:val="21"/>
                <w:highlight w:val="none"/>
              </w:rPr>
            </w:pPr>
            <w:r>
              <w:rPr>
                <w:rFonts w:hint="eastAsia" w:hAnsi="宋体" w:cs="宋体"/>
                <w:color w:val="auto"/>
                <w:szCs w:val="21"/>
                <w:highlight w:val="none"/>
              </w:rPr>
              <w:t>（12）评标委员会向招标人提交书面评标报告后即告解散，评标过程中使用的文件、表格以及其他资料应当即时归还招标人（或招标代理机构）。</w:t>
            </w:r>
          </w:p>
        </w:tc>
        <w:tc>
          <w:tcPr>
            <w:tcW w:w="4688" w:type="dxa"/>
            <w:vAlign w:val="center"/>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修改：</w:t>
            </w:r>
            <w:r>
              <w:rPr>
                <w:rFonts w:hint="eastAsia" w:ascii="宋体" w:hAnsi="宋体" w:cs="宋体"/>
                <w:b/>
                <w:bCs/>
                <w:color w:val="auto"/>
                <w:szCs w:val="21"/>
                <w:highlight w:val="none"/>
              </w:rPr>
              <w:t>评标办法及评标程序</w:t>
            </w:r>
          </w:p>
          <w:p>
            <w:pPr>
              <w:adjustRightInd w:val="0"/>
              <w:snapToGrid w:val="0"/>
              <w:rPr>
                <w:rFonts w:ascii="宋体" w:hAnsi="宋体" w:cs="宋体"/>
                <w:b/>
                <w:bCs/>
                <w:color w:val="auto"/>
                <w:szCs w:val="21"/>
                <w:highlight w:val="none"/>
              </w:rPr>
            </w:pPr>
            <w:r>
              <w:rPr>
                <w:rFonts w:hint="eastAsia" w:ascii="宋体" w:hAnsi="宋体" w:cs="宋体"/>
                <w:b/>
                <w:bCs/>
                <w:color w:val="auto"/>
                <w:szCs w:val="21"/>
                <w:highlight w:val="none"/>
              </w:rPr>
              <w:t>3.4.1  办法一   综合评分法</w:t>
            </w:r>
          </w:p>
          <w:p>
            <w:pPr>
              <w:adjustRightInd w:val="0"/>
              <w:snapToGrid w:val="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1）评标委员会专家按附件1《资格审查表》对各投标文件进行资格审查，编写资格审查报告。只有通过资格审查的投标文件方可进入下一阶段的评审。如果有否决投标提议，则评标委员会成员共同表决，按照少数服从多数的原则决定是否否决。</w:t>
            </w:r>
          </w:p>
          <w:p>
            <w:pPr>
              <w:adjustRightInd w:val="0"/>
              <w:snapToGrid w:val="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评标委员会专家按附件2《投标文件有效性审查表》对各投标文件进行评审，只有通过投标文件有效性审查的投标文件方可进入下一阶段的评审。如果有否决投标提议，则评标委员会成员共同表决，按照少数服从多数的原则决定是否否决。</w:t>
            </w:r>
          </w:p>
          <w:p>
            <w:pPr>
              <w:adjustRightInd w:val="0"/>
              <w:snapToGrid w:val="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3）评标委员会专家按附件3《技术文件有效性审查表》对各投标文件进行评审，只有通过技术有效性审查的投标文件方可进入下一阶段的评审。如果有否决投标提议，则评标委员会成员共同表决，按照少数服从多数的原则决定是否否决。</w:t>
            </w:r>
          </w:p>
          <w:p>
            <w:pPr>
              <w:adjustRightInd w:val="0"/>
              <w:snapToGrid w:val="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（4）评标委员会专家按附件4《技术文件综合评分表》对各投标单位的技术文件（设计方案）进行综合评分。</w:t>
            </w:r>
          </w:p>
          <w:p>
            <w:pPr>
              <w:adjustRightInd w:val="0"/>
              <w:snapToGrid w:val="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（5）评标委员会专家揭晓技术文件评审结果。</w:t>
            </w:r>
          </w:p>
          <w:p>
            <w:pPr>
              <w:adjustRightInd w:val="0"/>
              <w:snapToGrid w:val="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（6）评标委员会专家按附件5《商务文件综合评分表》对各投标单位的商务文件进行综合评分。</w:t>
            </w:r>
          </w:p>
          <w:p>
            <w:pPr>
              <w:adjustRightInd w:val="0"/>
              <w:snapToGrid w:val="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（7）评标委员会专家评出各投标人商务和技术文件的分数，按投标须知前附表规定计算每个投标人的商务和技术文件得分。分数出现小数点，保留小数点后二位，第三位小数四舍五入。</w:t>
            </w:r>
          </w:p>
          <w:p>
            <w:pPr>
              <w:adjustRightInd w:val="0"/>
              <w:snapToGrid w:val="0"/>
              <w:rPr>
                <w:rFonts w:ascii="宋体" w:hAnsi="宋体" w:eastAsia="Times New Roman" w:cs="宋体"/>
                <w:strike/>
                <w:color w:val="auto"/>
                <w:szCs w:val="21"/>
                <w:highlight w:val="none"/>
              </w:rPr>
            </w:pPr>
            <w:r>
              <w:rPr>
                <w:rFonts w:hint="eastAsia" w:ascii="宋体" w:hAnsi="宋体" w:eastAsia="Times New Roman" w:cs="宋体"/>
                <w:strike/>
                <w:color w:val="auto"/>
                <w:szCs w:val="21"/>
                <w:highlight w:val="none"/>
              </w:rPr>
              <w:t>（8）评标委员会专家按附件6《投标报价得分表》对各投标单位的报价进行评分。</w:t>
            </w:r>
          </w:p>
          <w:p>
            <w:pPr>
              <w:adjustRightInd w:val="0"/>
              <w:snapToGrid w:val="0"/>
              <w:rPr>
                <w:rFonts w:ascii="宋体" w:hAnsi="宋体" w:eastAsia="Times New Roman" w:cs="宋体"/>
                <w:color w:val="auto"/>
                <w:szCs w:val="21"/>
                <w:highlight w:val="none"/>
                <w:u w:val="single"/>
              </w:rPr>
            </w:pPr>
            <w:r>
              <w:rPr>
                <w:rFonts w:hint="eastAsia" w:ascii="宋体" w:hAnsi="宋体" w:eastAsia="Times New Roman" w:cs="宋体"/>
                <w:color w:val="auto"/>
                <w:szCs w:val="21"/>
                <w:highlight w:val="none"/>
              </w:rPr>
              <w:t>（9）评标委员会按投标须知前附表的规定计算各投标人的综合得分，填写附件7《综合得分汇总表》。</w:t>
            </w:r>
          </w:p>
          <w:p>
            <w:pPr>
              <w:adjustRightInd w:val="0"/>
              <w:snapToGrid w:val="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综合评分法一：投标人综合得分＝商务文件得分×30%+技术文件得分×70%。</w:t>
            </w:r>
          </w:p>
          <w:p>
            <w:pPr>
              <w:adjustRightInd w:val="0"/>
              <w:snapToGrid w:val="0"/>
              <w:rPr>
                <w:rFonts w:ascii="宋体" w:hAnsi="宋体" w:eastAsia="Times New Roman" w:cs="宋体"/>
                <w:strike/>
                <w:color w:val="auto"/>
                <w:szCs w:val="21"/>
                <w:highlight w:val="none"/>
              </w:rPr>
            </w:pPr>
            <w:r>
              <w:rPr>
                <w:rFonts w:hint="eastAsia" w:ascii="宋体" w:hAnsi="宋体" w:eastAsia="Times New Roman" w:cs="宋体"/>
                <w:strike/>
                <w:color w:val="auto"/>
                <w:szCs w:val="21"/>
                <w:highlight w:val="none"/>
              </w:rPr>
              <w:t>综合评分法二：投标人综合得分＝商务文件得分×20%+技术文件得分×70%+投标报价得分×10%。</w:t>
            </w:r>
          </w:p>
          <w:p>
            <w:pPr>
              <w:adjustRightInd w:val="0"/>
              <w:snapToGrid w:val="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（10）评标委员会编写、签署评标报告。不采用评定分离的，评标委员会向招标人推荐按综合得分结果排序的中标候选人</w:t>
            </w:r>
            <w:r>
              <w:rPr>
                <w:rFonts w:hint="eastAsia" w:ascii="宋体" w:hAnsi="宋体" w:eastAsia="Times New Roman" w:cs="宋体"/>
                <w:strike/>
                <w:color w:val="auto"/>
                <w:szCs w:val="21"/>
                <w:highlight w:val="none"/>
              </w:rPr>
              <w:t>；采用评定分离的，评标委员会向招标人推荐不排序的中标候选人</w:t>
            </w:r>
            <w:r>
              <w:rPr>
                <w:rFonts w:hint="eastAsia" w:ascii="宋体" w:hAnsi="宋体" w:eastAsia="Times New Roman" w:cs="宋体"/>
                <w:color w:val="auto"/>
                <w:szCs w:val="21"/>
                <w:highlight w:val="none"/>
              </w:rPr>
              <w:t>。评标报告由评标委员会全体成员签名，对评标结论持有异议的评标委员会成员可以书面方式阐述其不同意见和理由。</w:t>
            </w:r>
          </w:p>
          <w:p>
            <w:pPr>
              <w:adjustRightInd w:val="0"/>
              <w:snapToGrid w:val="0"/>
              <w:rPr>
                <w:rFonts w:ascii="宋体" w:hAnsi="宋体" w:eastAsia="Times New Roman" w:cs="宋体"/>
                <w:strike/>
                <w:color w:val="auto"/>
                <w:szCs w:val="21"/>
                <w:highlight w:val="none"/>
              </w:rPr>
            </w:pPr>
            <w:r>
              <w:rPr>
                <w:rFonts w:hint="eastAsia" w:ascii="宋体" w:hAnsi="宋体" w:eastAsia="Times New Roman" w:cs="宋体"/>
                <w:strike/>
                <w:color w:val="auto"/>
                <w:szCs w:val="21"/>
                <w:highlight w:val="none"/>
              </w:rPr>
              <w:t>（11）招标人（或招标代理机构）提前将揭晓评标结果的会议时间和地点通知所有投标人，并邀请投标人出席。公开展示所有投标文件，并根据请求告知已投标但未出席会议的投标人。</w:t>
            </w:r>
          </w:p>
          <w:p>
            <w:pPr>
              <w:adjustRightInd w:val="0"/>
              <w:snapToGrid w:val="0"/>
              <w:rPr>
                <w:rFonts w:ascii="宋体" w:hAnsi="宋体" w:cs="宋体"/>
                <w:color w:val="auto"/>
                <w:szCs w:val="21"/>
                <w:highlight w:val="none"/>
              </w:rPr>
            </w:pPr>
            <w:r>
              <w:rPr>
                <w:rFonts w:hint="eastAsia" w:ascii="宋体" w:hAnsi="宋体" w:eastAsia="Times New Roman" w:cs="宋体"/>
                <w:color w:val="auto"/>
                <w:szCs w:val="21"/>
                <w:highlight w:val="none"/>
              </w:rPr>
              <w:t>（11）评标委员会向招标人提交书面评标报告后即告解散，评标过程中使用的文件、表格以及其他资料应当即时归还招标人（或招标代理机构）。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12</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3.4.2</w:t>
            </w:r>
          </w:p>
        </w:tc>
        <w:tc>
          <w:tcPr>
            <w:tcW w:w="3843" w:type="dxa"/>
            <w:vAlign w:val="center"/>
          </w:tcPr>
          <w:p>
            <w:pPr>
              <w:rPr>
                <w:rFonts w:ascii="宋体" w:hAnsi="宋体" w:cs="宋体"/>
                <w:b/>
                <w:bCs/>
                <w:color w:val="auto"/>
                <w:szCs w:val="21"/>
                <w:highlight w:val="none"/>
              </w:rPr>
            </w:pPr>
            <w:r>
              <w:rPr>
                <w:rFonts w:hint="eastAsia" w:ascii="宋体" w:hAnsi="宋体" w:cs="宋体"/>
                <w:b/>
                <w:bCs/>
                <w:color w:val="auto"/>
                <w:szCs w:val="21"/>
                <w:highlight w:val="none"/>
              </w:rPr>
              <w:t>办法二   投票法</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13</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4.2.2</w:t>
            </w:r>
          </w:p>
        </w:tc>
        <w:tc>
          <w:tcPr>
            <w:tcW w:w="3843" w:type="dxa"/>
            <w:vAlign w:val="center"/>
          </w:tcPr>
          <w:p>
            <w:pPr>
              <w:adjustRightInd w:val="0"/>
              <w:snapToGrid w:val="0"/>
              <w:ind w:hanging="10"/>
              <w:jc w:val="left"/>
              <w:rPr>
                <w:rFonts w:ascii="宋体" w:hAnsi="宋体" w:cs="宋体"/>
                <w:bCs/>
                <w:color w:val="auto"/>
                <w:szCs w:val="21"/>
                <w:highlight w:val="none"/>
              </w:rPr>
            </w:pPr>
            <w:r>
              <w:rPr>
                <w:rFonts w:hint="eastAsia" w:ascii="宋体" w:hAnsi="宋体" w:cs="宋体"/>
                <w:bCs/>
                <w:color w:val="auto"/>
                <w:szCs w:val="21"/>
                <w:highlight w:val="none"/>
              </w:rPr>
              <w:t>采用评定分离的，由定标委员会在中标候选人中确定中标人。</w:t>
            </w:r>
          </w:p>
          <w:p>
            <w:pPr>
              <w:adjustRightInd w:val="0"/>
              <w:snapToGrid w:val="0"/>
              <w:ind w:hanging="10"/>
              <w:jc w:val="left"/>
              <w:rPr>
                <w:rFonts w:ascii="宋体" w:hAnsi="宋体" w:cs="宋体"/>
                <w:color w:val="auto"/>
                <w:szCs w:val="21"/>
                <w:highlight w:val="none"/>
              </w:rPr>
            </w:pPr>
            <w:r>
              <w:rPr>
                <w:rFonts w:hint="eastAsia" w:ascii="宋体" w:hAnsi="宋体" w:cs="宋体"/>
                <w:bCs/>
                <w:color w:val="auto"/>
                <w:szCs w:val="21"/>
                <w:highlight w:val="none"/>
              </w:rPr>
              <w:t>招标人自行制定定标委员会组建及定标办法（附件12-13），并与招标文件同时发布。</w:t>
            </w:r>
          </w:p>
        </w:tc>
        <w:tc>
          <w:tcPr>
            <w:tcW w:w="4688" w:type="dxa"/>
            <w:vAlign w:val="center"/>
          </w:tcPr>
          <w:p>
            <w:pPr>
              <w:adjustRightInd w:val="0"/>
              <w:snapToGrid w:val="0"/>
              <w:ind w:hanging="10"/>
              <w:jc w:val="left"/>
              <w:rPr>
                <w:rFonts w:ascii="宋体" w:hAnsi="宋体" w:cs="宋体"/>
                <w:b/>
                <w:color w:val="auto"/>
                <w:szCs w:val="21"/>
                <w:highlight w:val="none"/>
              </w:rPr>
            </w:pPr>
            <w:r>
              <w:rPr>
                <w:rFonts w:hint="eastAsia" w:ascii="宋体" w:hAnsi="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14</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4.4.1</w:t>
            </w:r>
          </w:p>
        </w:tc>
        <w:tc>
          <w:tcPr>
            <w:tcW w:w="3843" w:type="dxa"/>
            <w:vAlign w:val="center"/>
          </w:tcPr>
          <w:p>
            <w:pPr>
              <w:jc w:val="left"/>
              <w:rPr>
                <w:rFonts w:ascii="宋体" w:hAnsi="宋体" w:cs="宋体"/>
                <w:b/>
                <w:bCs/>
                <w:color w:val="auto"/>
                <w:szCs w:val="21"/>
                <w:highlight w:val="none"/>
              </w:rPr>
            </w:pPr>
            <w:r>
              <w:rPr>
                <w:rFonts w:hint="eastAsia" w:ascii="宋体" w:hAnsi="宋体" w:cs="宋体"/>
                <w:color w:val="auto"/>
                <w:szCs w:val="21"/>
                <w:highlight w:val="none"/>
              </w:rPr>
              <w:t>招标人对符合招标文件规定的未中标人的技术成果进行补偿的，按投标须知前附表规定的标准给予经济补偿，未中标人在投标文件中声明放弃技术成果经济补偿费的除外。</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u w:val="single"/>
              </w:rPr>
              <w:t>本项目不设技术成果经济补偿。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15</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4.5</w:t>
            </w:r>
          </w:p>
        </w:tc>
        <w:tc>
          <w:tcPr>
            <w:tcW w:w="3843" w:type="dxa"/>
            <w:vAlign w:val="center"/>
          </w:tcPr>
          <w:p>
            <w:pPr>
              <w:adjustRightInd w:val="0"/>
              <w:snapToGrid w:val="0"/>
              <w:outlineLvl w:val="3"/>
              <w:rPr>
                <w:rFonts w:ascii="宋体" w:hAnsi="宋体" w:eastAsia="Times New Roman"/>
                <w:b/>
                <w:bCs/>
                <w:color w:val="auto"/>
                <w:highlight w:val="none"/>
              </w:rPr>
            </w:pPr>
            <w:bookmarkStart w:id="10" w:name="_Toc11141"/>
            <w:bookmarkStart w:id="11" w:name="_Toc32595"/>
            <w:r>
              <w:rPr>
                <w:rFonts w:hint="eastAsia" w:ascii="宋体" w:hAnsi="宋体" w:eastAsia="Times New Roman" w:cs="宋体"/>
                <w:b/>
                <w:bCs/>
                <w:color w:val="auto"/>
                <w:highlight w:val="none"/>
              </w:rPr>
              <w:t>履约担保</w:t>
            </w:r>
            <w:bookmarkEnd w:id="10"/>
            <w:bookmarkEnd w:id="11"/>
          </w:p>
          <w:p>
            <w:pPr>
              <w:adjustRightInd w:val="0"/>
              <w:snapToGrid w:val="0"/>
              <w:rPr>
                <w:rFonts w:ascii="宋体" w:hAnsi="宋体" w:eastAsia="Times New Roman"/>
                <w:color w:val="auto"/>
                <w:szCs w:val="21"/>
                <w:highlight w:val="none"/>
              </w:rPr>
            </w:pPr>
            <w:r>
              <w:rPr>
                <w:rFonts w:hint="eastAsia" w:ascii="宋体" w:hAnsi="宋体" w:eastAsia="Times New Roman" w:cs="宋体"/>
                <w:color w:val="auto"/>
                <w:szCs w:val="21"/>
                <w:highlight w:val="none"/>
              </w:rPr>
              <w:t>4.5.1 中标人应按本须知前附表的规定向招标人提交履约担保。若履约担保以金融机构保函或保证保险的形式提供，则应由在中国注册的金融机构或保险公司开具。</w:t>
            </w:r>
          </w:p>
          <w:p>
            <w:pPr>
              <w:adjustRightInd w:val="0"/>
              <w:snapToGrid w:val="0"/>
              <w:rPr>
                <w:rFonts w:ascii="宋体" w:hAnsi="宋体" w:eastAsia="Times New Roman"/>
                <w:color w:val="auto"/>
                <w:szCs w:val="21"/>
                <w:highlight w:val="none"/>
              </w:rPr>
            </w:pPr>
            <w:r>
              <w:rPr>
                <w:rFonts w:hint="eastAsia" w:ascii="宋体" w:hAnsi="宋体" w:eastAsia="Times New Roman" w:cs="宋体"/>
                <w:color w:val="auto"/>
                <w:szCs w:val="21"/>
                <w:highlight w:val="none"/>
              </w:rPr>
              <w:t>4.5.2 中标人未按上款规定提交履约担保的，招标人将解除中标通知书，原中标人的投标保证金不予退还，且依法承担相应法律责任。原中标人给招标人造成的损失超过投标保证金数额的，还应当对超过部分予以赔偿。</w:t>
            </w:r>
          </w:p>
        </w:tc>
        <w:tc>
          <w:tcPr>
            <w:tcW w:w="4688" w:type="dxa"/>
            <w:vAlign w:val="center"/>
          </w:tcPr>
          <w:p>
            <w:pPr>
              <w:rPr>
                <w:rFonts w:ascii="宋体" w:hAnsi="宋体" w:eastAsia="Times New Roman"/>
                <w:b/>
                <w:color w:val="auto"/>
                <w:szCs w:val="21"/>
                <w:highlight w:val="none"/>
              </w:rPr>
            </w:pPr>
            <w:r>
              <w:rPr>
                <w:rFonts w:hint="eastAsia" w:ascii="宋体" w:hAnsi="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16</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4.6.2</w:t>
            </w:r>
          </w:p>
        </w:tc>
        <w:tc>
          <w:tcPr>
            <w:tcW w:w="3843" w:type="dxa"/>
            <w:vAlign w:val="center"/>
          </w:tcPr>
          <w:p>
            <w:pPr>
              <w:jc w:val="left"/>
              <w:rPr>
                <w:rFonts w:ascii="宋体" w:hAnsi="宋体" w:cs="宋体"/>
                <w:b/>
                <w:bCs/>
                <w:color w:val="auto"/>
                <w:szCs w:val="21"/>
                <w:highlight w:val="none"/>
              </w:rPr>
            </w:pPr>
            <w:r>
              <w:rPr>
                <w:rFonts w:hint="eastAsia" w:ascii="宋体" w:hAnsi="宋体" w:cs="宋体"/>
                <w:color w:val="auto"/>
                <w:szCs w:val="21"/>
                <w:highlight w:val="none"/>
              </w:rPr>
              <w:t>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中标通知书发出之日起30日后，中标人未按上款的规定与招标人订立合同，招标人将解除中标通知书，</w:t>
            </w:r>
            <w:r>
              <w:rPr>
                <w:rFonts w:hint="eastAsia" w:ascii="宋体" w:hAnsi="宋体" w:cs="宋体"/>
                <w:strike/>
                <w:color w:val="auto"/>
                <w:szCs w:val="21"/>
                <w:highlight w:val="none"/>
              </w:rPr>
              <w:t>原中标人的投标保证金不予退还，</w:t>
            </w:r>
            <w:r>
              <w:rPr>
                <w:rFonts w:hint="eastAsia" w:ascii="宋体" w:hAnsi="宋体" w:cs="宋体"/>
                <w:color w:val="auto"/>
                <w:szCs w:val="21"/>
                <w:highlight w:val="none"/>
              </w:rPr>
              <w:t>且依法承担相应法律责任。原中标人给招标人造成</w:t>
            </w:r>
            <w:r>
              <w:rPr>
                <w:rFonts w:hint="eastAsia" w:ascii="宋体" w:hAnsi="宋体" w:cs="宋体"/>
                <w:strike/>
                <w:color w:val="auto"/>
                <w:szCs w:val="21"/>
                <w:highlight w:val="none"/>
              </w:rPr>
              <w:t>的</w:t>
            </w:r>
            <w:r>
              <w:rPr>
                <w:rFonts w:hint="eastAsia" w:ascii="宋体" w:hAnsi="宋体" w:cs="宋体"/>
                <w:color w:val="auto"/>
                <w:szCs w:val="21"/>
                <w:highlight w:val="none"/>
              </w:rPr>
              <w:t>损失</w:t>
            </w:r>
            <w:r>
              <w:rPr>
                <w:rFonts w:hint="eastAsia" w:ascii="宋体" w:hAnsi="宋体" w:cs="宋体"/>
                <w:strike/>
                <w:color w:val="auto"/>
                <w:szCs w:val="21"/>
                <w:highlight w:val="none"/>
              </w:rPr>
              <w:t>超过投标保证金数额</w:t>
            </w:r>
            <w:r>
              <w:rPr>
                <w:rFonts w:hint="eastAsia" w:ascii="宋体" w:hAnsi="宋体" w:cs="宋体"/>
                <w:color w:val="auto"/>
                <w:szCs w:val="21"/>
                <w:highlight w:val="none"/>
              </w:rPr>
              <w:t>的，还应当</w:t>
            </w:r>
            <w:r>
              <w:rPr>
                <w:rFonts w:hint="eastAsia" w:ascii="宋体" w:hAnsi="宋体" w:cs="宋体"/>
                <w:strike/>
                <w:color w:val="auto"/>
                <w:szCs w:val="21"/>
                <w:highlight w:val="none"/>
              </w:rPr>
              <w:t>对超过部分</w:t>
            </w:r>
            <w:r>
              <w:rPr>
                <w:rFonts w:hint="eastAsia" w:ascii="宋体" w:hAnsi="宋体" w:cs="宋体"/>
                <w:color w:val="auto"/>
                <w:szCs w:val="21"/>
                <w:highlight w:val="none"/>
              </w:rPr>
              <w:t>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17</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4.6.3</w:t>
            </w:r>
          </w:p>
        </w:tc>
        <w:tc>
          <w:tcPr>
            <w:tcW w:w="3843" w:type="dxa"/>
            <w:vAlign w:val="center"/>
          </w:tcPr>
          <w:p>
            <w:pPr>
              <w:jc w:val="left"/>
              <w:rPr>
                <w:rFonts w:ascii="宋体" w:hAnsi="宋体" w:cs="宋体"/>
                <w:color w:val="auto"/>
                <w:szCs w:val="21"/>
                <w:highlight w:val="none"/>
              </w:rPr>
            </w:pPr>
            <w:r>
              <w:rPr>
                <w:rFonts w:hint="eastAsia" w:ascii="宋体" w:hAnsi="宋体" w:eastAsia="Times New Roman" w:cs="宋体"/>
                <w:color w:val="auto"/>
                <w:szCs w:val="21"/>
                <w:highlight w:val="none"/>
              </w:rPr>
              <w:t>联合体中标的，由所有联合体成员法定代表人签署授权委托书，指定牵头人或代表，授权其代表所有联合体成员与招标人签订合同，负责整个合同实施阶段的协调工作。招标人认为必要时，</w:t>
            </w:r>
            <w:r>
              <w:rPr>
                <w:rFonts w:hint="eastAsia" w:ascii="宋体" w:hAnsi="宋体" w:eastAsia="Times New Roman" w:cs="宋体"/>
                <w:color w:val="auto"/>
                <w:highlight w:val="none"/>
              </w:rPr>
              <w:t>联合体各方应当共同与招标人签订合同，就中标项目向招标人承担连带责任。</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eastAsia="Times New Roman" w:cs="宋体"/>
                <w:color w:val="auto"/>
                <w:szCs w:val="21"/>
                <w:highlight w:val="none"/>
              </w:rPr>
              <w:t>联合体中标的，由所有联合体成员法定代表人签署授权委托书，指定</w:t>
            </w:r>
            <w:r>
              <w:rPr>
                <w:rFonts w:hint="eastAsia" w:ascii="宋体" w:hAnsi="宋体" w:eastAsia="Times New Roman" w:cs="宋体"/>
                <w:color w:val="auto"/>
                <w:szCs w:val="21"/>
                <w:highlight w:val="none"/>
                <w:u w:val="single"/>
              </w:rPr>
              <w:t>主办方</w:t>
            </w:r>
            <w:r>
              <w:rPr>
                <w:rFonts w:hint="eastAsia" w:ascii="宋体" w:hAnsi="宋体" w:eastAsia="Times New Roman" w:cs="宋体"/>
                <w:color w:val="auto"/>
                <w:szCs w:val="21"/>
                <w:highlight w:val="none"/>
              </w:rPr>
              <w:t>或代表，授权其代表所有联合体成员与招标人签订合同，负责整个合同实施阶段的协调工作。招标人认为必要时，</w:t>
            </w:r>
            <w:r>
              <w:rPr>
                <w:rFonts w:hint="eastAsia" w:ascii="宋体" w:hAnsi="宋体" w:eastAsia="Times New Roman" w:cs="宋体"/>
                <w:color w:val="auto"/>
                <w:highlight w:val="none"/>
              </w:rPr>
              <w:t>联合体各方应当共同与招标人签订合同，就中标项目向招标人承担连带责任。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18</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附件1</w:t>
            </w:r>
          </w:p>
        </w:tc>
        <w:tc>
          <w:tcPr>
            <w:tcW w:w="3843" w:type="dxa"/>
            <w:vAlign w:val="center"/>
          </w:tcPr>
          <w:p>
            <w:pPr>
              <w:rPr>
                <w:rFonts w:ascii="宋体" w:hAnsi="宋体" w:cs="宋体"/>
                <w:b/>
                <w:bCs/>
                <w:color w:val="auto"/>
                <w:szCs w:val="21"/>
                <w:highlight w:val="none"/>
              </w:rPr>
            </w:pPr>
            <w:r>
              <w:rPr>
                <w:rFonts w:hint="eastAsia" w:ascii="宋体" w:hAnsi="宋体" w:cs="宋体"/>
                <w:bCs/>
                <w:color w:val="auto"/>
                <w:szCs w:val="21"/>
                <w:highlight w:val="none"/>
              </w:rPr>
              <w:t>资格审查表</w:t>
            </w:r>
          </w:p>
        </w:tc>
        <w:tc>
          <w:tcPr>
            <w:tcW w:w="4688" w:type="dxa"/>
            <w:vAlign w:val="center"/>
          </w:tcPr>
          <w:p>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详见《</w:t>
            </w:r>
            <w:r>
              <w:rPr>
                <w:rFonts w:hint="eastAsia" w:ascii="宋体" w:hAnsi="宋体" w:cs="宋体"/>
                <w:bCs/>
                <w:color w:val="auto"/>
                <w:szCs w:val="21"/>
                <w:highlight w:val="none"/>
              </w:rPr>
              <w:t>资格审查表</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19</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附件2</w:t>
            </w:r>
          </w:p>
        </w:tc>
        <w:tc>
          <w:tcPr>
            <w:tcW w:w="3843" w:type="dxa"/>
            <w:vAlign w:val="center"/>
          </w:tcPr>
          <w:p>
            <w:pPr>
              <w:rPr>
                <w:rFonts w:ascii="宋体" w:hAnsi="宋体" w:cs="宋体"/>
                <w:b/>
                <w:bCs/>
                <w:color w:val="auto"/>
                <w:szCs w:val="21"/>
                <w:highlight w:val="none"/>
              </w:rPr>
            </w:pPr>
            <w:r>
              <w:rPr>
                <w:rFonts w:hint="eastAsia" w:ascii="宋体" w:hAnsi="宋体" w:cs="宋体"/>
                <w:color w:val="auto"/>
                <w:szCs w:val="21"/>
                <w:highlight w:val="none"/>
              </w:rPr>
              <w:t>投标文件有效性审查表</w:t>
            </w:r>
          </w:p>
        </w:tc>
        <w:tc>
          <w:tcPr>
            <w:tcW w:w="4688" w:type="dxa"/>
            <w:vAlign w:val="center"/>
          </w:tcPr>
          <w:p>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详见《投标文件有效性审查表》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20</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附件4</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技术文件综合评分表（适用于综合评分法）</w:t>
            </w:r>
          </w:p>
        </w:tc>
        <w:tc>
          <w:tcPr>
            <w:tcW w:w="4688" w:type="dxa"/>
            <w:vAlign w:val="center"/>
          </w:tcPr>
          <w:p>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详见《技术文件综合评分表》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21</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附件5</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商务文件综合评分表（适用于综合评分法）</w:t>
            </w:r>
          </w:p>
        </w:tc>
        <w:tc>
          <w:tcPr>
            <w:tcW w:w="4688" w:type="dxa"/>
            <w:vAlign w:val="center"/>
          </w:tcPr>
          <w:p>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详见《商务文件综合评分表》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22</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附件6</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投标报价得分表（适用于综合评分法二）</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23</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附件7</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综合得分汇总表（适用于综合评分法）</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详见《综合得分汇总表》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24</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附件8</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设计方案评审记录表（适用于投票法）</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25</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附件9</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投标方案评语（适用于投票法）</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26</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附件10</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投票表格（适用于投票法）</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27</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附件11</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投票汇总表格（适用于投票法）</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29</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附件12</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定标委员会组建及定标办法</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30</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附件13</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定标办法设置说明</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31</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附件14</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勘察设计招标文件编制要求</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详见《设计招标文件编制要求》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32</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附件15</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投标函</w:t>
            </w:r>
          </w:p>
        </w:tc>
        <w:tc>
          <w:tcPr>
            <w:tcW w:w="4688" w:type="dxa"/>
            <w:vAlign w:val="center"/>
          </w:tcPr>
          <w:p>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详见《投标函》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33</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附件16</w:t>
            </w:r>
          </w:p>
        </w:tc>
        <w:tc>
          <w:tcPr>
            <w:tcW w:w="3843" w:type="dxa"/>
            <w:vAlign w:val="center"/>
          </w:tcPr>
          <w:p>
            <w:pPr>
              <w:rPr>
                <w:rFonts w:ascii="宋体" w:hAnsi="宋体" w:cs="宋体"/>
                <w:color w:val="auto"/>
                <w:szCs w:val="21"/>
                <w:highlight w:val="none"/>
              </w:rPr>
            </w:pPr>
            <w:r>
              <w:rPr>
                <w:rFonts w:hint="eastAsia" w:ascii="宋体" w:hAnsi="宋体" w:eastAsia="Times New Roman" w:cs="宋体"/>
                <w:color w:val="auto"/>
                <w:szCs w:val="21"/>
                <w:highlight w:val="none"/>
              </w:rPr>
              <w:t>投标人声明</w:t>
            </w:r>
          </w:p>
        </w:tc>
        <w:tc>
          <w:tcPr>
            <w:tcW w:w="4688" w:type="dxa"/>
            <w:vAlign w:val="center"/>
          </w:tcPr>
          <w:p>
            <w:pPr>
              <w:rPr>
                <w:rFonts w:ascii="宋体" w:hAnsi="宋体" w:cs="宋体"/>
                <w:b/>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详见</w:t>
            </w:r>
            <w:r>
              <w:rPr>
                <w:rFonts w:hint="eastAsia" w:ascii="宋体" w:hAnsi="宋体" w:eastAsia="Times New Roman" w:cs="宋体"/>
                <w:color w:val="auto"/>
                <w:szCs w:val="21"/>
                <w:highlight w:val="none"/>
              </w:rPr>
              <w:t>《投标人声明》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34</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附件19</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勘察设计费报价表</w:t>
            </w:r>
          </w:p>
        </w:tc>
        <w:tc>
          <w:tcPr>
            <w:tcW w:w="4688" w:type="dxa"/>
            <w:vAlign w:val="center"/>
          </w:tcPr>
          <w:p>
            <w:pPr>
              <w:rPr>
                <w:rFonts w:ascii="宋体" w:hAnsi="宋体" w:cs="宋体"/>
                <w:color w:val="auto"/>
                <w:szCs w:val="21"/>
                <w:highlight w:val="none"/>
              </w:rPr>
            </w:pPr>
            <w:r>
              <w:rPr>
                <w:rFonts w:hint="eastAsia" w:ascii="宋体" w:hAnsi="宋体" w:cs="宋体"/>
                <w:b/>
                <w:color w:val="auto"/>
                <w:szCs w:val="21"/>
                <w:highlight w:val="none"/>
              </w:rPr>
              <w:t>修改：</w:t>
            </w:r>
            <w:r>
              <w:rPr>
                <w:rFonts w:hint="eastAsia" w:ascii="宋体" w:hAnsi="宋体" w:cs="宋体"/>
                <w:color w:val="auto"/>
                <w:szCs w:val="21"/>
                <w:highlight w:val="none"/>
              </w:rPr>
              <w:t>详见《设计</w:t>
            </w:r>
            <w:r>
              <w:rPr>
                <w:rFonts w:hint="eastAsia" w:ascii="宋体" w:hAnsi="宋体" w:cs="宋体"/>
                <w:bCs/>
                <w:color w:val="auto"/>
                <w:szCs w:val="21"/>
                <w:highlight w:val="none"/>
              </w:rPr>
              <w:t>费报价表</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r>
              <w:rPr>
                <w:rFonts w:hint="eastAsia" w:ascii="宋体" w:hAnsi="宋体" w:cs="宋体"/>
                <w:color w:val="auto"/>
                <w:szCs w:val="21"/>
                <w:highlight w:val="none"/>
              </w:rPr>
              <w:t>35</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附录20</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无</w:t>
            </w:r>
          </w:p>
        </w:tc>
        <w:tc>
          <w:tcPr>
            <w:tcW w:w="4688" w:type="dxa"/>
            <w:vAlign w:val="center"/>
          </w:tcPr>
          <w:p>
            <w:pPr>
              <w:rPr>
                <w:rFonts w:ascii="宋体" w:hAnsi="宋体" w:cs="宋体"/>
                <w:b/>
                <w:color w:val="auto"/>
                <w:szCs w:val="21"/>
                <w:highlight w:val="none"/>
              </w:rPr>
            </w:pPr>
            <w:r>
              <w:rPr>
                <w:rFonts w:hint="eastAsia" w:ascii="宋体" w:hAnsi="宋体" w:cs="宋体"/>
                <w:b/>
                <w:bCs/>
                <w:color w:val="auto"/>
                <w:szCs w:val="21"/>
                <w:highlight w:val="none"/>
              </w:rPr>
              <w:t>增加：</w:t>
            </w:r>
            <w:r>
              <w:rPr>
                <w:rFonts w:hint="eastAsia" w:ascii="宋体" w:hAnsi="宋体" w:cs="宋体"/>
                <w:color w:val="auto"/>
                <w:szCs w:val="21"/>
                <w:highlight w:val="none"/>
              </w:rPr>
              <w:t>详见《</w:t>
            </w:r>
            <w:r>
              <w:rPr>
                <w:rFonts w:hint="eastAsia" w:eastAsia="Times New Roman"/>
                <w:color w:val="auto"/>
                <w:highlight w:val="none"/>
              </w:rPr>
              <w:t>本项目拟投入的人员基本情况表</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宋体" w:hAnsi="宋体" w:cs="宋体"/>
                <w:color w:val="auto"/>
                <w:szCs w:val="21"/>
                <w:highlight w:val="none"/>
              </w:rPr>
            </w:pPr>
            <w:bookmarkStart w:id="12" w:name="_Toc7038"/>
            <w:bookmarkStart w:id="13" w:name="_Toc28297"/>
            <w:r>
              <w:rPr>
                <w:rFonts w:hint="eastAsia" w:ascii="宋体" w:hAnsi="宋体" w:cs="宋体"/>
                <w:color w:val="auto"/>
                <w:szCs w:val="21"/>
                <w:highlight w:val="none"/>
              </w:rPr>
              <w:t>36</w:t>
            </w:r>
          </w:p>
        </w:tc>
        <w:tc>
          <w:tcPr>
            <w:tcW w:w="1047" w:type="dxa"/>
            <w:vAlign w:val="center"/>
          </w:tcPr>
          <w:p>
            <w:pPr>
              <w:rPr>
                <w:rFonts w:ascii="宋体" w:hAnsi="宋体" w:cs="宋体"/>
                <w:color w:val="auto"/>
                <w:szCs w:val="21"/>
                <w:highlight w:val="none"/>
              </w:rPr>
            </w:pPr>
            <w:r>
              <w:rPr>
                <w:rFonts w:hint="eastAsia" w:ascii="宋体" w:hAnsi="宋体" w:cs="宋体"/>
                <w:color w:val="auto"/>
                <w:szCs w:val="21"/>
                <w:highlight w:val="none"/>
              </w:rPr>
              <w:t>附录21</w:t>
            </w:r>
          </w:p>
        </w:tc>
        <w:tc>
          <w:tcPr>
            <w:tcW w:w="3843" w:type="dxa"/>
            <w:vAlign w:val="center"/>
          </w:tcPr>
          <w:p>
            <w:pPr>
              <w:rPr>
                <w:rFonts w:ascii="宋体" w:hAnsi="宋体" w:cs="宋体"/>
                <w:color w:val="auto"/>
                <w:szCs w:val="21"/>
                <w:highlight w:val="none"/>
              </w:rPr>
            </w:pPr>
            <w:r>
              <w:rPr>
                <w:rFonts w:hint="eastAsia" w:ascii="宋体" w:hAnsi="宋体" w:cs="宋体"/>
                <w:color w:val="auto"/>
                <w:szCs w:val="21"/>
                <w:highlight w:val="none"/>
              </w:rPr>
              <w:t>无</w:t>
            </w:r>
          </w:p>
        </w:tc>
        <w:tc>
          <w:tcPr>
            <w:tcW w:w="4688" w:type="dxa"/>
            <w:vAlign w:val="center"/>
          </w:tcPr>
          <w:p>
            <w:pPr>
              <w:rPr>
                <w:rFonts w:ascii="宋体" w:hAnsi="宋体" w:cs="宋体"/>
                <w:b/>
                <w:bCs/>
                <w:color w:val="auto"/>
                <w:szCs w:val="21"/>
                <w:highlight w:val="none"/>
              </w:rPr>
            </w:pPr>
            <w:r>
              <w:rPr>
                <w:rFonts w:hint="eastAsia" w:ascii="宋体" w:hAnsi="宋体" w:cs="宋体"/>
                <w:b/>
                <w:bCs/>
                <w:color w:val="auto"/>
                <w:szCs w:val="21"/>
                <w:highlight w:val="none"/>
              </w:rPr>
              <w:t>增加：</w:t>
            </w:r>
            <w:r>
              <w:rPr>
                <w:rFonts w:hint="eastAsia" w:ascii="宋体" w:hAnsi="宋体" w:cs="宋体"/>
                <w:color w:val="auto"/>
                <w:szCs w:val="21"/>
                <w:highlight w:val="none"/>
              </w:rPr>
              <w:t>详见《其他格式》</w:t>
            </w:r>
          </w:p>
        </w:tc>
      </w:tr>
    </w:tbl>
    <w:p>
      <w:pPr>
        <w:adjustRightInd w:val="0"/>
        <w:snapToGrid w:val="0"/>
        <w:spacing w:line="360" w:lineRule="auto"/>
        <w:jc w:val="center"/>
        <w:outlineLvl w:val="1"/>
        <w:rPr>
          <w:rFonts w:ascii="宋体" w:hAnsi="宋体"/>
          <w:b/>
          <w:color w:val="auto"/>
          <w:sz w:val="36"/>
          <w:szCs w:val="36"/>
          <w:highlight w:val="none"/>
        </w:rPr>
      </w:pPr>
      <w:r>
        <w:rPr>
          <w:rStyle w:val="38"/>
          <w:rFonts w:hint="eastAsia"/>
          <w:color w:val="auto"/>
          <w:highlight w:val="none"/>
        </w:rPr>
        <w:br w:type="page"/>
      </w:r>
      <w:bookmarkStart w:id="14" w:name="_Toc754"/>
      <w:r>
        <w:rPr>
          <w:rStyle w:val="38"/>
          <w:rFonts w:hint="eastAsia"/>
          <w:color w:val="auto"/>
          <w:highlight w:val="none"/>
        </w:rPr>
        <w:t>三、投标须知通用条款</w:t>
      </w:r>
      <w:bookmarkEnd w:id="12"/>
      <w:bookmarkEnd w:id="13"/>
      <w:bookmarkEnd w:id="14"/>
    </w:p>
    <w:p>
      <w:pPr>
        <w:pStyle w:val="5"/>
        <w:rPr>
          <w:rFonts w:ascii="宋体" w:hAnsi="宋体"/>
          <w:color w:val="auto"/>
          <w:highlight w:val="none"/>
        </w:rPr>
      </w:pPr>
      <w:bookmarkStart w:id="15" w:name="_Toc21289"/>
      <w:bookmarkStart w:id="16" w:name="_Toc28929"/>
      <w:bookmarkStart w:id="17" w:name="_Toc9106"/>
      <w:r>
        <w:rPr>
          <w:rFonts w:hint="eastAsia"/>
          <w:color w:val="auto"/>
          <w:highlight w:val="none"/>
        </w:rPr>
        <w:t>（一） 招标</w:t>
      </w:r>
      <w:bookmarkEnd w:id="15"/>
      <w:bookmarkEnd w:id="16"/>
      <w:bookmarkEnd w:id="17"/>
    </w:p>
    <w:p>
      <w:pPr>
        <w:adjustRightInd w:val="0"/>
        <w:snapToGrid w:val="0"/>
        <w:spacing w:line="360" w:lineRule="auto"/>
        <w:ind w:left="721" w:hanging="721" w:hangingChars="342"/>
        <w:outlineLvl w:val="3"/>
        <w:rPr>
          <w:rFonts w:ascii="宋体" w:hAnsi="宋体" w:cs="宋体"/>
          <w:color w:val="auto"/>
          <w:highlight w:val="none"/>
        </w:rPr>
      </w:pPr>
      <w:bookmarkStart w:id="18" w:name="_Toc26854"/>
      <w:bookmarkStart w:id="19" w:name="_Toc24572"/>
      <w:r>
        <w:rPr>
          <w:rFonts w:hint="eastAsia" w:ascii="宋体" w:hAnsi="宋体" w:cs="宋体"/>
          <w:b/>
          <w:color w:val="auto"/>
          <w:highlight w:val="none"/>
        </w:rPr>
        <w:t>1.1    定义</w:t>
      </w:r>
      <w:bookmarkEnd w:id="18"/>
      <w:bookmarkEnd w:id="19"/>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1.1.1  “招标人”是指提出招标项目、进行招标的法人或者其他组织。</w:t>
      </w:r>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1.1.2  “招标代理机构”是指从事招标代理业务并提供相关服务的社会中介组织。</w:t>
      </w:r>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1.1.3  “投标人”是指响应招标、参加投标竞争的法人或者其他组织。</w:t>
      </w:r>
    </w:p>
    <w:p>
      <w:pPr>
        <w:adjustRightInd w:val="0"/>
        <w:snapToGrid w:val="0"/>
        <w:spacing w:line="360" w:lineRule="auto"/>
        <w:ind w:left="718" w:hanging="718" w:hangingChars="342"/>
        <w:outlineLvl w:val="4"/>
        <w:rPr>
          <w:rFonts w:ascii="宋体" w:hAnsi="宋体" w:cs="宋体"/>
          <w:color w:val="auto"/>
          <w:highlight w:val="none"/>
        </w:rPr>
      </w:pPr>
      <w:r>
        <w:rPr>
          <w:rFonts w:hint="eastAsia" w:ascii="宋体" w:hAnsi="宋体" w:cs="宋体"/>
          <w:color w:val="auto"/>
          <w:highlight w:val="none"/>
        </w:rPr>
        <w:t>1.1.4  “招标监督机构”是指招标活动的监督机构。</w:t>
      </w:r>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1.1.5  “交易服务机构”是指为招标人和投标人提供场所、信息和咨询服务，见证招标过程，确认中标通知书的服务机构。</w:t>
      </w:r>
    </w:p>
    <w:p>
      <w:pPr>
        <w:adjustRightInd w:val="0"/>
        <w:snapToGrid w:val="0"/>
        <w:spacing w:line="360" w:lineRule="auto"/>
        <w:ind w:left="721" w:hanging="721" w:hangingChars="342"/>
        <w:rPr>
          <w:rFonts w:ascii="宋体" w:hAnsi="宋体" w:cs="宋体"/>
          <w:b/>
          <w:bCs/>
          <w:color w:val="auto"/>
          <w:highlight w:val="none"/>
        </w:rPr>
      </w:pPr>
    </w:p>
    <w:p>
      <w:pPr>
        <w:adjustRightInd w:val="0"/>
        <w:snapToGrid w:val="0"/>
        <w:spacing w:line="360" w:lineRule="auto"/>
        <w:ind w:left="721" w:hanging="721" w:hangingChars="342"/>
        <w:outlineLvl w:val="3"/>
        <w:rPr>
          <w:rFonts w:ascii="宋体" w:hAnsi="宋体" w:cs="宋体"/>
          <w:b/>
          <w:bCs/>
          <w:color w:val="auto"/>
          <w:highlight w:val="none"/>
        </w:rPr>
      </w:pPr>
      <w:bookmarkStart w:id="20" w:name="_Toc26174"/>
      <w:bookmarkStart w:id="21" w:name="_Toc2353"/>
      <w:r>
        <w:rPr>
          <w:rFonts w:hint="eastAsia" w:ascii="宋体" w:hAnsi="宋体" w:cs="宋体"/>
          <w:b/>
          <w:bCs/>
          <w:color w:val="auto"/>
          <w:highlight w:val="none"/>
        </w:rPr>
        <w:t>1.2    招标项目概况</w:t>
      </w:r>
      <w:bookmarkEnd w:id="20"/>
      <w:bookmarkEnd w:id="21"/>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1.2.1  工程名称、工程建设地点、工程建设规模、招标内容、投资总额、</w:t>
      </w:r>
      <w:r>
        <w:rPr>
          <w:rFonts w:hint="eastAsia" w:ascii="宋体" w:hAnsi="宋体" w:cs="宋体"/>
          <w:strike/>
          <w:color w:val="auto"/>
          <w:highlight w:val="none"/>
        </w:rPr>
        <w:t>勘察</w:t>
      </w:r>
      <w:r>
        <w:rPr>
          <w:rFonts w:hint="eastAsia" w:ascii="宋体" w:hAnsi="宋体" w:cs="宋体"/>
          <w:color w:val="auto"/>
          <w:highlight w:val="none"/>
        </w:rPr>
        <w:t>设计服务期限：见投标须知前附表。</w:t>
      </w:r>
    </w:p>
    <w:p>
      <w:pPr>
        <w:adjustRightInd w:val="0"/>
        <w:snapToGrid w:val="0"/>
        <w:spacing w:line="360" w:lineRule="auto"/>
        <w:ind w:left="721" w:hanging="721" w:hangingChars="342"/>
        <w:rPr>
          <w:rFonts w:ascii="宋体" w:hAnsi="宋体" w:cs="宋体"/>
          <w:b/>
          <w:bCs/>
          <w:color w:val="auto"/>
          <w:highlight w:val="none"/>
        </w:rPr>
      </w:pPr>
    </w:p>
    <w:p>
      <w:pPr>
        <w:adjustRightInd w:val="0"/>
        <w:snapToGrid w:val="0"/>
        <w:spacing w:line="360" w:lineRule="auto"/>
        <w:ind w:left="721" w:hanging="721" w:hangingChars="342"/>
        <w:outlineLvl w:val="3"/>
        <w:rPr>
          <w:rFonts w:ascii="宋体" w:hAnsi="宋体" w:cs="宋体"/>
          <w:b/>
          <w:bCs/>
          <w:color w:val="auto"/>
          <w:highlight w:val="none"/>
        </w:rPr>
      </w:pPr>
      <w:bookmarkStart w:id="22" w:name="_Toc32108"/>
      <w:bookmarkStart w:id="23" w:name="_Toc16128"/>
      <w:r>
        <w:rPr>
          <w:rFonts w:hint="eastAsia" w:ascii="宋体" w:hAnsi="宋体" w:cs="宋体"/>
          <w:b/>
          <w:bCs/>
          <w:color w:val="auto"/>
          <w:highlight w:val="none"/>
        </w:rPr>
        <w:t>1.3    投标人资格要求</w:t>
      </w:r>
      <w:bookmarkEnd w:id="22"/>
      <w:bookmarkEnd w:id="23"/>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1.3.1  资质要求、项目负责人资格要求、业绩要求等：见投标须知前附表。</w:t>
      </w:r>
    </w:p>
    <w:p>
      <w:pPr>
        <w:adjustRightInd w:val="0"/>
        <w:snapToGrid w:val="0"/>
        <w:spacing w:line="360" w:lineRule="auto"/>
        <w:ind w:left="718" w:hanging="718" w:hangingChars="342"/>
        <w:rPr>
          <w:rFonts w:ascii="宋体" w:hAnsi="宋体" w:cs="宋体"/>
          <w:color w:val="auto"/>
          <w:highlight w:val="none"/>
        </w:rPr>
      </w:pPr>
    </w:p>
    <w:p>
      <w:pPr>
        <w:adjustRightInd w:val="0"/>
        <w:snapToGrid w:val="0"/>
        <w:spacing w:line="360" w:lineRule="auto"/>
        <w:ind w:left="721" w:hanging="721" w:hangingChars="342"/>
        <w:outlineLvl w:val="3"/>
        <w:rPr>
          <w:rFonts w:ascii="宋体" w:hAnsi="宋体" w:cs="宋体"/>
          <w:b/>
          <w:bCs/>
          <w:color w:val="auto"/>
          <w:highlight w:val="none"/>
        </w:rPr>
      </w:pPr>
      <w:bookmarkStart w:id="24" w:name="_Toc25781"/>
      <w:bookmarkStart w:id="25" w:name="_Toc6011"/>
      <w:r>
        <w:rPr>
          <w:rFonts w:hint="eastAsia" w:ascii="宋体" w:hAnsi="宋体" w:cs="宋体"/>
          <w:b/>
          <w:bCs/>
          <w:color w:val="auto"/>
          <w:highlight w:val="none"/>
        </w:rPr>
        <w:t xml:space="preserve">1.4   </w:t>
      </w:r>
      <w:bookmarkStart w:id="26" w:name="_Toc507162759"/>
      <w:r>
        <w:rPr>
          <w:rFonts w:hint="eastAsia" w:ascii="宋体" w:hAnsi="宋体" w:cs="宋体"/>
          <w:b/>
          <w:bCs/>
          <w:color w:val="auto"/>
          <w:highlight w:val="none"/>
        </w:rPr>
        <w:t xml:space="preserve"> 关于联合体投标</w:t>
      </w:r>
      <w:bookmarkEnd w:id="24"/>
      <w:bookmarkEnd w:id="25"/>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1.4.1   投标须知前附表规定接受联合体投标的，除应符合招标公告和投标须知前附表的要求外，还应遵守以下规定：</w:t>
      </w:r>
      <w:bookmarkEnd w:id="26"/>
      <w:r>
        <w:rPr>
          <w:rFonts w:hint="eastAsia" w:ascii="宋体" w:hAnsi="宋体" w:cs="宋体"/>
          <w:color w:val="auto"/>
          <w:highlight w:val="none"/>
        </w:rPr>
        <w:t xml:space="preserve"> </w:t>
      </w:r>
    </w:p>
    <w:p>
      <w:pPr>
        <w:adjustRightInd w:val="0"/>
        <w:snapToGrid w:val="0"/>
        <w:spacing w:line="360" w:lineRule="auto"/>
        <w:ind w:left="714" w:leftChars="299" w:hanging="86" w:hangingChars="41"/>
        <w:rPr>
          <w:rFonts w:ascii="宋体" w:hAnsi="宋体" w:cs="宋体"/>
          <w:color w:val="auto"/>
          <w:highlight w:val="none"/>
        </w:rPr>
      </w:pPr>
      <w:r>
        <w:rPr>
          <w:rFonts w:hint="eastAsia" w:ascii="宋体" w:hAnsi="宋体" w:cs="宋体"/>
          <w:color w:val="auto"/>
          <w:highlight w:val="none"/>
        </w:rPr>
        <w:t>（1）联合体各方应按招标文件提供的格式签订联合体协议书，明确联合体</w:t>
      </w:r>
      <w:r>
        <w:rPr>
          <w:rFonts w:hint="eastAsia" w:ascii="宋体" w:hAnsi="宋体" w:cs="宋体"/>
          <w:color w:val="auto"/>
          <w:highlight w:val="none"/>
          <w:u w:val="single"/>
        </w:rPr>
        <w:t>主办方</w:t>
      </w:r>
      <w:r>
        <w:rPr>
          <w:rFonts w:hint="eastAsia" w:ascii="宋体" w:hAnsi="宋体" w:cs="宋体"/>
          <w:color w:val="auto"/>
          <w:highlight w:val="none"/>
        </w:rPr>
        <w:t>和各方权利义务；</w:t>
      </w:r>
    </w:p>
    <w:p>
      <w:pPr>
        <w:adjustRightInd w:val="0"/>
        <w:snapToGrid w:val="0"/>
        <w:spacing w:line="360" w:lineRule="auto"/>
        <w:ind w:left="714" w:leftChars="299" w:hanging="86" w:hangingChars="41"/>
        <w:rPr>
          <w:rFonts w:ascii="宋体" w:hAnsi="宋体" w:cs="宋体"/>
          <w:color w:val="auto"/>
          <w:highlight w:val="none"/>
        </w:rPr>
      </w:pPr>
      <w:r>
        <w:rPr>
          <w:rFonts w:hint="eastAsia" w:ascii="宋体" w:hAnsi="宋体" w:cs="宋体"/>
          <w:color w:val="auto"/>
          <w:highlight w:val="none"/>
        </w:rPr>
        <w:t>（2）由同一专业的单位组成的联合体，按照资质等级较低的单位确定资质等级；</w:t>
      </w:r>
    </w:p>
    <w:p>
      <w:pPr>
        <w:adjustRightInd w:val="0"/>
        <w:snapToGrid w:val="0"/>
        <w:spacing w:line="360" w:lineRule="auto"/>
        <w:ind w:left="714" w:leftChars="299" w:hanging="86" w:hangingChars="41"/>
        <w:rPr>
          <w:rFonts w:ascii="宋体" w:hAnsi="宋体" w:cs="宋体"/>
          <w:color w:val="auto"/>
          <w:highlight w:val="none"/>
        </w:rPr>
      </w:pPr>
      <w:r>
        <w:rPr>
          <w:rFonts w:hint="eastAsia" w:ascii="宋体" w:hAnsi="宋体" w:cs="宋体"/>
          <w:color w:val="auto"/>
          <w:highlight w:val="none"/>
        </w:rPr>
        <w:t>（3）联合体各方不得再以自己名义单独或参加其他联合体在本招标项目中投标，否则各相关投标均无效。</w:t>
      </w:r>
    </w:p>
    <w:p>
      <w:pPr>
        <w:adjustRightInd w:val="0"/>
        <w:snapToGrid w:val="0"/>
        <w:spacing w:line="360" w:lineRule="auto"/>
        <w:ind w:left="718" w:hanging="718" w:hangingChars="342"/>
        <w:rPr>
          <w:rFonts w:ascii="宋体" w:hAnsi="宋体" w:cs="宋体"/>
          <w:color w:val="auto"/>
          <w:highlight w:val="none"/>
        </w:rPr>
      </w:pPr>
    </w:p>
    <w:p>
      <w:pPr>
        <w:pStyle w:val="18"/>
        <w:adjustRightInd w:val="0"/>
        <w:snapToGrid w:val="0"/>
        <w:spacing w:line="360" w:lineRule="auto"/>
        <w:outlineLvl w:val="3"/>
        <w:rPr>
          <w:rFonts w:hAnsi="宋体" w:cs="宋体"/>
          <w:color w:val="auto"/>
          <w:highlight w:val="none"/>
        </w:rPr>
      </w:pPr>
      <w:bookmarkStart w:id="27" w:name="_Toc22797"/>
      <w:bookmarkStart w:id="28" w:name="_Toc13767"/>
      <w:r>
        <w:rPr>
          <w:rFonts w:hint="eastAsia" w:hAnsi="宋体" w:cs="宋体"/>
          <w:b/>
          <w:bCs/>
          <w:color w:val="auto"/>
          <w:szCs w:val="24"/>
          <w:highlight w:val="none"/>
        </w:rPr>
        <w:t>1.5    投标人存在下列情形之一的，不得参加投标</w:t>
      </w:r>
      <w:bookmarkEnd w:id="27"/>
      <w:bookmarkEnd w:id="28"/>
    </w:p>
    <w:p>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（1）为招标人不具有独立法人资格的附属机构（单位）；</w:t>
      </w:r>
    </w:p>
    <w:p>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（2）与招标人存在利害关系且可能影响招标公正性；</w:t>
      </w:r>
    </w:p>
    <w:p>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（3）与本招标项目的其他投标人为同一个单位负责人；</w:t>
      </w:r>
    </w:p>
    <w:p>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（4）与本招标项目的其他投标人存在控股、管理关系；</w:t>
      </w:r>
    </w:p>
    <w:p>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（5）为本招标项目的代建人；</w:t>
      </w:r>
    </w:p>
    <w:p>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（6）为本招标项目的招标代理机构；</w:t>
      </w:r>
    </w:p>
    <w:p>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（7）与本招标项目的代建人或招标代理机构同为一个法定代表人；</w:t>
      </w:r>
    </w:p>
    <w:p>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（8）与本招标项目的代建人或招标代理机构存在控股或参股关系；</w:t>
      </w:r>
    </w:p>
    <w:p>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（9）被依法暂停或者取消投标资格；</w:t>
      </w:r>
    </w:p>
    <w:p>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（10）被责令停产停业、暂扣或者吊销许可证、暂扣或者吊销执照；</w:t>
      </w:r>
    </w:p>
    <w:p>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（11）进入清算程序，或被宣告破产，或其他丧失履约能力的情形；</w:t>
      </w:r>
    </w:p>
    <w:p>
      <w:pPr>
        <w:pStyle w:val="18"/>
        <w:adjustRightInd w:val="0"/>
        <w:snapToGrid w:val="0"/>
        <w:spacing w:line="360" w:lineRule="auto"/>
        <w:ind w:left="609" w:leftChars="190" w:hanging="210" w:hangingChars="100"/>
        <w:rPr>
          <w:rFonts w:hAnsi="宋体" w:cs="宋体"/>
          <w:color w:val="auto"/>
          <w:highlight w:val="none"/>
        </w:rPr>
      </w:pPr>
      <w:r>
        <w:rPr>
          <w:rFonts w:hint="eastAsia" w:hAnsi="宋体" w:cs="宋体"/>
          <w:color w:val="auto"/>
          <w:highlight w:val="none"/>
        </w:rPr>
        <w:t>（12）在最近三年内发生重大设计质量问题（以相关行业主管部门的行政处罚决定或司法机关出具的有关法律文书为准）；</w:t>
      </w:r>
    </w:p>
    <w:p>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（13）被工商行政管理机关在</w:t>
      </w:r>
      <w:r>
        <w:rPr>
          <w:rFonts w:hint="eastAsia" w:hAnsi="宋体" w:cs="宋体"/>
          <w:color w:val="auto"/>
          <w:highlight w:val="none"/>
          <w:u w:val="single"/>
        </w:rPr>
        <w:t>国家</w:t>
      </w:r>
      <w:r>
        <w:rPr>
          <w:rFonts w:hint="eastAsia" w:hAnsi="宋体" w:cs="宋体"/>
          <w:color w:val="auto"/>
          <w:highlight w:val="none"/>
        </w:rPr>
        <w:t>企业信用信息公示系统中列入严重违法失信企业名单；</w:t>
      </w:r>
    </w:p>
    <w:p>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（14）被最高人民法院在“信用中国”网站（www.creditchina.gov.cn）或各级信用信息共享平台中列入失信被执行人名单。</w:t>
      </w:r>
    </w:p>
    <w:p>
      <w:pPr>
        <w:pStyle w:val="18"/>
        <w:adjustRightInd w:val="0"/>
        <w:snapToGrid w:val="0"/>
        <w:spacing w:line="360" w:lineRule="auto"/>
        <w:ind w:firstLine="420" w:firstLineChars="200"/>
        <w:rPr>
          <w:rFonts w:hAnsi="宋体" w:cs="宋体"/>
          <w:color w:val="auto"/>
          <w:highlight w:val="none"/>
        </w:rPr>
      </w:pPr>
      <w:r>
        <w:rPr>
          <w:rFonts w:hint="eastAsia" w:hAnsi="宋体" w:cs="宋体"/>
          <w:color w:val="auto"/>
          <w:highlight w:val="none"/>
        </w:rPr>
        <w:t>（15）不存在《全国失信惩戒措施基础清单》惩戒内容为“在一定期限内依法取消参加依法必须进行招标的项目的投标资格”的情形。</w:t>
      </w:r>
    </w:p>
    <w:p>
      <w:pPr>
        <w:pStyle w:val="18"/>
        <w:adjustRightInd w:val="0"/>
        <w:snapToGrid w:val="0"/>
        <w:spacing w:line="360" w:lineRule="auto"/>
        <w:ind w:firstLine="630" w:firstLineChars="300"/>
        <w:rPr>
          <w:rFonts w:hAnsi="宋体" w:cs="宋体"/>
          <w:color w:val="auto"/>
          <w:highlight w:val="none"/>
        </w:rPr>
      </w:pPr>
    </w:p>
    <w:p>
      <w:pPr>
        <w:adjustRightInd w:val="0"/>
        <w:snapToGrid w:val="0"/>
        <w:spacing w:line="360" w:lineRule="auto"/>
        <w:jc w:val="left"/>
        <w:outlineLvl w:val="3"/>
        <w:rPr>
          <w:rFonts w:ascii="宋体" w:hAnsi="宋体" w:cs="宋体"/>
          <w:b/>
          <w:color w:val="auto"/>
          <w:highlight w:val="none"/>
        </w:rPr>
      </w:pPr>
      <w:bookmarkStart w:id="29" w:name="_Toc25437"/>
      <w:bookmarkStart w:id="30" w:name="_Toc11102"/>
      <w:r>
        <w:rPr>
          <w:rFonts w:hint="eastAsia" w:ascii="宋体" w:hAnsi="宋体" w:cs="宋体"/>
          <w:b/>
          <w:color w:val="auto"/>
          <w:highlight w:val="none"/>
        </w:rPr>
        <w:t>1.6    踏勘现场</w:t>
      </w:r>
      <w:bookmarkEnd w:id="29"/>
      <w:bookmarkEnd w:id="30"/>
    </w:p>
    <w:p>
      <w:pPr>
        <w:adjustRightInd w:val="0"/>
        <w:snapToGrid w:val="0"/>
        <w:spacing w:line="360" w:lineRule="auto"/>
        <w:ind w:left="718" w:hanging="718" w:hangingChars="342"/>
        <w:jc w:val="left"/>
        <w:rPr>
          <w:rFonts w:ascii="宋体" w:hAnsi="宋体" w:cs="宋体"/>
          <w:color w:val="auto"/>
          <w:highlight w:val="none"/>
        </w:rPr>
      </w:pPr>
      <w:r>
        <w:rPr>
          <w:rFonts w:hint="eastAsia" w:ascii="宋体" w:hAnsi="宋体" w:cs="宋体"/>
          <w:color w:val="auto"/>
          <w:highlight w:val="none"/>
        </w:rPr>
        <w:t xml:space="preserve">1.6.1  投标人须知前附表规定组织踏勘现场的，招标人按投标人须知前附表规定的时间、地点组织投标人踏勘项目现场。部分投标人未按时参加踏勘现场的，不影响踏勘现场的正常进行。 </w:t>
      </w:r>
    </w:p>
    <w:p>
      <w:pPr>
        <w:adjustRightInd w:val="0"/>
        <w:snapToGrid w:val="0"/>
        <w:spacing w:line="360" w:lineRule="auto"/>
        <w:ind w:left="718" w:hanging="718" w:hangingChars="342"/>
        <w:jc w:val="left"/>
        <w:outlineLvl w:val="4"/>
        <w:rPr>
          <w:rFonts w:ascii="宋体" w:hAnsi="宋体" w:cs="宋体"/>
          <w:color w:val="auto"/>
          <w:highlight w:val="none"/>
        </w:rPr>
      </w:pPr>
      <w:r>
        <w:rPr>
          <w:rFonts w:hint="eastAsia" w:ascii="宋体" w:hAnsi="宋体" w:cs="宋体"/>
          <w:color w:val="auto"/>
          <w:highlight w:val="none"/>
        </w:rPr>
        <w:t xml:space="preserve">1.6.2  投标人踏勘现场发生的费用自理。 </w:t>
      </w:r>
    </w:p>
    <w:p>
      <w:pPr>
        <w:adjustRightInd w:val="0"/>
        <w:snapToGrid w:val="0"/>
        <w:spacing w:line="360" w:lineRule="auto"/>
        <w:ind w:left="718" w:hanging="718" w:hangingChars="342"/>
        <w:jc w:val="left"/>
        <w:rPr>
          <w:rFonts w:ascii="宋体" w:hAnsi="宋体" w:cs="宋体"/>
          <w:color w:val="auto"/>
          <w:highlight w:val="none"/>
        </w:rPr>
      </w:pPr>
      <w:r>
        <w:rPr>
          <w:rFonts w:hint="eastAsia" w:ascii="宋体" w:hAnsi="宋体" w:cs="宋体"/>
          <w:color w:val="auto"/>
          <w:highlight w:val="none"/>
        </w:rPr>
        <w:t xml:space="preserve">1.6.3  除招标人的原因外，投标人自行负责在踏勘现场中所发生的人员伤亡和财产损失。 </w:t>
      </w:r>
    </w:p>
    <w:p>
      <w:pPr>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 xml:space="preserve">1.6.4  招标人在踏勘现场中介绍的工程场地和相关的周边环境情况，供投标人在编制投标文 </w:t>
      </w:r>
    </w:p>
    <w:p>
      <w:pPr>
        <w:adjustRightInd w:val="0"/>
        <w:snapToGrid w:val="0"/>
        <w:spacing w:line="360" w:lineRule="auto"/>
        <w:ind w:firstLine="840" w:firstLineChars="400"/>
        <w:jc w:val="left"/>
        <w:rPr>
          <w:rFonts w:ascii="宋体" w:hAnsi="宋体" w:cs="宋体"/>
          <w:color w:val="auto"/>
          <w:highlight w:val="none"/>
        </w:rPr>
      </w:pPr>
      <w:r>
        <w:rPr>
          <w:rFonts w:hint="eastAsia" w:ascii="宋体" w:hAnsi="宋体" w:cs="宋体"/>
          <w:color w:val="auto"/>
          <w:highlight w:val="none"/>
        </w:rPr>
        <w:t xml:space="preserve">件时参考，招标人不对投标人据此作出的判断和决策负责。 </w:t>
      </w:r>
    </w:p>
    <w:p>
      <w:pPr>
        <w:adjustRightInd w:val="0"/>
        <w:snapToGrid w:val="0"/>
        <w:spacing w:line="360" w:lineRule="auto"/>
        <w:ind w:left="714" w:leftChars="299" w:hanging="86" w:hangingChars="41"/>
        <w:jc w:val="left"/>
        <w:rPr>
          <w:rFonts w:ascii="宋体" w:hAnsi="宋体" w:cs="宋体"/>
          <w:b/>
          <w:bCs/>
          <w:color w:val="auto"/>
          <w:highlight w:val="none"/>
        </w:rPr>
      </w:pPr>
    </w:p>
    <w:p>
      <w:pPr>
        <w:adjustRightInd w:val="0"/>
        <w:snapToGrid w:val="0"/>
        <w:spacing w:line="360" w:lineRule="auto"/>
        <w:ind w:left="721" w:hanging="721" w:hangingChars="342"/>
        <w:jc w:val="left"/>
        <w:outlineLvl w:val="3"/>
        <w:rPr>
          <w:rFonts w:ascii="宋体" w:hAnsi="宋体" w:cs="宋体"/>
          <w:b/>
          <w:bCs/>
          <w:color w:val="auto"/>
          <w:highlight w:val="none"/>
        </w:rPr>
      </w:pPr>
      <w:bookmarkStart w:id="31" w:name="_Toc537"/>
      <w:bookmarkStart w:id="32" w:name="_Toc23698"/>
      <w:r>
        <w:rPr>
          <w:rFonts w:hint="eastAsia" w:ascii="宋体" w:hAnsi="宋体" w:cs="宋体"/>
          <w:b/>
          <w:bCs/>
          <w:color w:val="auto"/>
          <w:highlight w:val="none"/>
        </w:rPr>
        <w:t>1.7   费用承担</w:t>
      </w:r>
      <w:bookmarkEnd w:id="31"/>
      <w:bookmarkEnd w:id="32"/>
    </w:p>
    <w:p>
      <w:pPr>
        <w:adjustRightInd w:val="0"/>
        <w:snapToGrid w:val="0"/>
        <w:spacing w:line="360" w:lineRule="auto"/>
        <w:ind w:left="840" w:hanging="840" w:hangingChars="400"/>
        <w:jc w:val="left"/>
        <w:rPr>
          <w:rFonts w:hAnsi="宋体"/>
          <w:color w:val="auto"/>
          <w:szCs w:val="21"/>
          <w:highlight w:val="none"/>
        </w:rPr>
      </w:pPr>
      <w:r>
        <w:rPr>
          <w:rFonts w:hint="eastAsia" w:ascii="宋体" w:hAnsi="宋体" w:cs="宋体"/>
          <w:color w:val="auto"/>
          <w:highlight w:val="none"/>
        </w:rPr>
        <w:t xml:space="preserve">1.7.1  </w:t>
      </w:r>
      <w:r>
        <w:rPr>
          <w:rFonts w:hint="eastAsia" w:ascii="宋体" w:hAnsi="宋体" w:cs="宋体"/>
          <w:color w:val="auto"/>
          <w:szCs w:val="21"/>
          <w:highlight w:val="none"/>
        </w:rPr>
        <w:t>投标人应承担其现场考察、编制和提交投标文件有关的一切费用、损害和人身伤亡事故责任，不管投标结果如何，招标人对上述</w:t>
      </w:r>
      <w:r>
        <w:rPr>
          <w:rFonts w:hint="eastAsia" w:hAnsi="宋体"/>
          <w:color w:val="auto"/>
          <w:szCs w:val="21"/>
          <w:highlight w:val="none"/>
        </w:rPr>
        <w:t>费用不负任何责任。</w:t>
      </w:r>
    </w:p>
    <w:p>
      <w:pPr>
        <w:adjustRightInd w:val="0"/>
        <w:snapToGrid w:val="0"/>
        <w:spacing w:line="360" w:lineRule="auto"/>
        <w:jc w:val="left"/>
        <w:rPr>
          <w:rFonts w:hAnsi="宋体"/>
          <w:color w:val="auto"/>
          <w:szCs w:val="21"/>
          <w:highlight w:val="none"/>
          <w:lang w:val="zh-CN"/>
        </w:rPr>
      </w:pPr>
    </w:p>
    <w:p>
      <w:pPr>
        <w:pStyle w:val="5"/>
        <w:numPr>
          <w:ilvl w:val="0"/>
          <w:numId w:val="4"/>
        </w:numPr>
        <w:rPr>
          <w:color w:val="auto"/>
          <w:highlight w:val="none"/>
        </w:rPr>
      </w:pPr>
      <w:r>
        <w:rPr>
          <w:rFonts w:hint="eastAsia"/>
          <w:color w:val="auto"/>
          <w:highlight w:val="none"/>
        </w:rPr>
        <w:t xml:space="preserve"> </w:t>
      </w:r>
      <w:bookmarkStart w:id="33" w:name="_Toc28139"/>
      <w:bookmarkStart w:id="34" w:name="_Toc16063"/>
      <w:bookmarkStart w:id="35" w:name="_Toc11584"/>
      <w:r>
        <w:rPr>
          <w:rFonts w:hint="eastAsia"/>
          <w:color w:val="auto"/>
          <w:highlight w:val="none"/>
        </w:rPr>
        <w:t>投标</w:t>
      </w:r>
      <w:bookmarkEnd w:id="33"/>
      <w:bookmarkEnd w:id="34"/>
      <w:bookmarkEnd w:id="35"/>
    </w:p>
    <w:p>
      <w:pPr>
        <w:adjustRightInd w:val="0"/>
        <w:snapToGrid w:val="0"/>
        <w:spacing w:line="360" w:lineRule="auto"/>
        <w:jc w:val="left"/>
        <w:rPr>
          <w:rFonts w:ascii="宋体" w:hAnsi="宋体"/>
          <w:b/>
          <w:bCs/>
          <w:color w:val="auto"/>
          <w:highlight w:val="none"/>
        </w:rPr>
      </w:pPr>
    </w:p>
    <w:p>
      <w:pPr>
        <w:adjustRightInd w:val="0"/>
        <w:snapToGrid w:val="0"/>
        <w:spacing w:line="360" w:lineRule="auto"/>
        <w:ind w:left="721" w:hanging="721" w:hangingChars="342"/>
        <w:jc w:val="left"/>
        <w:outlineLvl w:val="3"/>
        <w:rPr>
          <w:rFonts w:ascii="宋体" w:hAnsi="宋体" w:cs="宋体"/>
          <w:b/>
          <w:bCs/>
          <w:color w:val="auto"/>
          <w:highlight w:val="none"/>
        </w:rPr>
      </w:pPr>
      <w:bookmarkStart w:id="36" w:name="_Toc12975"/>
      <w:bookmarkStart w:id="37" w:name="_Toc24925"/>
      <w:r>
        <w:rPr>
          <w:rFonts w:hint="eastAsia" w:ascii="宋体" w:hAnsi="宋体" w:cs="宋体"/>
          <w:b/>
          <w:bCs/>
          <w:color w:val="auto"/>
          <w:highlight w:val="none"/>
        </w:rPr>
        <w:t>2．1  招标答疑与澄清</w:t>
      </w:r>
      <w:bookmarkEnd w:id="36"/>
      <w:bookmarkEnd w:id="37"/>
    </w:p>
    <w:p>
      <w:pPr>
        <w:adjustRightInd w:val="0"/>
        <w:snapToGrid w:val="0"/>
        <w:spacing w:line="360" w:lineRule="auto"/>
        <w:ind w:left="718" w:hanging="718" w:hangingChars="342"/>
        <w:jc w:val="left"/>
        <w:rPr>
          <w:rFonts w:ascii="宋体" w:hAnsi="宋体" w:cs="宋体"/>
          <w:color w:val="auto"/>
          <w:highlight w:val="none"/>
        </w:rPr>
      </w:pPr>
      <w:r>
        <w:rPr>
          <w:rFonts w:hint="eastAsia" w:ascii="宋体" w:hAnsi="宋体" w:cs="宋体"/>
          <w:color w:val="auto"/>
          <w:highlight w:val="none"/>
        </w:rPr>
        <w:t>2.1.1  招标答疑采用网上答疑方式。投标人若对招标文件有疑问，可在规定时间内通过</w:t>
      </w:r>
      <w:r>
        <w:rPr>
          <w:rFonts w:hint="eastAsia" w:ascii="宋体" w:hAnsi="宋体" w:cs="宋体"/>
          <w:color w:val="auto"/>
          <w:highlight w:val="none"/>
          <w:u w:val="single"/>
        </w:rPr>
        <w:t>广州交易集团有限公司（广州公共资源交易中心）</w:t>
      </w:r>
      <w:r>
        <w:rPr>
          <w:rFonts w:hint="eastAsia" w:ascii="宋体" w:hAnsi="宋体" w:cs="宋体"/>
          <w:color w:val="auto"/>
          <w:highlight w:val="none"/>
        </w:rPr>
        <w:t>网站进入提问区域提交问题，提交问题时一律不得署名。</w:t>
      </w:r>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2.1.2  投标人需要澄清的问题应在招标公告发布之日起3天内提出，按交易平台的操作指引上传至交易平台网站。招标人应在投标截止时间15日前解答投标人对招标文件提出的疑问，形成的澄清或答疑纪要在交易平台发布。不足15日的，招标人应当顺延投标文件的截止时间。</w:t>
      </w:r>
    </w:p>
    <w:p>
      <w:pPr>
        <w:adjustRightInd w:val="0"/>
        <w:snapToGrid w:val="0"/>
        <w:spacing w:line="360" w:lineRule="auto"/>
        <w:ind w:left="718" w:hanging="718" w:hangingChars="342"/>
        <w:jc w:val="left"/>
        <w:rPr>
          <w:rFonts w:ascii="宋体" w:hAnsi="宋体" w:cs="宋体"/>
          <w:color w:val="auto"/>
          <w:szCs w:val="21"/>
          <w:highlight w:val="none"/>
        </w:rPr>
      </w:pPr>
      <w:r>
        <w:rPr>
          <w:rFonts w:hint="eastAsia" w:ascii="宋体" w:hAnsi="宋体" w:cs="宋体"/>
          <w:color w:val="auto"/>
          <w:szCs w:val="21"/>
          <w:highlight w:val="none"/>
        </w:rPr>
        <w:t>2.1.3  澄清或答疑纪要是招标文件的组成部分，对投标人起约束作用。若招标答疑纪要或澄清与招标文件有矛盾时，以交易平台网站最后发布的答疑纪要或澄清为准。</w:t>
      </w:r>
      <w:r>
        <w:rPr>
          <w:rFonts w:hint="eastAsia" w:ascii="宋体" w:hAnsi="宋体" w:cs="宋体"/>
          <w:color w:val="auto"/>
          <w:szCs w:val="21"/>
          <w:highlight w:val="none"/>
          <w:u w:val="single"/>
        </w:rPr>
        <w:t>招标文件的澄清或修改一经在交易平台网站发布，视作已发放给所有投标人。</w:t>
      </w:r>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2.1.4  网上答疑的具体操作详见交易平台发布的相关操作指引。</w:t>
      </w:r>
    </w:p>
    <w:p>
      <w:pPr>
        <w:adjustRightInd w:val="0"/>
        <w:snapToGrid w:val="0"/>
        <w:spacing w:line="360" w:lineRule="auto"/>
        <w:ind w:left="721" w:hanging="721" w:hangingChars="342"/>
        <w:jc w:val="left"/>
        <w:rPr>
          <w:rFonts w:ascii="宋体" w:hAnsi="宋体" w:cs="宋体"/>
          <w:b/>
          <w:bCs/>
          <w:color w:val="auto"/>
          <w:highlight w:val="none"/>
        </w:rPr>
      </w:pPr>
    </w:p>
    <w:p>
      <w:pPr>
        <w:adjustRightInd w:val="0"/>
        <w:snapToGrid w:val="0"/>
        <w:spacing w:line="360" w:lineRule="auto"/>
        <w:ind w:left="721" w:hanging="721" w:hangingChars="342"/>
        <w:jc w:val="left"/>
        <w:outlineLvl w:val="3"/>
        <w:rPr>
          <w:rFonts w:ascii="宋体" w:hAnsi="宋体" w:cs="宋体"/>
          <w:b/>
          <w:bCs/>
          <w:color w:val="auto"/>
          <w:highlight w:val="none"/>
        </w:rPr>
      </w:pPr>
      <w:bookmarkStart w:id="38" w:name="_Toc3307"/>
      <w:bookmarkStart w:id="39" w:name="_Toc746"/>
      <w:r>
        <w:rPr>
          <w:rFonts w:hint="eastAsia" w:ascii="宋体" w:hAnsi="宋体" w:cs="宋体"/>
          <w:b/>
          <w:bCs/>
          <w:color w:val="auto"/>
          <w:highlight w:val="none"/>
        </w:rPr>
        <w:t>2.2    招标文件的异议</w:t>
      </w:r>
      <w:bookmarkEnd w:id="38"/>
      <w:bookmarkEnd w:id="39"/>
      <w:r>
        <w:rPr>
          <w:rFonts w:hint="eastAsia" w:ascii="宋体" w:hAnsi="宋体" w:cs="宋体"/>
          <w:b/>
          <w:bCs/>
          <w:color w:val="auto"/>
          <w:highlight w:val="none"/>
        </w:rPr>
        <w:t xml:space="preserve"> </w:t>
      </w:r>
    </w:p>
    <w:p>
      <w:pPr>
        <w:adjustRightInd w:val="0"/>
        <w:snapToGrid w:val="0"/>
        <w:spacing w:line="360" w:lineRule="auto"/>
        <w:ind w:left="840" w:hanging="840" w:hangingChars="400"/>
        <w:jc w:val="left"/>
        <w:rPr>
          <w:rFonts w:ascii="宋体" w:hAnsi="宋体" w:cs="宋体"/>
          <w:color w:val="auto"/>
          <w:highlight w:val="none"/>
        </w:rPr>
      </w:pPr>
      <w:r>
        <w:rPr>
          <w:rFonts w:hint="eastAsia" w:ascii="宋体" w:hAnsi="宋体" w:cs="宋体"/>
          <w:color w:val="auto"/>
          <w:highlight w:val="none"/>
        </w:rPr>
        <w:t xml:space="preserve">2.2.1  投标人或者其他利害关系人对招标文件有异议的，应当在投标截止时间 10 日前通过电子交易平台或书面形式向招标人提出。通过电子交易平台提出异议的，招标人线上作出答复。招标人应当自收到异议之日起 3 日内作出答复；作出答复前，应当暂停招标投标活动。 </w:t>
      </w:r>
    </w:p>
    <w:p>
      <w:pPr>
        <w:adjustRightInd w:val="0"/>
        <w:snapToGrid w:val="0"/>
        <w:spacing w:line="360" w:lineRule="auto"/>
        <w:rPr>
          <w:rFonts w:ascii="宋体" w:hAnsi="宋体" w:cs="宋体"/>
          <w:color w:val="auto"/>
          <w:highlight w:val="none"/>
        </w:rPr>
      </w:pPr>
    </w:p>
    <w:p>
      <w:pPr>
        <w:adjustRightInd w:val="0"/>
        <w:snapToGrid w:val="0"/>
        <w:spacing w:line="360" w:lineRule="auto"/>
        <w:outlineLvl w:val="3"/>
        <w:rPr>
          <w:rFonts w:ascii="宋体" w:hAnsi="宋体" w:cs="宋体"/>
          <w:color w:val="auto"/>
          <w:highlight w:val="none"/>
        </w:rPr>
      </w:pPr>
      <w:bookmarkStart w:id="40" w:name="_Toc14523"/>
      <w:bookmarkStart w:id="41" w:name="_Toc23505"/>
      <w:r>
        <w:rPr>
          <w:rFonts w:hint="eastAsia" w:ascii="宋体" w:hAnsi="宋体" w:cs="宋体"/>
          <w:b/>
          <w:bCs/>
          <w:color w:val="auto"/>
          <w:highlight w:val="none"/>
        </w:rPr>
        <w:t>2.3    投标文件编制要求</w:t>
      </w:r>
      <w:bookmarkEnd w:id="40"/>
      <w:bookmarkEnd w:id="41"/>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2.3.1  投标文件应做到清晰、完整，文本、图纸文件大小应满足交易平台的要求，具体投标文件编制要求详见第五章《投标文件格式》。</w:t>
      </w:r>
      <w:r>
        <w:rPr>
          <w:rFonts w:hint="eastAsia" w:ascii="宋体" w:hAnsi="宋体"/>
          <w:color w:val="auto"/>
          <w:szCs w:val="21"/>
          <w:highlight w:val="none"/>
          <w:u w:val="single"/>
        </w:rPr>
        <w:t>技术文件页数最多不超过400页（其中单个工程设计项目不超过200页，不包括封面及目录页）</w:t>
      </w:r>
      <w:r>
        <w:rPr>
          <w:rFonts w:hint="eastAsia" w:ascii="宋体" w:hAnsi="宋体" w:cs="宋体"/>
          <w:color w:val="auto"/>
          <w:highlight w:val="none"/>
          <w:u w:val="single"/>
        </w:rPr>
        <w:t>。</w:t>
      </w:r>
      <w:r>
        <w:rPr>
          <w:rFonts w:hint="eastAsia" w:ascii="宋体" w:hAnsi="宋体" w:cs="宋体"/>
          <w:color w:val="auto"/>
          <w:highlight w:val="none"/>
        </w:rPr>
        <w:t>除非另有规定，否则投标文件的计量单位宜采用国际标准计量单位，尺寸齐全、准确，所有文字说明和文字标注以中文为准，报价均为人民币，时间均为北京时间。</w:t>
      </w:r>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2.3.2  投标文件全部采用电子文档，投标文件所附证书证件均为原件扫描件或电子证书，并采用单位数字证书，按招标文件要求在相应位置加盖电子印章，投标文件中需个人签字或盖章的，应手签后扫描上传，具体操作详见交易平台发布的相关操作指引。</w:t>
      </w:r>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2.3.3  联合体投标的，除《联合体投标协议》必须由联合体各方按要求签字或盖章外，其他资料可由联合体主办方签字或盖章，“投标人”应填写联合体各方的单位全称【格式：（主）XX公司；（成）XX公司】。法定代表人证明书及法定代表人授权书可由联合体主办方出具。</w:t>
      </w:r>
    </w:p>
    <w:p>
      <w:pPr>
        <w:adjustRightInd w:val="0"/>
        <w:snapToGrid w:val="0"/>
        <w:spacing w:line="360" w:lineRule="auto"/>
        <w:ind w:left="718" w:hanging="718" w:hangingChars="342"/>
        <w:outlineLvl w:val="4"/>
        <w:rPr>
          <w:rFonts w:ascii="宋体" w:hAnsi="宋体" w:cs="宋体"/>
          <w:color w:val="auto"/>
          <w:highlight w:val="none"/>
        </w:rPr>
      </w:pPr>
      <w:r>
        <w:rPr>
          <w:rFonts w:hint="eastAsia" w:ascii="宋体" w:hAnsi="宋体" w:cs="宋体"/>
          <w:color w:val="auto"/>
          <w:highlight w:val="none"/>
        </w:rPr>
        <w:t>2.3.4  投标文件加密要求</w:t>
      </w:r>
    </w:p>
    <w:p>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（1）递交的电子投标文件必须进行加密。具体操作详见交易平台发布的相关操作指引。</w:t>
      </w:r>
    </w:p>
    <w:p>
      <w:pPr>
        <w:adjustRightInd w:val="0"/>
        <w:snapToGrid w:val="0"/>
        <w:spacing w:line="360" w:lineRule="auto"/>
        <w:ind w:left="714" w:leftChars="299" w:hanging="86" w:hangingChars="41"/>
        <w:rPr>
          <w:rFonts w:ascii="宋体" w:hAnsi="宋体" w:cs="宋体"/>
          <w:color w:val="auto"/>
          <w:highlight w:val="none"/>
        </w:rPr>
      </w:pPr>
      <w:r>
        <w:rPr>
          <w:rFonts w:hint="eastAsia" w:ascii="宋体" w:hAnsi="宋体" w:cs="宋体"/>
          <w:color w:val="auto"/>
          <w:highlight w:val="none"/>
        </w:rPr>
        <w:t>（2）未按要求加密的投标文件，交易平台将予以拒收。</w:t>
      </w:r>
    </w:p>
    <w:p>
      <w:pPr>
        <w:adjustRightInd w:val="0"/>
        <w:snapToGrid w:val="0"/>
        <w:spacing w:line="360" w:lineRule="auto"/>
        <w:ind w:left="721" w:hanging="721" w:hangingChars="342"/>
        <w:rPr>
          <w:rFonts w:ascii="宋体" w:hAnsi="宋体" w:cs="宋体"/>
          <w:b/>
          <w:bCs/>
          <w:color w:val="auto"/>
          <w:highlight w:val="none"/>
        </w:rPr>
      </w:pPr>
    </w:p>
    <w:p>
      <w:pPr>
        <w:adjustRightInd w:val="0"/>
        <w:snapToGrid w:val="0"/>
        <w:spacing w:line="360" w:lineRule="auto"/>
        <w:ind w:left="721" w:hanging="721" w:hangingChars="342"/>
        <w:outlineLvl w:val="3"/>
        <w:rPr>
          <w:rFonts w:ascii="宋体" w:hAnsi="宋体" w:cs="宋体"/>
          <w:b/>
          <w:bCs/>
          <w:color w:val="auto"/>
          <w:highlight w:val="none"/>
        </w:rPr>
      </w:pPr>
      <w:bookmarkStart w:id="42" w:name="_Toc17601"/>
      <w:bookmarkStart w:id="43" w:name="_Toc17936"/>
      <w:r>
        <w:rPr>
          <w:rFonts w:hint="eastAsia" w:ascii="宋体" w:hAnsi="宋体" w:cs="宋体"/>
          <w:b/>
          <w:bCs/>
          <w:color w:val="auto"/>
          <w:highlight w:val="none"/>
        </w:rPr>
        <w:t>2.4    投标报价</w:t>
      </w:r>
      <w:bookmarkEnd w:id="42"/>
      <w:bookmarkEnd w:id="43"/>
      <w:r>
        <w:rPr>
          <w:rFonts w:hint="eastAsia" w:ascii="宋体" w:hAnsi="宋体" w:cs="宋体"/>
          <w:b/>
          <w:bCs/>
          <w:color w:val="auto"/>
          <w:highlight w:val="none"/>
        </w:rPr>
        <w:t xml:space="preserve"> </w:t>
      </w:r>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2.4.1  投标人应按第五章《投标文件格式》的要求进行报价并填写《</w:t>
      </w:r>
      <w:r>
        <w:rPr>
          <w:rFonts w:hint="eastAsia" w:ascii="宋体" w:hAnsi="宋体" w:cs="宋体"/>
          <w:strike/>
          <w:color w:val="auto"/>
          <w:highlight w:val="none"/>
        </w:rPr>
        <w:t>勘察</w:t>
      </w:r>
      <w:r>
        <w:rPr>
          <w:rFonts w:hint="eastAsia" w:ascii="宋体" w:hAnsi="宋体" w:cs="宋体"/>
          <w:color w:val="auto"/>
          <w:highlight w:val="none"/>
        </w:rPr>
        <w:t xml:space="preserve">设计费报价表》。 </w:t>
      </w:r>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 xml:space="preserve">2.4.2  投标人应充分了解该项目的总体情况以及影响投标报价的其他要素。 </w:t>
      </w:r>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 xml:space="preserve">2.4.3  招标人设有最高投标限价的，投标人的投标报价不得超过最高投标限价，最高投标限 </w:t>
      </w:r>
    </w:p>
    <w:p>
      <w:pPr>
        <w:adjustRightInd w:val="0"/>
        <w:snapToGrid w:val="0"/>
        <w:spacing w:line="360" w:lineRule="auto"/>
        <w:ind w:left="208" w:leftChars="99" w:firstLine="539" w:firstLineChars="257"/>
        <w:rPr>
          <w:rFonts w:ascii="宋体" w:hAnsi="宋体" w:cs="宋体"/>
          <w:color w:val="auto"/>
          <w:highlight w:val="none"/>
        </w:rPr>
      </w:pPr>
      <w:r>
        <w:rPr>
          <w:rFonts w:hint="eastAsia" w:ascii="宋体" w:hAnsi="宋体" w:cs="宋体"/>
          <w:color w:val="auto"/>
          <w:highlight w:val="none"/>
        </w:rPr>
        <w:t>价在投标人须知前附表中载明。</w:t>
      </w:r>
    </w:p>
    <w:p>
      <w:pPr>
        <w:adjustRightInd w:val="0"/>
        <w:snapToGrid w:val="0"/>
        <w:spacing w:line="360" w:lineRule="auto"/>
        <w:ind w:left="718" w:hanging="718" w:hangingChars="342"/>
        <w:rPr>
          <w:rFonts w:ascii="宋体" w:hAnsi="宋体" w:cs="宋体"/>
          <w:color w:val="auto"/>
          <w:highlight w:val="none"/>
        </w:rPr>
      </w:pPr>
      <w:r>
        <w:rPr>
          <w:rFonts w:hint="eastAsia" w:ascii="宋体" w:hAnsi="宋体" w:cs="宋体"/>
          <w:color w:val="auto"/>
          <w:highlight w:val="none"/>
        </w:rPr>
        <w:t>2.4.4  投标人在投标截止时间前修改投标函中的投标报价总额，应同时修改投标文件《</w:t>
      </w:r>
      <w:r>
        <w:rPr>
          <w:rFonts w:hint="eastAsia" w:ascii="宋体" w:hAnsi="宋体" w:cs="宋体"/>
          <w:strike/>
          <w:color w:val="auto"/>
          <w:highlight w:val="none"/>
        </w:rPr>
        <w:t>勘察</w:t>
      </w:r>
      <w:r>
        <w:rPr>
          <w:rFonts w:hint="eastAsia" w:ascii="宋体" w:hAnsi="宋体" w:cs="宋体"/>
          <w:color w:val="auto"/>
          <w:highlight w:val="none"/>
        </w:rPr>
        <w:t>设计费报价表》中的相应报价。</w:t>
      </w:r>
    </w:p>
    <w:p>
      <w:pPr>
        <w:adjustRightInd w:val="0"/>
        <w:snapToGrid w:val="0"/>
        <w:spacing w:line="360" w:lineRule="auto"/>
        <w:ind w:left="718" w:hanging="718" w:hangingChars="342"/>
        <w:outlineLvl w:val="4"/>
        <w:rPr>
          <w:rFonts w:ascii="宋体" w:hAnsi="宋体" w:cs="宋体"/>
          <w:color w:val="auto"/>
          <w:highlight w:val="none"/>
        </w:rPr>
      </w:pPr>
      <w:r>
        <w:rPr>
          <w:rFonts w:hint="eastAsia" w:ascii="宋体" w:hAnsi="宋体" w:cs="宋体"/>
          <w:color w:val="auto"/>
          <w:highlight w:val="none"/>
        </w:rPr>
        <w:t xml:space="preserve">2.4.5  投标报价的其他要求见投标人须知前附表。 </w:t>
      </w:r>
    </w:p>
    <w:p>
      <w:pPr>
        <w:adjustRightInd w:val="0"/>
        <w:snapToGrid w:val="0"/>
        <w:spacing w:line="360" w:lineRule="auto"/>
        <w:rPr>
          <w:rFonts w:ascii="宋体" w:hAnsi="宋体" w:cs="宋体"/>
          <w:color w:val="auto"/>
          <w:highlight w:val="none"/>
        </w:rPr>
      </w:pPr>
    </w:p>
    <w:p>
      <w:pPr>
        <w:pStyle w:val="18"/>
        <w:adjustRightInd w:val="0"/>
        <w:snapToGrid w:val="0"/>
        <w:spacing w:line="360" w:lineRule="auto"/>
        <w:ind w:left="721" w:hanging="721" w:hangingChars="342"/>
        <w:outlineLvl w:val="3"/>
        <w:rPr>
          <w:rFonts w:hAnsi="宋体" w:cs="宋体"/>
          <w:b/>
          <w:bCs/>
          <w:color w:val="auto"/>
          <w:highlight w:val="none"/>
        </w:rPr>
      </w:pPr>
      <w:bookmarkStart w:id="44" w:name="_Toc22325"/>
      <w:bookmarkStart w:id="45" w:name="_Toc32183"/>
      <w:r>
        <w:rPr>
          <w:rFonts w:hint="eastAsia" w:hAnsi="宋体" w:cs="宋体"/>
          <w:b/>
          <w:bCs/>
          <w:color w:val="auto"/>
          <w:highlight w:val="none"/>
        </w:rPr>
        <w:t>2.5    投标有效期</w:t>
      </w:r>
      <w:bookmarkEnd w:id="44"/>
      <w:bookmarkEnd w:id="45"/>
    </w:p>
    <w:p>
      <w:pPr>
        <w:pStyle w:val="18"/>
        <w:adjustRightInd w:val="0"/>
        <w:snapToGrid w:val="0"/>
        <w:spacing w:line="360" w:lineRule="auto"/>
        <w:ind w:left="718" w:hanging="718" w:hangingChars="342"/>
        <w:rPr>
          <w:rFonts w:hAnsi="宋体" w:cs="宋体"/>
          <w:color w:val="auto"/>
          <w:szCs w:val="21"/>
          <w:highlight w:val="none"/>
        </w:rPr>
      </w:pPr>
      <w:r>
        <w:rPr>
          <w:rFonts w:hint="eastAsia" w:hAnsi="宋体" w:cs="宋体"/>
          <w:color w:val="auto"/>
          <w:szCs w:val="21"/>
          <w:highlight w:val="none"/>
        </w:rPr>
        <w:t>2.5.1  投标有效期见投标须知前附表。在此期限内，凡符合本招标文件要求的投标文件均保持有效。在提交投标文件截止时间后到招标文件规定的投标有效期终止之前，投标人不得补充、修改或者撤回其投标文件，</w:t>
      </w:r>
      <w:r>
        <w:rPr>
          <w:rFonts w:hint="eastAsia" w:hAnsi="宋体" w:cs="宋体"/>
          <w:strike/>
          <w:color w:val="auto"/>
          <w:szCs w:val="21"/>
          <w:highlight w:val="none"/>
        </w:rPr>
        <w:t>否则其保证金将被没收。</w:t>
      </w:r>
    </w:p>
    <w:p>
      <w:pPr>
        <w:pStyle w:val="18"/>
        <w:adjustRightInd w:val="0"/>
        <w:snapToGrid w:val="0"/>
        <w:spacing w:line="360" w:lineRule="auto"/>
        <w:ind w:left="718" w:hanging="718" w:hangingChars="342"/>
        <w:rPr>
          <w:rFonts w:hAnsi="宋体" w:cs="宋体"/>
          <w:color w:val="auto"/>
          <w:szCs w:val="21"/>
          <w:highlight w:val="none"/>
        </w:rPr>
      </w:pPr>
      <w:r>
        <w:rPr>
          <w:rFonts w:hint="eastAsia" w:hAnsi="宋体" w:cs="宋体"/>
          <w:color w:val="auto"/>
          <w:szCs w:val="21"/>
          <w:highlight w:val="none"/>
        </w:rPr>
        <w:t>2.5.2 招标人因特殊情况需要延长投标有效期的，应当通知所有投标人延长投标有效期。同意延长投标有效期的投标人</w:t>
      </w:r>
      <w:r>
        <w:rPr>
          <w:rFonts w:hint="eastAsia" w:hAnsi="宋体" w:cs="宋体"/>
          <w:strike/>
          <w:color w:val="auto"/>
          <w:szCs w:val="21"/>
          <w:highlight w:val="none"/>
        </w:rPr>
        <w:t>应当相应延长其投标保证金的有效期，但</w:t>
      </w:r>
      <w:r>
        <w:rPr>
          <w:rFonts w:hint="eastAsia" w:hAnsi="宋体" w:cs="宋体"/>
          <w:color w:val="auto"/>
          <w:szCs w:val="21"/>
          <w:highlight w:val="none"/>
        </w:rPr>
        <w:t>不得修改投标文件的实质性内容，在延长期内本招标文件的规定仍然适用。</w:t>
      </w:r>
      <w:r>
        <w:rPr>
          <w:rFonts w:hint="eastAsia" w:hAnsi="宋体" w:cs="宋体"/>
          <w:strike/>
          <w:color w:val="auto"/>
          <w:szCs w:val="21"/>
          <w:highlight w:val="none"/>
        </w:rPr>
        <w:t>拒绝延长投标有效期的投标人有权收回投标保证金。</w:t>
      </w:r>
    </w:p>
    <w:p>
      <w:pPr>
        <w:pStyle w:val="18"/>
        <w:adjustRightInd w:val="0"/>
        <w:snapToGrid w:val="0"/>
        <w:spacing w:line="360" w:lineRule="auto"/>
        <w:ind w:left="718" w:hanging="718" w:hangingChars="342"/>
        <w:rPr>
          <w:rFonts w:hAnsi="宋体" w:cs="宋体"/>
          <w:color w:val="auto"/>
          <w:szCs w:val="21"/>
          <w:highlight w:val="none"/>
        </w:rPr>
      </w:pPr>
    </w:p>
    <w:p>
      <w:pPr>
        <w:adjustRightInd w:val="0"/>
        <w:snapToGrid w:val="0"/>
        <w:spacing w:line="360" w:lineRule="auto"/>
        <w:outlineLvl w:val="3"/>
        <w:rPr>
          <w:rFonts w:ascii="宋体" w:hAnsi="宋体" w:cs="宋体"/>
          <w:color w:val="auto"/>
          <w:highlight w:val="none"/>
        </w:rPr>
      </w:pPr>
      <w:bookmarkStart w:id="46" w:name="_Toc19319"/>
      <w:bookmarkStart w:id="47" w:name="_Toc30218"/>
      <w:r>
        <w:rPr>
          <w:rFonts w:hint="eastAsia" w:ascii="宋体" w:hAnsi="宋体" w:cs="宋体"/>
          <w:b/>
          <w:bCs/>
          <w:color w:val="auto"/>
          <w:highlight w:val="none"/>
        </w:rPr>
        <w:t>2.6    投标保证金</w:t>
      </w:r>
      <w:bookmarkEnd w:id="46"/>
      <w:bookmarkEnd w:id="47"/>
    </w:p>
    <w:p>
      <w:pPr>
        <w:adjustRightInd w:val="0"/>
        <w:snapToGrid w:val="0"/>
        <w:spacing w:line="360" w:lineRule="auto"/>
        <w:ind w:firstLine="630" w:firstLineChars="300"/>
        <w:rPr>
          <w:rFonts w:ascii="宋体" w:hAnsi="宋体"/>
          <w:color w:val="auto"/>
          <w:szCs w:val="21"/>
          <w:highlight w:val="none"/>
          <w:u w:val="single"/>
        </w:rPr>
      </w:pPr>
      <w:r>
        <w:rPr>
          <w:rFonts w:hint="eastAsia" w:ascii="宋体" w:hAnsi="宋体"/>
          <w:color w:val="auto"/>
          <w:szCs w:val="21"/>
          <w:highlight w:val="none"/>
          <w:u w:val="single"/>
        </w:rPr>
        <w:t>投标人不需要提交投标保证金。</w:t>
      </w:r>
    </w:p>
    <w:p>
      <w:pPr>
        <w:adjustRightInd w:val="0"/>
        <w:snapToGrid w:val="0"/>
        <w:spacing w:line="360" w:lineRule="auto"/>
        <w:ind w:firstLine="630" w:firstLineChars="300"/>
        <w:rPr>
          <w:rFonts w:ascii="宋体" w:hAnsi="宋体" w:cs="宋体"/>
          <w:color w:val="auto"/>
          <w:highlight w:val="none"/>
        </w:rPr>
      </w:pPr>
    </w:p>
    <w:p>
      <w:pPr>
        <w:adjustRightInd w:val="0"/>
        <w:snapToGrid w:val="0"/>
        <w:spacing w:line="360" w:lineRule="auto"/>
        <w:ind w:left="746" w:hanging="746" w:hangingChars="354"/>
        <w:outlineLvl w:val="3"/>
        <w:rPr>
          <w:rFonts w:ascii="宋体" w:hAnsi="宋体" w:cs="宋体"/>
          <w:color w:val="auto"/>
          <w:szCs w:val="21"/>
          <w:highlight w:val="none"/>
        </w:rPr>
      </w:pPr>
      <w:bookmarkStart w:id="48" w:name="_Toc15485"/>
      <w:bookmarkStart w:id="49" w:name="_Toc27053"/>
      <w:r>
        <w:rPr>
          <w:rFonts w:hint="eastAsia" w:ascii="宋体" w:hAnsi="宋体" w:cs="宋体"/>
          <w:b/>
          <w:bCs/>
          <w:color w:val="auto"/>
          <w:szCs w:val="21"/>
          <w:highlight w:val="none"/>
        </w:rPr>
        <w:t>2.7    投标文件的递交</w:t>
      </w:r>
      <w:bookmarkEnd w:id="48"/>
      <w:bookmarkEnd w:id="49"/>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2.7.1  投标人代表应按投标须知前附表规定的时间和地点向递交投标文件。</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2.7.2  投标人完成电子投标文件上传后，广州公共资源交易平台即时向投标人发出递交回执通知。递交时间以递交回执通知载明的传输</w:t>
      </w:r>
      <w:r>
        <w:rPr>
          <w:rFonts w:hint="eastAsia" w:ascii="宋体" w:hAnsi="宋体" w:cs="宋体"/>
          <w:color w:val="auto"/>
          <w:highlight w:val="none"/>
        </w:rPr>
        <w:t>完成</w:t>
      </w:r>
      <w:r>
        <w:rPr>
          <w:rFonts w:hint="eastAsia" w:ascii="宋体" w:hAnsi="宋体" w:cs="宋体"/>
          <w:color w:val="auto"/>
          <w:szCs w:val="21"/>
          <w:highlight w:val="none"/>
        </w:rPr>
        <w:t>时间为准。</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2.7.3  如按招标公告要求需要提交投标文件光盘（备用），备用光盘不得加密。如使用投标文件光盘（备用）时无法读取或</w:t>
      </w:r>
      <w:r>
        <w:rPr>
          <w:rFonts w:hint="eastAsia" w:ascii="宋体" w:hAnsi="宋体" w:cs="宋体"/>
          <w:color w:val="auto"/>
          <w:highlight w:val="none"/>
        </w:rPr>
        <w:t>导入</w:t>
      </w:r>
      <w:r>
        <w:rPr>
          <w:rFonts w:hint="eastAsia" w:ascii="宋体" w:hAnsi="宋体" w:cs="宋体"/>
          <w:color w:val="auto"/>
          <w:szCs w:val="21"/>
          <w:highlight w:val="none"/>
        </w:rPr>
        <w:t>的，则视为未提交投标文件。</w:t>
      </w:r>
    </w:p>
    <w:p>
      <w:pPr>
        <w:adjustRightInd w:val="0"/>
        <w:snapToGrid w:val="0"/>
        <w:spacing w:line="360" w:lineRule="auto"/>
        <w:ind w:left="718" w:hanging="718" w:hangingChars="342"/>
        <w:outlineLvl w:val="4"/>
        <w:rPr>
          <w:rFonts w:ascii="宋体" w:hAnsi="宋体" w:cs="宋体"/>
          <w:color w:val="auto"/>
          <w:szCs w:val="21"/>
          <w:highlight w:val="none"/>
        </w:rPr>
      </w:pPr>
      <w:r>
        <w:rPr>
          <w:rFonts w:hint="eastAsia" w:ascii="宋体" w:hAnsi="宋体" w:cs="宋体"/>
          <w:color w:val="auto"/>
          <w:szCs w:val="21"/>
          <w:highlight w:val="none"/>
        </w:rPr>
        <w:t>2.7.4  逾期送达的投标文件，交易平台将予以拒收。</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2.7.5  到投标截止时间止，招标人收到的投标文件少于3家的，招标人将重新组织招标（当N个标段同时招标且不允许兼中时，若有效投标人不足N+2家，则重新组织招标）。</w:t>
      </w:r>
    </w:p>
    <w:p>
      <w:pPr>
        <w:adjustRightInd w:val="0"/>
        <w:snapToGrid w:val="0"/>
        <w:spacing w:line="360" w:lineRule="auto"/>
        <w:ind w:left="718" w:hanging="718" w:hangingChars="342"/>
        <w:rPr>
          <w:rFonts w:ascii="宋体" w:hAnsi="宋体" w:cs="宋体"/>
          <w:color w:val="auto"/>
          <w:szCs w:val="21"/>
          <w:highlight w:val="none"/>
          <w:u w:val="single"/>
        </w:rPr>
      </w:pPr>
      <w:r>
        <w:rPr>
          <w:rFonts w:hint="eastAsia" w:ascii="宋体" w:hAnsi="宋体" w:cs="宋体"/>
          <w:color w:val="auto"/>
          <w:szCs w:val="21"/>
          <w:highlight w:val="none"/>
          <w:u w:val="single"/>
        </w:rPr>
        <w:t>2.7.6  拒绝接收投标文件光盘（备用）的情况：</w:t>
      </w:r>
    </w:p>
    <w:p>
      <w:pPr>
        <w:adjustRightInd w:val="0"/>
        <w:snapToGrid w:val="0"/>
        <w:spacing w:line="360" w:lineRule="auto"/>
        <w:ind w:left="718" w:hanging="718" w:hangingChars="342"/>
        <w:rPr>
          <w:rFonts w:ascii="宋体" w:hAnsi="宋体" w:cs="宋体"/>
          <w:color w:val="auto"/>
          <w:szCs w:val="21"/>
          <w:highlight w:val="none"/>
          <w:u w:val="single"/>
        </w:rPr>
      </w:pPr>
      <w:r>
        <w:rPr>
          <w:rFonts w:hint="eastAsia" w:ascii="宋体" w:hAnsi="宋体" w:cs="宋体"/>
          <w:color w:val="auto"/>
          <w:szCs w:val="21"/>
          <w:highlight w:val="none"/>
          <w:u w:val="single"/>
        </w:rPr>
        <w:t>（1）逾期或未在指定地点递交投标文件光盘（备用）；</w:t>
      </w:r>
    </w:p>
    <w:p>
      <w:pPr>
        <w:adjustRightInd w:val="0"/>
        <w:snapToGrid w:val="0"/>
        <w:spacing w:line="360" w:lineRule="auto"/>
        <w:ind w:left="718" w:hanging="718" w:hangingChars="342"/>
        <w:rPr>
          <w:rFonts w:ascii="宋体" w:hAnsi="宋体" w:cs="宋体"/>
          <w:color w:val="auto"/>
          <w:szCs w:val="21"/>
          <w:highlight w:val="none"/>
          <w:u w:val="single"/>
        </w:rPr>
      </w:pPr>
      <w:r>
        <w:rPr>
          <w:rFonts w:hint="eastAsia" w:ascii="宋体" w:hAnsi="宋体" w:cs="宋体"/>
          <w:color w:val="auto"/>
          <w:szCs w:val="21"/>
          <w:highlight w:val="none"/>
          <w:u w:val="single"/>
        </w:rPr>
        <w:t>（2）投标人递交的投标文件光盘（备用）未按招标文件要求密封或未在密封处盖章的；</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u w:val="single"/>
        </w:rPr>
        <w:t>（3）投标人代表未凭法定代表人证明书原件（格式见招标文件附件）、法定代表人授权委托书原件（非法定代表人递交投标文件光盘时提供，格式见招标文件附件）、本人身份证复印件（提供原件核对）递交投标文件光盘（备用）的。</w:t>
      </w:r>
    </w:p>
    <w:p>
      <w:pPr>
        <w:adjustRightInd w:val="0"/>
        <w:snapToGrid w:val="0"/>
        <w:spacing w:line="360" w:lineRule="auto"/>
        <w:ind w:left="721" w:hanging="721" w:hangingChars="342"/>
        <w:rPr>
          <w:rFonts w:ascii="宋体" w:hAnsi="宋体" w:cs="宋体"/>
          <w:b/>
          <w:color w:val="auto"/>
          <w:szCs w:val="21"/>
          <w:highlight w:val="none"/>
        </w:rPr>
      </w:pPr>
    </w:p>
    <w:p>
      <w:pPr>
        <w:adjustRightInd w:val="0"/>
        <w:snapToGrid w:val="0"/>
        <w:spacing w:line="360" w:lineRule="auto"/>
        <w:ind w:left="746" w:hanging="746" w:hangingChars="354"/>
        <w:jc w:val="left"/>
        <w:outlineLvl w:val="3"/>
        <w:rPr>
          <w:rFonts w:ascii="宋体" w:hAnsi="宋体" w:cs="宋体"/>
          <w:b/>
          <w:color w:val="auto"/>
          <w:szCs w:val="21"/>
          <w:highlight w:val="none"/>
        </w:rPr>
      </w:pPr>
      <w:bookmarkStart w:id="50" w:name="_Toc19978"/>
      <w:bookmarkStart w:id="51" w:name="_Toc2448"/>
      <w:r>
        <w:rPr>
          <w:rFonts w:hint="eastAsia" w:ascii="宋体" w:hAnsi="宋体" w:cs="宋体"/>
          <w:b/>
          <w:color w:val="auto"/>
          <w:szCs w:val="21"/>
          <w:highlight w:val="none"/>
        </w:rPr>
        <w:t>2.8    投标文件的修改与撤回</w:t>
      </w:r>
      <w:bookmarkEnd w:id="50"/>
      <w:bookmarkEnd w:id="51"/>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2.8.1  在规定的投标截止时间前，投标人可以修改或撤回已递交的投标文件。</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2.8.2  投标人修改或撤回已递交的投标文件，需在交易平台发出撤回通知，并按要求加盖电子印章。电子招标投标交易平台收到通知后，即时向投标人发布确认回执通知。</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2.8.3  在投标截止时间后，投标人不得补充、修改或更换投标文件。</w:t>
      </w:r>
    </w:p>
    <w:p>
      <w:pPr>
        <w:adjustRightInd w:val="0"/>
        <w:snapToGrid w:val="0"/>
        <w:spacing w:line="360" w:lineRule="auto"/>
        <w:ind w:left="718" w:hanging="718" w:hangingChars="342"/>
        <w:rPr>
          <w:rFonts w:ascii="宋体" w:hAnsi="宋体" w:cs="宋体"/>
          <w:color w:val="auto"/>
          <w:szCs w:val="21"/>
          <w:highlight w:val="none"/>
        </w:rPr>
      </w:pPr>
    </w:p>
    <w:p>
      <w:pPr>
        <w:adjustRightInd w:val="0"/>
        <w:snapToGrid w:val="0"/>
        <w:spacing w:line="360" w:lineRule="auto"/>
        <w:ind w:left="746" w:hanging="746" w:hangingChars="354"/>
        <w:jc w:val="left"/>
        <w:outlineLvl w:val="3"/>
        <w:rPr>
          <w:rFonts w:ascii="宋体" w:hAnsi="宋体" w:cs="宋体"/>
          <w:b/>
          <w:color w:val="auto"/>
          <w:szCs w:val="21"/>
          <w:highlight w:val="none"/>
        </w:rPr>
      </w:pPr>
      <w:bookmarkStart w:id="52" w:name="_Toc14320"/>
      <w:bookmarkStart w:id="53" w:name="_Toc20792"/>
      <w:r>
        <w:rPr>
          <w:rFonts w:hint="eastAsia" w:ascii="宋体" w:hAnsi="宋体" w:cs="宋体"/>
          <w:b/>
          <w:color w:val="auto"/>
          <w:szCs w:val="21"/>
          <w:highlight w:val="none"/>
        </w:rPr>
        <w:t>2.9    电子招标投标解密失败及突发状况的补救</w:t>
      </w:r>
      <w:bookmarkEnd w:id="52"/>
      <w:bookmarkEnd w:id="53"/>
    </w:p>
    <w:p>
      <w:pPr>
        <w:adjustRightInd w:val="0"/>
        <w:snapToGrid w:val="0"/>
        <w:spacing w:line="360" w:lineRule="auto"/>
        <w:ind w:left="718" w:hanging="718" w:hangingChars="342"/>
        <w:outlineLvl w:val="4"/>
        <w:rPr>
          <w:rFonts w:ascii="宋体" w:hAnsi="宋体" w:cs="宋体"/>
          <w:color w:val="auto"/>
          <w:szCs w:val="21"/>
          <w:highlight w:val="none"/>
        </w:rPr>
      </w:pPr>
      <w:r>
        <w:rPr>
          <w:rFonts w:hint="eastAsia" w:ascii="宋体" w:hAnsi="宋体" w:cs="宋体"/>
          <w:color w:val="auto"/>
          <w:szCs w:val="21"/>
          <w:highlight w:val="none"/>
        </w:rPr>
        <w:t>2.9.1  提交投标文件</w:t>
      </w:r>
      <w:r>
        <w:rPr>
          <w:rFonts w:hint="eastAsia" w:ascii="宋体" w:hAnsi="宋体" w:cs="宋体"/>
          <w:color w:val="auto"/>
          <w:highlight w:val="none"/>
        </w:rPr>
        <w:t>光盘</w:t>
      </w:r>
      <w:r>
        <w:rPr>
          <w:rFonts w:hint="eastAsia" w:ascii="宋体" w:hAnsi="宋体" w:cs="宋体"/>
          <w:color w:val="auto"/>
          <w:szCs w:val="21"/>
          <w:highlight w:val="none"/>
        </w:rPr>
        <w:t>备用</w:t>
      </w:r>
    </w:p>
    <w:p>
      <w:pPr>
        <w:adjustRightInd w:val="0"/>
        <w:snapToGrid w:val="0"/>
        <w:spacing w:line="360" w:lineRule="auto"/>
        <w:ind w:left="714" w:leftChars="299" w:hanging="86" w:hangingChars="41"/>
        <w:rPr>
          <w:rFonts w:ascii="宋体" w:hAnsi="宋体" w:cs="宋体"/>
          <w:b/>
          <w:bCs/>
          <w:color w:val="auto"/>
          <w:szCs w:val="21"/>
          <w:highlight w:val="none"/>
          <w:u w:val="single"/>
        </w:rPr>
      </w:pPr>
      <w:r>
        <w:rPr>
          <w:rFonts w:hint="eastAsia" w:ascii="宋体" w:hAnsi="宋体" w:cs="宋体"/>
          <w:color w:val="auto"/>
          <w:szCs w:val="21"/>
          <w:highlight w:val="none"/>
        </w:rPr>
        <w:t xml:space="preserve">       投标人可制作非加密的电子投标文件刻入光盘（1份），在招标公告规定的时间、地点提交备用。</w:t>
      </w:r>
      <w:r>
        <w:rPr>
          <w:rFonts w:hint="eastAsia" w:ascii="宋体" w:hAnsi="宋体" w:cs="宋体"/>
          <w:b/>
          <w:bCs/>
          <w:color w:val="auto"/>
          <w:szCs w:val="21"/>
          <w:highlight w:val="none"/>
          <w:u w:val="single"/>
        </w:rPr>
        <w:t>投标文件光盘（备用）1份包括“开标文件光盘”“资格审查文件光盘”“商务文件光盘”“技术文件（设计方案）光盘”“保密文件光盘”共5个光盘。</w:t>
      </w:r>
    </w:p>
    <w:p>
      <w:pPr>
        <w:ind w:left="630" w:leftChars="300"/>
        <w:rPr>
          <w:rFonts w:ascii="宋体" w:hAnsi="宋体" w:cs="宋体"/>
          <w:color w:val="auto"/>
          <w:szCs w:val="21"/>
          <w:highlight w:val="none"/>
        </w:rPr>
      </w:pPr>
      <w:r>
        <w:rPr>
          <w:rFonts w:hint="eastAsia" w:ascii="宋体" w:hAnsi="宋体" w:cs="宋体"/>
          <w:color w:val="auto"/>
          <w:szCs w:val="21"/>
          <w:highlight w:val="none"/>
          <w:u w:val="single"/>
        </w:rPr>
        <w:t>（1）</w:t>
      </w:r>
      <w:r>
        <w:rPr>
          <w:rFonts w:hint="eastAsia" w:ascii="宋体" w:hAnsi="宋体" w:cs="宋体"/>
          <w:b/>
          <w:color w:val="auto"/>
          <w:szCs w:val="21"/>
          <w:highlight w:val="none"/>
          <w:u w:val="single"/>
        </w:rPr>
        <w:t>开标文件光盘</w:t>
      </w:r>
      <w:r>
        <w:rPr>
          <w:rFonts w:hint="eastAsia" w:ascii="宋体" w:hAnsi="宋体" w:cs="宋体"/>
          <w:color w:val="auto"/>
          <w:szCs w:val="21"/>
          <w:highlight w:val="none"/>
          <w:u w:val="single"/>
        </w:rPr>
        <w:t>包括下列内容：</w:t>
      </w:r>
      <w:r>
        <w:rPr>
          <w:rFonts w:hint="eastAsia" w:ascii="宋体" w:hAnsi="宋体" w:cs="宋体"/>
          <w:color w:val="auto"/>
          <w:szCs w:val="21"/>
          <w:highlight w:val="none"/>
        </w:rPr>
        <w:t xml:space="preserve"> </w:t>
      </w:r>
    </w:p>
    <w:p>
      <w:pPr>
        <w:ind w:firstLine="1050" w:firstLineChars="500"/>
        <w:rPr>
          <w:rFonts w:ascii="宋体" w:hAnsi="宋体" w:cs="宋体"/>
          <w:color w:val="auto"/>
          <w:szCs w:val="21"/>
          <w:highlight w:val="none"/>
          <w:u w:val="single"/>
        </w:rPr>
      </w:pPr>
      <w:r>
        <w:rPr>
          <w:rFonts w:hint="eastAsia" w:ascii="宋体" w:hAnsi="宋体" w:cs="宋体"/>
          <w:color w:val="auto"/>
          <w:szCs w:val="21"/>
          <w:highlight w:val="none"/>
          <w:u w:val="single"/>
        </w:rPr>
        <w:t>(a)一套PDF格式制作的电子版开标信封文本文件。</w:t>
      </w:r>
    </w:p>
    <w:p>
      <w:pPr>
        <w:ind w:firstLine="1050" w:firstLineChars="500"/>
        <w:rPr>
          <w:rFonts w:ascii="宋体" w:hAnsi="宋体" w:cs="宋体"/>
          <w:color w:val="auto"/>
          <w:szCs w:val="21"/>
          <w:highlight w:val="none"/>
          <w:u w:val="single"/>
        </w:rPr>
      </w:pPr>
      <w:r>
        <w:rPr>
          <w:rFonts w:hint="eastAsia" w:ascii="宋体" w:hAnsi="宋体" w:cs="宋体"/>
          <w:color w:val="auto"/>
          <w:szCs w:val="21"/>
          <w:highlight w:val="none"/>
          <w:u w:val="single"/>
        </w:rPr>
        <w:t>(b)一套WORD格式的电子版开标信封文本文件。</w:t>
      </w:r>
    </w:p>
    <w:p>
      <w:pPr>
        <w:ind w:firstLine="630" w:firstLineChars="300"/>
        <w:rPr>
          <w:rFonts w:ascii="宋体" w:hAnsi="宋体" w:cs="宋体"/>
          <w:color w:val="auto"/>
          <w:szCs w:val="21"/>
          <w:highlight w:val="none"/>
          <w:u w:val="single"/>
        </w:rPr>
      </w:pPr>
      <w:r>
        <w:rPr>
          <w:rFonts w:hint="eastAsia" w:ascii="宋体" w:hAnsi="宋体" w:cs="宋体"/>
          <w:color w:val="auto"/>
          <w:szCs w:val="21"/>
          <w:highlight w:val="none"/>
          <w:u w:val="single"/>
        </w:rPr>
        <w:t>（2）</w:t>
      </w:r>
      <w:r>
        <w:rPr>
          <w:rFonts w:hint="eastAsia" w:ascii="宋体" w:hAnsi="宋体" w:cs="宋体"/>
          <w:b/>
          <w:bCs/>
          <w:color w:val="auto"/>
          <w:szCs w:val="21"/>
          <w:highlight w:val="none"/>
          <w:u w:val="single"/>
        </w:rPr>
        <w:t>资格审查文件光盘</w:t>
      </w:r>
      <w:r>
        <w:rPr>
          <w:rFonts w:hint="eastAsia" w:ascii="宋体" w:hAnsi="宋体" w:cs="宋体"/>
          <w:color w:val="auto"/>
          <w:szCs w:val="21"/>
          <w:highlight w:val="none"/>
          <w:u w:val="single"/>
        </w:rPr>
        <w:t>包括下列内容：</w:t>
      </w:r>
    </w:p>
    <w:p>
      <w:pPr>
        <w:ind w:firstLine="1050" w:firstLineChars="500"/>
        <w:rPr>
          <w:rFonts w:ascii="宋体" w:hAnsi="宋体" w:cs="宋体"/>
          <w:color w:val="auto"/>
          <w:szCs w:val="21"/>
          <w:highlight w:val="none"/>
          <w:u w:val="single"/>
        </w:rPr>
      </w:pPr>
      <w:r>
        <w:rPr>
          <w:rFonts w:hint="eastAsia" w:ascii="宋体" w:hAnsi="宋体" w:cs="宋体"/>
          <w:color w:val="auto"/>
          <w:szCs w:val="21"/>
          <w:highlight w:val="none"/>
          <w:u w:val="single"/>
        </w:rPr>
        <w:t>(a)一套PDF格式制作的电子版资格审查文件文本文件。</w:t>
      </w:r>
    </w:p>
    <w:p>
      <w:pPr>
        <w:ind w:firstLine="1050" w:firstLineChars="500"/>
        <w:rPr>
          <w:rFonts w:ascii="宋体" w:hAnsi="宋体" w:cs="宋体"/>
          <w:color w:val="auto"/>
          <w:szCs w:val="21"/>
          <w:highlight w:val="none"/>
          <w:u w:val="single"/>
        </w:rPr>
      </w:pPr>
      <w:r>
        <w:rPr>
          <w:rFonts w:hint="eastAsia" w:ascii="宋体" w:hAnsi="宋体" w:cs="宋体"/>
          <w:color w:val="auto"/>
          <w:szCs w:val="21"/>
          <w:highlight w:val="none"/>
          <w:u w:val="single"/>
        </w:rPr>
        <w:t>(b)一套WORD格式的电子版资格审查文件文本文件。</w:t>
      </w:r>
    </w:p>
    <w:p>
      <w:pPr>
        <w:ind w:firstLine="630" w:firstLineChars="300"/>
        <w:rPr>
          <w:rFonts w:ascii="宋体" w:hAnsi="宋体" w:cs="宋体"/>
          <w:color w:val="auto"/>
          <w:szCs w:val="21"/>
          <w:highlight w:val="none"/>
          <w:u w:val="single"/>
        </w:rPr>
      </w:pPr>
      <w:r>
        <w:rPr>
          <w:rFonts w:hint="eastAsia" w:ascii="宋体" w:hAnsi="宋体" w:cs="宋体"/>
          <w:color w:val="auto"/>
          <w:szCs w:val="21"/>
          <w:highlight w:val="none"/>
          <w:u w:val="single"/>
        </w:rPr>
        <w:t>（3）</w:t>
      </w:r>
      <w:r>
        <w:rPr>
          <w:rFonts w:hint="eastAsia" w:ascii="宋体" w:hAnsi="宋体" w:cs="宋体"/>
          <w:b/>
          <w:bCs/>
          <w:color w:val="auto"/>
          <w:szCs w:val="21"/>
          <w:highlight w:val="none"/>
          <w:u w:val="single"/>
        </w:rPr>
        <w:t>商务文件光盘</w:t>
      </w:r>
      <w:r>
        <w:rPr>
          <w:rFonts w:hint="eastAsia" w:ascii="宋体" w:hAnsi="宋体" w:cs="宋体"/>
          <w:color w:val="auto"/>
          <w:szCs w:val="21"/>
          <w:highlight w:val="none"/>
          <w:u w:val="single"/>
        </w:rPr>
        <w:t>包括下列内容：</w:t>
      </w:r>
    </w:p>
    <w:p>
      <w:pPr>
        <w:ind w:firstLine="1050" w:firstLineChars="500"/>
        <w:rPr>
          <w:rFonts w:ascii="宋体" w:hAnsi="宋体" w:cs="宋体"/>
          <w:color w:val="auto"/>
          <w:szCs w:val="21"/>
          <w:highlight w:val="none"/>
          <w:u w:val="single"/>
        </w:rPr>
      </w:pPr>
      <w:r>
        <w:rPr>
          <w:rFonts w:hint="eastAsia" w:ascii="宋体" w:hAnsi="宋体" w:cs="宋体"/>
          <w:color w:val="auto"/>
          <w:szCs w:val="21"/>
          <w:highlight w:val="none"/>
          <w:u w:val="single"/>
        </w:rPr>
        <w:t>(a)一套PDF格式制作的电子版商务文件文本文件。</w:t>
      </w:r>
    </w:p>
    <w:p>
      <w:pPr>
        <w:ind w:firstLine="1050" w:firstLineChars="500"/>
        <w:rPr>
          <w:rFonts w:ascii="宋体" w:hAnsi="宋体" w:cs="宋体"/>
          <w:color w:val="auto"/>
          <w:szCs w:val="21"/>
          <w:highlight w:val="none"/>
          <w:u w:val="single"/>
        </w:rPr>
      </w:pPr>
      <w:r>
        <w:rPr>
          <w:rFonts w:hint="eastAsia" w:ascii="宋体" w:hAnsi="宋体" w:cs="宋体"/>
          <w:color w:val="auto"/>
          <w:szCs w:val="21"/>
          <w:highlight w:val="none"/>
          <w:u w:val="single"/>
        </w:rPr>
        <w:t>(b)一套WORD格式的电子版商务文件文本文件。</w:t>
      </w:r>
    </w:p>
    <w:p>
      <w:pPr>
        <w:ind w:firstLine="630" w:firstLineChars="300"/>
        <w:rPr>
          <w:rFonts w:ascii="宋体" w:hAnsi="宋体" w:cs="宋体"/>
          <w:color w:val="auto"/>
          <w:szCs w:val="21"/>
          <w:highlight w:val="none"/>
          <w:u w:val="single"/>
        </w:rPr>
      </w:pPr>
      <w:r>
        <w:rPr>
          <w:rFonts w:hint="eastAsia" w:ascii="宋体" w:hAnsi="宋体" w:cs="宋体"/>
          <w:color w:val="auto"/>
          <w:szCs w:val="21"/>
          <w:highlight w:val="none"/>
          <w:u w:val="single"/>
        </w:rPr>
        <w:t>（4）</w:t>
      </w:r>
      <w:r>
        <w:rPr>
          <w:rFonts w:hint="eastAsia" w:ascii="宋体" w:hAnsi="宋体" w:cs="宋体"/>
          <w:b/>
          <w:bCs/>
          <w:color w:val="auto"/>
          <w:szCs w:val="21"/>
          <w:highlight w:val="none"/>
          <w:u w:val="single"/>
        </w:rPr>
        <w:t>技术文件（设计方案）光盘</w:t>
      </w:r>
      <w:r>
        <w:rPr>
          <w:rFonts w:hint="eastAsia" w:ascii="宋体" w:hAnsi="宋体" w:cs="宋体"/>
          <w:color w:val="auto"/>
          <w:szCs w:val="21"/>
          <w:highlight w:val="none"/>
          <w:u w:val="single"/>
        </w:rPr>
        <w:t>包括下列内容：</w:t>
      </w:r>
    </w:p>
    <w:p>
      <w:pPr>
        <w:ind w:firstLine="1050" w:firstLineChars="500"/>
        <w:rPr>
          <w:rFonts w:ascii="宋体" w:hAnsi="宋体" w:cs="宋体"/>
          <w:color w:val="auto"/>
          <w:szCs w:val="21"/>
          <w:highlight w:val="none"/>
          <w:u w:val="single"/>
        </w:rPr>
      </w:pPr>
      <w:r>
        <w:rPr>
          <w:rFonts w:hint="eastAsia" w:ascii="宋体" w:hAnsi="宋体" w:cs="宋体"/>
          <w:color w:val="auto"/>
          <w:szCs w:val="21"/>
          <w:highlight w:val="none"/>
          <w:u w:val="single"/>
        </w:rPr>
        <w:t>(a)一套PDF格式制作的电子版技术文件（设计方案）文本文件。</w:t>
      </w:r>
    </w:p>
    <w:p>
      <w:pPr>
        <w:ind w:left="630" w:leftChars="300"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(b)一套WORD或PPT格式的电子版技术文件（设计方案）文本文件（不须包含设计图形部分内容）。</w:t>
      </w:r>
    </w:p>
    <w:p>
      <w:pPr>
        <w:ind w:firstLine="1050" w:firstLineChars="500"/>
        <w:rPr>
          <w:rFonts w:ascii="宋体" w:hAnsi="宋体" w:cs="宋体"/>
          <w:color w:val="auto"/>
          <w:szCs w:val="21"/>
          <w:highlight w:val="none"/>
          <w:u w:val="single"/>
        </w:rPr>
      </w:pPr>
      <w:r>
        <w:rPr>
          <w:rFonts w:hint="eastAsia" w:ascii="宋体" w:hAnsi="宋体" w:cs="宋体"/>
          <w:color w:val="auto"/>
          <w:szCs w:val="21"/>
          <w:highlight w:val="none"/>
          <w:u w:val="single"/>
        </w:rPr>
        <w:t>(c)一套AutoCAD格式的设计图形文件。</w:t>
      </w:r>
    </w:p>
    <w:p>
      <w:pPr>
        <w:ind w:firstLine="630" w:firstLineChars="300"/>
        <w:rPr>
          <w:rFonts w:ascii="宋体" w:hAnsi="宋体" w:cs="宋体"/>
          <w:color w:val="auto"/>
          <w:szCs w:val="21"/>
          <w:highlight w:val="none"/>
          <w:u w:val="single"/>
        </w:rPr>
      </w:pPr>
      <w:r>
        <w:rPr>
          <w:rFonts w:hint="eastAsia" w:ascii="宋体" w:hAnsi="宋体" w:cs="宋体"/>
          <w:color w:val="auto"/>
          <w:szCs w:val="21"/>
          <w:highlight w:val="none"/>
          <w:u w:val="single"/>
        </w:rPr>
        <w:t>（5）</w:t>
      </w:r>
      <w:r>
        <w:rPr>
          <w:rFonts w:hint="eastAsia" w:ascii="宋体" w:hAnsi="宋体" w:cs="宋体"/>
          <w:b/>
          <w:bCs/>
          <w:color w:val="auto"/>
          <w:szCs w:val="21"/>
          <w:highlight w:val="none"/>
          <w:u w:val="single"/>
        </w:rPr>
        <w:t>保密文件光盘</w:t>
      </w:r>
      <w:r>
        <w:rPr>
          <w:rFonts w:hint="eastAsia" w:ascii="宋体" w:hAnsi="宋体" w:cs="宋体"/>
          <w:color w:val="auto"/>
          <w:szCs w:val="21"/>
          <w:highlight w:val="none"/>
          <w:u w:val="single"/>
        </w:rPr>
        <w:t>包括下列内容：</w:t>
      </w:r>
    </w:p>
    <w:p>
      <w:pPr>
        <w:ind w:left="630" w:leftChars="300"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(a)一张JPG或PDF格式内容为表现图的图形文件，加盖投标人公章，项目负责人署名。表现图内容应与设计方案一致（并注明表现图在设计方案中的页码或图号），用于分辨投标文件对应的投标人身份。</w:t>
      </w:r>
    </w:p>
    <w:p>
      <w:pPr>
        <w:ind w:left="630" w:leftChars="300"/>
        <w:rPr>
          <w:rFonts w:ascii="宋体" w:hAnsi="宋体" w:cs="宋体"/>
          <w:b/>
          <w:bCs/>
          <w:color w:val="auto"/>
          <w:szCs w:val="21"/>
          <w:highlight w:val="none"/>
          <w:u w:val="single"/>
        </w:rPr>
      </w:pPr>
      <w:r>
        <w:rPr>
          <w:rFonts w:hint="eastAsia" w:ascii="宋体" w:hAnsi="宋体" w:cs="宋体"/>
          <w:b/>
          <w:color w:val="auto"/>
          <w:szCs w:val="21"/>
          <w:highlight w:val="none"/>
          <w:u w:val="single"/>
        </w:rPr>
        <w:t>注：</w:t>
      </w:r>
      <w:r>
        <w:rPr>
          <w:rFonts w:hint="eastAsia" w:ascii="宋体" w:hAnsi="宋体" w:cs="宋体"/>
          <w:color w:val="auto"/>
          <w:szCs w:val="21"/>
          <w:highlight w:val="none"/>
          <w:u w:val="single"/>
        </w:rPr>
        <w:t>刻录好的投标文件光盘分别密封在不透明的密封袋并作标记，其中</w:t>
      </w:r>
      <w:r>
        <w:rPr>
          <w:rFonts w:hint="eastAsia" w:ascii="宋体" w:hAnsi="宋体" w:cs="宋体"/>
          <w:b/>
          <w:bCs/>
          <w:color w:val="auto"/>
          <w:szCs w:val="21"/>
          <w:highlight w:val="none"/>
          <w:u w:val="single"/>
        </w:rPr>
        <w:t>“开标文件光盘”“资格审查文件光盘”“商务文件光盘”应分别在密封袋上写明（1）招标人名称；（2）“[工程名称][开标文件光盘或资格审查文件光盘或商务文件光盘]”字样；（3）投标人名称；并在封口处加盖投标人单位公章；“技术文件（设计方案）光盘”“保密文件光盘”应仅在密封袋上写明（1）招标人名称；（2）“[工程名称][技术文件（设计方案）光盘或保密文件光盘]”字样。</w:t>
      </w:r>
    </w:p>
    <w:p>
      <w:pPr>
        <w:ind w:left="630" w:leftChars="300"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递交的投标文件光盘（备用）不得加密。备用光盘无法读取或导入的，则视为未提交投标文件光盘（备用）。如果投标人没有按规定通过交易平台网上递交电子投标文件的，不再读取提交的光盘。投标人也可不提交投标文件光盘（备用），但应自行承担不提交光盘（备用）的风险。</w:t>
      </w:r>
    </w:p>
    <w:p>
      <w:pPr>
        <w:adjustRightInd w:val="0"/>
        <w:snapToGrid w:val="0"/>
        <w:spacing w:line="360" w:lineRule="auto"/>
        <w:ind w:left="718" w:hanging="718" w:hangingChars="342"/>
        <w:rPr>
          <w:rFonts w:ascii="宋体" w:hAnsi="宋体" w:cs="宋体"/>
          <w:color w:val="auto"/>
          <w:szCs w:val="21"/>
          <w:highlight w:val="none"/>
        </w:rPr>
      </w:pPr>
    </w:p>
    <w:p>
      <w:pPr>
        <w:adjustRightInd w:val="0"/>
        <w:snapToGrid w:val="0"/>
        <w:spacing w:line="360" w:lineRule="auto"/>
        <w:ind w:left="718" w:hanging="718" w:hangingChars="342"/>
        <w:outlineLvl w:val="4"/>
        <w:rPr>
          <w:rFonts w:ascii="宋体" w:hAnsi="宋体" w:cs="宋体"/>
          <w:color w:val="auto"/>
          <w:szCs w:val="21"/>
          <w:highlight w:val="none"/>
        </w:rPr>
      </w:pPr>
      <w:r>
        <w:rPr>
          <w:rFonts w:hint="eastAsia" w:ascii="宋体" w:hAnsi="宋体" w:cs="宋体"/>
          <w:color w:val="auto"/>
          <w:szCs w:val="21"/>
          <w:highlight w:val="none"/>
        </w:rPr>
        <w:t>2.9.2  补救</w:t>
      </w:r>
      <w:r>
        <w:rPr>
          <w:rFonts w:hint="eastAsia" w:ascii="宋体" w:hAnsi="宋体" w:cs="宋体"/>
          <w:color w:val="auto"/>
          <w:highlight w:val="none"/>
        </w:rPr>
        <w:t>方案</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 xml:space="preserve">       （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 xml:space="preserve">       （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 xml:space="preserve">       （3）除发生上述情况外，开标评标均以投标人通过交易平台网上递交的电子投标文件为准。</w:t>
      </w:r>
    </w:p>
    <w:p>
      <w:pPr>
        <w:adjustRightInd w:val="0"/>
        <w:snapToGrid w:val="0"/>
        <w:spacing w:line="360" w:lineRule="auto"/>
        <w:ind w:left="718" w:hanging="718" w:hangingChars="342"/>
        <w:rPr>
          <w:rFonts w:ascii="宋体" w:hAnsi="宋体" w:cs="宋体"/>
          <w:color w:val="auto"/>
          <w:szCs w:val="21"/>
          <w:highlight w:val="none"/>
        </w:rPr>
      </w:pPr>
    </w:p>
    <w:p>
      <w:pPr>
        <w:pStyle w:val="5"/>
        <w:rPr>
          <w:color w:val="auto"/>
          <w:highlight w:val="none"/>
        </w:rPr>
      </w:pPr>
      <w:bookmarkStart w:id="54" w:name="_Toc15771"/>
      <w:bookmarkStart w:id="55" w:name="_Toc17352"/>
      <w:bookmarkStart w:id="56" w:name="_Toc12058"/>
      <w:r>
        <w:rPr>
          <w:rFonts w:hint="eastAsia"/>
          <w:color w:val="auto"/>
          <w:highlight w:val="none"/>
        </w:rPr>
        <w:t>（三） 开标、评标</w:t>
      </w:r>
      <w:bookmarkEnd w:id="54"/>
      <w:bookmarkEnd w:id="55"/>
      <w:bookmarkEnd w:id="56"/>
    </w:p>
    <w:p>
      <w:pPr>
        <w:pStyle w:val="18"/>
        <w:rPr>
          <w:rFonts w:hAnsi="宋体"/>
          <w:color w:val="auto"/>
          <w:highlight w:val="none"/>
        </w:rPr>
      </w:pPr>
    </w:p>
    <w:p>
      <w:pPr>
        <w:adjustRightInd w:val="0"/>
        <w:snapToGrid w:val="0"/>
        <w:spacing w:line="360" w:lineRule="auto"/>
        <w:outlineLvl w:val="3"/>
        <w:rPr>
          <w:rFonts w:ascii="宋体" w:hAnsi="宋体" w:cs="宋体"/>
          <w:color w:val="auto"/>
          <w:szCs w:val="21"/>
          <w:highlight w:val="none"/>
        </w:rPr>
      </w:pPr>
      <w:bookmarkStart w:id="57" w:name="_Toc15164"/>
      <w:bookmarkStart w:id="58" w:name="_Toc29284"/>
      <w:r>
        <w:rPr>
          <w:rFonts w:hint="eastAsia" w:ascii="宋体" w:hAnsi="宋体" w:cs="宋体"/>
          <w:b/>
          <w:bCs/>
          <w:color w:val="auto"/>
          <w:highlight w:val="none"/>
        </w:rPr>
        <w:t>3.1    开标及投标文件编号</w:t>
      </w:r>
      <w:bookmarkEnd w:id="57"/>
      <w:bookmarkEnd w:id="58"/>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3.1.1  在投标截止时间后半小时内，投标人通过广州公共资源交易平台对已递交的电子投标文件进行解密。投标人完成解密后，再由招标人进行解密。解密完成后，公布招标项目名称、投标人名称、开标信封文件、资格审查文件、商务文件（如有）。未在规定时间内解密的投标文件不参与开标、评标。</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3.1.2  技术文件（设计方案）开标时不得开启，在评标时由开标系统随机编号后开启，交由评标委员会进行评审。编号所对应的投标人在投票结束前不得告知评标委员会、交易平台工作人员、招标人或招标代理机构。</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3.1.3  截标后，开标开始时间因故推迟的，相关评标信息仍以原定的开标开始时间的信息为准。</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3.1.4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3.1.5  开标方式采用电子开标。投标人可准时在线参加开标，或在开标室参与开标，也可不参加开标。参加在线开标的投标人登录交易平台实时查看开标、唱标情况。交易平台生成开标记录并向社会公众公布。</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 xml:space="preserve">       （1）在开标室参加开标的投标人对开标结果有异议的，应当在开标现场提出，招标人应当当场作出答复，并制作记录。</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 xml:space="preserve">       （2）参加在线开标的投标人对开标结果有异议的，应当在唱标结束后的半小时内，使用单位数字证书登录交易平台后通过开标系统提出。招标人授权招标代理机构工作人员使用招标代理机构数字证书登录开标系统答复异议，异议答复是招标人真实意思表示。未答复的，开标程序不得结束。</w:t>
      </w:r>
    </w:p>
    <w:p>
      <w:pPr>
        <w:adjustRightInd w:val="0"/>
        <w:snapToGrid w:val="0"/>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（3）投标人未参加开标或在规定的时间内未提出异议的，视为对开标无异议。</w:t>
      </w:r>
    </w:p>
    <w:p>
      <w:pPr>
        <w:adjustRightInd w:val="0"/>
        <w:snapToGrid w:val="0"/>
        <w:spacing w:line="360" w:lineRule="auto"/>
        <w:ind w:left="718" w:hanging="718" w:hangingChars="342"/>
        <w:rPr>
          <w:rFonts w:ascii="宋体" w:hAnsi="宋体" w:cs="宋体"/>
          <w:color w:val="auto"/>
          <w:szCs w:val="21"/>
          <w:highlight w:val="none"/>
        </w:rPr>
      </w:pPr>
      <w:r>
        <w:rPr>
          <w:rFonts w:hint="eastAsia" w:ascii="宋体" w:hAnsi="宋体" w:cs="宋体"/>
          <w:color w:val="auto"/>
          <w:szCs w:val="21"/>
          <w:highlight w:val="none"/>
        </w:rPr>
        <w:t>3.1.6  开标时，出现下列情形之一的投标人，不参与下一程序，其投标文件作无效处理：</w:t>
      </w:r>
    </w:p>
    <w:p>
      <w:pPr>
        <w:adjustRightInd w:val="0"/>
        <w:snapToGrid w:val="0"/>
        <w:spacing w:line="360" w:lineRule="auto"/>
        <w:ind w:firstLine="667" w:firstLineChars="318"/>
        <w:rPr>
          <w:rFonts w:ascii="宋体" w:hAnsi="宋体" w:cs="宋体"/>
          <w:color w:val="auto"/>
          <w:szCs w:val="21"/>
          <w:highlight w:val="none"/>
        </w:rPr>
      </w:pPr>
      <w:r>
        <w:rPr>
          <w:rFonts w:hint="eastAsia" w:ascii="宋体" w:hAnsi="宋体" w:cs="宋体"/>
          <w:color w:val="auto"/>
          <w:szCs w:val="21"/>
          <w:highlight w:val="none"/>
        </w:rPr>
        <w:t>（1）未成功递交或因投标人原因未成功导入投标文件的；</w:t>
      </w:r>
    </w:p>
    <w:p>
      <w:pPr>
        <w:adjustRightInd w:val="0"/>
        <w:snapToGrid w:val="0"/>
        <w:spacing w:line="360" w:lineRule="auto"/>
        <w:ind w:firstLine="667" w:firstLineChars="318"/>
        <w:rPr>
          <w:rFonts w:ascii="宋体" w:hAnsi="宋体" w:cs="宋体"/>
          <w:color w:val="auto"/>
          <w:szCs w:val="21"/>
          <w:highlight w:val="none"/>
        </w:rPr>
      </w:pPr>
      <w:r>
        <w:rPr>
          <w:rFonts w:hint="eastAsia" w:ascii="宋体" w:hAnsi="宋体" w:cs="宋体"/>
          <w:color w:val="auto"/>
          <w:szCs w:val="21"/>
          <w:highlight w:val="none"/>
        </w:rPr>
        <w:t>（2）因投标人原因造成投标文件未解密的；</w:t>
      </w:r>
    </w:p>
    <w:p>
      <w:pPr>
        <w:adjustRightInd w:val="0"/>
        <w:snapToGrid w:val="0"/>
        <w:spacing w:line="360" w:lineRule="auto"/>
        <w:ind w:firstLine="667" w:firstLineChars="318"/>
        <w:rPr>
          <w:rFonts w:ascii="宋体" w:hAnsi="宋体" w:cs="宋体"/>
          <w:strike/>
          <w:color w:val="auto"/>
          <w:szCs w:val="21"/>
          <w:highlight w:val="none"/>
        </w:rPr>
      </w:pPr>
      <w:r>
        <w:rPr>
          <w:rFonts w:hint="eastAsia" w:ascii="宋体" w:hAnsi="宋体" w:cs="宋体"/>
          <w:strike/>
          <w:color w:val="auto"/>
          <w:szCs w:val="21"/>
          <w:highlight w:val="none"/>
        </w:rPr>
        <w:t>（3）投标人未按要求递交投标保证金的。</w:t>
      </w:r>
    </w:p>
    <w:p>
      <w:pPr>
        <w:adjustRightInd w:val="0"/>
        <w:snapToGrid w:val="0"/>
        <w:spacing w:line="360" w:lineRule="auto"/>
        <w:rPr>
          <w:rFonts w:ascii="宋体" w:hAnsi="宋体" w:cs="宋体"/>
          <w:b/>
          <w:bCs/>
          <w:color w:val="auto"/>
          <w:highlight w:val="none"/>
        </w:rPr>
      </w:pPr>
    </w:p>
    <w:p>
      <w:pPr>
        <w:adjustRightInd w:val="0"/>
        <w:snapToGrid w:val="0"/>
        <w:spacing w:line="360" w:lineRule="auto"/>
        <w:outlineLvl w:val="3"/>
        <w:rPr>
          <w:rFonts w:ascii="宋体" w:hAnsi="宋体" w:cs="宋体"/>
          <w:color w:val="auto"/>
          <w:highlight w:val="none"/>
        </w:rPr>
      </w:pPr>
      <w:bookmarkStart w:id="59" w:name="_Toc25416"/>
      <w:bookmarkStart w:id="60" w:name="_Toc6183"/>
      <w:r>
        <w:rPr>
          <w:rFonts w:hint="eastAsia" w:ascii="宋体" w:hAnsi="宋体" w:cs="宋体"/>
          <w:b/>
          <w:bCs/>
          <w:color w:val="auto"/>
          <w:highlight w:val="none"/>
        </w:rPr>
        <w:t>3.2    否决投标</w:t>
      </w:r>
      <w:bookmarkEnd w:id="59"/>
      <w:bookmarkEnd w:id="60"/>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3.2.1  </w:t>
      </w:r>
      <w:r>
        <w:rPr>
          <w:rFonts w:hint="eastAsia" w:ascii="宋体" w:hAnsi="宋体" w:cs="宋体"/>
          <w:color w:val="auto"/>
          <w:szCs w:val="21"/>
          <w:highlight w:val="none"/>
        </w:rPr>
        <w:t>投标文件有下列情况之一的，</w:t>
      </w:r>
      <w:r>
        <w:rPr>
          <w:rFonts w:hint="eastAsia" w:ascii="宋体" w:hAnsi="宋体" w:cs="宋体"/>
          <w:color w:val="auto"/>
          <w:highlight w:val="none"/>
        </w:rPr>
        <w:t>评标委员会应当否决其投标：</w:t>
      </w:r>
    </w:p>
    <w:p>
      <w:pPr>
        <w:adjustRightInd w:val="0"/>
        <w:snapToGrid w:val="0"/>
        <w:spacing w:line="360" w:lineRule="auto"/>
        <w:ind w:firstLine="630" w:firstLineChars="300"/>
        <w:rPr>
          <w:rFonts w:ascii="宋体" w:hAnsi="宋体" w:cs="宋体"/>
          <w:color w:val="auto"/>
          <w:szCs w:val="21"/>
          <w:highlight w:val="none"/>
        </w:rPr>
      </w:pPr>
      <w:r>
        <w:rPr>
          <w:rFonts w:hint="eastAsia" w:ascii="宋体" w:hAnsi="宋体" w:cs="宋体"/>
          <w:color w:val="auto"/>
          <w:highlight w:val="none"/>
        </w:rPr>
        <w:t>（1）</w:t>
      </w:r>
      <w:r>
        <w:rPr>
          <w:rFonts w:hint="eastAsia" w:ascii="宋体" w:hAnsi="宋体" w:cs="宋体"/>
          <w:color w:val="auto"/>
          <w:szCs w:val="21"/>
          <w:highlight w:val="none"/>
        </w:rPr>
        <w:t>以联合体形式投标的，未提交共同投标协议；</w:t>
      </w:r>
    </w:p>
    <w:p>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szCs w:val="21"/>
          <w:highlight w:val="none"/>
        </w:rPr>
        <w:t>（2）投标人与招标人、评标委员会成员或者其他投标人串通投标；</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 xml:space="preserve">      （3）《投标函》或《投标人声明》</w:t>
      </w:r>
      <w:r>
        <w:rPr>
          <w:rFonts w:hint="eastAsia" w:ascii="宋体" w:hAnsi="宋体" w:cs="宋体"/>
          <w:color w:val="auto"/>
          <w:szCs w:val="21"/>
          <w:highlight w:val="none"/>
        </w:rPr>
        <w:t>未加盖投标人公章，也未经法定代表人或者其授权代表签字</w:t>
      </w:r>
      <w:r>
        <w:rPr>
          <w:rFonts w:hint="eastAsia" w:ascii="宋体" w:hAnsi="宋体" w:cs="宋体"/>
          <w:color w:val="auto"/>
          <w:highlight w:val="none"/>
        </w:rPr>
        <w:t>；</w:t>
      </w:r>
    </w:p>
    <w:p>
      <w:pPr>
        <w:adjustRightInd w:val="0"/>
        <w:snapToGrid w:val="0"/>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（4）不同投标人加密打包投标文件的电脑机器特征码一致的；</w:t>
      </w:r>
    </w:p>
    <w:p>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投标报价高于最高投标限价</w:t>
      </w:r>
      <w:r>
        <w:rPr>
          <w:rFonts w:hint="eastAsia" w:ascii="宋体" w:hAnsi="宋体" w:cs="宋体"/>
          <w:color w:val="auto"/>
          <w:highlight w:val="none"/>
          <w:u w:val="single"/>
        </w:rPr>
        <w:t>总价或分项最高投标限价</w:t>
      </w:r>
      <w:r>
        <w:rPr>
          <w:rFonts w:hint="eastAsia" w:ascii="宋体" w:hAnsi="宋体" w:cs="宋体"/>
          <w:color w:val="auto"/>
          <w:highlight w:val="none"/>
        </w:rPr>
        <w:t>的，或未按招标文件要求报价的；</w:t>
      </w:r>
    </w:p>
    <w:p>
      <w:pPr>
        <w:adjustRightInd w:val="0"/>
        <w:snapToGrid w:val="0"/>
        <w:spacing w:line="360" w:lineRule="auto"/>
        <w:ind w:left="1050" w:leftChars="300" w:hanging="420" w:hangingChars="200"/>
        <w:rPr>
          <w:rFonts w:ascii="宋体" w:hAnsi="宋体" w:cs="宋体"/>
          <w:color w:val="auto"/>
          <w:highlight w:val="none"/>
        </w:rPr>
      </w:pPr>
      <w:r>
        <w:rPr>
          <w:rFonts w:hint="eastAsia" w:ascii="宋体" w:hAnsi="宋体" w:cs="宋体"/>
          <w:color w:val="auto"/>
          <w:highlight w:val="none"/>
        </w:rPr>
        <w:t>（6）投标人在设计方案内标注名称、印章、商标、图形等记认符号，使人辨认出投标人或其专业技术人员的身份；</w:t>
      </w:r>
    </w:p>
    <w:p>
      <w:pPr>
        <w:adjustRightInd w:val="0"/>
        <w:snapToGrid w:val="0"/>
        <w:spacing w:line="360" w:lineRule="auto"/>
        <w:ind w:left="1050" w:leftChars="300" w:hanging="420" w:hangingChars="200"/>
        <w:rPr>
          <w:rFonts w:ascii="宋体" w:hAnsi="宋体" w:cs="宋体"/>
          <w:color w:val="auto"/>
          <w:highlight w:val="none"/>
        </w:rPr>
      </w:pPr>
      <w:r>
        <w:rPr>
          <w:rFonts w:hint="eastAsia" w:ascii="宋体" w:hAnsi="宋体" w:cs="宋体"/>
          <w:color w:val="auto"/>
          <w:highlight w:val="none"/>
        </w:rPr>
        <w:t>（7）投标人之间存在《广东省实施&lt;中华人民共和国招标投标法&gt;》第十六条所禁止的情形的。</w:t>
      </w:r>
    </w:p>
    <w:p>
      <w:pPr>
        <w:adjustRightInd w:val="0"/>
        <w:snapToGrid w:val="0"/>
        <w:spacing w:line="360" w:lineRule="auto"/>
        <w:outlineLvl w:val="4"/>
        <w:rPr>
          <w:rFonts w:ascii="宋体" w:hAnsi="宋体" w:cs="宋体"/>
          <w:color w:val="auto"/>
          <w:highlight w:val="none"/>
        </w:rPr>
      </w:pPr>
      <w:r>
        <w:rPr>
          <w:rFonts w:hint="eastAsia" w:ascii="宋体" w:hAnsi="宋体" w:cs="宋体"/>
          <w:color w:val="auto"/>
          <w:highlight w:val="none"/>
        </w:rPr>
        <w:t>3.2.4  投标人有</w:t>
      </w:r>
      <w:r>
        <w:rPr>
          <w:rFonts w:hint="eastAsia" w:ascii="宋体" w:hAnsi="宋体" w:cs="宋体"/>
          <w:color w:val="auto"/>
          <w:szCs w:val="21"/>
          <w:highlight w:val="none"/>
        </w:rPr>
        <w:t>下列情况之一的，</w:t>
      </w:r>
      <w:r>
        <w:rPr>
          <w:rFonts w:hint="eastAsia" w:ascii="宋体" w:hAnsi="宋体" w:cs="宋体"/>
          <w:color w:val="auto"/>
          <w:highlight w:val="none"/>
        </w:rPr>
        <w:t>确定为串通投标：</w:t>
      </w:r>
    </w:p>
    <w:p>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（1）递交投标文件前，投标人私下向招标人或其雇员出示或告知投标文件内容；</w:t>
      </w:r>
    </w:p>
    <w:p>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（2）评标表决结束前，投标人私下向评标委员会成员出示或告知投标文件内容；</w:t>
      </w:r>
    </w:p>
    <w:p>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（3）评标结果揭晓前，投标人与招标人就投标价格、投标方案等实质性内容进行谈判。</w:t>
      </w:r>
    </w:p>
    <w:p>
      <w:pPr>
        <w:adjustRightInd w:val="0"/>
        <w:snapToGrid w:val="0"/>
        <w:spacing w:line="360" w:lineRule="auto"/>
        <w:outlineLvl w:val="4"/>
        <w:rPr>
          <w:rFonts w:ascii="宋体" w:hAnsi="宋体" w:cs="宋体"/>
          <w:color w:val="auto"/>
          <w:highlight w:val="none"/>
        </w:rPr>
      </w:pPr>
      <w:r>
        <w:rPr>
          <w:rFonts w:hint="eastAsia" w:ascii="宋体" w:hAnsi="宋体" w:cs="宋体"/>
          <w:color w:val="auto"/>
          <w:highlight w:val="none"/>
        </w:rPr>
        <w:t>3.2.5  发生下列情形之一的，招标人应当重新组织招标：</w:t>
      </w:r>
    </w:p>
    <w:p>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（1）递交投标文件或通过资格审查的投标人不足三人；</w:t>
      </w:r>
    </w:p>
    <w:p>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（2）所有投标被否决，或者经评议有效投标的投标人少于三人；</w:t>
      </w:r>
    </w:p>
    <w:p>
      <w:pPr>
        <w:adjustRightInd w:val="0"/>
        <w:snapToGrid w:val="0"/>
        <w:spacing w:line="360" w:lineRule="auto"/>
        <w:ind w:firstLine="630" w:firstLineChars="300"/>
        <w:rPr>
          <w:rFonts w:ascii="宋体" w:hAnsi="宋体" w:cs="宋体"/>
          <w:color w:val="auto"/>
          <w:highlight w:val="none"/>
        </w:rPr>
      </w:pPr>
      <w:r>
        <w:rPr>
          <w:rFonts w:hint="eastAsia" w:ascii="宋体" w:hAnsi="宋体" w:cs="宋体"/>
          <w:color w:val="auto"/>
          <w:highlight w:val="none"/>
        </w:rPr>
        <w:t>（3）经项目审批部门会同行业主管部门裁定招标投标结果无效。</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3.2.6  否决投标的决定由评标委员会作出，其他投标人无权干涉。</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3.2.7  投标文件如果隐瞒不符合评审标准的事实，一切法律责任由投标人承担。</w:t>
      </w:r>
    </w:p>
    <w:p>
      <w:pPr>
        <w:adjustRightInd w:val="0"/>
        <w:snapToGrid w:val="0"/>
        <w:spacing w:line="360" w:lineRule="auto"/>
        <w:rPr>
          <w:rFonts w:ascii="宋体" w:hAnsi="宋体" w:cs="宋体"/>
          <w:color w:val="auto"/>
          <w:highlight w:val="none"/>
        </w:rPr>
      </w:pPr>
    </w:p>
    <w:p>
      <w:pPr>
        <w:pStyle w:val="18"/>
        <w:adjustRightInd w:val="0"/>
        <w:snapToGrid w:val="0"/>
        <w:spacing w:line="360" w:lineRule="auto"/>
        <w:outlineLvl w:val="3"/>
        <w:rPr>
          <w:rFonts w:hAnsi="宋体" w:cs="宋体"/>
          <w:color w:val="auto"/>
          <w:highlight w:val="none"/>
        </w:rPr>
      </w:pPr>
      <w:bookmarkStart w:id="61" w:name="_Toc25054"/>
      <w:bookmarkStart w:id="62" w:name="_Toc1188"/>
      <w:r>
        <w:rPr>
          <w:rFonts w:hint="eastAsia" w:hAnsi="宋体" w:cs="宋体"/>
          <w:b/>
          <w:bCs/>
          <w:color w:val="auto"/>
          <w:highlight w:val="none"/>
        </w:rPr>
        <w:t>3.3    评标委员会</w:t>
      </w:r>
      <w:bookmarkEnd w:id="61"/>
      <w:bookmarkEnd w:id="62"/>
    </w:p>
    <w:p>
      <w:pPr>
        <w:pStyle w:val="18"/>
        <w:adjustRightInd w:val="0"/>
        <w:snapToGrid w:val="0"/>
        <w:spacing w:line="360" w:lineRule="auto"/>
        <w:ind w:left="840" w:hanging="840" w:hangingChars="400"/>
        <w:rPr>
          <w:rFonts w:hAnsi="宋体" w:cs="宋体"/>
          <w:color w:val="auto"/>
          <w:highlight w:val="none"/>
        </w:rPr>
      </w:pPr>
      <w:r>
        <w:rPr>
          <w:rFonts w:hint="eastAsia" w:hAnsi="宋体" w:cs="宋体"/>
          <w:color w:val="auto"/>
          <w:highlight w:val="none"/>
        </w:rPr>
        <w:t>3.3.1  评标由招标人依法组建的评标委员会负责。评标委员会由招标人的代表和有关技术、经济等方面的专家组成，成员人数为5人以上单数，其中技术、经济等方面的专家不得少于成员总数的三分之二。专家一般从政府评标专家库随机抽取，技术特别复杂、专业性要求特别高或者国家有特别要求的项目，采取随机抽取方式确定的专家难以胜任的，可以由招标人直接确定。</w:t>
      </w:r>
    </w:p>
    <w:p>
      <w:pPr>
        <w:pStyle w:val="18"/>
        <w:adjustRightInd w:val="0"/>
        <w:snapToGrid w:val="0"/>
        <w:spacing w:line="360" w:lineRule="auto"/>
        <w:ind w:left="718" w:hanging="718" w:hangingChars="342"/>
        <w:outlineLvl w:val="4"/>
        <w:rPr>
          <w:rFonts w:hAnsi="宋体" w:cs="宋体"/>
          <w:color w:val="auto"/>
          <w:highlight w:val="none"/>
        </w:rPr>
      </w:pPr>
      <w:r>
        <w:rPr>
          <w:rFonts w:hint="eastAsia" w:hAnsi="宋体" w:cs="宋体"/>
          <w:color w:val="auto"/>
          <w:highlight w:val="none"/>
        </w:rPr>
        <w:t>3.3.2  评标委员会成员有下列情形之一的，应当回避：</w:t>
      </w:r>
    </w:p>
    <w:p>
      <w:pPr>
        <w:pStyle w:val="18"/>
        <w:adjustRightInd w:val="0"/>
        <w:snapToGrid w:val="0"/>
        <w:spacing w:line="360" w:lineRule="auto"/>
        <w:ind w:left="540" w:hanging="539" w:hangingChars="257"/>
        <w:rPr>
          <w:rFonts w:hAnsi="宋体" w:cs="宋体"/>
          <w:color w:val="auto"/>
          <w:highlight w:val="none"/>
        </w:rPr>
      </w:pPr>
      <w:r>
        <w:rPr>
          <w:rFonts w:hint="eastAsia" w:hAnsi="宋体" w:cs="宋体"/>
          <w:color w:val="auto"/>
          <w:highlight w:val="none"/>
        </w:rPr>
        <w:t xml:space="preserve">       （1）从事相关领域工作不满八年（招标人代表除外）；</w:t>
      </w:r>
    </w:p>
    <w:p>
      <w:pPr>
        <w:pStyle w:val="18"/>
        <w:adjustRightInd w:val="0"/>
        <w:snapToGrid w:val="0"/>
        <w:spacing w:line="360" w:lineRule="auto"/>
        <w:ind w:left="359" w:hanging="359" w:hangingChars="171"/>
        <w:rPr>
          <w:rFonts w:hAnsi="宋体" w:cs="宋体"/>
          <w:color w:val="auto"/>
          <w:highlight w:val="none"/>
        </w:rPr>
      </w:pPr>
      <w:r>
        <w:rPr>
          <w:rFonts w:hint="eastAsia" w:hAnsi="宋体" w:cs="宋体"/>
          <w:color w:val="auto"/>
          <w:highlight w:val="none"/>
        </w:rPr>
        <w:t xml:space="preserve">       （2）不具有高级职称或者同等专业水平（招标人代表除外）；</w:t>
      </w:r>
    </w:p>
    <w:p>
      <w:pPr>
        <w:pStyle w:val="18"/>
        <w:adjustRightInd w:val="0"/>
        <w:snapToGrid w:val="0"/>
        <w:spacing w:line="360" w:lineRule="auto"/>
        <w:ind w:left="359" w:hanging="359" w:hangingChars="171"/>
        <w:rPr>
          <w:rFonts w:hAnsi="宋体" w:cs="宋体"/>
          <w:color w:val="auto"/>
          <w:highlight w:val="none"/>
        </w:rPr>
      </w:pPr>
      <w:r>
        <w:rPr>
          <w:rFonts w:hint="eastAsia" w:hAnsi="宋体" w:cs="宋体"/>
          <w:color w:val="auto"/>
          <w:highlight w:val="none"/>
        </w:rPr>
        <w:t xml:space="preserve">       （3）不熟悉评审本项目所必须的专业知识（招标人代表除外）；</w:t>
      </w:r>
    </w:p>
    <w:p>
      <w:pPr>
        <w:pStyle w:val="18"/>
        <w:adjustRightInd w:val="0"/>
        <w:snapToGrid w:val="0"/>
        <w:spacing w:line="360" w:lineRule="auto"/>
        <w:ind w:left="359" w:hanging="359" w:hangingChars="171"/>
        <w:rPr>
          <w:rFonts w:hAnsi="宋体" w:cs="宋体"/>
          <w:color w:val="auto"/>
          <w:highlight w:val="none"/>
        </w:rPr>
      </w:pPr>
      <w:r>
        <w:rPr>
          <w:rFonts w:hint="eastAsia" w:hAnsi="宋体" w:cs="宋体"/>
          <w:color w:val="auto"/>
          <w:highlight w:val="none"/>
        </w:rPr>
        <w:t xml:space="preserve">       （4）评标前浏览过本项目的某个投标文件；</w:t>
      </w:r>
    </w:p>
    <w:p>
      <w:pPr>
        <w:pStyle w:val="18"/>
        <w:adjustRightInd w:val="0"/>
        <w:snapToGrid w:val="0"/>
        <w:spacing w:line="360" w:lineRule="auto"/>
        <w:ind w:left="359" w:hanging="359" w:hangingChars="171"/>
        <w:rPr>
          <w:rFonts w:hAnsi="宋体" w:cs="宋体"/>
          <w:color w:val="auto"/>
          <w:highlight w:val="none"/>
        </w:rPr>
      </w:pPr>
      <w:r>
        <w:rPr>
          <w:rFonts w:hint="eastAsia" w:hAnsi="宋体" w:cs="宋体"/>
          <w:color w:val="auto"/>
          <w:highlight w:val="none"/>
        </w:rPr>
        <w:t xml:space="preserve">       （5）与投标人有利害关系；</w:t>
      </w:r>
    </w:p>
    <w:p>
      <w:pPr>
        <w:pStyle w:val="18"/>
        <w:adjustRightInd w:val="0"/>
        <w:snapToGrid w:val="0"/>
        <w:spacing w:line="360" w:lineRule="auto"/>
        <w:rPr>
          <w:rFonts w:hAnsi="宋体" w:cs="宋体"/>
          <w:color w:val="auto"/>
          <w:highlight w:val="none"/>
        </w:rPr>
      </w:pPr>
      <w:r>
        <w:rPr>
          <w:rFonts w:hint="eastAsia" w:hAnsi="宋体" w:cs="宋体"/>
          <w:color w:val="auto"/>
          <w:highlight w:val="none"/>
        </w:rPr>
        <w:t xml:space="preserve">       （6）招标代理机构的工作人员。</w:t>
      </w:r>
    </w:p>
    <w:p>
      <w:pPr>
        <w:pStyle w:val="18"/>
        <w:adjustRightInd w:val="0"/>
        <w:snapToGrid w:val="0"/>
        <w:spacing w:line="360" w:lineRule="auto"/>
        <w:ind w:left="359" w:hanging="359" w:hangingChars="171"/>
        <w:outlineLvl w:val="4"/>
        <w:rPr>
          <w:rFonts w:hAnsi="宋体" w:cs="宋体"/>
          <w:color w:val="auto"/>
          <w:highlight w:val="none"/>
        </w:rPr>
      </w:pPr>
      <w:r>
        <w:rPr>
          <w:rFonts w:hint="eastAsia" w:hAnsi="宋体" w:cs="宋体"/>
          <w:color w:val="auto"/>
          <w:highlight w:val="none"/>
        </w:rPr>
        <w:t>3.3.3  评标委员会的职责及守则</w:t>
      </w:r>
    </w:p>
    <w:p>
      <w:pPr>
        <w:pStyle w:val="18"/>
        <w:adjustRightInd w:val="0"/>
        <w:snapToGrid w:val="0"/>
        <w:spacing w:line="360" w:lineRule="auto"/>
        <w:ind w:left="630" w:leftChars="300"/>
        <w:rPr>
          <w:rFonts w:hAnsi="宋体" w:cs="宋体"/>
          <w:color w:val="auto"/>
          <w:highlight w:val="none"/>
        </w:rPr>
      </w:pPr>
      <w:r>
        <w:rPr>
          <w:rFonts w:hint="eastAsia" w:hAnsi="宋体" w:cs="宋体"/>
          <w:color w:val="auto"/>
          <w:highlight w:val="none"/>
        </w:rPr>
        <w:t xml:space="preserve">（1）评标委员会根据招标文件规定的评标细则，对投标文件进行认真评审。招标文件中没有规定的评审因素和标准不得作为评标依据。 </w:t>
      </w:r>
    </w:p>
    <w:p>
      <w:pPr>
        <w:pStyle w:val="18"/>
        <w:adjustRightInd w:val="0"/>
        <w:snapToGrid w:val="0"/>
        <w:spacing w:line="360" w:lineRule="auto"/>
        <w:ind w:left="418" w:leftChars="199" w:firstLine="268" w:firstLineChars="128"/>
        <w:rPr>
          <w:rFonts w:hAnsi="宋体" w:cs="宋体"/>
          <w:color w:val="auto"/>
          <w:highlight w:val="none"/>
        </w:rPr>
      </w:pPr>
      <w:r>
        <w:rPr>
          <w:rFonts w:hint="eastAsia" w:hAnsi="宋体" w:cs="宋体"/>
          <w:color w:val="auto"/>
          <w:highlight w:val="none"/>
        </w:rPr>
        <w:t>（2）评标完成后，提交书面评标报告和中标候选人名单。</w:t>
      </w:r>
    </w:p>
    <w:p>
      <w:pPr>
        <w:pStyle w:val="18"/>
        <w:adjustRightInd w:val="0"/>
        <w:snapToGrid w:val="0"/>
        <w:spacing w:line="360" w:lineRule="auto"/>
        <w:ind w:left="418" w:leftChars="199" w:firstLine="268" w:firstLineChars="128"/>
        <w:rPr>
          <w:rFonts w:hAnsi="宋体" w:cs="宋体"/>
          <w:color w:val="auto"/>
          <w:highlight w:val="none"/>
        </w:rPr>
      </w:pPr>
      <w:r>
        <w:rPr>
          <w:rFonts w:hint="eastAsia" w:hAnsi="宋体" w:cs="宋体"/>
          <w:color w:val="auto"/>
          <w:highlight w:val="none"/>
        </w:rPr>
        <w:t>（3）评标委员会成员不得私下接触投标人，不得收受投标人的财物或者其他好处。</w:t>
      </w:r>
    </w:p>
    <w:p>
      <w:pPr>
        <w:pStyle w:val="18"/>
        <w:adjustRightInd w:val="0"/>
        <w:snapToGrid w:val="0"/>
        <w:spacing w:line="360" w:lineRule="auto"/>
        <w:ind w:left="840" w:leftChars="300" w:hanging="210" w:hangingChars="100"/>
        <w:rPr>
          <w:rFonts w:hAnsi="宋体" w:cs="宋体"/>
          <w:color w:val="auto"/>
          <w:highlight w:val="none"/>
        </w:rPr>
      </w:pPr>
      <w:r>
        <w:rPr>
          <w:rFonts w:hint="eastAsia" w:hAnsi="宋体" w:cs="宋体"/>
          <w:color w:val="auto"/>
          <w:highlight w:val="none"/>
        </w:rPr>
        <w:t>（4）评标委员会成员必须遵守国家、地方政府制定的有关工程招标投标的法则、规定，遵守有关工程招标投标的保密制度；如有违反者，给予行政处分；情节严重，构成犯罪的，由司法机关依法追究其刑事责任。</w:t>
      </w:r>
    </w:p>
    <w:p>
      <w:pPr>
        <w:pStyle w:val="18"/>
        <w:adjustRightInd w:val="0"/>
        <w:snapToGrid w:val="0"/>
        <w:spacing w:line="360" w:lineRule="auto"/>
        <w:ind w:left="840" w:hanging="840" w:hangingChars="400"/>
        <w:rPr>
          <w:rFonts w:hAnsi="宋体" w:cs="宋体"/>
          <w:color w:val="auto"/>
          <w:highlight w:val="none"/>
        </w:rPr>
      </w:pPr>
      <w:r>
        <w:rPr>
          <w:rFonts w:hint="eastAsia" w:hAnsi="宋体" w:cs="宋体"/>
          <w:color w:val="auto"/>
          <w:highlight w:val="none"/>
        </w:rPr>
        <w:t>3.3.4  评标完成后，评标委员会应当向招标人提交书面评标报告和中标候选人名单。评标委员会推荐中标候选人的人数见投标须知前附表。</w:t>
      </w:r>
    </w:p>
    <w:p>
      <w:pPr>
        <w:adjustRightInd w:val="0"/>
        <w:snapToGrid w:val="0"/>
        <w:spacing w:line="360" w:lineRule="auto"/>
        <w:rPr>
          <w:rFonts w:ascii="宋体" w:hAnsi="宋体" w:cs="宋体"/>
          <w:color w:val="auto"/>
          <w:highlight w:val="none"/>
        </w:rPr>
      </w:pPr>
    </w:p>
    <w:p>
      <w:pPr>
        <w:adjustRightInd w:val="0"/>
        <w:snapToGrid w:val="0"/>
        <w:spacing w:line="360" w:lineRule="auto"/>
        <w:outlineLvl w:val="3"/>
        <w:rPr>
          <w:rFonts w:ascii="宋体" w:hAnsi="宋体" w:cs="宋体"/>
          <w:color w:val="auto"/>
          <w:szCs w:val="21"/>
          <w:highlight w:val="none"/>
        </w:rPr>
      </w:pPr>
      <w:bookmarkStart w:id="63" w:name="_Toc24524"/>
      <w:bookmarkStart w:id="64" w:name="_Toc15770"/>
      <w:r>
        <w:rPr>
          <w:rFonts w:hint="eastAsia" w:ascii="宋体" w:hAnsi="宋体" w:cs="宋体"/>
          <w:b/>
          <w:bCs/>
          <w:color w:val="auto"/>
          <w:highlight w:val="none"/>
        </w:rPr>
        <w:t>3.4    评标办法及评标程序</w:t>
      </w:r>
      <w:bookmarkEnd w:id="63"/>
      <w:bookmarkEnd w:id="64"/>
    </w:p>
    <w:p>
      <w:pPr>
        <w:adjustRightInd w:val="0"/>
        <w:snapToGrid w:val="0"/>
        <w:spacing w:line="360" w:lineRule="auto"/>
        <w:outlineLvl w:val="4"/>
        <w:rPr>
          <w:rFonts w:ascii="宋体" w:hAnsi="宋体" w:cs="宋体"/>
          <w:color w:val="auto"/>
          <w:szCs w:val="21"/>
          <w:highlight w:val="none"/>
        </w:rPr>
      </w:pPr>
      <w:r>
        <w:rPr>
          <w:rFonts w:hint="eastAsia" w:ascii="宋体" w:hAnsi="宋体" w:cs="宋体"/>
          <w:b/>
          <w:bCs/>
          <w:color w:val="auto"/>
          <w:szCs w:val="21"/>
          <w:highlight w:val="none"/>
        </w:rPr>
        <w:t>3.4.1  办法一   综合评分法</w:t>
      </w:r>
      <w:bookmarkStart w:id="65" w:name="_Toc36623011"/>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标委员会专家按附件1《资格审查表》对各投标文件进行资格审查，编写资格审查报告。只有通过资格审查的投标文件方可进入下一阶段的评审。如果有否决投标提议，则评标委员会成员共同表决，按照少数服从多数的原则决定是否否决。</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专家按附件2《投标文件有效性审查表》对各投标文件进行评审，只有通过投标文件有效性审查的投标文件方可进入下一阶段的评审。如果有否决投标提议，则评标委员会成员共同表决，按照少数服从多数的原则决定是否否决。</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评标委员会专家按附件3《技术文件有效性审查表》对各投标文件进行评审，只有通过技术有效性审查的投标文件方可进入下一阶段的评审。如果有否决投标提议，则评标委员会成员共同表决，按照少数服从多数的原则决定是否否决。</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（4）评标委员会专家按附件4《技术文件综合评分表》对各投标单位的技术文件（设计方案）进行综合评分。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（5）评标委员会专家揭晓技术文件评审结果。</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（6）评标委员会专家按附件5《商务文件综合评分表》对各投标单位的商务文件进行综合评分。</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（7）评标委员会专家评出各投标人商务和技术文件的分数，按投标须知前附表规定计算每个投标人的商务和技术文件得分。分数出现小数点，保留小数点后二位，第三位小数四舍五入。</w:t>
      </w:r>
    </w:p>
    <w:p>
      <w:pPr>
        <w:adjustRightInd w:val="0"/>
        <w:snapToGrid w:val="0"/>
        <w:spacing w:line="360" w:lineRule="auto"/>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（8）评标委员会专家按附件6《投标报价得分表》对各投标单位的报价进行评分。</w:t>
      </w:r>
    </w:p>
    <w:p>
      <w:pPr>
        <w:adjustRightInd w:val="0"/>
        <w:snapToGrid w:val="0"/>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（9）评标委员会按投标须知前附表的规定计算各投标人的综合得分，填写附件7《综合得分汇总表》。</w:t>
      </w:r>
    </w:p>
    <w:p>
      <w:pPr>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综合评分法一：投标人综合得分＝商务文件得分×30%+技术文件得分×70%。</w:t>
      </w:r>
    </w:p>
    <w:p>
      <w:pPr>
        <w:adjustRightInd w:val="0"/>
        <w:snapToGrid w:val="0"/>
        <w:spacing w:line="360" w:lineRule="auto"/>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综合评分法二：投标人综合得分＝商务文件得分×20%+技术文件得分×70%+投标报价得分×10%。</w:t>
      </w:r>
    </w:p>
    <w:p>
      <w:pPr>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（10）评标委员会编写、签署评标报告。不采用评定分离的，评标委员会向招标人推荐按综合得分结果排序的中标候选人</w:t>
      </w:r>
      <w:r>
        <w:rPr>
          <w:rFonts w:hint="eastAsia" w:ascii="宋体" w:hAnsi="宋体" w:cs="宋体"/>
          <w:strike/>
          <w:color w:val="auto"/>
          <w:szCs w:val="21"/>
          <w:highlight w:val="none"/>
        </w:rPr>
        <w:t>；采用评定分离的，评标委员会向招标人推荐不排序的中标候选人</w:t>
      </w:r>
      <w:r>
        <w:rPr>
          <w:rFonts w:hint="eastAsia" w:ascii="宋体" w:hAnsi="宋体" w:cs="宋体"/>
          <w:color w:val="auto"/>
          <w:szCs w:val="21"/>
          <w:highlight w:val="none"/>
        </w:rPr>
        <w:t>。评标报告由评标委员会全体成员签名，对评标结论持有异议的评标委员会成员可以书面方式阐述其不同意见和理由。</w:t>
      </w:r>
    </w:p>
    <w:p>
      <w:pPr>
        <w:adjustRightInd w:val="0"/>
        <w:snapToGrid w:val="0"/>
        <w:spacing w:line="360" w:lineRule="auto"/>
        <w:ind w:firstLine="420" w:firstLineChars="200"/>
        <w:jc w:val="left"/>
        <w:rPr>
          <w:rFonts w:ascii="宋体" w:hAnsi="宋体" w:cs="宋体"/>
          <w:strike/>
          <w:color w:val="auto"/>
          <w:szCs w:val="21"/>
          <w:highlight w:val="none"/>
        </w:rPr>
      </w:pPr>
      <w:r>
        <w:rPr>
          <w:rFonts w:hint="eastAsia" w:ascii="宋体" w:hAnsi="宋体" w:cs="宋体"/>
          <w:strike/>
          <w:color w:val="auto"/>
          <w:szCs w:val="21"/>
          <w:highlight w:val="none"/>
        </w:rPr>
        <w:t>（11）招标人（或招标代理机构）提前将揭晓评标结果的会议时间和地点通知所有投标人，并邀请投标人出席。公开展示所有投标文件，并根据请求告知已投标但未出席会议的投标人。</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（11）评标委员会向招标人提交书面评标报告后即告解散，评标过程中使用的文件、表格以及其他资料应当即时归还招标人（或招标代理机构）。</w:t>
      </w:r>
      <w:bookmarkEnd w:id="65"/>
    </w:p>
    <w:p>
      <w:pPr>
        <w:adjustRightInd w:val="0"/>
        <w:snapToGrid w:val="0"/>
        <w:spacing w:line="360" w:lineRule="auto"/>
        <w:jc w:val="left"/>
        <w:rPr>
          <w:rFonts w:ascii="宋体" w:hAnsi="宋体" w:cs="宋体"/>
          <w:strike/>
          <w:color w:val="auto"/>
          <w:szCs w:val="21"/>
          <w:highlight w:val="none"/>
        </w:rPr>
      </w:pPr>
    </w:p>
    <w:p>
      <w:pPr>
        <w:adjustRightInd w:val="0"/>
        <w:snapToGrid w:val="0"/>
        <w:spacing w:line="360" w:lineRule="auto"/>
        <w:outlineLvl w:val="4"/>
        <w:rPr>
          <w:rFonts w:ascii="宋体" w:hAnsi="宋体" w:cs="宋体"/>
          <w:b/>
          <w:bCs/>
          <w:strike/>
          <w:color w:val="auto"/>
          <w:szCs w:val="21"/>
          <w:highlight w:val="none"/>
        </w:rPr>
      </w:pPr>
      <w:r>
        <w:rPr>
          <w:rFonts w:hint="eastAsia" w:ascii="宋体" w:hAnsi="宋体" w:cs="宋体"/>
          <w:b/>
          <w:bCs/>
          <w:strike/>
          <w:color w:val="auto"/>
          <w:szCs w:val="21"/>
          <w:highlight w:val="none"/>
        </w:rPr>
        <w:t>3.4.2  办法二   投票法</w:t>
      </w:r>
    </w:p>
    <w:p>
      <w:pPr>
        <w:adjustRightInd w:val="0"/>
        <w:snapToGrid w:val="0"/>
        <w:spacing w:line="360" w:lineRule="auto"/>
        <w:ind w:firstLine="420" w:firstLineChars="200"/>
        <w:jc w:val="left"/>
        <w:rPr>
          <w:rFonts w:ascii="宋体" w:hAnsi="宋体" w:cs="宋体"/>
          <w:strike/>
          <w:color w:val="auto"/>
          <w:szCs w:val="21"/>
          <w:highlight w:val="none"/>
        </w:rPr>
      </w:pPr>
      <w:r>
        <w:rPr>
          <w:rFonts w:hint="eastAsia" w:ascii="宋体" w:hAnsi="宋体" w:cs="宋体"/>
          <w:strike/>
          <w:color w:val="auto"/>
          <w:szCs w:val="21"/>
          <w:highlight w:val="none"/>
        </w:rPr>
        <w:t>（1）评标委员会专家首先按附件1《资格审查表》对各投标文件进行资格审查，编写资格审查报告。只有通过资格审查的投标文件方可进入下一阶段的评审。如果有否决投标提议，则评标委员会成员共同表决，按照少数服从多数的原则决定是否否决。</w:t>
      </w:r>
    </w:p>
    <w:p>
      <w:pPr>
        <w:adjustRightInd w:val="0"/>
        <w:snapToGrid w:val="0"/>
        <w:spacing w:line="360" w:lineRule="auto"/>
        <w:ind w:firstLine="420" w:firstLineChars="200"/>
        <w:jc w:val="left"/>
        <w:rPr>
          <w:rFonts w:ascii="宋体" w:hAnsi="宋体" w:cs="宋体"/>
          <w:strike/>
          <w:color w:val="auto"/>
          <w:szCs w:val="21"/>
          <w:highlight w:val="none"/>
        </w:rPr>
      </w:pPr>
      <w:r>
        <w:rPr>
          <w:rFonts w:hint="eastAsia" w:ascii="宋体" w:hAnsi="宋体" w:cs="宋体"/>
          <w:strike/>
          <w:color w:val="auto"/>
          <w:szCs w:val="21"/>
          <w:highlight w:val="none"/>
        </w:rPr>
        <w:t>（2）评标委员会专家首先按附件2《投标文件有效性审查表》对各投标文件进行评审，只有通过投标文件有效性审查的投标文件方可进入下一阶段的评审。如果有废标提议，则评标委员会成员共同表决，按照少数服从多数的原则决定是否废标。</w:t>
      </w:r>
    </w:p>
    <w:p>
      <w:pPr>
        <w:adjustRightInd w:val="0"/>
        <w:snapToGrid w:val="0"/>
        <w:spacing w:line="360" w:lineRule="auto"/>
        <w:ind w:firstLine="420" w:firstLineChars="200"/>
        <w:jc w:val="left"/>
        <w:rPr>
          <w:rFonts w:ascii="宋体" w:hAnsi="宋体" w:cs="宋体"/>
          <w:strike/>
          <w:color w:val="auto"/>
          <w:szCs w:val="21"/>
          <w:highlight w:val="none"/>
        </w:rPr>
      </w:pPr>
      <w:r>
        <w:rPr>
          <w:rFonts w:hint="eastAsia" w:ascii="宋体" w:hAnsi="宋体" w:cs="宋体"/>
          <w:strike/>
          <w:color w:val="auto"/>
          <w:szCs w:val="21"/>
          <w:highlight w:val="none"/>
        </w:rPr>
        <w:t>（3）评标委员会专家按附件3《技术文件有效性审查表》对各投标文件进行评审，只有通过技术有效性审查的投标文件方可进入下一阶段的评审。如果有否决投标提议，则评标委员会成员共同表决，按照少数服从多数的原则决定是否否决。</w:t>
      </w:r>
    </w:p>
    <w:p>
      <w:pPr>
        <w:adjustRightInd w:val="0"/>
        <w:snapToGrid w:val="0"/>
        <w:spacing w:line="360" w:lineRule="auto"/>
        <w:ind w:firstLine="420" w:firstLineChars="200"/>
        <w:jc w:val="left"/>
        <w:rPr>
          <w:rFonts w:ascii="宋体" w:hAnsi="宋体" w:cs="宋体"/>
          <w:strike/>
          <w:color w:val="auto"/>
          <w:szCs w:val="21"/>
          <w:highlight w:val="none"/>
        </w:rPr>
      </w:pPr>
      <w:r>
        <w:rPr>
          <w:rFonts w:hint="eastAsia" w:ascii="宋体" w:hAnsi="宋体" w:cs="宋体"/>
          <w:strike/>
          <w:color w:val="auto"/>
          <w:szCs w:val="21"/>
          <w:highlight w:val="none"/>
        </w:rPr>
        <w:t>（4）评标委员会专家对各投标单位的技术文件（设计方案）进行综合评审，以差额选举逐轮淘汰的记名投票方式选出投标方案的排序(评标表格详见附件8-11)。</w:t>
      </w:r>
    </w:p>
    <w:p>
      <w:pPr>
        <w:adjustRightInd w:val="0"/>
        <w:snapToGrid w:val="0"/>
        <w:spacing w:line="360" w:lineRule="auto"/>
        <w:ind w:left="420" w:leftChars="200"/>
        <w:jc w:val="left"/>
        <w:rPr>
          <w:rFonts w:ascii="宋体" w:hAnsi="宋体" w:cs="宋体"/>
          <w:strike/>
          <w:color w:val="auto"/>
          <w:szCs w:val="21"/>
          <w:highlight w:val="none"/>
        </w:rPr>
      </w:pPr>
      <w:r>
        <w:rPr>
          <w:rFonts w:hint="eastAsia" w:ascii="宋体" w:hAnsi="宋体" w:cs="宋体"/>
          <w:strike/>
          <w:color w:val="auto"/>
          <w:szCs w:val="21"/>
          <w:highlight w:val="none"/>
        </w:rPr>
        <w:t>（5）评标委员会专家揭晓技术文件评审结果。</w:t>
      </w:r>
    </w:p>
    <w:p>
      <w:pPr>
        <w:adjustRightInd w:val="0"/>
        <w:snapToGrid w:val="0"/>
        <w:spacing w:line="360" w:lineRule="auto"/>
        <w:ind w:firstLine="420" w:firstLineChars="200"/>
        <w:jc w:val="left"/>
        <w:rPr>
          <w:rFonts w:ascii="宋体" w:hAnsi="宋体" w:cs="宋体"/>
          <w:strike/>
          <w:color w:val="auto"/>
          <w:szCs w:val="21"/>
          <w:highlight w:val="none"/>
        </w:rPr>
      </w:pPr>
      <w:r>
        <w:rPr>
          <w:rFonts w:hint="eastAsia" w:ascii="宋体" w:hAnsi="宋体" w:cs="宋体"/>
          <w:strike/>
          <w:color w:val="auto"/>
          <w:szCs w:val="21"/>
          <w:highlight w:val="none"/>
        </w:rPr>
        <w:t>（6）评标委员会编写、签署评标报告。不采用评定分离的，评标委员会向招标人推荐按投票结果排序的中标候选人；采用评定分离的，评标委员会向招标人推荐不排序的中标候选人。评标报告由评标委员会全体成员签名，对评标结论持有异议的评标委员会成员可以书面方式阐述其不同意见和理由。</w:t>
      </w:r>
    </w:p>
    <w:p>
      <w:pPr>
        <w:adjustRightInd w:val="0"/>
        <w:snapToGrid w:val="0"/>
        <w:spacing w:line="360" w:lineRule="auto"/>
        <w:ind w:firstLine="420" w:firstLineChars="200"/>
        <w:jc w:val="left"/>
        <w:rPr>
          <w:rFonts w:ascii="宋体" w:hAnsi="宋体" w:cs="宋体"/>
          <w:strike/>
          <w:color w:val="auto"/>
          <w:szCs w:val="21"/>
          <w:highlight w:val="none"/>
        </w:rPr>
      </w:pPr>
      <w:r>
        <w:rPr>
          <w:rFonts w:hint="eastAsia" w:ascii="宋体" w:hAnsi="宋体" w:cs="宋体"/>
          <w:strike/>
          <w:color w:val="auto"/>
          <w:szCs w:val="21"/>
          <w:highlight w:val="none"/>
        </w:rPr>
        <w:t>（7）招标人（或招标代理机构）提前将揭晓评标结果的会议时间和地点通知所有投标人，并邀请投标人出席。公开展示所有投标文件，并根据请求告知已投标但未出席会议的投标人。</w:t>
      </w:r>
    </w:p>
    <w:p>
      <w:pPr>
        <w:adjustRightInd w:val="0"/>
        <w:snapToGrid w:val="0"/>
        <w:spacing w:line="360" w:lineRule="auto"/>
        <w:ind w:firstLine="420" w:firstLineChars="200"/>
        <w:jc w:val="left"/>
        <w:rPr>
          <w:rFonts w:ascii="宋体" w:hAnsi="宋体" w:cs="宋体"/>
          <w:strike/>
          <w:color w:val="auto"/>
          <w:szCs w:val="21"/>
          <w:highlight w:val="none"/>
        </w:rPr>
      </w:pPr>
      <w:r>
        <w:rPr>
          <w:rFonts w:hint="eastAsia" w:ascii="宋体" w:hAnsi="宋体" w:cs="宋体"/>
          <w:strike/>
          <w:color w:val="auto"/>
          <w:szCs w:val="21"/>
          <w:highlight w:val="none"/>
        </w:rPr>
        <w:t>（8）评标委员会向招标人提交书面评标报告后即告解散，评标过程中使用的文件、表格以及其他资料应当即时归还招标人（或招标代理机构）。</w:t>
      </w:r>
    </w:p>
    <w:p>
      <w:pPr>
        <w:pStyle w:val="5"/>
        <w:rPr>
          <w:rFonts w:ascii="宋体" w:hAnsi="宋体" w:cs="宋体"/>
          <w:b w:val="0"/>
          <w:color w:val="auto"/>
          <w:highlight w:val="none"/>
        </w:rPr>
      </w:pPr>
      <w:bookmarkStart w:id="66" w:name="_Toc32425"/>
      <w:bookmarkStart w:id="67" w:name="_Toc2805"/>
      <w:bookmarkStart w:id="68" w:name="_Toc24768"/>
      <w:r>
        <w:rPr>
          <w:rFonts w:hint="eastAsia"/>
          <w:color w:val="auto"/>
          <w:highlight w:val="none"/>
        </w:rPr>
        <w:t>（四） 定标</w:t>
      </w:r>
      <w:bookmarkEnd w:id="66"/>
      <w:bookmarkEnd w:id="67"/>
      <w:bookmarkEnd w:id="68"/>
    </w:p>
    <w:p>
      <w:pPr>
        <w:adjustRightInd w:val="0"/>
        <w:snapToGrid w:val="0"/>
        <w:spacing w:line="360" w:lineRule="auto"/>
        <w:ind w:left="632" w:hanging="632" w:hangingChars="300"/>
        <w:rPr>
          <w:rFonts w:ascii="宋体" w:hAnsi="宋体" w:cs="宋体"/>
          <w:b/>
          <w:bCs/>
          <w:color w:val="auto"/>
          <w:szCs w:val="21"/>
          <w:highlight w:val="none"/>
        </w:rPr>
      </w:pPr>
    </w:p>
    <w:p>
      <w:pPr>
        <w:adjustRightInd w:val="0"/>
        <w:snapToGrid w:val="0"/>
        <w:spacing w:line="360" w:lineRule="auto"/>
        <w:ind w:left="632" w:hanging="632" w:hangingChars="300"/>
        <w:outlineLvl w:val="3"/>
        <w:rPr>
          <w:rFonts w:ascii="宋体" w:hAnsi="宋体" w:cs="宋体"/>
          <w:b/>
          <w:bCs/>
          <w:color w:val="auto"/>
          <w:szCs w:val="21"/>
          <w:highlight w:val="none"/>
        </w:rPr>
      </w:pPr>
      <w:bookmarkStart w:id="69" w:name="_Toc23781"/>
      <w:bookmarkStart w:id="70" w:name="_Toc6790"/>
      <w:r>
        <w:rPr>
          <w:rFonts w:hint="eastAsia" w:ascii="宋体" w:hAnsi="宋体" w:cs="宋体"/>
          <w:b/>
          <w:bCs/>
          <w:color w:val="auto"/>
          <w:szCs w:val="21"/>
          <w:highlight w:val="none"/>
        </w:rPr>
        <w:t>4.1    公示中标候选人</w:t>
      </w:r>
      <w:bookmarkEnd w:id="69"/>
      <w:bookmarkEnd w:id="70"/>
    </w:p>
    <w:p>
      <w:pPr>
        <w:adjustRightInd w:val="0"/>
        <w:snapToGrid w:val="0"/>
        <w:spacing w:line="360" w:lineRule="auto"/>
        <w:ind w:left="840" w:hanging="840" w:hangingChars="400"/>
        <w:rPr>
          <w:rFonts w:ascii="宋体" w:hAnsi="宋体" w:cs="宋体"/>
          <w:color w:val="auto"/>
          <w:szCs w:val="21"/>
          <w:highlight w:val="none"/>
        </w:rPr>
      </w:pPr>
      <w:r>
        <w:rPr>
          <w:rFonts w:hint="eastAsia" w:ascii="宋体" w:hAnsi="宋体" w:cs="宋体"/>
          <w:color w:val="auto"/>
          <w:szCs w:val="21"/>
          <w:highlight w:val="none"/>
        </w:rPr>
        <w:t>4.1.1  招标人应按规定在广州公共资源交易网站公示中标候选人，公示期不得少于3日。</w:t>
      </w:r>
    </w:p>
    <w:p>
      <w:pPr>
        <w:adjustRightInd w:val="0"/>
        <w:snapToGrid w:val="0"/>
        <w:spacing w:line="360" w:lineRule="auto"/>
        <w:ind w:left="630" w:hanging="630" w:hangingChars="300"/>
        <w:rPr>
          <w:rFonts w:ascii="宋体" w:hAnsi="宋体" w:cs="宋体"/>
          <w:color w:val="auto"/>
          <w:szCs w:val="21"/>
          <w:highlight w:val="none"/>
        </w:rPr>
      </w:pPr>
      <w:r>
        <w:rPr>
          <w:rFonts w:hint="eastAsia" w:ascii="宋体" w:hAnsi="宋体" w:cs="宋体"/>
          <w:color w:val="auto"/>
          <w:szCs w:val="21"/>
          <w:highlight w:val="none"/>
        </w:rPr>
        <w:t>4.1.2  招标人应当将中标候选人的投标文件商务部分电子版（报价清单、施工方案等涉及商业秘密的内容除外）在广州公共资源交易网站公开。</w:t>
      </w:r>
    </w:p>
    <w:p>
      <w:pPr>
        <w:adjustRightInd w:val="0"/>
        <w:snapToGrid w:val="0"/>
        <w:spacing w:line="360" w:lineRule="auto"/>
        <w:ind w:left="840" w:hanging="840" w:hangingChars="400"/>
        <w:rPr>
          <w:rFonts w:ascii="宋体" w:hAnsi="宋体" w:cs="宋体"/>
          <w:color w:val="auto"/>
          <w:szCs w:val="21"/>
          <w:highlight w:val="none"/>
        </w:rPr>
      </w:pPr>
      <w:r>
        <w:rPr>
          <w:rFonts w:hint="eastAsia" w:ascii="宋体" w:hAnsi="宋体" w:cs="宋体"/>
          <w:color w:val="auto"/>
          <w:szCs w:val="21"/>
          <w:highlight w:val="none"/>
        </w:rPr>
        <w:t xml:space="preserve">4.1.3  投标人或者其他利害关系人对评标结果有异议的，应当在中标候选人公示期间通过电子交易平台或书面形式向招标人提出。通过电子交易平台提出异议的，招标人线上作出答复。招标人将在收到异议之日起3日内作出答复；作出答复前，应当暂停招标投标活动。 </w:t>
      </w:r>
    </w:p>
    <w:p>
      <w:pPr>
        <w:adjustRightInd w:val="0"/>
        <w:snapToGrid w:val="0"/>
        <w:spacing w:line="360" w:lineRule="auto"/>
        <w:ind w:left="840" w:hanging="840" w:hangingChars="400"/>
        <w:rPr>
          <w:rFonts w:ascii="宋体" w:hAnsi="宋体" w:cs="宋体"/>
          <w:color w:val="auto"/>
          <w:szCs w:val="21"/>
          <w:highlight w:val="none"/>
        </w:rPr>
      </w:pPr>
    </w:p>
    <w:p>
      <w:pPr>
        <w:adjustRightInd w:val="0"/>
        <w:snapToGrid w:val="0"/>
        <w:spacing w:line="360" w:lineRule="auto"/>
        <w:jc w:val="left"/>
        <w:outlineLvl w:val="3"/>
        <w:rPr>
          <w:rFonts w:ascii="宋体" w:hAnsi="宋体" w:cs="宋体"/>
          <w:b/>
          <w:color w:val="auto"/>
          <w:highlight w:val="none"/>
        </w:rPr>
      </w:pPr>
      <w:bookmarkStart w:id="71" w:name="_Toc15300"/>
      <w:bookmarkStart w:id="72" w:name="_Toc320"/>
      <w:r>
        <w:rPr>
          <w:rFonts w:hint="eastAsia" w:ascii="宋体" w:hAnsi="宋体" w:cs="宋体"/>
          <w:b/>
          <w:color w:val="auto"/>
          <w:highlight w:val="none"/>
        </w:rPr>
        <w:t>4.2    确定中标人</w:t>
      </w:r>
      <w:bookmarkEnd w:id="71"/>
      <w:bookmarkEnd w:id="72"/>
    </w:p>
    <w:p>
      <w:pPr>
        <w:adjustRightInd w:val="0"/>
        <w:snapToGrid w:val="0"/>
        <w:spacing w:line="360" w:lineRule="auto"/>
        <w:ind w:left="630" w:hanging="630" w:hangingChars="300"/>
        <w:rPr>
          <w:rFonts w:ascii="宋体" w:hAnsi="宋体" w:cs="宋体"/>
          <w:color w:val="auto"/>
          <w:szCs w:val="21"/>
          <w:highlight w:val="none"/>
        </w:rPr>
      </w:pPr>
      <w:r>
        <w:rPr>
          <w:rFonts w:hint="eastAsia" w:ascii="宋体" w:hAnsi="宋体" w:cs="宋体"/>
          <w:color w:val="auto"/>
          <w:szCs w:val="21"/>
          <w:highlight w:val="none"/>
        </w:rPr>
        <w:t xml:space="preserve">4.2.1  </w:t>
      </w:r>
      <w:r>
        <w:rPr>
          <w:rFonts w:hint="eastAsia" w:ascii="宋体" w:hAnsi="宋体" w:cs="宋体"/>
          <w:bCs/>
          <w:color w:val="auto"/>
          <w:highlight w:val="none"/>
        </w:rPr>
        <w:t>不采用评定分离的，由</w:t>
      </w:r>
      <w:r>
        <w:rPr>
          <w:rFonts w:hint="eastAsia" w:ascii="宋体" w:hAnsi="宋体" w:cs="宋体"/>
          <w:bCs/>
          <w:color w:val="auto"/>
          <w:szCs w:val="21"/>
          <w:highlight w:val="none"/>
        </w:rPr>
        <w:t>招标人在</w:t>
      </w:r>
      <w:r>
        <w:rPr>
          <w:rFonts w:hint="eastAsia" w:ascii="宋体" w:hAnsi="宋体" w:cs="宋体"/>
          <w:color w:val="auto"/>
          <w:szCs w:val="21"/>
          <w:highlight w:val="none"/>
        </w:rPr>
        <w:t>中标候选人中确定中标人。</w:t>
      </w:r>
    </w:p>
    <w:p>
      <w:pPr>
        <w:adjustRightInd w:val="0"/>
        <w:snapToGrid w:val="0"/>
        <w:spacing w:line="360" w:lineRule="auto"/>
        <w:ind w:left="630" w:leftChars="300"/>
        <w:rPr>
          <w:rFonts w:ascii="宋体" w:hAnsi="宋体" w:cs="宋体"/>
          <w:color w:val="auto"/>
          <w:szCs w:val="21"/>
          <w:highlight w:val="none"/>
        </w:rPr>
      </w:pPr>
      <w:r>
        <w:rPr>
          <w:rFonts w:hint="eastAsia" w:ascii="宋体" w:hAnsi="宋体" w:cs="宋体"/>
          <w:color w:val="auto"/>
          <w:szCs w:val="21"/>
          <w:highlight w:val="none"/>
        </w:rPr>
        <w:t>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adjustRightInd w:val="0"/>
        <w:snapToGrid w:val="0"/>
        <w:spacing w:line="360" w:lineRule="auto"/>
        <w:ind w:left="630" w:hanging="630" w:hangingChars="300"/>
        <w:rPr>
          <w:rFonts w:ascii="宋体" w:hAnsi="宋体" w:cs="宋体"/>
          <w:strike/>
          <w:color w:val="auto"/>
          <w:szCs w:val="21"/>
          <w:highlight w:val="none"/>
        </w:rPr>
      </w:pPr>
      <w:r>
        <w:rPr>
          <w:rFonts w:hint="eastAsia" w:ascii="宋体" w:hAnsi="宋体" w:cs="宋体"/>
          <w:strike/>
          <w:color w:val="auto"/>
          <w:szCs w:val="21"/>
          <w:highlight w:val="none"/>
        </w:rPr>
        <w:t xml:space="preserve">4.2.2  </w:t>
      </w:r>
      <w:r>
        <w:rPr>
          <w:rFonts w:hint="eastAsia" w:ascii="宋体" w:hAnsi="宋体" w:cs="宋体"/>
          <w:bCs/>
          <w:strike/>
          <w:color w:val="auto"/>
          <w:highlight w:val="none"/>
        </w:rPr>
        <w:t>采用评定分离的，由</w:t>
      </w:r>
      <w:r>
        <w:rPr>
          <w:rFonts w:hint="eastAsia" w:ascii="宋体" w:hAnsi="宋体" w:cs="宋体"/>
          <w:bCs/>
          <w:strike/>
          <w:color w:val="auto"/>
          <w:szCs w:val="21"/>
          <w:highlight w:val="none"/>
        </w:rPr>
        <w:t>定标委</w:t>
      </w:r>
      <w:r>
        <w:rPr>
          <w:rFonts w:hint="eastAsia" w:ascii="宋体" w:hAnsi="宋体" w:cs="宋体"/>
          <w:strike/>
          <w:color w:val="auto"/>
          <w:szCs w:val="21"/>
          <w:highlight w:val="none"/>
        </w:rPr>
        <w:t>员会在中标候选人中确定中标人。</w:t>
      </w:r>
    </w:p>
    <w:p>
      <w:pPr>
        <w:adjustRightInd w:val="0"/>
        <w:snapToGrid w:val="0"/>
        <w:spacing w:line="360" w:lineRule="auto"/>
        <w:ind w:firstLine="420" w:firstLineChars="200"/>
        <w:jc w:val="left"/>
        <w:rPr>
          <w:rFonts w:ascii="宋体" w:hAnsi="宋体" w:cs="宋体"/>
          <w:color w:val="auto"/>
          <w:highlight w:val="none"/>
          <w:u w:val="single"/>
        </w:rPr>
      </w:pPr>
      <w:r>
        <w:rPr>
          <w:rFonts w:hint="eastAsia" w:ascii="宋体" w:hAnsi="宋体" w:cs="宋体"/>
          <w:strike/>
          <w:color w:val="auto"/>
          <w:szCs w:val="21"/>
          <w:highlight w:val="none"/>
        </w:rPr>
        <w:t>招标人自行制定定标委员会组建及定标办法（附件12-13），并与招标文件同时发布。</w:t>
      </w:r>
    </w:p>
    <w:p>
      <w:pPr>
        <w:adjustRightInd w:val="0"/>
        <w:snapToGrid w:val="0"/>
        <w:spacing w:line="360" w:lineRule="auto"/>
        <w:rPr>
          <w:rFonts w:ascii="宋体" w:hAnsi="宋体" w:cs="宋体"/>
          <w:color w:val="auto"/>
          <w:szCs w:val="21"/>
          <w:highlight w:val="none"/>
        </w:rPr>
      </w:pPr>
    </w:p>
    <w:p>
      <w:pPr>
        <w:adjustRightInd w:val="0"/>
        <w:snapToGrid w:val="0"/>
        <w:spacing w:line="360" w:lineRule="auto"/>
        <w:jc w:val="left"/>
        <w:outlineLvl w:val="3"/>
        <w:rPr>
          <w:rFonts w:ascii="宋体" w:hAnsi="宋体" w:cs="宋体"/>
          <w:color w:val="auto"/>
          <w:highlight w:val="none"/>
        </w:rPr>
      </w:pPr>
      <w:bookmarkStart w:id="73" w:name="_Toc22765"/>
      <w:bookmarkStart w:id="74" w:name="_Toc27856"/>
      <w:r>
        <w:rPr>
          <w:rFonts w:hint="eastAsia" w:ascii="宋体" w:hAnsi="宋体" w:cs="宋体"/>
          <w:b/>
          <w:color w:val="auto"/>
          <w:highlight w:val="none"/>
        </w:rPr>
        <w:t>4.3    中标通知</w:t>
      </w:r>
      <w:bookmarkEnd w:id="73"/>
      <w:bookmarkEnd w:id="74"/>
    </w:p>
    <w:p>
      <w:pPr>
        <w:adjustRightInd w:val="0"/>
        <w:snapToGrid w:val="0"/>
        <w:spacing w:line="360" w:lineRule="auto"/>
        <w:ind w:left="718" w:hanging="718" w:hangingChars="342"/>
        <w:jc w:val="left"/>
        <w:rPr>
          <w:rFonts w:ascii="宋体" w:hAnsi="宋体" w:cs="宋体"/>
          <w:color w:val="auto"/>
          <w:szCs w:val="21"/>
          <w:highlight w:val="none"/>
        </w:rPr>
      </w:pPr>
      <w:r>
        <w:rPr>
          <w:rFonts w:hint="eastAsia" w:ascii="宋体" w:hAnsi="宋体" w:cs="宋体"/>
          <w:color w:val="auto"/>
          <w:szCs w:val="21"/>
          <w:highlight w:val="none"/>
        </w:rPr>
        <w:t xml:space="preserve">4.3.1  </w:t>
      </w:r>
      <w:r>
        <w:rPr>
          <w:rFonts w:hint="eastAsia" w:ascii="宋体" w:hAnsi="宋体" w:cs="宋体"/>
          <w:color w:val="auto"/>
          <w:highlight w:val="none"/>
        </w:rPr>
        <w:t>中标人确定后，招标人</w:t>
      </w:r>
      <w:r>
        <w:rPr>
          <w:rFonts w:hint="eastAsia" w:ascii="宋体" w:hAnsi="宋体" w:cs="宋体"/>
          <w:color w:val="auto"/>
          <w:szCs w:val="21"/>
          <w:highlight w:val="none"/>
        </w:rPr>
        <w:t>（招标代理机构）通过</w:t>
      </w:r>
      <w:r>
        <w:rPr>
          <w:rFonts w:hint="eastAsia" w:ascii="宋体" w:hAnsi="宋体" w:cs="宋体"/>
          <w:color w:val="auto"/>
          <w:highlight w:val="none"/>
        </w:rPr>
        <w:t>广州公共资源交易网站和广东省招标投标监管网公示中标结果，向中标人发出中标通知书，并同时将中标结果通知所有未中标的投标人。</w:t>
      </w:r>
    </w:p>
    <w:p>
      <w:pPr>
        <w:adjustRightInd w:val="0"/>
        <w:snapToGrid w:val="0"/>
        <w:spacing w:line="360" w:lineRule="auto"/>
        <w:ind w:left="718" w:hanging="718" w:hangingChars="342"/>
        <w:jc w:val="left"/>
        <w:rPr>
          <w:rFonts w:ascii="宋体" w:hAnsi="宋体" w:cs="宋体"/>
          <w:color w:val="auto"/>
          <w:highlight w:val="none"/>
        </w:rPr>
      </w:pPr>
      <w:r>
        <w:rPr>
          <w:rFonts w:hint="eastAsia" w:ascii="宋体" w:hAnsi="宋体" w:cs="宋体"/>
          <w:color w:val="auto"/>
          <w:szCs w:val="21"/>
          <w:highlight w:val="none"/>
        </w:rPr>
        <w:t xml:space="preserve">4.3.2  </w:t>
      </w:r>
      <w:r>
        <w:rPr>
          <w:rFonts w:hint="eastAsia" w:ascii="宋体" w:hAnsi="宋体" w:cs="宋体"/>
          <w:color w:val="auto"/>
          <w:highlight w:val="none"/>
        </w:rPr>
        <w:t>招标人应当自确定中标人之日起十五日内，向招标管理机构提交招标投标情况的书面报告。采用评定分离的，</w:t>
      </w:r>
      <w:r>
        <w:rPr>
          <w:rFonts w:hint="eastAsia" w:ascii="宋体" w:hAnsi="宋体"/>
          <w:color w:val="auto"/>
          <w:kern w:val="0"/>
          <w:szCs w:val="21"/>
          <w:highlight w:val="none"/>
        </w:rPr>
        <w:t>招标人</w:t>
      </w:r>
      <w:r>
        <w:rPr>
          <w:rFonts w:hint="eastAsia" w:ascii="宋体" w:hAnsi="宋体" w:cs="宋体"/>
          <w:color w:val="auto"/>
          <w:highlight w:val="none"/>
        </w:rPr>
        <w:t>应当同时提交</w:t>
      </w:r>
      <w:r>
        <w:rPr>
          <w:rFonts w:hint="eastAsia" w:ascii="宋体" w:hAnsi="宋体"/>
          <w:color w:val="auto"/>
          <w:kern w:val="0"/>
          <w:szCs w:val="21"/>
          <w:highlight w:val="none"/>
        </w:rPr>
        <w:t>定标报告。定标报告应包括定标委员会的产生过程、定标程序及定标结果等内容，同时附上定标委员会成员名单及定标会过程资料等。</w:t>
      </w:r>
    </w:p>
    <w:p>
      <w:pPr>
        <w:adjustRightInd w:val="0"/>
        <w:snapToGrid w:val="0"/>
        <w:spacing w:line="360" w:lineRule="auto"/>
        <w:ind w:left="721" w:hanging="721" w:hangingChars="342"/>
        <w:jc w:val="left"/>
        <w:rPr>
          <w:rFonts w:ascii="宋体" w:hAnsi="宋体" w:cs="宋体"/>
          <w:b/>
          <w:bCs/>
          <w:color w:val="auto"/>
          <w:highlight w:val="none"/>
        </w:rPr>
      </w:pPr>
    </w:p>
    <w:p>
      <w:pPr>
        <w:adjustRightInd w:val="0"/>
        <w:snapToGrid w:val="0"/>
        <w:spacing w:line="360" w:lineRule="auto"/>
        <w:ind w:left="721" w:hanging="721" w:hangingChars="342"/>
        <w:jc w:val="left"/>
        <w:outlineLvl w:val="3"/>
        <w:rPr>
          <w:rFonts w:ascii="宋体" w:hAnsi="宋体" w:cs="宋体"/>
          <w:b/>
          <w:bCs/>
          <w:color w:val="auto"/>
          <w:highlight w:val="none"/>
        </w:rPr>
      </w:pPr>
      <w:bookmarkStart w:id="75" w:name="_Toc3689"/>
      <w:bookmarkStart w:id="76" w:name="_Toc27667"/>
      <w:r>
        <w:rPr>
          <w:rFonts w:hint="eastAsia" w:ascii="宋体" w:hAnsi="宋体" w:cs="宋体"/>
          <w:b/>
          <w:bCs/>
          <w:color w:val="auto"/>
          <w:highlight w:val="none"/>
        </w:rPr>
        <w:t>4.4   技术成果经济补偿</w:t>
      </w:r>
      <w:bookmarkEnd w:id="75"/>
      <w:bookmarkEnd w:id="76"/>
    </w:p>
    <w:p>
      <w:pPr>
        <w:adjustRightInd w:val="0"/>
        <w:snapToGrid w:val="0"/>
        <w:spacing w:line="360" w:lineRule="auto"/>
        <w:ind w:left="718" w:hanging="718" w:hangingChars="342"/>
        <w:jc w:val="left"/>
        <w:rPr>
          <w:rFonts w:ascii="宋体" w:hAnsi="宋体" w:cs="宋体"/>
          <w:strike/>
          <w:color w:val="auto"/>
          <w:highlight w:val="none"/>
        </w:rPr>
      </w:pPr>
      <w:r>
        <w:rPr>
          <w:rFonts w:hint="eastAsia" w:ascii="宋体" w:hAnsi="宋体" w:cs="宋体"/>
          <w:color w:val="auto"/>
          <w:highlight w:val="none"/>
        </w:rPr>
        <w:t xml:space="preserve">4.4.1  </w:t>
      </w:r>
      <w:r>
        <w:rPr>
          <w:rFonts w:hint="eastAsia" w:ascii="宋体" w:hAnsi="宋体" w:cs="宋体"/>
          <w:color w:val="auto"/>
          <w:szCs w:val="21"/>
          <w:highlight w:val="none"/>
          <w:u w:val="single"/>
        </w:rPr>
        <w:t>本项目不设技术成果经济补偿。</w:t>
      </w:r>
    </w:p>
    <w:p>
      <w:pPr>
        <w:adjustRightInd w:val="0"/>
        <w:snapToGrid w:val="0"/>
        <w:spacing w:line="360" w:lineRule="auto"/>
        <w:rPr>
          <w:rFonts w:ascii="宋体" w:hAnsi="宋体" w:cs="宋体"/>
          <w:b/>
          <w:bCs/>
          <w:color w:val="auto"/>
          <w:highlight w:val="none"/>
        </w:rPr>
      </w:pPr>
    </w:p>
    <w:p>
      <w:pPr>
        <w:adjustRightInd w:val="0"/>
        <w:snapToGrid w:val="0"/>
        <w:spacing w:line="360" w:lineRule="auto"/>
        <w:outlineLvl w:val="3"/>
        <w:rPr>
          <w:rFonts w:ascii="宋体" w:hAnsi="宋体" w:cs="宋体"/>
          <w:b/>
          <w:bCs/>
          <w:color w:val="auto"/>
          <w:highlight w:val="none"/>
        </w:rPr>
      </w:pPr>
      <w:bookmarkStart w:id="77" w:name="_Toc27376"/>
      <w:bookmarkStart w:id="78" w:name="_Toc18388"/>
      <w:r>
        <w:rPr>
          <w:rFonts w:hint="eastAsia" w:ascii="宋体" w:hAnsi="宋体" w:cs="宋体"/>
          <w:b/>
          <w:bCs/>
          <w:color w:val="auto"/>
          <w:highlight w:val="none"/>
        </w:rPr>
        <w:t>4.5   履约担保</w:t>
      </w:r>
      <w:bookmarkEnd w:id="77"/>
      <w:bookmarkEnd w:id="78"/>
    </w:p>
    <w:p>
      <w:pPr>
        <w:adjustRightInd w:val="0"/>
        <w:snapToGrid w:val="0"/>
        <w:spacing w:line="360" w:lineRule="auto"/>
        <w:ind w:left="840" w:hanging="840" w:hangingChars="400"/>
        <w:rPr>
          <w:rFonts w:ascii="宋体" w:hAnsi="宋体" w:cs="宋体"/>
          <w:strike/>
          <w:color w:val="auto"/>
          <w:szCs w:val="21"/>
          <w:highlight w:val="none"/>
        </w:rPr>
      </w:pPr>
      <w:r>
        <w:rPr>
          <w:rFonts w:hint="eastAsia" w:ascii="宋体" w:hAnsi="宋体" w:cs="宋体"/>
          <w:strike/>
          <w:color w:val="auto"/>
          <w:szCs w:val="21"/>
          <w:highlight w:val="none"/>
        </w:rPr>
        <w:t>4.5.1  中标人应按本须知前附表的规定向招标人提交履约担保。若履约担保以金融机构保函或保证保险的形式提供，则应由在中国注册的金融机构或保险公司开具。</w:t>
      </w:r>
    </w:p>
    <w:p>
      <w:pPr>
        <w:adjustRightInd w:val="0"/>
        <w:snapToGrid w:val="0"/>
        <w:spacing w:line="360" w:lineRule="auto"/>
        <w:ind w:left="840" w:hanging="840" w:hangingChars="400"/>
        <w:rPr>
          <w:rFonts w:ascii="宋体" w:hAnsi="宋体" w:cs="宋体"/>
          <w:strike/>
          <w:color w:val="auto"/>
          <w:szCs w:val="21"/>
          <w:highlight w:val="none"/>
        </w:rPr>
      </w:pPr>
      <w:r>
        <w:rPr>
          <w:rFonts w:hint="eastAsia" w:ascii="宋体" w:hAnsi="宋体" w:cs="宋体"/>
          <w:strike/>
          <w:color w:val="auto"/>
          <w:szCs w:val="21"/>
          <w:highlight w:val="none"/>
        </w:rPr>
        <w:t>4.5.2  中标人未按上款规定提交履约担保的，招标人将解除中标通知书，原中标人的投标保证金不予退还，且依法承担相应法律责任。原中标人给招标人造成的损失超过投标保证金数额的，还应当对超过部分予以赔偿。</w:t>
      </w:r>
    </w:p>
    <w:p>
      <w:pPr>
        <w:adjustRightInd w:val="0"/>
        <w:snapToGrid w:val="0"/>
        <w:spacing w:line="360" w:lineRule="auto"/>
        <w:rPr>
          <w:rFonts w:ascii="宋体" w:hAnsi="宋体" w:cs="宋体"/>
          <w:b/>
          <w:bCs/>
          <w:color w:val="auto"/>
          <w:highlight w:val="none"/>
        </w:rPr>
      </w:pPr>
    </w:p>
    <w:p>
      <w:pPr>
        <w:adjustRightInd w:val="0"/>
        <w:snapToGrid w:val="0"/>
        <w:spacing w:line="360" w:lineRule="auto"/>
        <w:ind w:left="843" w:hanging="843" w:hangingChars="400"/>
        <w:outlineLvl w:val="3"/>
        <w:rPr>
          <w:rFonts w:ascii="宋体" w:hAnsi="宋体" w:cs="宋体"/>
          <w:b/>
          <w:bCs/>
          <w:color w:val="auto"/>
          <w:szCs w:val="21"/>
          <w:highlight w:val="none"/>
        </w:rPr>
      </w:pPr>
      <w:bookmarkStart w:id="79" w:name="_Toc9749"/>
      <w:bookmarkStart w:id="80" w:name="_Toc7389"/>
      <w:r>
        <w:rPr>
          <w:rFonts w:hint="eastAsia" w:ascii="宋体" w:hAnsi="宋体" w:cs="宋体"/>
          <w:b/>
          <w:bCs/>
          <w:color w:val="auto"/>
          <w:szCs w:val="21"/>
          <w:highlight w:val="none"/>
        </w:rPr>
        <w:t>4.6   签订合同</w:t>
      </w:r>
      <w:bookmarkEnd w:id="79"/>
      <w:bookmarkEnd w:id="80"/>
    </w:p>
    <w:p>
      <w:pPr>
        <w:adjustRightInd w:val="0"/>
        <w:snapToGrid w:val="0"/>
        <w:spacing w:line="360" w:lineRule="auto"/>
        <w:ind w:left="630" w:hanging="630" w:hangingChars="300"/>
        <w:rPr>
          <w:rFonts w:ascii="宋体" w:hAnsi="宋体" w:cs="宋体"/>
          <w:color w:val="auto"/>
          <w:szCs w:val="21"/>
          <w:highlight w:val="none"/>
        </w:rPr>
      </w:pPr>
      <w:r>
        <w:rPr>
          <w:rFonts w:hint="eastAsia" w:ascii="宋体" w:hAnsi="宋体" w:cs="宋体"/>
          <w:color w:val="auto"/>
          <w:szCs w:val="21"/>
          <w:highlight w:val="none"/>
        </w:rPr>
        <w:t>4.6.1  招标人与中标人应当在中标通知书发出之日起30日内，按照招标文件和中标人的投标文件商定和签订合同，招标人和中标人不得再行订立背离合同实质性内容的其他协议。</w:t>
      </w:r>
    </w:p>
    <w:p>
      <w:pPr>
        <w:adjustRightInd w:val="0"/>
        <w:snapToGrid w:val="0"/>
        <w:spacing w:line="360" w:lineRule="auto"/>
        <w:ind w:left="630" w:hanging="630" w:hangingChars="300"/>
        <w:rPr>
          <w:rFonts w:ascii="宋体" w:hAnsi="宋体" w:cs="宋体"/>
          <w:color w:val="auto"/>
          <w:szCs w:val="21"/>
          <w:highlight w:val="none"/>
        </w:rPr>
      </w:pPr>
      <w:r>
        <w:rPr>
          <w:rFonts w:hint="eastAsia" w:ascii="宋体" w:hAnsi="宋体" w:cs="宋体"/>
          <w:color w:val="auto"/>
          <w:szCs w:val="21"/>
          <w:highlight w:val="none"/>
        </w:rPr>
        <w:t>4.6.2  中标通知书发出之日起30日后，中标人未按上款的规定与招标人订立合同，招标人将解除中标通知书，</w:t>
      </w:r>
      <w:r>
        <w:rPr>
          <w:rFonts w:hint="eastAsia" w:ascii="宋体" w:hAnsi="宋体" w:cs="宋体"/>
          <w:strike/>
          <w:color w:val="auto"/>
          <w:szCs w:val="21"/>
          <w:highlight w:val="none"/>
        </w:rPr>
        <w:t>原中标人的投标保证金不予退还</w:t>
      </w:r>
      <w:r>
        <w:rPr>
          <w:rFonts w:hint="eastAsia" w:ascii="宋体" w:hAnsi="宋体" w:cs="宋体"/>
          <w:color w:val="auto"/>
          <w:szCs w:val="21"/>
          <w:highlight w:val="none"/>
        </w:rPr>
        <w:t>，且依法承担相应法律责任。原中标人给招标人造成</w:t>
      </w:r>
      <w:r>
        <w:rPr>
          <w:rFonts w:hint="eastAsia" w:ascii="宋体" w:hAnsi="宋体" w:cs="宋体"/>
          <w:strike/>
          <w:color w:val="auto"/>
          <w:szCs w:val="21"/>
          <w:highlight w:val="none"/>
        </w:rPr>
        <w:t>的</w:t>
      </w:r>
      <w:r>
        <w:rPr>
          <w:rFonts w:hint="eastAsia" w:ascii="宋体" w:hAnsi="宋体" w:cs="宋体"/>
          <w:color w:val="auto"/>
          <w:szCs w:val="21"/>
          <w:highlight w:val="none"/>
        </w:rPr>
        <w:t>损失</w:t>
      </w:r>
      <w:r>
        <w:rPr>
          <w:rFonts w:hint="eastAsia" w:ascii="宋体" w:hAnsi="宋体" w:cs="宋体"/>
          <w:strike/>
          <w:color w:val="auto"/>
          <w:szCs w:val="21"/>
          <w:highlight w:val="none"/>
        </w:rPr>
        <w:t>超过投标保证金数额</w:t>
      </w:r>
      <w:r>
        <w:rPr>
          <w:rFonts w:hint="eastAsia" w:ascii="宋体" w:hAnsi="宋体" w:cs="宋体"/>
          <w:color w:val="auto"/>
          <w:szCs w:val="21"/>
          <w:highlight w:val="none"/>
        </w:rPr>
        <w:t>的，还应当</w:t>
      </w:r>
      <w:r>
        <w:rPr>
          <w:rFonts w:hint="eastAsia" w:ascii="宋体" w:hAnsi="宋体" w:cs="宋体"/>
          <w:strike/>
          <w:color w:val="auto"/>
          <w:szCs w:val="21"/>
          <w:highlight w:val="none"/>
        </w:rPr>
        <w:t>对超过部分</w:t>
      </w:r>
      <w:r>
        <w:rPr>
          <w:rFonts w:hint="eastAsia" w:ascii="宋体" w:hAnsi="宋体" w:cs="宋体"/>
          <w:color w:val="auto"/>
          <w:szCs w:val="21"/>
          <w:highlight w:val="none"/>
        </w:rPr>
        <w:t>予以赔偿。</w:t>
      </w:r>
    </w:p>
    <w:p>
      <w:pPr>
        <w:adjustRightInd w:val="0"/>
        <w:snapToGrid w:val="0"/>
        <w:spacing w:line="360" w:lineRule="auto"/>
        <w:ind w:left="630" w:hanging="630" w:hangingChars="300"/>
        <w:rPr>
          <w:rFonts w:ascii="宋体" w:hAnsi="宋体" w:cs="宋体"/>
          <w:color w:val="auto"/>
          <w:highlight w:val="none"/>
        </w:rPr>
      </w:pPr>
      <w:r>
        <w:rPr>
          <w:rFonts w:hint="eastAsia" w:ascii="宋体" w:hAnsi="宋体" w:cs="宋体"/>
          <w:color w:val="auto"/>
          <w:szCs w:val="21"/>
          <w:highlight w:val="none"/>
        </w:rPr>
        <w:t>4.6.3  联合体中标的，由所有联合体成员法定代表人签署授权委托书，指定</w:t>
      </w:r>
      <w:r>
        <w:rPr>
          <w:rFonts w:hint="eastAsia" w:ascii="宋体" w:hAnsi="宋体" w:cs="宋体"/>
          <w:color w:val="auto"/>
          <w:szCs w:val="21"/>
          <w:highlight w:val="none"/>
          <w:u w:val="single"/>
        </w:rPr>
        <w:t>主办方</w:t>
      </w:r>
      <w:r>
        <w:rPr>
          <w:rFonts w:hint="eastAsia" w:ascii="宋体" w:hAnsi="宋体" w:cs="宋体"/>
          <w:color w:val="auto"/>
          <w:szCs w:val="21"/>
          <w:highlight w:val="none"/>
        </w:rPr>
        <w:t>或代表，授权其代表所有联合体成员与招标人签订合同，负责整个合同实施阶段的协调工作。招标人认为必要时，</w:t>
      </w:r>
      <w:r>
        <w:rPr>
          <w:rFonts w:hint="eastAsia" w:ascii="宋体" w:hAnsi="宋体" w:cs="宋体"/>
          <w:color w:val="auto"/>
          <w:highlight w:val="none"/>
        </w:rPr>
        <w:t>联合体各方应当共同与招标人签订合同，就中标项目向招标人承担连带责任。</w:t>
      </w:r>
    </w:p>
    <w:p>
      <w:pPr>
        <w:adjustRightInd w:val="0"/>
        <w:snapToGrid w:val="0"/>
        <w:spacing w:line="360" w:lineRule="auto"/>
        <w:ind w:left="632" w:hanging="632" w:hangingChars="300"/>
        <w:rPr>
          <w:rFonts w:ascii="宋体" w:hAnsi="宋体" w:cs="宋体"/>
          <w:b/>
          <w:bCs/>
          <w:color w:val="auto"/>
          <w:highlight w:val="none"/>
        </w:rPr>
      </w:pPr>
    </w:p>
    <w:p>
      <w:pPr>
        <w:adjustRightInd w:val="0"/>
        <w:snapToGrid w:val="0"/>
        <w:spacing w:line="360" w:lineRule="auto"/>
        <w:ind w:left="843" w:hanging="843" w:hangingChars="400"/>
        <w:outlineLvl w:val="3"/>
        <w:rPr>
          <w:rFonts w:ascii="宋体" w:hAnsi="宋体" w:cs="宋体"/>
          <w:b/>
          <w:bCs/>
          <w:color w:val="auto"/>
          <w:szCs w:val="21"/>
          <w:highlight w:val="none"/>
        </w:rPr>
      </w:pPr>
      <w:bookmarkStart w:id="81" w:name="_Toc17641"/>
      <w:bookmarkStart w:id="82" w:name="_Toc152045574"/>
      <w:bookmarkStart w:id="83" w:name="_Toc144974542"/>
      <w:bookmarkStart w:id="84" w:name="_Toc507590752"/>
      <w:bookmarkStart w:id="85" w:name="_Toc247513998"/>
      <w:bookmarkStart w:id="86" w:name="_Toc152042350"/>
      <w:bookmarkStart w:id="87" w:name="_Toc507162806"/>
      <w:bookmarkStart w:id="88" w:name="_Toc247527599"/>
      <w:bookmarkStart w:id="89" w:name="_Toc300834994"/>
      <w:bookmarkStart w:id="90" w:name="_Toc13630"/>
      <w:r>
        <w:rPr>
          <w:rFonts w:hint="eastAsia" w:ascii="宋体" w:hAnsi="宋体" w:cs="宋体"/>
          <w:b/>
          <w:bCs/>
          <w:color w:val="auto"/>
          <w:szCs w:val="21"/>
          <w:highlight w:val="none"/>
        </w:rPr>
        <w:t>4.7    纪律和监督</w:t>
      </w:r>
      <w:bookmarkEnd w:id="81"/>
      <w:bookmarkEnd w:id="82"/>
      <w:bookmarkEnd w:id="83"/>
      <w:bookmarkEnd w:id="84"/>
      <w:bookmarkEnd w:id="85"/>
      <w:bookmarkEnd w:id="86"/>
      <w:bookmarkEnd w:id="87"/>
      <w:bookmarkEnd w:id="88"/>
      <w:bookmarkEnd w:id="89"/>
      <w:bookmarkEnd w:id="90"/>
    </w:p>
    <w:p>
      <w:pPr>
        <w:adjustRightInd w:val="0"/>
        <w:snapToGrid w:val="0"/>
        <w:spacing w:line="360" w:lineRule="auto"/>
        <w:ind w:left="840" w:hanging="840" w:hangingChars="400"/>
        <w:outlineLvl w:val="4"/>
        <w:rPr>
          <w:rFonts w:ascii="宋体" w:hAnsi="宋体" w:cs="宋体"/>
          <w:color w:val="auto"/>
          <w:szCs w:val="21"/>
          <w:highlight w:val="none"/>
        </w:rPr>
      </w:pPr>
      <w:bookmarkStart w:id="91" w:name="_Toc247513999"/>
      <w:bookmarkStart w:id="92" w:name="_Toc152042351"/>
      <w:bookmarkStart w:id="93" w:name="_Toc300834995"/>
      <w:bookmarkStart w:id="94" w:name="_Toc144974543"/>
      <w:bookmarkStart w:id="95" w:name="_Toc247527600"/>
      <w:bookmarkStart w:id="96" w:name="_Toc507162807"/>
      <w:bookmarkStart w:id="97" w:name="_Toc152045575"/>
      <w:bookmarkStart w:id="98" w:name="_Toc507590753"/>
      <w:r>
        <w:rPr>
          <w:rFonts w:hint="eastAsia" w:ascii="宋体" w:hAnsi="宋体" w:cs="宋体"/>
          <w:color w:val="auto"/>
          <w:szCs w:val="21"/>
          <w:highlight w:val="none"/>
        </w:rPr>
        <w:t>4.7.1  对招标人的纪律要求</w:t>
      </w:r>
      <w:bookmarkEnd w:id="91"/>
      <w:bookmarkEnd w:id="92"/>
      <w:bookmarkEnd w:id="93"/>
      <w:bookmarkEnd w:id="94"/>
      <w:bookmarkEnd w:id="95"/>
      <w:bookmarkEnd w:id="96"/>
      <w:bookmarkEnd w:id="97"/>
      <w:bookmarkEnd w:id="98"/>
    </w:p>
    <w:p>
      <w:pPr>
        <w:adjustRightInd w:val="0"/>
        <w:snapToGrid w:val="0"/>
        <w:spacing w:line="360" w:lineRule="auto"/>
        <w:ind w:left="630" w:leftChars="300"/>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pPr>
        <w:adjustRightInd w:val="0"/>
        <w:snapToGrid w:val="0"/>
        <w:spacing w:line="360" w:lineRule="auto"/>
        <w:ind w:left="840" w:hanging="840" w:hangingChars="400"/>
        <w:outlineLvl w:val="4"/>
        <w:rPr>
          <w:rFonts w:ascii="宋体" w:hAnsi="宋体" w:cs="宋体"/>
          <w:color w:val="auto"/>
          <w:szCs w:val="21"/>
          <w:highlight w:val="none"/>
        </w:rPr>
      </w:pPr>
      <w:bookmarkStart w:id="99" w:name="_Toc144974544"/>
      <w:bookmarkStart w:id="100" w:name="_Toc507590754"/>
      <w:bookmarkStart w:id="101" w:name="_Toc152042352"/>
      <w:bookmarkStart w:id="102" w:name="_Toc300834996"/>
      <w:bookmarkStart w:id="103" w:name="_Toc247514000"/>
      <w:bookmarkStart w:id="104" w:name="_Toc152045576"/>
      <w:bookmarkStart w:id="105" w:name="_Toc507162808"/>
      <w:bookmarkStart w:id="106" w:name="_Toc247527601"/>
      <w:r>
        <w:rPr>
          <w:rFonts w:hint="eastAsia" w:ascii="宋体" w:hAnsi="宋体" w:cs="宋体"/>
          <w:color w:val="auto"/>
          <w:szCs w:val="21"/>
          <w:highlight w:val="none"/>
        </w:rPr>
        <w:t>4.7.2  对投标人的纪律要求</w:t>
      </w:r>
      <w:bookmarkEnd w:id="99"/>
      <w:bookmarkEnd w:id="100"/>
      <w:bookmarkEnd w:id="101"/>
      <w:bookmarkEnd w:id="102"/>
      <w:bookmarkEnd w:id="103"/>
      <w:bookmarkEnd w:id="104"/>
      <w:bookmarkEnd w:id="105"/>
      <w:bookmarkEnd w:id="106"/>
    </w:p>
    <w:p>
      <w:pPr>
        <w:adjustRightInd w:val="0"/>
        <w:snapToGrid w:val="0"/>
        <w:spacing w:line="360" w:lineRule="auto"/>
        <w:ind w:left="630" w:leftChars="300"/>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auto"/>
        <w:ind w:left="840" w:hanging="840" w:hangingChars="400"/>
        <w:outlineLvl w:val="4"/>
        <w:rPr>
          <w:rFonts w:ascii="宋体" w:hAnsi="宋体" w:cs="宋体"/>
          <w:color w:val="auto"/>
          <w:szCs w:val="21"/>
          <w:highlight w:val="none"/>
        </w:rPr>
      </w:pPr>
      <w:bookmarkStart w:id="107" w:name="_Toc247514001"/>
      <w:bookmarkStart w:id="108" w:name="_Toc152045577"/>
      <w:bookmarkStart w:id="109" w:name="_Toc507590755"/>
      <w:bookmarkStart w:id="110" w:name="_Toc247527602"/>
      <w:bookmarkStart w:id="111" w:name="_Toc507162809"/>
      <w:bookmarkStart w:id="112" w:name="_Toc152042353"/>
      <w:bookmarkStart w:id="113" w:name="_Toc144974545"/>
      <w:bookmarkStart w:id="114" w:name="_Toc300834997"/>
      <w:r>
        <w:rPr>
          <w:rFonts w:hint="eastAsia" w:ascii="宋体" w:hAnsi="宋体" w:cs="宋体"/>
          <w:color w:val="auto"/>
          <w:szCs w:val="21"/>
          <w:highlight w:val="none"/>
        </w:rPr>
        <w:t>4.7.3  对评标委员会成员的纪律要求</w:t>
      </w:r>
      <w:bookmarkEnd w:id="107"/>
      <w:bookmarkEnd w:id="108"/>
      <w:bookmarkEnd w:id="109"/>
      <w:bookmarkEnd w:id="110"/>
      <w:bookmarkEnd w:id="111"/>
      <w:bookmarkEnd w:id="112"/>
      <w:bookmarkEnd w:id="113"/>
      <w:bookmarkEnd w:id="114"/>
    </w:p>
    <w:p>
      <w:pPr>
        <w:adjustRightInd w:val="0"/>
        <w:snapToGrid w:val="0"/>
        <w:spacing w:line="360" w:lineRule="auto"/>
        <w:ind w:left="630" w:leftChars="300"/>
        <w:rPr>
          <w:rFonts w:ascii="宋体" w:hAnsi="宋体" w:cs="宋体"/>
          <w:color w:val="auto"/>
          <w:szCs w:val="21"/>
          <w:highlight w:val="none"/>
        </w:rPr>
      </w:pPr>
      <w:bookmarkStart w:id="115" w:name="_Toc507590756"/>
      <w:r>
        <w:rPr>
          <w:rFonts w:hint="eastAsia" w:ascii="宋体" w:hAnsi="宋体" w:cs="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本招标文件没有规定的评审因素和标准进行评标。</w:t>
      </w:r>
      <w:bookmarkEnd w:id="115"/>
    </w:p>
    <w:p>
      <w:pPr>
        <w:adjustRightInd w:val="0"/>
        <w:snapToGrid w:val="0"/>
        <w:spacing w:line="360" w:lineRule="auto"/>
        <w:ind w:left="840" w:hanging="840" w:hangingChars="400"/>
        <w:outlineLvl w:val="4"/>
        <w:rPr>
          <w:rFonts w:ascii="宋体" w:hAnsi="宋体" w:cs="宋体"/>
          <w:color w:val="auto"/>
          <w:szCs w:val="21"/>
          <w:highlight w:val="none"/>
        </w:rPr>
      </w:pPr>
      <w:bookmarkStart w:id="116" w:name="_Toc152042354"/>
      <w:bookmarkStart w:id="117" w:name="_Toc507590757"/>
      <w:bookmarkStart w:id="118" w:name="_Toc247514002"/>
      <w:bookmarkStart w:id="119" w:name="_Toc507162810"/>
      <w:bookmarkStart w:id="120" w:name="_Toc152045578"/>
      <w:bookmarkStart w:id="121" w:name="_Toc247527603"/>
      <w:bookmarkStart w:id="122" w:name="_Toc300834998"/>
      <w:bookmarkStart w:id="123" w:name="_Toc144974546"/>
      <w:r>
        <w:rPr>
          <w:rFonts w:hint="eastAsia" w:ascii="宋体" w:hAnsi="宋体" w:cs="宋体"/>
          <w:color w:val="auto"/>
          <w:szCs w:val="21"/>
          <w:highlight w:val="none"/>
        </w:rPr>
        <w:t>4.7.4  对与评标活动有关的工作人员的纪律要求</w:t>
      </w:r>
      <w:bookmarkEnd w:id="116"/>
      <w:bookmarkEnd w:id="117"/>
      <w:bookmarkEnd w:id="118"/>
      <w:bookmarkEnd w:id="119"/>
      <w:bookmarkEnd w:id="120"/>
      <w:bookmarkEnd w:id="121"/>
      <w:bookmarkEnd w:id="122"/>
    </w:p>
    <w:p>
      <w:pPr>
        <w:adjustRightInd w:val="0"/>
        <w:snapToGrid w:val="0"/>
        <w:spacing w:line="360" w:lineRule="auto"/>
        <w:ind w:left="630" w:leftChars="300"/>
        <w:rPr>
          <w:rFonts w:ascii="宋体" w:hAnsi="宋体" w:cs="宋体"/>
          <w:color w:val="auto"/>
          <w:szCs w:val="21"/>
          <w:highlight w:val="none"/>
        </w:rPr>
      </w:pPr>
      <w:bookmarkStart w:id="124" w:name="_Toc152042355"/>
      <w:r>
        <w:rPr>
          <w:rFonts w:hint="eastAsia" w:ascii="宋体" w:hAnsi="宋体" w:cs="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bookmarkEnd w:id="124"/>
    </w:p>
    <w:p>
      <w:pPr>
        <w:adjustRightInd w:val="0"/>
        <w:snapToGrid w:val="0"/>
        <w:spacing w:line="360" w:lineRule="auto"/>
        <w:ind w:left="840" w:hanging="840" w:hangingChars="400"/>
        <w:outlineLvl w:val="4"/>
        <w:rPr>
          <w:rFonts w:ascii="宋体" w:hAnsi="宋体" w:cs="宋体"/>
          <w:color w:val="auto"/>
          <w:szCs w:val="21"/>
          <w:highlight w:val="none"/>
        </w:rPr>
      </w:pPr>
      <w:bookmarkStart w:id="125" w:name="_Toc247527604"/>
      <w:bookmarkStart w:id="126" w:name="_Toc152045579"/>
      <w:bookmarkStart w:id="127" w:name="_Toc152042356"/>
      <w:bookmarkStart w:id="128" w:name="_Toc300834999"/>
      <w:bookmarkStart w:id="129" w:name="_Toc507162811"/>
      <w:bookmarkStart w:id="130" w:name="_Toc247514003"/>
      <w:bookmarkStart w:id="131" w:name="_Toc507590758"/>
      <w:r>
        <w:rPr>
          <w:rFonts w:hint="eastAsia" w:ascii="宋体" w:hAnsi="宋体" w:cs="宋体"/>
          <w:color w:val="auto"/>
          <w:szCs w:val="21"/>
          <w:highlight w:val="none"/>
        </w:rPr>
        <w:t>4.7.5  投诉</w:t>
      </w:r>
      <w:bookmarkEnd w:id="123"/>
      <w:bookmarkEnd w:id="125"/>
      <w:bookmarkEnd w:id="126"/>
      <w:bookmarkEnd w:id="127"/>
      <w:bookmarkEnd w:id="128"/>
      <w:bookmarkEnd w:id="129"/>
      <w:bookmarkEnd w:id="130"/>
      <w:bookmarkEnd w:id="131"/>
    </w:p>
    <w:p>
      <w:pPr>
        <w:adjustRightInd w:val="0"/>
        <w:snapToGrid w:val="0"/>
        <w:spacing w:line="360" w:lineRule="auto"/>
        <w:ind w:left="630" w:leftChars="300"/>
        <w:rPr>
          <w:rFonts w:ascii="宋体" w:hAnsi="宋体" w:cs="宋体"/>
          <w:color w:val="auto"/>
          <w:szCs w:val="21"/>
          <w:highlight w:val="none"/>
        </w:rPr>
      </w:pPr>
      <w:r>
        <w:rPr>
          <w:rFonts w:hint="eastAsia" w:ascii="宋体" w:hAnsi="宋体" w:cs="宋体"/>
          <w:color w:val="auto"/>
          <w:szCs w:val="21"/>
          <w:highlight w:val="none"/>
        </w:rPr>
        <w:t>投标人和其他利害关系人认为本次招标活动违反法律、法规和规章规定的，有权向有关行政监督部门投诉。</w:t>
      </w:r>
      <w:bookmarkStart w:id="132" w:name="_Toc15187"/>
    </w:p>
    <w:p>
      <w:pPr>
        <w:adjustRightInd w:val="0"/>
        <w:snapToGrid w:val="0"/>
        <w:spacing w:line="360" w:lineRule="auto"/>
        <w:ind w:left="630" w:leftChars="300"/>
        <w:rPr>
          <w:color w:val="auto"/>
          <w:highlight w:val="none"/>
        </w:rPr>
      </w:pPr>
      <w:r>
        <w:rPr>
          <w:rFonts w:hint="eastAsia" w:ascii="宋体" w:hAnsi="宋体" w:cs="宋体"/>
          <w:color w:val="auto"/>
          <w:szCs w:val="21"/>
          <w:highlight w:val="none"/>
        </w:rPr>
        <w:br w:type="page"/>
      </w:r>
    </w:p>
    <w:p>
      <w:pPr>
        <w:pStyle w:val="6"/>
        <w:numPr>
          <w:ilvl w:val="0"/>
          <w:numId w:val="0"/>
        </w:numPr>
        <w:spacing w:before="156" w:after="156"/>
        <w:rPr>
          <w:color w:val="auto"/>
          <w:highlight w:val="none"/>
        </w:rPr>
      </w:pPr>
      <w:bookmarkStart w:id="133" w:name="_Toc32423"/>
      <w:bookmarkStart w:id="134" w:name="_Toc32411"/>
      <w:r>
        <w:rPr>
          <w:rFonts w:hint="eastAsia"/>
          <w:color w:val="auto"/>
          <w:highlight w:val="none"/>
        </w:rPr>
        <w:t>附件1 资格审查表</w:t>
      </w:r>
      <w:bookmarkEnd w:id="132"/>
      <w:bookmarkEnd w:id="133"/>
      <w:bookmarkEnd w:id="134"/>
    </w:p>
    <w:p>
      <w:pPr>
        <w:jc w:val="center"/>
        <w:rPr>
          <w:rFonts w:ascii="宋体" w:hAnsi="宋体"/>
          <w:b/>
          <w:color w:val="auto"/>
          <w:sz w:val="32"/>
          <w:szCs w:val="20"/>
          <w:highlight w:val="none"/>
        </w:rPr>
      </w:pPr>
      <w:r>
        <w:rPr>
          <w:rFonts w:hint="eastAsia" w:ascii="宋体" w:hAnsi="宋体"/>
          <w:b/>
          <w:color w:val="auto"/>
          <w:sz w:val="32"/>
          <w:szCs w:val="20"/>
          <w:highlight w:val="none"/>
        </w:rPr>
        <w:t>资格审查表</w:t>
      </w:r>
    </w:p>
    <w:p>
      <w:pPr>
        <w:pStyle w:val="18"/>
        <w:rPr>
          <w:rFonts w:hAnsi="宋体"/>
          <w:b/>
          <w:color w:val="auto"/>
          <w:sz w:val="32"/>
          <w:highlight w:val="none"/>
        </w:rPr>
      </w:pPr>
      <w:r>
        <w:rPr>
          <w:rFonts w:hint="eastAsia" w:hAnsi="宋体"/>
          <w:color w:val="auto"/>
          <w:highlight w:val="none"/>
        </w:rPr>
        <w:t>项目名称：</w:t>
      </w:r>
    </w:p>
    <w:tbl>
      <w:tblPr>
        <w:tblStyle w:val="29"/>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6143"/>
        <w:gridCol w:w="1175"/>
        <w:gridCol w:w="1030"/>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63"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color w:val="auto"/>
                <w:szCs w:val="21"/>
                <w:highlight w:val="none"/>
              </w:rPr>
            </w:pPr>
            <w:r>
              <w:rPr>
                <w:rFonts w:hint="eastAsia" w:hAnsi="宋体"/>
                <w:color w:val="auto"/>
                <w:szCs w:val="21"/>
                <w:highlight w:val="none"/>
              </w:rPr>
              <w:t>序号</w:t>
            </w:r>
          </w:p>
        </w:tc>
        <w:tc>
          <w:tcPr>
            <w:tcW w:w="3090" w:type="pct"/>
            <w:tcBorders>
              <w:top w:val="single" w:color="auto" w:sz="4" w:space="0"/>
              <w:left w:val="single" w:color="auto" w:sz="4" w:space="0"/>
              <w:bottom w:val="single" w:color="auto" w:sz="4" w:space="0"/>
              <w:right w:val="single" w:color="auto" w:sz="4" w:space="0"/>
              <w:tl2br w:val="single" w:color="auto" w:sz="4" w:space="0"/>
            </w:tcBorders>
          </w:tcPr>
          <w:p>
            <w:pPr>
              <w:pStyle w:val="18"/>
              <w:jc w:val="center"/>
              <w:rPr>
                <w:color w:val="auto"/>
                <w:szCs w:val="21"/>
                <w:highlight w:val="none"/>
              </w:rPr>
            </w:pPr>
            <w:r>
              <w:rPr>
                <w:rFonts w:hint="eastAsia"/>
                <w:color w:val="auto"/>
                <w:szCs w:val="21"/>
                <w:highlight w:val="none"/>
              </w:rPr>
              <w:t xml:space="preserve">                      投标人名称</w:t>
            </w:r>
          </w:p>
          <w:p>
            <w:pPr>
              <w:pStyle w:val="18"/>
              <w:rPr>
                <w:rFonts w:hAnsi="宋体"/>
                <w:b/>
                <w:color w:val="auto"/>
                <w:szCs w:val="21"/>
                <w:highlight w:val="none"/>
              </w:rPr>
            </w:pPr>
            <w:r>
              <w:rPr>
                <w:rFonts w:hint="eastAsia"/>
                <w:color w:val="auto"/>
                <w:szCs w:val="21"/>
                <w:highlight w:val="none"/>
              </w:rPr>
              <w:t>审查项目</w:t>
            </w:r>
          </w:p>
        </w:tc>
        <w:tc>
          <w:tcPr>
            <w:tcW w:w="591"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518"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436"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3"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color w:val="auto"/>
                <w:szCs w:val="21"/>
                <w:highlight w:val="none"/>
              </w:rPr>
            </w:pPr>
            <w:r>
              <w:rPr>
                <w:rFonts w:hint="eastAsia" w:hAnsi="宋体"/>
                <w:color w:val="auto"/>
                <w:szCs w:val="21"/>
                <w:highlight w:val="none"/>
              </w:rPr>
              <w:t>1</w:t>
            </w:r>
          </w:p>
        </w:tc>
        <w:tc>
          <w:tcPr>
            <w:tcW w:w="3090" w:type="pct"/>
            <w:tcBorders>
              <w:top w:val="single" w:color="auto" w:sz="4" w:space="0"/>
              <w:left w:val="single" w:color="auto" w:sz="4" w:space="0"/>
              <w:bottom w:val="single" w:color="auto" w:sz="4" w:space="0"/>
              <w:right w:val="single" w:color="auto" w:sz="4" w:space="0"/>
            </w:tcBorders>
            <w:vAlign w:val="center"/>
          </w:tcPr>
          <w:p>
            <w:pPr>
              <w:pStyle w:val="18"/>
              <w:rPr>
                <w:rFonts w:hAnsi="宋体"/>
                <w:color w:val="auto"/>
                <w:szCs w:val="21"/>
                <w:highlight w:val="none"/>
              </w:rPr>
            </w:pPr>
            <w:r>
              <w:rPr>
                <w:rFonts w:hint="eastAsia" w:hAnsi="宋体" w:eastAsia="Times New Roman"/>
                <w:color w:val="auto"/>
                <w:szCs w:val="21"/>
                <w:highlight w:val="none"/>
              </w:rPr>
              <w:t>投标文件中有法定代表人证明书，如投标文件为委托代理人签署应同时附上法定代表人证明书和法定代表人授权书。</w:t>
            </w:r>
          </w:p>
        </w:tc>
        <w:tc>
          <w:tcPr>
            <w:tcW w:w="591"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518"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436"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63"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color w:val="auto"/>
                <w:szCs w:val="21"/>
                <w:highlight w:val="none"/>
              </w:rPr>
            </w:pPr>
            <w:r>
              <w:rPr>
                <w:rFonts w:hint="eastAsia" w:hAnsi="宋体"/>
                <w:color w:val="auto"/>
                <w:szCs w:val="21"/>
                <w:highlight w:val="none"/>
              </w:rPr>
              <w:t>2</w:t>
            </w:r>
          </w:p>
        </w:tc>
        <w:tc>
          <w:tcPr>
            <w:tcW w:w="3090" w:type="pct"/>
            <w:tcBorders>
              <w:top w:val="single" w:color="auto" w:sz="4" w:space="0"/>
              <w:left w:val="single" w:color="auto" w:sz="4" w:space="0"/>
              <w:bottom w:val="single" w:color="auto" w:sz="4" w:space="0"/>
              <w:right w:val="single" w:color="auto" w:sz="4" w:space="0"/>
            </w:tcBorders>
            <w:vAlign w:val="center"/>
          </w:tcPr>
          <w:p>
            <w:pPr>
              <w:pStyle w:val="18"/>
              <w:rPr>
                <w:rFonts w:hAnsi="宋体"/>
                <w:color w:val="auto"/>
                <w:szCs w:val="21"/>
                <w:highlight w:val="none"/>
              </w:rPr>
            </w:pPr>
            <w:r>
              <w:rPr>
                <w:rFonts w:hint="eastAsia" w:hAnsi="宋体" w:eastAsia="Times New Roman"/>
                <w:color w:val="auto"/>
                <w:szCs w:val="21"/>
                <w:highlight w:val="none"/>
              </w:rPr>
              <w:t>投标人的资质满足招标公告规定。</w:t>
            </w:r>
          </w:p>
        </w:tc>
        <w:tc>
          <w:tcPr>
            <w:tcW w:w="591"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518"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436"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363"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color w:val="auto"/>
                <w:szCs w:val="21"/>
                <w:highlight w:val="none"/>
              </w:rPr>
            </w:pPr>
            <w:r>
              <w:rPr>
                <w:rFonts w:hint="eastAsia" w:hAnsi="宋体"/>
                <w:color w:val="auto"/>
                <w:szCs w:val="21"/>
                <w:highlight w:val="none"/>
              </w:rPr>
              <w:t>3</w:t>
            </w:r>
          </w:p>
        </w:tc>
        <w:tc>
          <w:tcPr>
            <w:tcW w:w="3090" w:type="pct"/>
            <w:tcBorders>
              <w:top w:val="single" w:color="auto" w:sz="4" w:space="0"/>
              <w:left w:val="single" w:color="auto" w:sz="4" w:space="0"/>
              <w:bottom w:val="single" w:color="auto" w:sz="4" w:space="0"/>
              <w:right w:val="single" w:color="auto" w:sz="4" w:space="0"/>
            </w:tcBorders>
            <w:vAlign w:val="center"/>
          </w:tcPr>
          <w:p>
            <w:pPr>
              <w:pStyle w:val="18"/>
              <w:rPr>
                <w:rFonts w:hAnsi="宋体"/>
                <w:color w:val="auto"/>
                <w:szCs w:val="21"/>
                <w:highlight w:val="none"/>
              </w:rPr>
            </w:pPr>
            <w:r>
              <w:rPr>
                <w:rFonts w:hint="eastAsia" w:hAnsi="宋体" w:eastAsia="Times New Roman"/>
                <w:color w:val="auto"/>
                <w:szCs w:val="21"/>
                <w:highlight w:val="none"/>
              </w:rPr>
              <w:t>投标人委派项目负责人资格满足招标公告规定。</w:t>
            </w:r>
          </w:p>
        </w:tc>
        <w:tc>
          <w:tcPr>
            <w:tcW w:w="591"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518"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436"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63"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color w:val="auto"/>
                <w:szCs w:val="21"/>
                <w:highlight w:val="none"/>
              </w:rPr>
            </w:pPr>
            <w:r>
              <w:rPr>
                <w:rFonts w:hint="eastAsia" w:hAnsi="宋体"/>
                <w:color w:val="auto"/>
                <w:szCs w:val="21"/>
                <w:highlight w:val="none"/>
              </w:rPr>
              <w:t>4</w:t>
            </w:r>
          </w:p>
        </w:tc>
        <w:tc>
          <w:tcPr>
            <w:tcW w:w="3090" w:type="pct"/>
            <w:tcBorders>
              <w:top w:val="single" w:color="auto" w:sz="4" w:space="0"/>
              <w:left w:val="single" w:color="auto" w:sz="4" w:space="0"/>
              <w:bottom w:val="single" w:color="auto" w:sz="4" w:space="0"/>
              <w:right w:val="single" w:color="auto" w:sz="4" w:space="0"/>
            </w:tcBorders>
            <w:vAlign w:val="center"/>
          </w:tcPr>
          <w:p>
            <w:pPr>
              <w:pStyle w:val="18"/>
              <w:rPr>
                <w:rFonts w:hAnsi="宋体"/>
                <w:color w:val="auto"/>
                <w:szCs w:val="21"/>
                <w:highlight w:val="none"/>
              </w:rPr>
            </w:pPr>
            <w:r>
              <w:rPr>
                <w:rFonts w:hint="eastAsia" w:hAnsi="宋体" w:eastAsia="Times New Roman"/>
                <w:color w:val="auto"/>
                <w:szCs w:val="21"/>
                <w:highlight w:val="none"/>
              </w:rPr>
              <w:t>投标人已按招标文件规定的格式及内容要求签署《投标人声明》。</w:t>
            </w:r>
          </w:p>
        </w:tc>
        <w:tc>
          <w:tcPr>
            <w:tcW w:w="591"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518"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436"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63"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color w:val="auto"/>
                <w:szCs w:val="21"/>
                <w:highlight w:val="none"/>
              </w:rPr>
            </w:pPr>
            <w:r>
              <w:rPr>
                <w:rFonts w:hint="eastAsia" w:hAnsi="宋体"/>
                <w:color w:val="auto"/>
                <w:szCs w:val="21"/>
                <w:highlight w:val="none"/>
              </w:rPr>
              <w:t>5</w:t>
            </w:r>
          </w:p>
        </w:tc>
        <w:tc>
          <w:tcPr>
            <w:tcW w:w="3090" w:type="pct"/>
            <w:tcBorders>
              <w:top w:val="single" w:color="auto" w:sz="4" w:space="0"/>
              <w:left w:val="single" w:color="auto" w:sz="4" w:space="0"/>
              <w:bottom w:val="single" w:color="auto" w:sz="4" w:space="0"/>
              <w:right w:val="single" w:color="auto" w:sz="4" w:space="0"/>
            </w:tcBorders>
            <w:vAlign w:val="center"/>
          </w:tcPr>
          <w:p>
            <w:pPr>
              <w:pStyle w:val="18"/>
              <w:rPr>
                <w:rFonts w:hAnsi="宋体"/>
                <w:color w:val="auto"/>
                <w:szCs w:val="21"/>
                <w:highlight w:val="none"/>
              </w:rPr>
            </w:pPr>
            <w:r>
              <w:rPr>
                <w:rFonts w:hint="eastAsia" w:hAnsi="宋体"/>
                <w:color w:val="auto"/>
                <w:szCs w:val="21"/>
                <w:highlight w:val="none"/>
              </w:rPr>
              <w:t>不存在《全国失信惩戒措施基础清单》惩戒内容为“在一定期限内依法取消参加依法必须进行招标的项目的投标资格”的情形。</w:t>
            </w:r>
          </w:p>
        </w:tc>
        <w:tc>
          <w:tcPr>
            <w:tcW w:w="591"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518"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436"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63"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eastAsia="Times New Roman"/>
                <w:color w:val="auto"/>
                <w:szCs w:val="21"/>
                <w:highlight w:val="none"/>
                <w:u w:val="single"/>
              </w:rPr>
            </w:pPr>
            <w:r>
              <w:rPr>
                <w:rFonts w:hint="eastAsia" w:hAnsi="宋体" w:eastAsia="Times New Roman"/>
                <w:strike/>
                <w:color w:val="auto"/>
                <w:szCs w:val="21"/>
                <w:highlight w:val="none"/>
              </w:rPr>
              <w:t>6</w:t>
            </w:r>
          </w:p>
        </w:tc>
        <w:tc>
          <w:tcPr>
            <w:tcW w:w="3090" w:type="pct"/>
            <w:tcBorders>
              <w:top w:val="single" w:color="auto" w:sz="4" w:space="0"/>
              <w:left w:val="single" w:color="auto" w:sz="4" w:space="0"/>
              <w:bottom w:val="single" w:color="auto" w:sz="4" w:space="0"/>
              <w:right w:val="single" w:color="auto" w:sz="4" w:space="0"/>
            </w:tcBorders>
            <w:vAlign w:val="center"/>
          </w:tcPr>
          <w:p>
            <w:pPr>
              <w:pStyle w:val="18"/>
              <w:rPr>
                <w:rFonts w:hAnsi="宋体"/>
                <w:color w:val="auto"/>
                <w:szCs w:val="21"/>
                <w:highlight w:val="none"/>
              </w:rPr>
            </w:pPr>
            <w:r>
              <w:rPr>
                <w:rFonts w:hint="eastAsia" w:hAnsi="宋体"/>
                <w:strike/>
                <w:color w:val="auto"/>
                <w:szCs w:val="21"/>
                <w:highlight w:val="none"/>
              </w:rPr>
              <w:t>未在以往工程中因不诚信行为或不充分履约行为被本项目招标人书面拒绝投标的。（如有，提供具体名单；如无，则删除。）</w:t>
            </w:r>
          </w:p>
        </w:tc>
        <w:tc>
          <w:tcPr>
            <w:tcW w:w="591"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518"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436"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63"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color w:val="auto"/>
                <w:szCs w:val="21"/>
                <w:highlight w:val="none"/>
                <w:u w:val="single"/>
              </w:rPr>
            </w:pPr>
            <w:r>
              <w:rPr>
                <w:rFonts w:hint="eastAsia" w:hAnsi="宋体" w:eastAsia="Times New Roman"/>
                <w:color w:val="auto"/>
                <w:szCs w:val="21"/>
                <w:highlight w:val="none"/>
                <w:u w:val="single"/>
              </w:rPr>
              <w:t>6</w:t>
            </w:r>
          </w:p>
        </w:tc>
        <w:tc>
          <w:tcPr>
            <w:tcW w:w="3090" w:type="pct"/>
            <w:tcBorders>
              <w:top w:val="single" w:color="auto" w:sz="4" w:space="0"/>
              <w:left w:val="single" w:color="auto" w:sz="4" w:space="0"/>
              <w:bottom w:val="single" w:color="auto" w:sz="4" w:space="0"/>
              <w:right w:val="single" w:color="auto" w:sz="4" w:space="0"/>
            </w:tcBorders>
            <w:vAlign w:val="center"/>
          </w:tcPr>
          <w:p>
            <w:pPr>
              <w:pStyle w:val="18"/>
              <w:rPr>
                <w:rFonts w:hAnsi="宋体" w:eastAsia="Times New Roman"/>
                <w:color w:val="auto"/>
                <w:szCs w:val="21"/>
                <w:highlight w:val="none"/>
                <w:u w:val="single"/>
              </w:rPr>
            </w:pPr>
            <w:r>
              <w:rPr>
                <w:rFonts w:hint="eastAsia" w:hAnsi="宋体" w:eastAsia="Times New Roman"/>
                <w:color w:val="auto"/>
                <w:szCs w:val="21"/>
                <w:highlight w:val="none"/>
              </w:rPr>
              <w:t>投标人不存在不得参加投标的情形（详见第二章《投标须知通用条款》第1.5款）。</w:t>
            </w:r>
          </w:p>
        </w:tc>
        <w:tc>
          <w:tcPr>
            <w:tcW w:w="591"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518"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436"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3"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color w:val="auto"/>
                <w:szCs w:val="21"/>
                <w:highlight w:val="none"/>
              </w:rPr>
            </w:pPr>
            <w:r>
              <w:rPr>
                <w:rFonts w:hint="eastAsia" w:hAnsi="宋体"/>
                <w:color w:val="auto"/>
                <w:szCs w:val="21"/>
                <w:highlight w:val="none"/>
                <w:u w:val="single"/>
              </w:rPr>
              <w:t>7</w:t>
            </w:r>
          </w:p>
        </w:tc>
        <w:tc>
          <w:tcPr>
            <w:tcW w:w="3090" w:type="pct"/>
            <w:tcBorders>
              <w:top w:val="single" w:color="auto" w:sz="4" w:space="0"/>
              <w:left w:val="single" w:color="auto" w:sz="4" w:space="0"/>
              <w:bottom w:val="single" w:color="auto" w:sz="4" w:space="0"/>
              <w:right w:val="single" w:color="auto" w:sz="4" w:space="0"/>
            </w:tcBorders>
            <w:vAlign w:val="center"/>
          </w:tcPr>
          <w:p>
            <w:pPr>
              <w:pStyle w:val="18"/>
              <w:rPr>
                <w:rFonts w:hAnsi="宋体"/>
                <w:color w:val="auto"/>
                <w:szCs w:val="21"/>
                <w:highlight w:val="none"/>
              </w:rPr>
            </w:pPr>
            <w:r>
              <w:rPr>
                <w:rFonts w:hint="eastAsia" w:hAnsi="宋体"/>
                <w:color w:val="auto"/>
                <w:szCs w:val="21"/>
                <w:highlight w:val="none"/>
              </w:rPr>
              <w:t>外国或澳门、台湾的设计企业申请投标的，已按规定选择一家符合资质条件的企业进行合作设计</w:t>
            </w:r>
            <w:r>
              <w:rPr>
                <w:rFonts w:hint="eastAsia" w:hAnsi="宋体"/>
                <w:color w:val="auto"/>
                <w:szCs w:val="21"/>
                <w:highlight w:val="none"/>
                <w:u w:val="single"/>
              </w:rPr>
              <w:t>（提供</w:t>
            </w:r>
            <w:r>
              <w:rPr>
                <w:rFonts w:hint="eastAsia" w:hAnsi="宋体" w:cs="宋体"/>
                <w:color w:val="auto"/>
                <w:szCs w:val="21"/>
                <w:highlight w:val="none"/>
                <w:u w:val="single"/>
              </w:rPr>
              <w:t>《合作设计协议》</w:t>
            </w:r>
            <w:r>
              <w:rPr>
                <w:rFonts w:hint="eastAsia" w:hAnsi="宋体"/>
                <w:color w:val="auto"/>
                <w:szCs w:val="21"/>
                <w:highlight w:val="none"/>
                <w:u w:val="single"/>
              </w:rPr>
              <w:t>格式自定）</w:t>
            </w:r>
            <w:r>
              <w:rPr>
                <w:rFonts w:hint="eastAsia" w:hAnsi="宋体"/>
                <w:color w:val="auto"/>
                <w:szCs w:val="21"/>
                <w:highlight w:val="none"/>
              </w:rPr>
              <w:t>。</w:t>
            </w:r>
          </w:p>
        </w:tc>
        <w:tc>
          <w:tcPr>
            <w:tcW w:w="591"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518"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436"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363"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color w:val="auto"/>
                <w:szCs w:val="21"/>
                <w:highlight w:val="none"/>
              </w:rPr>
            </w:pPr>
            <w:r>
              <w:rPr>
                <w:rFonts w:hint="eastAsia" w:hAnsi="宋体"/>
                <w:color w:val="auto"/>
                <w:szCs w:val="21"/>
                <w:highlight w:val="none"/>
                <w:u w:val="single"/>
              </w:rPr>
              <w:t>8</w:t>
            </w:r>
          </w:p>
        </w:tc>
        <w:tc>
          <w:tcPr>
            <w:tcW w:w="3090" w:type="pct"/>
            <w:tcBorders>
              <w:top w:val="single" w:color="auto" w:sz="4" w:space="0"/>
              <w:left w:val="single" w:color="auto" w:sz="4" w:space="0"/>
              <w:bottom w:val="single" w:color="auto" w:sz="4" w:space="0"/>
              <w:right w:val="single" w:color="auto" w:sz="4" w:space="0"/>
            </w:tcBorders>
            <w:vAlign w:val="center"/>
          </w:tcPr>
          <w:p>
            <w:pPr>
              <w:pStyle w:val="18"/>
              <w:rPr>
                <w:rFonts w:hAnsi="宋体"/>
                <w:color w:val="auto"/>
                <w:szCs w:val="21"/>
                <w:highlight w:val="none"/>
              </w:rPr>
            </w:pPr>
            <w:r>
              <w:rPr>
                <w:rFonts w:hint="eastAsia" w:hAnsi="宋体" w:eastAsia="Times New Roman"/>
                <w:color w:val="auto"/>
                <w:szCs w:val="21"/>
                <w:highlight w:val="none"/>
              </w:rPr>
              <w:t>投标人已在</w:t>
            </w:r>
            <w:r>
              <w:rPr>
                <w:rFonts w:hint="eastAsia" w:hAnsi="宋体" w:cs="宋体"/>
                <w:color w:val="auto"/>
                <w:szCs w:val="21"/>
                <w:highlight w:val="none"/>
                <w:u w:val="single"/>
              </w:rPr>
              <w:t>广州交易集团有限公司（广州公共资源交易中心）</w:t>
            </w:r>
            <w:r>
              <w:rPr>
                <w:rFonts w:hint="eastAsia" w:hAnsi="宋体" w:eastAsia="Times New Roman"/>
                <w:color w:val="auto"/>
                <w:szCs w:val="21"/>
                <w:highlight w:val="none"/>
              </w:rPr>
              <w:t>企业库办理企业信息登记，拟担任本工程项目负责人须是本企业信息登记中的在册人员。</w:t>
            </w:r>
          </w:p>
        </w:tc>
        <w:tc>
          <w:tcPr>
            <w:tcW w:w="591"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518"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436"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363"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color w:val="auto"/>
                <w:szCs w:val="21"/>
                <w:highlight w:val="none"/>
              </w:rPr>
            </w:pPr>
            <w:r>
              <w:rPr>
                <w:rFonts w:hint="eastAsia" w:hAnsi="宋体"/>
                <w:color w:val="auto"/>
                <w:szCs w:val="21"/>
                <w:highlight w:val="none"/>
                <w:u w:val="single"/>
              </w:rPr>
              <w:t>9</w:t>
            </w:r>
          </w:p>
        </w:tc>
        <w:tc>
          <w:tcPr>
            <w:tcW w:w="3090" w:type="pct"/>
            <w:tcBorders>
              <w:top w:val="single" w:color="auto" w:sz="4" w:space="0"/>
              <w:left w:val="single" w:color="auto" w:sz="4" w:space="0"/>
              <w:bottom w:val="single" w:color="auto" w:sz="4" w:space="0"/>
              <w:right w:val="single" w:color="auto" w:sz="4" w:space="0"/>
            </w:tcBorders>
            <w:vAlign w:val="center"/>
          </w:tcPr>
          <w:p>
            <w:pPr>
              <w:pStyle w:val="18"/>
              <w:rPr>
                <w:rFonts w:hAnsi="宋体"/>
                <w:color w:val="auto"/>
                <w:szCs w:val="21"/>
                <w:highlight w:val="none"/>
              </w:rPr>
            </w:pPr>
            <w:r>
              <w:rPr>
                <w:rFonts w:hint="eastAsia" w:hAnsi="宋体" w:eastAsia="Times New Roman" w:cs="宋体"/>
                <w:color w:val="auto"/>
                <w:szCs w:val="21"/>
                <w:highlight w:val="none"/>
                <w:u w:val="single"/>
              </w:rPr>
              <w:t>联合体投标符合招标公告的规定。</w:t>
            </w:r>
          </w:p>
        </w:tc>
        <w:tc>
          <w:tcPr>
            <w:tcW w:w="591"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518"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436"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63" w:type="pct"/>
            <w:tcBorders>
              <w:top w:val="single" w:color="auto" w:sz="4" w:space="0"/>
              <w:left w:val="single" w:color="auto" w:sz="4" w:space="0"/>
              <w:bottom w:val="single" w:color="auto" w:sz="4" w:space="0"/>
              <w:right w:val="single" w:color="auto" w:sz="4" w:space="0"/>
            </w:tcBorders>
            <w:vAlign w:val="center"/>
          </w:tcPr>
          <w:p>
            <w:pPr>
              <w:pStyle w:val="18"/>
              <w:jc w:val="center"/>
              <w:rPr>
                <w:rFonts w:hAnsi="宋体"/>
                <w:color w:val="auto"/>
                <w:szCs w:val="21"/>
                <w:highlight w:val="none"/>
              </w:rPr>
            </w:pPr>
            <w:r>
              <w:rPr>
                <w:rFonts w:hint="eastAsia" w:hAnsi="宋体"/>
                <w:color w:val="auto"/>
                <w:szCs w:val="21"/>
                <w:highlight w:val="none"/>
              </w:rPr>
              <w:t>结论</w:t>
            </w:r>
          </w:p>
        </w:tc>
        <w:tc>
          <w:tcPr>
            <w:tcW w:w="3090" w:type="pct"/>
            <w:tcBorders>
              <w:top w:val="single" w:color="auto" w:sz="4" w:space="0"/>
              <w:left w:val="single" w:color="auto" w:sz="4" w:space="0"/>
              <w:bottom w:val="single" w:color="auto" w:sz="4" w:space="0"/>
              <w:right w:val="single" w:color="auto" w:sz="4" w:space="0"/>
            </w:tcBorders>
            <w:vAlign w:val="center"/>
          </w:tcPr>
          <w:p>
            <w:pPr>
              <w:pStyle w:val="18"/>
              <w:rPr>
                <w:color w:val="auto"/>
                <w:szCs w:val="21"/>
                <w:highlight w:val="none"/>
              </w:rPr>
            </w:pPr>
            <w:r>
              <w:rPr>
                <w:rFonts w:hint="eastAsia"/>
                <w:color w:val="auto"/>
                <w:szCs w:val="21"/>
                <w:highlight w:val="none"/>
              </w:rPr>
              <w:t>是否通过并进入下一阶段评审。</w:t>
            </w:r>
          </w:p>
        </w:tc>
        <w:tc>
          <w:tcPr>
            <w:tcW w:w="591"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518"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c>
          <w:tcPr>
            <w:tcW w:w="436" w:type="pct"/>
            <w:tcBorders>
              <w:top w:val="single" w:color="auto" w:sz="4" w:space="0"/>
              <w:left w:val="single" w:color="auto" w:sz="4" w:space="0"/>
              <w:bottom w:val="single" w:color="auto" w:sz="4" w:space="0"/>
              <w:right w:val="single" w:color="auto" w:sz="4" w:space="0"/>
            </w:tcBorders>
          </w:tcPr>
          <w:p>
            <w:pPr>
              <w:pStyle w:val="18"/>
              <w:jc w:val="center"/>
              <w:rPr>
                <w:rFonts w:hAnsi="宋体"/>
                <w:b/>
                <w:color w:val="auto"/>
                <w:sz w:val="32"/>
                <w:highlight w:val="none"/>
              </w:rPr>
            </w:pPr>
          </w:p>
        </w:tc>
      </w:tr>
    </w:tbl>
    <w:p>
      <w:pPr>
        <w:tabs>
          <w:tab w:val="left" w:pos="720"/>
        </w:tabs>
        <w:adjustRightInd w:val="0"/>
        <w:snapToGrid w:val="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adjustRightInd w:val="0"/>
        <w:snapToGrid w:val="0"/>
        <w:ind w:firstLine="630" w:firstLineChars="3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adjustRightInd w:val="0"/>
        <w:snapToGrid w:val="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adjustRightInd w:val="0"/>
        <w:snapToGrid w:val="0"/>
        <w:ind w:firstLine="630" w:firstLineChars="30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4.若评委意见不一致时，则按少数服从多数的原则，作为评标委员会对该情形的认定结论。</w:t>
      </w:r>
    </w:p>
    <w:p>
      <w:pPr>
        <w:adjustRightInd w:val="0"/>
        <w:snapToGrid w:val="0"/>
        <w:ind w:firstLine="602" w:firstLineChars="300"/>
        <w:rPr>
          <w:rFonts w:ascii="宋体" w:hAnsi="宋体" w:cs="仿宋_GB2312"/>
          <w:b/>
          <w:bCs/>
          <w:color w:val="auto"/>
          <w:sz w:val="20"/>
          <w:szCs w:val="20"/>
          <w:highlight w:val="none"/>
          <w:u w:val="single"/>
        </w:rPr>
      </w:pPr>
      <w:r>
        <w:rPr>
          <w:rFonts w:hint="eastAsia" w:ascii="宋体" w:hAnsi="宋体"/>
          <w:b/>
          <w:bCs/>
          <w:color w:val="auto"/>
          <w:sz w:val="20"/>
          <w:szCs w:val="20"/>
          <w:highlight w:val="none"/>
          <w:u w:val="single"/>
        </w:rPr>
        <w:t>5.序号第（2）、（3）、（8）项取自广州公共资源交易中心企业库，投标人企业库中记录的该部分上传件将被视为投标人递交投标文件的一部分，不需重复提交。评标委员会对该部分资料的审查将以投标截止时间在广州交易集团有限公司（广州公共资源交易中心）企业库内上传件为依据。若招标人延长投标截止时间的，以上资料的评审时点也相应延长。投标人应及时维护其在广州交易集团有限公司（广州公共资源交易中心）企业库登记的信息及上传件，确保各项信息及上传件在有效期内。</w:t>
      </w:r>
    </w:p>
    <w:p>
      <w:pPr>
        <w:pStyle w:val="18"/>
        <w:adjustRightInd w:val="0"/>
        <w:snapToGrid w:val="0"/>
        <w:rPr>
          <w:color w:val="auto"/>
          <w:szCs w:val="21"/>
          <w:highlight w:val="none"/>
        </w:rPr>
      </w:pPr>
    </w:p>
    <w:p>
      <w:pPr>
        <w:pStyle w:val="18"/>
        <w:adjustRightInd w:val="0"/>
        <w:snapToGrid w:val="0"/>
        <w:rPr>
          <w:color w:val="auto"/>
          <w:szCs w:val="21"/>
          <w:highlight w:val="none"/>
        </w:rPr>
      </w:pPr>
      <w:r>
        <w:rPr>
          <w:rFonts w:hint="eastAsia"/>
          <w:color w:val="auto"/>
          <w:szCs w:val="21"/>
          <w:highlight w:val="none"/>
        </w:rPr>
        <w:t>评委签名：                                     日期：</w:t>
      </w:r>
    </w:p>
    <w:p>
      <w:pPr>
        <w:pStyle w:val="18"/>
        <w:adjustRightInd w:val="0"/>
        <w:snapToGrid w:val="0"/>
        <w:rPr>
          <w:color w:val="auto"/>
          <w:szCs w:val="21"/>
          <w:highlight w:val="none"/>
        </w:rPr>
        <w:sectPr>
          <w:footerReference r:id="rId9" w:type="default"/>
          <w:pgSz w:w="11906" w:h="16838"/>
          <w:pgMar w:top="1440" w:right="1080" w:bottom="1440" w:left="1080" w:header="851" w:footer="992" w:gutter="0"/>
          <w:pgNumType w:start="1"/>
          <w:cols w:space="720" w:num="1"/>
          <w:docGrid w:type="lines" w:linePitch="312" w:charSpace="0"/>
        </w:sectPr>
      </w:pPr>
    </w:p>
    <w:p>
      <w:pPr>
        <w:pStyle w:val="6"/>
        <w:numPr>
          <w:ilvl w:val="0"/>
          <w:numId w:val="0"/>
        </w:numPr>
        <w:spacing w:before="120" w:after="120"/>
        <w:rPr>
          <w:rFonts w:hAnsi="宋体"/>
          <w:b w:val="0"/>
          <w:bCs w:val="0"/>
          <w:color w:val="auto"/>
          <w:highlight w:val="none"/>
        </w:rPr>
      </w:pPr>
      <w:bookmarkStart w:id="135" w:name="_Toc13847"/>
      <w:bookmarkStart w:id="136" w:name="_Toc19386"/>
      <w:bookmarkStart w:id="137" w:name="_Toc27054"/>
      <w:r>
        <w:rPr>
          <w:rFonts w:hint="eastAsia"/>
          <w:color w:val="auto"/>
          <w:highlight w:val="none"/>
        </w:rPr>
        <w:t>附件2 投标文件有效性审查表</w:t>
      </w:r>
      <w:bookmarkEnd w:id="135"/>
      <w:bookmarkEnd w:id="136"/>
      <w:bookmarkEnd w:id="137"/>
    </w:p>
    <w:p>
      <w:pPr>
        <w:pStyle w:val="18"/>
        <w:rPr>
          <w:rFonts w:hAnsi="宋体"/>
          <w:b/>
          <w:bCs/>
          <w:color w:val="auto"/>
          <w:sz w:val="24"/>
          <w:highlight w:val="none"/>
        </w:rPr>
      </w:pPr>
    </w:p>
    <w:p>
      <w:pPr>
        <w:pStyle w:val="18"/>
        <w:jc w:val="center"/>
        <w:rPr>
          <w:rFonts w:hAnsi="宋体"/>
          <w:b/>
          <w:color w:val="auto"/>
          <w:sz w:val="32"/>
          <w:highlight w:val="none"/>
        </w:rPr>
      </w:pPr>
      <w:r>
        <w:rPr>
          <w:rFonts w:hint="eastAsia" w:hAnsi="宋体"/>
          <w:b/>
          <w:color w:val="auto"/>
          <w:sz w:val="32"/>
          <w:highlight w:val="none"/>
        </w:rPr>
        <w:t>投标文件有效性审查表</w:t>
      </w:r>
    </w:p>
    <w:p>
      <w:pPr>
        <w:tabs>
          <w:tab w:val="left" w:pos="720"/>
        </w:tabs>
        <w:snapToGrid w:val="0"/>
        <w:spacing w:line="360" w:lineRule="auto"/>
        <w:rPr>
          <w:rFonts w:ascii="宋体" w:hAnsi="宋体"/>
          <w:bCs/>
          <w:color w:val="auto"/>
          <w:szCs w:val="21"/>
          <w:highlight w:val="none"/>
        </w:rPr>
      </w:pPr>
      <w:r>
        <w:rPr>
          <w:rFonts w:hint="eastAsia" w:ascii="宋体" w:hAnsi="宋体"/>
          <w:bCs/>
          <w:color w:val="auto"/>
          <w:szCs w:val="21"/>
          <w:highlight w:val="none"/>
        </w:rPr>
        <w:t>项目名称：</w:t>
      </w:r>
    </w:p>
    <w:tbl>
      <w:tblPr>
        <w:tblStyle w:val="29"/>
        <w:tblW w:w="0" w:type="auto"/>
        <w:tblInd w:w="3" w:type="dxa"/>
        <w:tblLayout w:type="fixed"/>
        <w:tblCellMar>
          <w:top w:w="0" w:type="dxa"/>
          <w:left w:w="108" w:type="dxa"/>
          <w:bottom w:w="0" w:type="dxa"/>
          <w:right w:w="108" w:type="dxa"/>
        </w:tblCellMar>
      </w:tblPr>
      <w:tblGrid>
        <w:gridCol w:w="735"/>
        <w:gridCol w:w="5670"/>
        <w:gridCol w:w="1512"/>
        <w:gridCol w:w="1512"/>
        <w:gridCol w:w="1512"/>
        <w:gridCol w:w="1512"/>
        <w:gridCol w:w="1512"/>
      </w:tblGrid>
      <w:tr>
        <w:tblPrEx>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567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hint="eastAsia" w:ascii="宋体" w:hAnsi="宋体"/>
                <w:color w:val="auto"/>
                <w:szCs w:val="21"/>
                <w:highlight w:val="none"/>
              </w:rPr>
              <w:t xml:space="preserve">                                      投标人名称</w:t>
            </w:r>
          </w:p>
          <w:p>
            <w:pPr>
              <w:rPr>
                <w:rFonts w:ascii="宋体" w:hAnsi="宋体"/>
                <w:color w:val="auto"/>
                <w:szCs w:val="21"/>
                <w:highlight w:val="none"/>
              </w:rPr>
            </w:pPr>
            <w:r>
              <w:rPr>
                <w:rFonts w:hint="eastAsia" w:ascii="宋体" w:hAnsi="宋体"/>
                <w:color w:val="auto"/>
                <w:szCs w:val="21"/>
                <w:highlight w:val="none"/>
              </w:rPr>
              <w:t>审查项目</w:t>
            </w: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537"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color w:val="auto"/>
                <w:szCs w:val="21"/>
                <w:highlight w:val="none"/>
              </w:rPr>
            </w:pPr>
            <w:r>
              <w:rPr>
                <w:rFonts w:hint="eastAsia" w:ascii="宋体" w:hAnsi="宋体"/>
                <w:strike/>
                <w:color w:val="auto"/>
                <w:szCs w:val="21"/>
                <w:highlight w:val="none"/>
                <w:u w:val="single"/>
              </w:rPr>
              <w:t>1</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strike/>
                <w:color w:val="auto"/>
                <w:szCs w:val="21"/>
                <w:highlight w:val="none"/>
              </w:rPr>
            </w:pPr>
            <w:r>
              <w:rPr>
                <w:rFonts w:hint="eastAsia" w:ascii="宋体" w:hAnsi="宋体" w:eastAsia="Times New Roman"/>
                <w:strike/>
                <w:color w:val="auto"/>
                <w:szCs w:val="21"/>
                <w:highlight w:val="none"/>
              </w:rPr>
              <w:t>按照招标文件要求递交投标保证金。</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537"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u w:val="single"/>
              </w:rPr>
              <w:t>1</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rPr>
            </w:pPr>
            <w:r>
              <w:rPr>
                <w:rFonts w:hint="eastAsia" w:ascii="宋体" w:hAnsi="宋体"/>
                <w:color w:val="auto"/>
                <w:szCs w:val="21"/>
                <w:highlight w:val="none"/>
              </w:rPr>
              <w:t>未发现投标人与招标人、评标委员会成员或者其他投标人串通投标。</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u w:val="single"/>
              </w:rPr>
              <w:t>2</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rPr>
            </w:pPr>
            <w:r>
              <w:rPr>
                <w:rFonts w:hint="eastAsia"/>
                <w:color w:val="auto"/>
                <w:szCs w:val="21"/>
                <w:highlight w:val="none"/>
              </w:rPr>
              <w:t>不存在与其他投标人加密打包投标文件的电脑机器特征码一致的情况。</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96"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u w:val="single"/>
              </w:rPr>
              <w:t>3</w:t>
            </w:r>
          </w:p>
        </w:tc>
        <w:tc>
          <w:tcPr>
            <w:tcW w:w="567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《投标函》和《投标人声明》按招标文件规定的格式填写，已完成签字和盖章，没有出现内容不全或者关键字迹模糊无法辨认。</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72"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u w:val="single"/>
              </w:rPr>
              <w:t>4</w:t>
            </w:r>
          </w:p>
        </w:tc>
        <w:tc>
          <w:tcPr>
            <w:tcW w:w="56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未发现证明材料弄虚作假。</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28"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u w:val="single"/>
              </w:rPr>
              <w:t>5</w:t>
            </w:r>
          </w:p>
        </w:tc>
        <w:tc>
          <w:tcPr>
            <w:tcW w:w="56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按照招标文件编制要求编制投标文件。</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28"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u w:val="single"/>
              </w:rPr>
              <w:t>6</w:t>
            </w:r>
          </w:p>
        </w:tc>
        <w:tc>
          <w:tcPr>
            <w:tcW w:w="56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eastAsia="Times New Roman" w:cs="宋体"/>
                <w:color w:val="auto"/>
                <w:highlight w:val="none"/>
                <w:u w:val="single"/>
              </w:rPr>
              <w:t>投标报价不超过最高投标限价总价或分项最高投标限价，</w:t>
            </w:r>
            <w:r>
              <w:rPr>
                <w:rFonts w:hint="eastAsia" w:ascii="宋体" w:hAnsi="宋体"/>
                <w:color w:val="auto"/>
                <w:szCs w:val="21"/>
                <w:highlight w:val="none"/>
              </w:rPr>
              <w:t>按照招标文件要求进行投标报价。</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539"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u w:val="single"/>
              </w:rPr>
              <w:t>7</w:t>
            </w:r>
          </w:p>
        </w:tc>
        <w:tc>
          <w:tcPr>
            <w:tcW w:w="5670"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按照要求（必要时）对投标文件进行澄清、说明或者补正。</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539" w:hRule="atLeast"/>
        </w:trPr>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结论</w:t>
            </w:r>
          </w:p>
        </w:tc>
        <w:tc>
          <w:tcPr>
            <w:tcW w:w="5670"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是否通过并进入下一阶段评审。</w:t>
            </w:r>
          </w:p>
        </w:tc>
        <w:tc>
          <w:tcPr>
            <w:tcW w:w="151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tabs>
          <w:tab w:val="left" w:pos="720"/>
        </w:tabs>
        <w:adjustRightInd w:val="0"/>
        <w:snapToGrid w:val="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adjustRightInd w:val="0"/>
        <w:snapToGrid w:val="0"/>
        <w:ind w:firstLine="630" w:firstLineChars="3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adjustRightInd w:val="0"/>
        <w:snapToGrid w:val="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ind w:firstLine="630" w:firstLineChars="30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4、若评委意见不一致时，则按少数服从多数的原则，作为评标委员会对该情形的认定结论。</w:t>
      </w:r>
    </w:p>
    <w:p>
      <w:pPr>
        <w:tabs>
          <w:tab w:val="left" w:pos="720"/>
        </w:tabs>
        <w:snapToGrid w:val="0"/>
        <w:ind w:firstLine="630" w:firstLineChars="300"/>
        <w:rPr>
          <w:rFonts w:ascii="宋体" w:hAnsi="Courier New"/>
          <w:color w:val="auto"/>
          <w:szCs w:val="21"/>
          <w:highlight w:val="none"/>
        </w:rPr>
      </w:pPr>
    </w:p>
    <w:p>
      <w:pPr>
        <w:adjustRightInd w:val="0"/>
        <w:snapToGrid w:val="0"/>
        <w:rPr>
          <w:rFonts w:ascii="宋体" w:hAnsi="宋体"/>
          <w:b/>
          <w:bCs/>
          <w:color w:val="auto"/>
          <w:highlight w:val="none"/>
        </w:rPr>
      </w:pPr>
      <w:r>
        <w:rPr>
          <w:rFonts w:hint="eastAsia"/>
          <w:color w:val="auto"/>
          <w:szCs w:val="21"/>
          <w:highlight w:val="none"/>
        </w:rPr>
        <w:t>评委签名：                                                           日期：</w:t>
      </w:r>
    </w:p>
    <w:p>
      <w:pPr>
        <w:pStyle w:val="6"/>
        <w:numPr>
          <w:ilvl w:val="0"/>
          <w:numId w:val="0"/>
        </w:numPr>
        <w:spacing w:before="120" w:after="120"/>
        <w:rPr>
          <w:color w:val="auto"/>
          <w:highlight w:val="none"/>
        </w:rPr>
      </w:pPr>
      <w:bookmarkStart w:id="138" w:name="_Toc31385"/>
      <w:bookmarkStart w:id="139" w:name="_Toc2430"/>
      <w:r>
        <w:rPr>
          <w:rFonts w:hint="eastAsia"/>
          <w:color w:val="auto"/>
          <w:highlight w:val="none"/>
        </w:rPr>
        <w:br w:type="page"/>
      </w:r>
      <w:bookmarkStart w:id="140" w:name="_Toc3842"/>
      <w:r>
        <w:rPr>
          <w:rFonts w:hint="eastAsia"/>
          <w:color w:val="auto"/>
          <w:highlight w:val="none"/>
        </w:rPr>
        <w:t>附件3 技术文件有效性审查表</w:t>
      </w:r>
      <w:bookmarkEnd w:id="138"/>
      <w:bookmarkEnd w:id="139"/>
      <w:bookmarkEnd w:id="140"/>
    </w:p>
    <w:p>
      <w:pPr>
        <w:pStyle w:val="18"/>
        <w:jc w:val="center"/>
        <w:rPr>
          <w:rFonts w:hAnsi="宋体"/>
          <w:b/>
          <w:color w:val="auto"/>
          <w:sz w:val="32"/>
          <w:highlight w:val="none"/>
        </w:rPr>
      </w:pPr>
      <w:r>
        <w:rPr>
          <w:rFonts w:hint="eastAsia" w:hAnsi="宋体"/>
          <w:b/>
          <w:color w:val="auto"/>
          <w:sz w:val="32"/>
          <w:highlight w:val="none"/>
        </w:rPr>
        <w:t>技术文件有效性审查表</w:t>
      </w:r>
    </w:p>
    <w:p>
      <w:pPr>
        <w:tabs>
          <w:tab w:val="left" w:pos="720"/>
        </w:tabs>
        <w:snapToGrid w:val="0"/>
        <w:spacing w:line="360" w:lineRule="auto"/>
        <w:rPr>
          <w:rFonts w:ascii="宋体" w:hAnsi="宋体"/>
          <w:bCs/>
          <w:color w:val="auto"/>
          <w:szCs w:val="21"/>
          <w:highlight w:val="none"/>
        </w:rPr>
      </w:pPr>
    </w:p>
    <w:p>
      <w:pPr>
        <w:tabs>
          <w:tab w:val="left" w:pos="720"/>
        </w:tabs>
        <w:snapToGrid w:val="0"/>
        <w:spacing w:line="360" w:lineRule="auto"/>
        <w:rPr>
          <w:rFonts w:ascii="宋体" w:hAnsi="宋体"/>
          <w:bCs/>
          <w:color w:val="auto"/>
          <w:szCs w:val="21"/>
          <w:highlight w:val="none"/>
        </w:rPr>
      </w:pPr>
      <w:r>
        <w:rPr>
          <w:rFonts w:hint="eastAsia" w:ascii="宋体" w:hAnsi="宋体"/>
          <w:bCs/>
          <w:color w:val="auto"/>
          <w:szCs w:val="21"/>
          <w:highlight w:val="none"/>
        </w:rPr>
        <w:t>项目名称：</w:t>
      </w:r>
    </w:p>
    <w:tbl>
      <w:tblPr>
        <w:tblStyle w:val="29"/>
        <w:tblW w:w="0" w:type="auto"/>
        <w:tblInd w:w="-176" w:type="dxa"/>
        <w:tblLayout w:type="fixed"/>
        <w:tblCellMar>
          <w:top w:w="0" w:type="dxa"/>
          <w:left w:w="108" w:type="dxa"/>
          <w:bottom w:w="0" w:type="dxa"/>
          <w:right w:w="108" w:type="dxa"/>
        </w:tblCellMar>
      </w:tblPr>
      <w:tblGrid>
        <w:gridCol w:w="704"/>
        <w:gridCol w:w="5880"/>
        <w:gridCol w:w="1476"/>
        <w:gridCol w:w="1476"/>
        <w:gridCol w:w="1476"/>
        <w:gridCol w:w="1476"/>
        <w:gridCol w:w="1476"/>
      </w:tblGrid>
      <w:tr>
        <w:tblPrEx>
          <w:tblCellMar>
            <w:top w:w="0" w:type="dxa"/>
            <w:left w:w="108" w:type="dxa"/>
            <w:bottom w:w="0" w:type="dxa"/>
            <w:right w:w="108" w:type="dxa"/>
          </w:tblCellMar>
        </w:tblPrEx>
        <w:trPr>
          <w:trHeight w:val="717" w:hRule="atLeast"/>
        </w:trPr>
        <w:tc>
          <w:tcPr>
            <w:tcW w:w="7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5880"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hint="eastAsia" w:ascii="宋体" w:hAnsi="宋体"/>
                <w:color w:val="auto"/>
                <w:szCs w:val="21"/>
                <w:highlight w:val="none"/>
              </w:rPr>
              <w:t xml:space="preserve">                                      方案编号</w:t>
            </w:r>
          </w:p>
          <w:p>
            <w:pPr>
              <w:rPr>
                <w:rFonts w:ascii="宋体" w:hAnsi="宋体"/>
                <w:color w:val="auto"/>
                <w:szCs w:val="21"/>
                <w:highlight w:val="none"/>
              </w:rPr>
            </w:pPr>
            <w:r>
              <w:rPr>
                <w:rFonts w:hint="eastAsia" w:ascii="宋体" w:hAnsi="宋体"/>
                <w:color w:val="auto"/>
                <w:szCs w:val="21"/>
                <w:highlight w:val="none"/>
              </w:rPr>
              <w:t>审查项目</w:t>
            </w: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603"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i/>
                <w:color w:val="auto"/>
                <w:szCs w:val="21"/>
                <w:highlight w:val="none"/>
              </w:rPr>
            </w:pPr>
            <w:r>
              <w:rPr>
                <w:rFonts w:hint="eastAsia" w:ascii="宋体" w:hAnsi="宋体"/>
                <w:color w:val="auto"/>
                <w:szCs w:val="21"/>
                <w:highlight w:val="none"/>
              </w:rPr>
              <w:t>未发现投标人在设计方案内标注名称、印章、商标、图形等记认符号，使人辨认出投标人或其专业技术人员的身份</w:t>
            </w:r>
            <w:r>
              <w:rPr>
                <w:rFonts w:hint="eastAsia" w:ascii="宋体" w:hAnsi="宋体"/>
                <w:i/>
                <w:color w:val="auto"/>
                <w:szCs w:val="21"/>
                <w:highlight w:val="none"/>
              </w:rPr>
              <w:t>。</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41"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未发现互相雷同和串通投标。</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41"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未发现明显抄袭行为。</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49"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未发现侵犯他人著作权和特许权。</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49"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按招标文件要求编制投标文件。</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70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结论</w:t>
            </w:r>
          </w:p>
        </w:tc>
        <w:tc>
          <w:tcPr>
            <w:tcW w:w="5880"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olor w:val="auto"/>
                <w:szCs w:val="21"/>
                <w:highlight w:val="none"/>
              </w:rPr>
            </w:pPr>
            <w:r>
              <w:rPr>
                <w:rFonts w:hint="eastAsia"/>
                <w:color w:val="auto"/>
                <w:szCs w:val="21"/>
                <w:highlight w:val="none"/>
              </w:rPr>
              <w:t>是否通过并进入下一阶段评审。</w:t>
            </w:r>
          </w:p>
        </w:tc>
        <w:tc>
          <w:tcPr>
            <w:tcW w:w="147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c>
          <w:tcPr>
            <w:tcW w:w="147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shd w:val="pct10" w:color="auto" w:fill="FFFFFF"/>
              </w:rPr>
            </w:pPr>
          </w:p>
        </w:tc>
      </w:tr>
    </w:tbl>
    <w:p>
      <w:pPr>
        <w:tabs>
          <w:tab w:val="left" w:pos="720"/>
        </w:tabs>
        <w:adjustRightInd w:val="0"/>
        <w:snapToGrid w:val="0"/>
        <w:rPr>
          <w:rFonts w:ascii="宋体" w:hAnsi="Courier New"/>
          <w:color w:val="auto"/>
          <w:szCs w:val="21"/>
          <w:highlight w:val="none"/>
        </w:rPr>
      </w:pPr>
    </w:p>
    <w:p>
      <w:pPr>
        <w:tabs>
          <w:tab w:val="left" w:pos="720"/>
        </w:tabs>
        <w:adjustRightInd w:val="0"/>
        <w:snapToGrid w:val="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adjustRightInd w:val="0"/>
        <w:snapToGrid w:val="0"/>
        <w:ind w:firstLine="630" w:firstLineChars="3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adjustRightInd w:val="0"/>
        <w:snapToGrid w:val="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ind w:firstLine="630" w:firstLineChars="30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4.若评委意见不一致时，则按少数服从多数的原则，作为评标委员会对该情形的认定结论。</w:t>
      </w:r>
    </w:p>
    <w:p>
      <w:pPr>
        <w:tabs>
          <w:tab w:val="left" w:pos="720"/>
        </w:tabs>
        <w:adjustRightInd w:val="0"/>
        <w:snapToGrid w:val="0"/>
        <w:rPr>
          <w:rFonts w:ascii="宋体" w:hAnsi="Courier New"/>
          <w:color w:val="auto"/>
          <w:szCs w:val="21"/>
          <w:highlight w:val="none"/>
        </w:rPr>
      </w:pPr>
    </w:p>
    <w:p>
      <w:pPr>
        <w:tabs>
          <w:tab w:val="left" w:pos="720"/>
        </w:tabs>
        <w:adjustRightInd w:val="0"/>
        <w:snapToGrid w:val="0"/>
        <w:rPr>
          <w:rFonts w:ascii="宋体" w:hAnsi="Courier New"/>
          <w:color w:val="auto"/>
          <w:sz w:val="18"/>
          <w:szCs w:val="18"/>
          <w:highlight w:val="none"/>
        </w:rPr>
      </w:pPr>
    </w:p>
    <w:p>
      <w:pPr>
        <w:pStyle w:val="18"/>
        <w:adjustRightInd w:val="0"/>
        <w:snapToGrid w:val="0"/>
        <w:rPr>
          <w:rFonts w:hAnsi="宋体"/>
          <w:b/>
          <w:color w:val="auto"/>
          <w:sz w:val="32"/>
          <w:highlight w:val="none"/>
        </w:rPr>
      </w:pPr>
      <w:r>
        <w:rPr>
          <w:rFonts w:hint="eastAsia"/>
          <w:color w:val="auto"/>
          <w:szCs w:val="21"/>
          <w:highlight w:val="none"/>
        </w:rPr>
        <w:t>评委签名：                                                         日期：</w:t>
      </w:r>
    </w:p>
    <w:p>
      <w:pPr>
        <w:spacing w:line="360" w:lineRule="auto"/>
        <w:rPr>
          <w:rFonts w:ascii="宋体" w:hAnsi="宋体"/>
          <w:b/>
          <w:bCs/>
          <w:color w:val="auto"/>
          <w:szCs w:val="21"/>
          <w:highlight w:val="none"/>
        </w:rPr>
      </w:pPr>
    </w:p>
    <w:p>
      <w:pPr>
        <w:pStyle w:val="18"/>
        <w:rPr>
          <w:rFonts w:hAnsi="宋体"/>
          <w:b/>
          <w:bCs/>
          <w:color w:val="auto"/>
          <w:sz w:val="24"/>
          <w:highlight w:val="none"/>
        </w:rPr>
      </w:pPr>
    </w:p>
    <w:p>
      <w:pPr>
        <w:pStyle w:val="18"/>
        <w:rPr>
          <w:rFonts w:hAnsi="宋体"/>
          <w:b/>
          <w:bCs/>
          <w:color w:val="auto"/>
          <w:sz w:val="24"/>
          <w:highlight w:val="none"/>
        </w:rPr>
      </w:pPr>
    </w:p>
    <w:p>
      <w:pPr>
        <w:pStyle w:val="6"/>
        <w:numPr>
          <w:ilvl w:val="0"/>
          <w:numId w:val="0"/>
        </w:numPr>
        <w:spacing w:before="120" w:after="120"/>
        <w:rPr>
          <w:strike/>
          <w:color w:val="auto"/>
          <w:highlight w:val="none"/>
        </w:rPr>
      </w:pPr>
      <w:bookmarkStart w:id="141" w:name="_Toc16374"/>
      <w:bookmarkStart w:id="142" w:name="_Toc23202"/>
      <w:r>
        <w:rPr>
          <w:rFonts w:hint="eastAsia"/>
          <w:strike/>
          <w:color w:val="auto"/>
          <w:highlight w:val="none"/>
        </w:rPr>
        <w:br w:type="page"/>
      </w:r>
      <w:bookmarkStart w:id="143" w:name="_Toc7738"/>
      <w:r>
        <w:rPr>
          <w:rFonts w:hint="eastAsia"/>
          <w:color w:val="auto"/>
          <w:highlight w:val="none"/>
        </w:rPr>
        <w:t xml:space="preserve">附件4 </w:t>
      </w:r>
      <w:r>
        <w:rPr>
          <w:rFonts w:hint="eastAsia"/>
          <w:color w:val="auto"/>
          <w:highlight w:val="none"/>
          <w:u w:val="single"/>
        </w:rPr>
        <w:t>技术文件综合评分表</w:t>
      </w:r>
      <w:bookmarkEnd w:id="141"/>
      <w:bookmarkEnd w:id="142"/>
      <w:bookmarkEnd w:id="143"/>
    </w:p>
    <w:p>
      <w:pPr>
        <w:spacing w:line="360" w:lineRule="auto"/>
        <w:jc w:val="center"/>
        <w:rPr>
          <w:rFonts w:ascii="宋体" w:hAnsi="宋体"/>
          <w:b/>
          <w:bCs/>
          <w:color w:val="auto"/>
          <w:sz w:val="32"/>
          <w:szCs w:val="32"/>
          <w:highlight w:val="none"/>
        </w:rPr>
      </w:pPr>
      <w:bookmarkStart w:id="144" w:name="_Toc478"/>
      <w:r>
        <w:rPr>
          <w:rFonts w:hint="eastAsia" w:ascii="宋体" w:hAnsi="宋体"/>
          <w:b/>
          <w:bCs/>
          <w:color w:val="auto"/>
          <w:sz w:val="32"/>
          <w:szCs w:val="32"/>
          <w:highlight w:val="none"/>
        </w:rPr>
        <w:t>技术文件综合评分表</w:t>
      </w:r>
    </w:p>
    <w:tbl>
      <w:tblPr>
        <w:tblStyle w:val="29"/>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2"/>
        <w:gridCol w:w="1342"/>
        <w:gridCol w:w="922"/>
        <w:gridCol w:w="8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431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评审项目</w:t>
            </w:r>
          </w:p>
        </w:tc>
        <w:tc>
          <w:tcPr>
            <w:tcW w:w="922" w:type="dxa"/>
            <w:vAlign w:val="center"/>
          </w:tcPr>
          <w:p>
            <w:pPr>
              <w:jc w:val="center"/>
              <w:rPr>
                <w:rFonts w:ascii="宋体" w:hAnsi="宋体"/>
                <w:color w:val="auto"/>
                <w:szCs w:val="21"/>
                <w:highlight w:val="none"/>
              </w:rPr>
            </w:pPr>
            <w:r>
              <w:rPr>
                <w:rFonts w:hint="eastAsia" w:ascii="宋体" w:hAnsi="宋体"/>
                <w:color w:val="auto"/>
                <w:szCs w:val="21"/>
                <w:highlight w:val="none"/>
              </w:rPr>
              <w:t>取值</w:t>
            </w:r>
          </w:p>
          <w:p>
            <w:pPr>
              <w:jc w:val="center"/>
              <w:rPr>
                <w:rFonts w:ascii="宋体" w:hAnsi="宋体"/>
                <w:color w:val="auto"/>
                <w:szCs w:val="21"/>
                <w:highlight w:val="none"/>
              </w:rPr>
            </w:pPr>
            <w:r>
              <w:rPr>
                <w:rFonts w:hint="eastAsia" w:ascii="宋体" w:hAnsi="宋体"/>
                <w:color w:val="auto"/>
                <w:szCs w:val="21"/>
                <w:highlight w:val="none"/>
              </w:rPr>
              <w:t>范围</w:t>
            </w:r>
          </w:p>
        </w:tc>
        <w:tc>
          <w:tcPr>
            <w:tcW w:w="8651" w:type="dxa"/>
            <w:vAlign w:val="center"/>
          </w:tcPr>
          <w:p>
            <w:pPr>
              <w:jc w:val="center"/>
              <w:rPr>
                <w:rFonts w:ascii="宋体" w:hAnsi="宋体"/>
                <w:color w:val="auto"/>
                <w:szCs w:val="21"/>
                <w:highlight w:val="none"/>
              </w:rPr>
            </w:pPr>
            <w:r>
              <w:rPr>
                <w:rFonts w:hint="eastAsia" w:ascii="宋体" w:hAnsi="宋体"/>
                <w:color w:val="auto"/>
                <w:szCs w:val="21"/>
                <w:highlight w:val="none"/>
              </w:rPr>
              <w:t>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314" w:type="dxa"/>
            <w:gridSpan w:val="2"/>
            <w:vAlign w:val="center"/>
          </w:tcPr>
          <w:p>
            <w:pPr>
              <w:jc w:val="center"/>
              <w:rPr>
                <w:rFonts w:ascii="宋体" w:hAnsi="宋体"/>
                <w:color w:val="auto"/>
                <w:szCs w:val="21"/>
                <w:highlight w:val="none"/>
              </w:rPr>
            </w:pPr>
            <w:r>
              <w:rPr>
                <w:rFonts w:hint="eastAsia" w:ascii="宋体" w:hAnsi="宋体"/>
                <w:color w:val="auto"/>
                <w:szCs w:val="21"/>
                <w:highlight w:val="none"/>
              </w:rPr>
              <w:t>第一章 概况</w:t>
            </w:r>
          </w:p>
        </w:tc>
        <w:tc>
          <w:tcPr>
            <w:tcW w:w="922"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8651" w:type="dxa"/>
            <w:vAlign w:val="center"/>
          </w:tcPr>
          <w:p>
            <w:pPr>
              <w:rPr>
                <w:rFonts w:ascii="宋体" w:hAnsi="宋体"/>
                <w:color w:val="auto"/>
                <w:szCs w:val="21"/>
                <w:highlight w:val="none"/>
              </w:rPr>
            </w:pPr>
            <w:r>
              <w:rPr>
                <w:rFonts w:hint="eastAsia" w:ascii="宋体" w:hAnsi="宋体"/>
                <w:color w:val="auto"/>
                <w:szCs w:val="21"/>
                <w:highlight w:val="none"/>
              </w:rPr>
              <w:t>概况内容全面、概括性强，包括工程概况、工程范围、编制依据等。</w:t>
            </w:r>
          </w:p>
          <w:p>
            <w:pPr>
              <w:rPr>
                <w:rFonts w:ascii="宋体" w:hAnsi="宋体"/>
                <w:color w:val="auto"/>
                <w:szCs w:val="21"/>
                <w:highlight w:val="none"/>
              </w:rPr>
            </w:pPr>
            <w:bookmarkStart w:id="145" w:name="OLE_LINK4"/>
            <w:r>
              <w:rPr>
                <w:rFonts w:hint="eastAsia" w:ascii="宋体" w:hAnsi="宋体"/>
                <w:color w:val="auto"/>
                <w:szCs w:val="21"/>
                <w:highlight w:val="none"/>
              </w:rPr>
              <w:t>评分标准：【优】得2分；【良】得1.</w:t>
            </w:r>
            <w:r>
              <w:rPr>
                <w:rFonts w:ascii="宋体" w:hAnsi="宋体"/>
                <w:color w:val="auto"/>
                <w:szCs w:val="21"/>
                <w:highlight w:val="none"/>
              </w:rPr>
              <w:t>5</w:t>
            </w:r>
            <w:r>
              <w:rPr>
                <w:rFonts w:hint="eastAsia" w:ascii="宋体" w:hAnsi="宋体"/>
                <w:color w:val="auto"/>
                <w:szCs w:val="21"/>
                <w:highlight w:val="none"/>
              </w:rPr>
              <w:t>分；【中】得1分；【差】得0.5分，无相关内容，得0分。</w:t>
            </w:r>
            <w:bookmarkEnd w:id="145"/>
          </w:p>
          <w:p>
            <w:pPr>
              <w:pStyle w:val="2"/>
              <w:ind w:left="0" w:leftChars="0"/>
              <w:rPr>
                <w:color w:val="auto"/>
                <w:highlight w:val="none"/>
              </w:rPr>
            </w:pPr>
            <w:r>
              <w:rPr>
                <w:rFonts w:hint="eastAsia"/>
                <w:color w:val="auto"/>
                <w:highlight w:val="none"/>
              </w:rPr>
              <w:t>评审标准：</w:t>
            </w:r>
          </w:p>
          <w:p>
            <w:pPr>
              <w:pStyle w:val="2"/>
              <w:ind w:left="0" w:leftChars="0"/>
              <w:rPr>
                <w:color w:val="auto"/>
                <w:highlight w:val="none"/>
              </w:rPr>
            </w:pPr>
            <w:r>
              <w:rPr>
                <w:rFonts w:hint="eastAsia"/>
                <w:color w:val="auto"/>
                <w:highlight w:val="none"/>
              </w:rPr>
              <w:t>优：概况内容全面、概括性强，能详细描述工程概况、工程范围、编制依据。</w:t>
            </w:r>
          </w:p>
          <w:p>
            <w:pPr>
              <w:pStyle w:val="2"/>
              <w:ind w:left="0" w:leftChars="0"/>
              <w:rPr>
                <w:color w:val="auto"/>
                <w:highlight w:val="none"/>
              </w:rPr>
            </w:pPr>
            <w:r>
              <w:rPr>
                <w:rFonts w:hint="eastAsia"/>
                <w:color w:val="auto"/>
                <w:highlight w:val="none"/>
              </w:rPr>
              <w:t>良：概况内容较全面、概括性较强，仅包含工程概况、工程范围。</w:t>
            </w:r>
          </w:p>
          <w:p>
            <w:pPr>
              <w:pStyle w:val="2"/>
              <w:ind w:left="0" w:leftChars="0"/>
              <w:rPr>
                <w:color w:val="auto"/>
                <w:highlight w:val="none"/>
              </w:rPr>
            </w:pPr>
            <w:r>
              <w:rPr>
                <w:rFonts w:hint="eastAsia"/>
                <w:color w:val="auto"/>
                <w:highlight w:val="none"/>
              </w:rPr>
              <w:t>中：概况内容基本全面、概括性一般，仅包含工程概况。</w:t>
            </w:r>
          </w:p>
          <w:p>
            <w:pPr>
              <w:pStyle w:val="2"/>
              <w:ind w:left="0" w:leftChars="0"/>
              <w:rPr>
                <w:color w:val="auto"/>
                <w:highlight w:val="none"/>
              </w:rPr>
            </w:pPr>
            <w:r>
              <w:rPr>
                <w:rFonts w:hint="eastAsia"/>
                <w:color w:val="auto"/>
                <w:highlight w:val="none"/>
              </w:rPr>
              <w:t>差：概况内容不全面、概括性较差，工程概况描述不清。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972"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第二章 工作目标与组织架构</w:t>
            </w:r>
          </w:p>
        </w:tc>
        <w:tc>
          <w:tcPr>
            <w:tcW w:w="1342" w:type="dxa"/>
            <w:vAlign w:val="center"/>
          </w:tcPr>
          <w:p>
            <w:pPr>
              <w:jc w:val="center"/>
              <w:rPr>
                <w:rFonts w:ascii="宋体" w:hAnsi="宋体"/>
                <w:color w:val="auto"/>
                <w:szCs w:val="21"/>
                <w:highlight w:val="none"/>
              </w:rPr>
            </w:pPr>
            <w:r>
              <w:rPr>
                <w:rFonts w:hint="eastAsia" w:ascii="宋体" w:hAnsi="宋体"/>
                <w:color w:val="auto"/>
                <w:szCs w:val="21"/>
                <w:highlight w:val="none"/>
              </w:rPr>
              <w:t>工作目标</w:t>
            </w:r>
          </w:p>
        </w:tc>
        <w:tc>
          <w:tcPr>
            <w:tcW w:w="922"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8651" w:type="dxa"/>
            <w:vAlign w:val="center"/>
          </w:tcPr>
          <w:p>
            <w:pPr>
              <w:rPr>
                <w:rFonts w:ascii="宋体" w:hAnsi="宋体"/>
                <w:color w:val="auto"/>
                <w:szCs w:val="21"/>
                <w:highlight w:val="none"/>
              </w:rPr>
            </w:pPr>
            <w:r>
              <w:rPr>
                <w:rFonts w:hint="eastAsia" w:ascii="宋体" w:hAnsi="宋体"/>
                <w:color w:val="auto"/>
                <w:szCs w:val="21"/>
                <w:highlight w:val="none"/>
              </w:rPr>
              <w:t>投标人能够正确理解本项目的建设意图，对项目的特点理解透彻，设计目标明确：能够正确理解项目特点，设计目标明确。</w:t>
            </w:r>
          </w:p>
          <w:p>
            <w:pPr>
              <w:rPr>
                <w:rFonts w:ascii="宋体" w:hAnsi="宋体"/>
                <w:color w:val="auto"/>
                <w:szCs w:val="21"/>
                <w:highlight w:val="none"/>
              </w:rPr>
            </w:pPr>
            <w:r>
              <w:rPr>
                <w:rFonts w:hint="eastAsia" w:ascii="宋体" w:hAnsi="宋体"/>
                <w:color w:val="auto"/>
                <w:szCs w:val="21"/>
                <w:highlight w:val="none"/>
              </w:rPr>
              <w:t>评分标准：【优】得2分；【良】得1.</w:t>
            </w:r>
            <w:r>
              <w:rPr>
                <w:rFonts w:ascii="宋体" w:hAnsi="宋体"/>
                <w:color w:val="auto"/>
                <w:szCs w:val="21"/>
                <w:highlight w:val="none"/>
              </w:rPr>
              <w:t>5</w:t>
            </w:r>
            <w:r>
              <w:rPr>
                <w:rFonts w:hint="eastAsia" w:ascii="宋体" w:hAnsi="宋体"/>
                <w:color w:val="auto"/>
                <w:szCs w:val="21"/>
                <w:highlight w:val="none"/>
              </w:rPr>
              <w:t>分；【中】得1分；【差】得0.5分，无相关内容，得0分。</w:t>
            </w:r>
          </w:p>
          <w:p>
            <w:pPr>
              <w:pStyle w:val="2"/>
              <w:ind w:left="0" w:leftChars="0"/>
              <w:rPr>
                <w:color w:val="auto"/>
                <w:highlight w:val="none"/>
              </w:rPr>
            </w:pPr>
            <w:r>
              <w:rPr>
                <w:rFonts w:hint="eastAsia"/>
                <w:color w:val="auto"/>
                <w:highlight w:val="none"/>
              </w:rPr>
              <w:t>评审标准：</w:t>
            </w:r>
          </w:p>
          <w:p>
            <w:pPr>
              <w:pStyle w:val="2"/>
              <w:ind w:left="0" w:leftChars="0"/>
              <w:rPr>
                <w:color w:val="auto"/>
                <w:highlight w:val="none"/>
              </w:rPr>
            </w:pPr>
            <w:r>
              <w:rPr>
                <w:rFonts w:hint="eastAsia"/>
                <w:color w:val="auto"/>
                <w:highlight w:val="none"/>
              </w:rPr>
              <w:t>优：</w:t>
            </w:r>
            <w:r>
              <w:rPr>
                <w:rFonts w:hint="eastAsia" w:ascii="宋体" w:hAnsi="宋体"/>
                <w:color w:val="auto"/>
                <w:szCs w:val="21"/>
                <w:highlight w:val="none"/>
              </w:rPr>
              <w:t>能够正确理解本项目的建设意图，对项目的特点理解透彻，设计目标明确</w:t>
            </w:r>
            <w:r>
              <w:rPr>
                <w:rFonts w:hint="eastAsia"/>
                <w:color w:val="auto"/>
                <w:highlight w:val="none"/>
              </w:rPr>
              <w:t>。</w:t>
            </w:r>
          </w:p>
          <w:p>
            <w:pPr>
              <w:pStyle w:val="2"/>
              <w:ind w:left="0" w:leftChars="0"/>
              <w:rPr>
                <w:color w:val="auto"/>
                <w:highlight w:val="none"/>
              </w:rPr>
            </w:pPr>
            <w:r>
              <w:rPr>
                <w:rFonts w:hint="eastAsia"/>
                <w:color w:val="auto"/>
                <w:highlight w:val="none"/>
              </w:rPr>
              <w:t>良：</w:t>
            </w:r>
            <w:r>
              <w:rPr>
                <w:rFonts w:hint="eastAsia" w:ascii="宋体" w:hAnsi="宋体"/>
                <w:color w:val="auto"/>
                <w:szCs w:val="21"/>
                <w:highlight w:val="none"/>
              </w:rPr>
              <w:t>能较准确地理解本项目的建设意图及项目特点，设计目标较明确</w:t>
            </w:r>
            <w:r>
              <w:rPr>
                <w:rFonts w:hint="eastAsia"/>
                <w:color w:val="auto"/>
                <w:highlight w:val="none"/>
              </w:rPr>
              <w:t>。</w:t>
            </w:r>
          </w:p>
          <w:p>
            <w:pPr>
              <w:pStyle w:val="2"/>
              <w:ind w:left="0" w:leftChars="0"/>
              <w:rPr>
                <w:color w:val="auto"/>
                <w:highlight w:val="none"/>
              </w:rPr>
            </w:pPr>
            <w:r>
              <w:rPr>
                <w:rFonts w:hint="eastAsia"/>
                <w:color w:val="auto"/>
                <w:highlight w:val="none"/>
              </w:rPr>
              <w:t>中：</w:t>
            </w:r>
            <w:r>
              <w:rPr>
                <w:rFonts w:hint="eastAsia" w:ascii="宋体" w:hAnsi="宋体"/>
                <w:color w:val="auto"/>
                <w:szCs w:val="21"/>
                <w:highlight w:val="none"/>
              </w:rPr>
              <w:t>基本理解本项目的建设意图及项目特点，设计目标基本明确</w:t>
            </w:r>
            <w:r>
              <w:rPr>
                <w:rFonts w:hint="eastAsia"/>
                <w:color w:val="auto"/>
                <w:highlight w:val="none"/>
              </w:rPr>
              <w:t>。</w:t>
            </w:r>
          </w:p>
          <w:p>
            <w:pPr>
              <w:pStyle w:val="2"/>
              <w:ind w:left="0" w:leftChars="0"/>
              <w:rPr>
                <w:color w:val="auto"/>
                <w:highlight w:val="none"/>
              </w:rPr>
            </w:pPr>
            <w:r>
              <w:rPr>
                <w:rFonts w:hint="eastAsia"/>
                <w:color w:val="auto"/>
                <w:highlight w:val="none"/>
              </w:rPr>
              <w:t>差：对</w:t>
            </w:r>
            <w:r>
              <w:rPr>
                <w:rFonts w:hint="eastAsia" w:ascii="宋体" w:hAnsi="宋体"/>
                <w:color w:val="auto"/>
                <w:szCs w:val="21"/>
                <w:highlight w:val="none"/>
              </w:rPr>
              <w:t>本项目的建设意图及项目特点理解</w:t>
            </w:r>
            <w:r>
              <w:rPr>
                <w:rFonts w:hint="eastAsia"/>
                <w:color w:val="auto"/>
                <w:highlight w:val="none"/>
              </w:rPr>
              <w:t>较差，</w:t>
            </w:r>
            <w:r>
              <w:rPr>
                <w:rFonts w:hint="eastAsia" w:ascii="宋体" w:hAnsi="宋体"/>
                <w:color w:val="auto"/>
                <w:szCs w:val="21"/>
                <w:highlight w:val="none"/>
              </w:rPr>
              <w:t>设计目标</w:t>
            </w:r>
            <w:r>
              <w:rPr>
                <w:rFonts w:hint="eastAsia"/>
                <w:color w:val="auto"/>
                <w:highlight w:val="none"/>
              </w:rPr>
              <w:t>描述不清。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972" w:type="dxa"/>
            <w:vMerge w:val="continue"/>
            <w:vAlign w:val="center"/>
          </w:tcPr>
          <w:p>
            <w:pPr>
              <w:jc w:val="center"/>
              <w:rPr>
                <w:rFonts w:ascii="宋体" w:hAnsi="宋体"/>
                <w:color w:val="auto"/>
                <w:szCs w:val="21"/>
                <w:highlight w:val="none"/>
              </w:rPr>
            </w:pPr>
          </w:p>
        </w:tc>
        <w:tc>
          <w:tcPr>
            <w:tcW w:w="1342" w:type="dxa"/>
            <w:vAlign w:val="center"/>
          </w:tcPr>
          <w:p>
            <w:pPr>
              <w:jc w:val="center"/>
              <w:rPr>
                <w:rFonts w:ascii="宋体" w:hAnsi="宋体"/>
                <w:color w:val="auto"/>
                <w:szCs w:val="21"/>
                <w:highlight w:val="none"/>
              </w:rPr>
            </w:pPr>
            <w:r>
              <w:rPr>
                <w:rFonts w:hint="eastAsia" w:ascii="宋体" w:hAnsi="宋体"/>
                <w:color w:val="auto"/>
                <w:szCs w:val="21"/>
                <w:highlight w:val="none"/>
              </w:rPr>
              <w:t>组织架构</w:t>
            </w:r>
          </w:p>
        </w:tc>
        <w:tc>
          <w:tcPr>
            <w:tcW w:w="922" w:type="dxa"/>
            <w:vAlign w:val="center"/>
          </w:tcPr>
          <w:p>
            <w:pPr>
              <w:jc w:val="center"/>
              <w:rPr>
                <w:rFonts w:ascii="宋体" w:hAnsi="宋体"/>
                <w:color w:val="auto"/>
                <w:szCs w:val="21"/>
                <w:highlight w:val="none"/>
              </w:rPr>
            </w:pPr>
            <w:bookmarkStart w:id="146" w:name="OLE_LINK5"/>
            <w:r>
              <w:rPr>
                <w:rFonts w:hint="eastAsia" w:ascii="宋体" w:hAnsi="宋体"/>
                <w:color w:val="auto"/>
                <w:szCs w:val="21"/>
                <w:highlight w:val="none"/>
              </w:rPr>
              <w:t>[2]</w:t>
            </w:r>
            <w:bookmarkEnd w:id="146"/>
          </w:p>
        </w:tc>
        <w:tc>
          <w:tcPr>
            <w:tcW w:w="8651" w:type="dxa"/>
            <w:vAlign w:val="center"/>
          </w:tcPr>
          <w:p>
            <w:pPr>
              <w:rPr>
                <w:rFonts w:ascii="宋体" w:hAnsi="宋体"/>
                <w:color w:val="auto"/>
                <w:szCs w:val="21"/>
                <w:highlight w:val="none"/>
              </w:rPr>
            </w:pPr>
            <w:r>
              <w:rPr>
                <w:rFonts w:hint="eastAsia" w:ascii="宋体" w:hAnsi="宋体"/>
                <w:color w:val="auto"/>
                <w:szCs w:val="21"/>
                <w:highlight w:val="none"/>
              </w:rPr>
              <w:t>了解项目总体情况，编制合理的组织架构，满足项目需要。</w:t>
            </w:r>
          </w:p>
          <w:p>
            <w:pPr>
              <w:pStyle w:val="2"/>
              <w:ind w:left="0" w:leftChars="0"/>
              <w:rPr>
                <w:rFonts w:ascii="宋体" w:hAnsi="宋体"/>
                <w:color w:val="auto"/>
                <w:szCs w:val="21"/>
                <w:highlight w:val="none"/>
              </w:rPr>
            </w:pPr>
            <w:r>
              <w:rPr>
                <w:rFonts w:hint="eastAsia" w:ascii="宋体" w:hAnsi="宋体"/>
                <w:color w:val="auto"/>
                <w:szCs w:val="21"/>
                <w:highlight w:val="none"/>
              </w:rPr>
              <w:t>评分标准：【优】得2分；【良】得1.</w:t>
            </w:r>
            <w:r>
              <w:rPr>
                <w:rFonts w:ascii="宋体" w:hAnsi="宋体"/>
                <w:color w:val="auto"/>
                <w:szCs w:val="21"/>
                <w:highlight w:val="none"/>
              </w:rPr>
              <w:t>5</w:t>
            </w:r>
            <w:r>
              <w:rPr>
                <w:rFonts w:hint="eastAsia" w:ascii="宋体" w:hAnsi="宋体"/>
                <w:color w:val="auto"/>
                <w:szCs w:val="21"/>
                <w:highlight w:val="none"/>
              </w:rPr>
              <w:t>分；【中】得1分；【差】得0.5分，</w:t>
            </w:r>
            <w:bookmarkStart w:id="147" w:name="OLE_LINK6"/>
            <w:r>
              <w:rPr>
                <w:rFonts w:hint="eastAsia" w:ascii="宋体" w:hAnsi="宋体"/>
                <w:color w:val="auto"/>
                <w:szCs w:val="21"/>
                <w:highlight w:val="none"/>
              </w:rPr>
              <w:t>无相关内容，得0分。</w:t>
            </w:r>
            <w:bookmarkEnd w:id="147"/>
          </w:p>
          <w:p>
            <w:pPr>
              <w:pStyle w:val="2"/>
              <w:ind w:left="0" w:leftChars="0"/>
              <w:rPr>
                <w:color w:val="auto"/>
                <w:highlight w:val="none"/>
              </w:rPr>
            </w:pPr>
            <w:r>
              <w:rPr>
                <w:rFonts w:hint="eastAsia"/>
                <w:color w:val="auto"/>
                <w:highlight w:val="none"/>
              </w:rPr>
              <w:t>评审标准：</w:t>
            </w:r>
          </w:p>
          <w:p>
            <w:pPr>
              <w:pStyle w:val="2"/>
              <w:ind w:left="0" w:leftChars="0"/>
              <w:rPr>
                <w:color w:val="auto"/>
                <w:highlight w:val="none"/>
              </w:rPr>
            </w:pPr>
            <w:r>
              <w:rPr>
                <w:rFonts w:hint="eastAsia"/>
                <w:color w:val="auto"/>
                <w:highlight w:val="none"/>
              </w:rPr>
              <w:t>优：对</w:t>
            </w:r>
            <w:r>
              <w:rPr>
                <w:rFonts w:hint="eastAsia" w:ascii="宋体" w:hAnsi="宋体"/>
                <w:color w:val="auto"/>
                <w:szCs w:val="21"/>
                <w:highlight w:val="none"/>
              </w:rPr>
              <w:t>项目总体情况了解全面，编制的组织架构科学合理，完全满足项目需要</w:t>
            </w:r>
            <w:r>
              <w:rPr>
                <w:rFonts w:hint="eastAsia"/>
                <w:color w:val="auto"/>
                <w:highlight w:val="none"/>
              </w:rPr>
              <w:t>。</w:t>
            </w:r>
          </w:p>
          <w:p>
            <w:pPr>
              <w:pStyle w:val="2"/>
              <w:ind w:left="0" w:leftChars="0"/>
              <w:rPr>
                <w:color w:val="auto"/>
                <w:highlight w:val="none"/>
              </w:rPr>
            </w:pPr>
            <w:r>
              <w:rPr>
                <w:rFonts w:hint="eastAsia"/>
                <w:color w:val="auto"/>
                <w:highlight w:val="none"/>
              </w:rPr>
              <w:t>良：对</w:t>
            </w:r>
            <w:r>
              <w:rPr>
                <w:rFonts w:hint="eastAsia" w:ascii="宋体" w:hAnsi="宋体"/>
                <w:color w:val="auto"/>
                <w:szCs w:val="21"/>
                <w:highlight w:val="none"/>
              </w:rPr>
              <w:t>项目总体情况了解较为全面，编制的组织架构合理可行，能较好地满足项目需要</w:t>
            </w:r>
            <w:r>
              <w:rPr>
                <w:rFonts w:hint="eastAsia"/>
                <w:color w:val="auto"/>
                <w:highlight w:val="none"/>
              </w:rPr>
              <w:t>。</w:t>
            </w:r>
          </w:p>
          <w:p>
            <w:pPr>
              <w:pStyle w:val="2"/>
              <w:ind w:left="0" w:leftChars="0"/>
              <w:rPr>
                <w:color w:val="auto"/>
                <w:highlight w:val="none"/>
              </w:rPr>
            </w:pPr>
            <w:r>
              <w:rPr>
                <w:rFonts w:hint="eastAsia"/>
                <w:color w:val="auto"/>
                <w:highlight w:val="none"/>
              </w:rPr>
              <w:t>中：对</w:t>
            </w:r>
            <w:r>
              <w:rPr>
                <w:rFonts w:hint="eastAsia" w:ascii="宋体" w:hAnsi="宋体"/>
                <w:color w:val="auto"/>
                <w:szCs w:val="21"/>
                <w:highlight w:val="none"/>
              </w:rPr>
              <w:t>项目总体情况有基本了解，编制的组织架构存在小量缺陷，能基本满足项目需要</w:t>
            </w:r>
            <w:r>
              <w:rPr>
                <w:rFonts w:hint="eastAsia"/>
                <w:color w:val="auto"/>
                <w:highlight w:val="none"/>
              </w:rPr>
              <w:t>。</w:t>
            </w:r>
          </w:p>
          <w:p>
            <w:pPr>
              <w:rPr>
                <w:rFonts w:ascii="宋体" w:hAnsi="宋体"/>
                <w:color w:val="auto"/>
                <w:szCs w:val="21"/>
                <w:highlight w:val="none"/>
              </w:rPr>
            </w:pPr>
            <w:r>
              <w:rPr>
                <w:rFonts w:hint="eastAsia"/>
                <w:color w:val="auto"/>
                <w:highlight w:val="none"/>
              </w:rPr>
              <w:t>差：对</w:t>
            </w:r>
            <w:r>
              <w:rPr>
                <w:rFonts w:hint="eastAsia" w:ascii="宋体" w:hAnsi="宋体"/>
                <w:color w:val="auto"/>
                <w:szCs w:val="21"/>
                <w:highlight w:val="none"/>
              </w:rPr>
              <w:t>项目总体情况了解程度</w:t>
            </w:r>
            <w:r>
              <w:rPr>
                <w:rFonts w:hint="eastAsia"/>
                <w:color w:val="auto"/>
                <w:highlight w:val="none"/>
              </w:rPr>
              <w:t>差，</w:t>
            </w:r>
            <w:r>
              <w:rPr>
                <w:rFonts w:hint="eastAsia" w:ascii="宋体" w:hAnsi="宋体"/>
                <w:color w:val="auto"/>
                <w:szCs w:val="21"/>
                <w:highlight w:val="none"/>
              </w:rPr>
              <w:t>缺少组织架构或组织架构编制不合理，仅小部分满足项目需要。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72"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第三章 现状调研与分析</w:t>
            </w:r>
          </w:p>
        </w:tc>
        <w:tc>
          <w:tcPr>
            <w:tcW w:w="1342" w:type="dxa"/>
            <w:vAlign w:val="center"/>
          </w:tcPr>
          <w:p>
            <w:pPr>
              <w:jc w:val="center"/>
              <w:rPr>
                <w:rFonts w:ascii="宋体" w:hAnsi="宋体"/>
                <w:color w:val="auto"/>
                <w:szCs w:val="21"/>
                <w:highlight w:val="none"/>
              </w:rPr>
            </w:pPr>
            <w:r>
              <w:rPr>
                <w:rFonts w:hint="eastAsia" w:ascii="宋体" w:hAnsi="宋体"/>
                <w:color w:val="auto"/>
                <w:szCs w:val="21"/>
                <w:highlight w:val="none"/>
              </w:rPr>
              <w:t>现状调研</w:t>
            </w:r>
          </w:p>
        </w:tc>
        <w:tc>
          <w:tcPr>
            <w:tcW w:w="922" w:type="dxa"/>
            <w:vAlign w:val="center"/>
          </w:tcPr>
          <w:p>
            <w:pPr>
              <w:jc w:val="center"/>
              <w:rPr>
                <w:rFonts w:ascii="宋体" w:hAnsi="宋体"/>
                <w:color w:val="auto"/>
                <w:szCs w:val="21"/>
                <w:highlight w:val="none"/>
              </w:rPr>
            </w:pPr>
            <w:r>
              <w:rPr>
                <w:rFonts w:hint="eastAsia" w:ascii="宋体" w:hAnsi="宋体"/>
                <w:color w:val="auto"/>
                <w:szCs w:val="21"/>
                <w:highlight w:val="none"/>
              </w:rPr>
              <w:t>[20]</w:t>
            </w:r>
          </w:p>
        </w:tc>
        <w:tc>
          <w:tcPr>
            <w:tcW w:w="8651" w:type="dxa"/>
            <w:vAlign w:val="center"/>
          </w:tcPr>
          <w:p>
            <w:pPr>
              <w:rPr>
                <w:rFonts w:ascii="宋体" w:hAnsi="宋体"/>
                <w:color w:val="auto"/>
                <w:szCs w:val="21"/>
                <w:highlight w:val="none"/>
              </w:rPr>
            </w:pPr>
            <w:r>
              <w:rPr>
                <w:rFonts w:hint="eastAsia" w:ascii="宋体" w:hAnsi="宋体"/>
                <w:color w:val="auto"/>
                <w:szCs w:val="21"/>
                <w:highlight w:val="none"/>
              </w:rPr>
              <w:t>正确理解并执行规划建设意图，对项目现状摸查充分，调研详尽，形成调研成果，充分体现项目现状全貌。</w:t>
            </w:r>
          </w:p>
          <w:p>
            <w:pPr>
              <w:pStyle w:val="2"/>
              <w:ind w:left="0" w:leftChars="0"/>
              <w:rPr>
                <w:rFonts w:ascii="宋体" w:hAnsi="宋体"/>
                <w:color w:val="auto"/>
                <w:szCs w:val="21"/>
                <w:highlight w:val="none"/>
              </w:rPr>
            </w:pPr>
            <w:r>
              <w:rPr>
                <w:rFonts w:hint="eastAsia" w:ascii="宋体" w:hAnsi="宋体"/>
                <w:color w:val="auto"/>
                <w:szCs w:val="21"/>
                <w:highlight w:val="none"/>
              </w:rPr>
              <w:t>评分标准：【优】得20分；【良】得15分；【中】得10分；【差】得5分，无相关内容，得0分。</w:t>
            </w:r>
          </w:p>
          <w:p>
            <w:pPr>
              <w:pStyle w:val="2"/>
              <w:ind w:left="0" w:leftChars="0"/>
              <w:rPr>
                <w:color w:val="auto"/>
                <w:highlight w:val="none"/>
              </w:rPr>
            </w:pPr>
            <w:r>
              <w:rPr>
                <w:rFonts w:hint="eastAsia"/>
                <w:color w:val="auto"/>
                <w:highlight w:val="none"/>
              </w:rPr>
              <w:t>评审标准：</w:t>
            </w:r>
          </w:p>
          <w:p>
            <w:pPr>
              <w:rPr>
                <w:color w:val="auto"/>
                <w:highlight w:val="none"/>
              </w:rPr>
            </w:pPr>
            <w:r>
              <w:rPr>
                <w:rFonts w:hint="eastAsia"/>
                <w:color w:val="auto"/>
                <w:highlight w:val="none"/>
              </w:rPr>
              <w:t>优：</w:t>
            </w:r>
            <w:r>
              <w:rPr>
                <w:rFonts w:hint="eastAsia" w:ascii="宋体" w:hAnsi="宋体"/>
                <w:color w:val="auto"/>
                <w:szCs w:val="21"/>
                <w:highlight w:val="none"/>
              </w:rPr>
              <w:t>正确理解并执行规划建设意图，对项目现状摸查充分，调研全面详尽，形成调研的成果能充分体现项目现状全貌。</w:t>
            </w:r>
          </w:p>
          <w:p>
            <w:pPr>
              <w:pStyle w:val="2"/>
              <w:ind w:left="0" w:leftChars="0"/>
              <w:rPr>
                <w:color w:val="auto"/>
                <w:highlight w:val="none"/>
              </w:rPr>
            </w:pPr>
            <w:r>
              <w:rPr>
                <w:rFonts w:hint="eastAsia"/>
                <w:color w:val="auto"/>
                <w:highlight w:val="none"/>
              </w:rPr>
              <w:t>良：能较好地</w:t>
            </w:r>
            <w:r>
              <w:rPr>
                <w:rFonts w:hint="eastAsia" w:ascii="宋体" w:hAnsi="宋体"/>
                <w:color w:val="auto"/>
                <w:szCs w:val="21"/>
                <w:highlight w:val="none"/>
              </w:rPr>
              <w:t>理解并执行规划建设意图，对项目现状摸查较为充分，调研较全面，形成的调研成果能够较好地体现项目现状全貌</w:t>
            </w:r>
            <w:r>
              <w:rPr>
                <w:rFonts w:hint="eastAsia"/>
                <w:color w:val="auto"/>
                <w:highlight w:val="none"/>
              </w:rPr>
              <w:t>。</w:t>
            </w:r>
          </w:p>
          <w:p>
            <w:pPr>
              <w:pStyle w:val="2"/>
              <w:ind w:left="0" w:leftChars="0"/>
              <w:rPr>
                <w:color w:val="auto"/>
                <w:highlight w:val="none"/>
              </w:rPr>
            </w:pPr>
            <w:r>
              <w:rPr>
                <w:rFonts w:hint="eastAsia"/>
                <w:color w:val="auto"/>
                <w:highlight w:val="none"/>
              </w:rPr>
              <w:t>中：对</w:t>
            </w:r>
            <w:r>
              <w:rPr>
                <w:rFonts w:hint="eastAsia" w:ascii="宋体" w:hAnsi="宋体"/>
                <w:color w:val="auto"/>
                <w:szCs w:val="21"/>
                <w:highlight w:val="none"/>
              </w:rPr>
              <w:t>规划建设意图理解和执行存在部分不足，对项目现状摸查不充分，有进行部分调研，形成调研的成果能基本体现项目现状全貌</w:t>
            </w:r>
            <w:r>
              <w:rPr>
                <w:rFonts w:hint="eastAsia"/>
                <w:color w:val="auto"/>
                <w:highlight w:val="none"/>
              </w:rPr>
              <w:t>。</w:t>
            </w:r>
          </w:p>
          <w:p>
            <w:pPr>
              <w:rPr>
                <w:rFonts w:ascii="宋体" w:hAnsi="宋体"/>
                <w:color w:val="auto"/>
                <w:szCs w:val="21"/>
                <w:highlight w:val="none"/>
              </w:rPr>
            </w:pPr>
            <w:r>
              <w:rPr>
                <w:rFonts w:hint="eastAsia"/>
                <w:color w:val="auto"/>
                <w:highlight w:val="none"/>
              </w:rPr>
              <w:t>差：</w:t>
            </w:r>
            <w:r>
              <w:rPr>
                <w:rFonts w:hint="eastAsia" w:ascii="宋体" w:hAnsi="宋体"/>
                <w:color w:val="auto"/>
                <w:szCs w:val="21"/>
                <w:highlight w:val="none"/>
              </w:rPr>
              <w:t>对规划建设意图理解有偏差或未能执行执行规划建设意图，未对项目现状进行摸查，调研简略且无调研成果，无法体现项目现状全貌。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72" w:type="dxa"/>
            <w:vMerge w:val="continue"/>
            <w:vAlign w:val="center"/>
          </w:tcPr>
          <w:p>
            <w:pPr>
              <w:jc w:val="center"/>
              <w:rPr>
                <w:rFonts w:ascii="宋体" w:hAnsi="宋体"/>
                <w:color w:val="auto"/>
                <w:szCs w:val="21"/>
                <w:highlight w:val="none"/>
              </w:rPr>
            </w:pPr>
          </w:p>
        </w:tc>
        <w:tc>
          <w:tcPr>
            <w:tcW w:w="1342" w:type="dxa"/>
            <w:vAlign w:val="center"/>
          </w:tcPr>
          <w:p>
            <w:pPr>
              <w:jc w:val="center"/>
              <w:rPr>
                <w:rFonts w:ascii="宋体" w:hAnsi="宋体"/>
                <w:color w:val="auto"/>
                <w:szCs w:val="21"/>
                <w:highlight w:val="none"/>
              </w:rPr>
            </w:pPr>
            <w:r>
              <w:rPr>
                <w:rFonts w:hint="eastAsia" w:ascii="宋体" w:hAnsi="宋体"/>
                <w:color w:val="auto"/>
                <w:szCs w:val="21"/>
                <w:highlight w:val="none"/>
              </w:rPr>
              <w:t>可行性分析</w:t>
            </w:r>
          </w:p>
        </w:tc>
        <w:tc>
          <w:tcPr>
            <w:tcW w:w="922"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8651" w:type="dxa"/>
            <w:vAlign w:val="center"/>
          </w:tcPr>
          <w:p>
            <w:pPr>
              <w:rPr>
                <w:rFonts w:ascii="宋体" w:hAnsi="宋体"/>
                <w:color w:val="auto"/>
                <w:szCs w:val="21"/>
                <w:highlight w:val="none"/>
              </w:rPr>
            </w:pPr>
            <w:r>
              <w:rPr>
                <w:rFonts w:hint="eastAsia" w:ascii="宋体" w:hAnsi="宋体"/>
                <w:color w:val="auto"/>
                <w:szCs w:val="21"/>
                <w:highlight w:val="none"/>
              </w:rPr>
              <w:t>从经济、社会、生态等多方面对项目建设的可行性进行全面分析和评价。</w:t>
            </w:r>
          </w:p>
          <w:p>
            <w:pPr>
              <w:pStyle w:val="2"/>
              <w:ind w:left="0" w:leftChars="0"/>
              <w:rPr>
                <w:rFonts w:ascii="宋体" w:hAnsi="宋体"/>
                <w:color w:val="auto"/>
                <w:szCs w:val="21"/>
                <w:highlight w:val="none"/>
              </w:rPr>
            </w:pPr>
            <w:bookmarkStart w:id="148" w:name="OLE_LINK7"/>
            <w:r>
              <w:rPr>
                <w:rFonts w:hint="eastAsia" w:ascii="宋体" w:hAnsi="宋体"/>
                <w:color w:val="auto"/>
                <w:szCs w:val="21"/>
                <w:highlight w:val="none"/>
              </w:rPr>
              <w:t>评分标准：【优】得4分；【良】得3分；【中】得2分；【差】得1分，无相关内容，得0分。</w:t>
            </w:r>
            <w:bookmarkEnd w:id="148"/>
          </w:p>
          <w:p>
            <w:pPr>
              <w:pStyle w:val="2"/>
              <w:ind w:left="0" w:leftChars="0"/>
              <w:rPr>
                <w:color w:val="auto"/>
                <w:highlight w:val="none"/>
              </w:rPr>
            </w:pPr>
            <w:r>
              <w:rPr>
                <w:rFonts w:hint="eastAsia"/>
                <w:color w:val="auto"/>
                <w:highlight w:val="none"/>
              </w:rPr>
              <w:t>评审标准：</w:t>
            </w:r>
          </w:p>
          <w:p>
            <w:pPr>
              <w:rPr>
                <w:color w:val="auto"/>
                <w:highlight w:val="none"/>
              </w:rPr>
            </w:pPr>
            <w:r>
              <w:rPr>
                <w:rFonts w:hint="eastAsia"/>
                <w:color w:val="auto"/>
                <w:highlight w:val="none"/>
              </w:rPr>
              <w:t>优：</w:t>
            </w:r>
            <w:r>
              <w:rPr>
                <w:rFonts w:hint="eastAsia" w:ascii="宋体" w:hAnsi="宋体"/>
                <w:color w:val="auto"/>
                <w:szCs w:val="21"/>
                <w:highlight w:val="none"/>
              </w:rPr>
              <w:t>对项目建设的可行性能够从经济、社会、生态等多方面进行全面分析和评价，内容全面详尽，科学合理，可行性强。</w:t>
            </w:r>
          </w:p>
          <w:p>
            <w:pPr>
              <w:pStyle w:val="2"/>
              <w:ind w:left="0" w:leftChars="0"/>
              <w:rPr>
                <w:color w:val="auto"/>
                <w:highlight w:val="none"/>
              </w:rPr>
            </w:pPr>
            <w:r>
              <w:rPr>
                <w:rFonts w:hint="eastAsia"/>
                <w:color w:val="auto"/>
                <w:highlight w:val="none"/>
              </w:rPr>
              <w:t>良：</w:t>
            </w:r>
            <w:r>
              <w:rPr>
                <w:rFonts w:hint="eastAsia" w:ascii="宋体" w:hAnsi="宋体"/>
                <w:color w:val="auto"/>
                <w:szCs w:val="21"/>
                <w:highlight w:val="none"/>
              </w:rPr>
              <w:t>对项目建设的可行性能从经济、社会、生态等多方面进行分析和评价，内容较全面，较为合理可行</w:t>
            </w:r>
            <w:r>
              <w:rPr>
                <w:rFonts w:hint="eastAsia"/>
                <w:color w:val="auto"/>
                <w:highlight w:val="none"/>
              </w:rPr>
              <w:t>。</w:t>
            </w:r>
          </w:p>
          <w:p>
            <w:pPr>
              <w:pStyle w:val="2"/>
              <w:ind w:left="0" w:leftChars="0"/>
              <w:rPr>
                <w:color w:val="auto"/>
                <w:highlight w:val="none"/>
              </w:rPr>
            </w:pPr>
            <w:r>
              <w:rPr>
                <w:rFonts w:hint="eastAsia"/>
                <w:color w:val="auto"/>
                <w:highlight w:val="none"/>
              </w:rPr>
              <w:t>中：基本能</w:t>
            </w:r>
            <w:r>
              <w:rPr>
                <w:rFonts w:hint="eastAsia" w:ascii="宋体" w:hAnsi="宋体"/>
                <w:color w:val="auto"/>
                <w:szCs w:val="21"/>
                <w:highlight w:val="none"/>
              </w:rPr>
              <w:t>对项目建设的可行性从经济、社会、生态等部分方面进行分析和评价，</w:t>
            </w:r>
            <w:r>
              <w:rPr>
                <w:rFonts w:hint="eastAsia"/>
                <w:color w:val="auto"/>
                <w:highlight w:val="none"/>
              </w:rPr>
              <w:t>内容基本合理，但部分内容可行性分析有缺陷。</w:t>
            </w:r>
          </w:p>
          <w:p>
            <w:pPr>
              <w:rPr>
                <w:rFonts w:ascii="宋体" w:hAnsi="宋体"/>
                <w:color w:val="auto"/>
                <w:szCs w:val="21"/>
                <w:highlight w:val="none"/>
              </w:rPr>
            </w:pPr>
            <w:r>
              <w:rPr>
                <w:rFonts w:hint="eastAsia"/>
                <w:color w:val="auto"/>
                <w:highlight w:val="none"/>
              </w:rPr>
              <w:t>差：</w:t>
            </w:r>
            <w:r>
              <w:rPr>
                <w:rFonts w:hint="eastAsia" w:ascii="宋体" w:hAnsi="宋体"/>
                <w:color w:val="auto"/>
                <w:szCs w:val="21"/>
                <w:highlight w:val="none"/>
              </w:rPr>
              <w:t>对项目建设的可行性仅能从单个方面进行分析和评价，</w:t>
            </w:r>
            <w:r>
              <w:rPr>
                <w:rFonts w:hint="eastAsia"/>
                <w:color w:val="auto"/>
                <w:highlight w:val="none"/>
              </w:rPr>
              <w:t>内容不全面且不合理，可行性分析和评价内容有重大缺陷</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972"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第四章 设计方案</w:t>
            </w:r>
          </w:p>
        </w:tc>
        <w:tc>
          <w:tcPr>
            <w:tcW w:w="1342" w:type="dxa"/>
            <w:vAlign w:val="center"/>
          </w:tcPr>
          <w:p>
            <w:pPr>
              <w:jc w:val="center"/>
              <w:rPr>
                <w:rFonts w:ascii="宋体" w:hAnsi="宋体"/>
                <w:color w:val="auto"/>
                <w:szCs w:val="21"/>
                <w:highlight w:val="none"/>
              </w:rPr>
            </w:pPr>
            <w:r>
              <w:rPr>
                <w:rFonts w:hint="eastAsia" w:ascii="宋体" w:hAnsi="宋体"/>
                <w:color w:val="auto"/>
                <w:szCs w:val="21"/>
                <w:highlight w:val="none"/>
              </w:rPr>
              <w:t>规划理解</w:t>
            </w:r>
          </w:p>
        </w:tc>
        <w:tc>
          <w:tcPr>
            <w:tcW w:w="922" w:type="dxa"/>
            <w:vAlign w:val="center"/>
          </w:tcPr>
          <w:p>
            <w:pPr>
              <w:jc w:val="center"/>
              <w:rPr>
                <w:rFonts w:ascii="宋体" w:hAnsi="宋体"/>
                <w:color w:val="auto"/>
                <w:szCs w:val="21"/>
                <w:highlight w:val="none"/>
              </w:rPr>
            </w:pPr>
            <w:bookmarkStart w:id="149" w:name="OLE_LINK8"/>
            <w:r>
              <w:rPr>
                <w:rFonts w:hint="eastAsia" w:ascii="宋体" w:hAnsi="宋体"/>
                <w:color w:val="auto"/>
                <w:szCs w:val="21"/>
                <w:highlight w:val="none"/>
              </w:rPr>
              <w:t>[15]</w:t>
            </w:r>
            <w:bookmarkEnd w:id="149"/>
          </w:p>
        </w:tc>
        <w:tc>
          <w:tcPr>
            <w:tcW w:w="8651" w:type="dxa"/>
            <w:vAlign w:val="center"/>
          </w:tcPr>
          <w:p>
            <w:pPr>
              <w:rPr>
                <w:rFonts w:ascii="宋体" w:hAnsi="宋体"/>
                <w:color w:val="auto"/>
                <w:szCs w:val="21"/>
                <w:highlight w:val="none"/>
              </w:rPr>
            </w:pPr>
            <w:r>
              <w:rPr>
                <w:rFonts w:hint="eastAsia" w:ascii="宋体" w:hAnsi="宋体"/>
                <w:color w:val="auto"/>
                <w:szCs w:val="21"/>
                <w:highlight w:val="none"/>
              </w:rPr>
              <w:t>深刻把握上位规划核心意图，精准界定项目总体目标与战略定位。注重与周边区域的协同发展，系统性整合与优化各类设计要素。景观规划方案须有效落实国家相关政策和战略规划，确保其兼具科学性与前瞻性。</w:t>
            </w:r>
          </w:p>
          <w:p>
            <w:pPr>
              <w:pStyle w:val="2"/>
              <w:ind w:left="0" w:leftChars="0"/>
              <w:rPr>
                <w:rFonts w:ascii="宋体" w:hAnsi="宋体"/>
                <w:color w:val="auto"/>
                <w:szCs w:val="21"/>
                <w:highlight w:val="none"/>
              </w:rPr>
            </w:pPr>
            <w:r>
              <w:rPr>
                <w:rFonts w:hint="eastAsia" w:ascii="宋体" w:hAnsi="宋体"/>
                <w:color w:val="auto"/>
                <w:szCs w:val="21"/>
                <w:highlight w:val="none"/>
              </w:rPr>
              <w:t>评分标准：【优】得15分；【良】得11分；【中】得7分；【差】得3分，无相关内容，得0分。</w:t>
            </w:r>
          </w:p>
          <w:p>
            <w:pPr>
              <w:pStyle w:val="2"/>
              <w:ind w:left="0" w:leftChars="0"/>
              <w:rPr>
                <w:color w:val="auto"/>
                <w:highlight w:val="none"/>
              </w:rPr>
            </w:pPr>
            <w:r>
              <w:rPr>
                <w:rFonts w:hint="eastAsia"/>
                <w:color w:val="auto"/>
                <w:highlight w:val="none"/>
              </w:rPr>
              <w:t>评审标准：</w:t>
            </w:r>
          </w:p>
          <w:p>
            <w:pPr>
              <w:rPr>
                <w:color w:val="auto"/>
                <w:highlight w:val="none"/>
              </w:rPr>
            </w:pPr>
            <w:r>
              <w:rPr>
                <w:rFonts w:hint="eastAsia"/>
                <w:color w:val="auto"/>
                <w:highlight w:val="none"/>
              </w:rPr>
              <w:t>优：</w:t>
            </w:r>
            <w:r>
              <w:rPr>
                <w:rFonts w:hint="eastAsia" w:ascii="宋体" w:hAnsi="宋体"/>
                <w:color w:val="auto"/>
                <w:szCs w:val="21"/>
                <w:highlight w:val="none"/>
              </w:rPr>
              <w:t>深刻把握上位规划核心意图，精准界定项目总体目标与战略定位。注重与周边区域的深度协同发展，系统性整合与优化各类设计要素。景观规划方案能够有效落实国家相关政策和战略规划，兼具优秀的科学性与前瞻性。</w:t>
            </w:r>
          </w:p>
          <w:p>
            <w:pPr>
              <w:pStyle w:val="2"/>
              <w:ind w:left="0" w:leftChars="0"/>
              <w:rPr>
                <w:color w:val="auto"/>
                <w:highlight w:val="none"/>
              </w:rPr>
            </w:pPr>
            <w:r>
              <w:rPr>
                <w:rFonts w:hint="eastAsia"/>
                <w:color w:val="auto"/>
                <w:highlight w:val="none"/>
              </w:rPr>
              <w:t>良：</w:t>
            </w:r>
            <w:r>
              <w:rPr>
                <w:rFonts w:hint="eastAsia" w:ascii="宋体" w:hAnsi="宋体"/>
                <w:color w:val="auto"/>
                <w:szCs w:val="21"/>
                <w:highlight w:val="none"/>
              </w:rPr>
              <w:t>能较好地把握上位规划核心意图，能较清晰地界定项目总体目标与战略定位。能够与周边区域形成较好的协同发展，能系统性整合与优化部分设计要素。景观规划方案能够较为准确地落实国家相关政策和战略规划</w:t>
            </w:r>
            <w:r>
              <w:rPr>
                <w:rFonts w:hint="eastAsia"/>
                <w:color w:val="auto"/>
                <w:highlight w:val="none"/>
              </w:rPr>
              <w:t>。</w:t>
            </w:r>
          </w:p>
          <w:p>
            <w:pPr>
              <w:pStyle w:val="2"/>
              <w:ind w:left="0" w:leftChars="0"/>
              <w:rPr>
                <w:color w:val="auto"/>
                <w:highlight w:val="none"/>
              </w:rPr>
            </w:pPr>
            <w:r>
              <w:rPr>
                <w:rFonts w:hint="eastAsia"/>
                <w:color w:val="auto"/>
                <w:highlight w:val="none"/>
              </w:rPr>
              <w:t>中：能</w:t>
            </w:r>
            <w:r>
              <w:rPr>
                <w:rFonts w:hint="eastAsia" w:ascii="宋体" w:hAnsi="宋体"/>
                <w:color w:val="auto"/>
                <w:szCs w:val="21"/>
                <w:highlight w:val="none"/>
              </w:rPr>
              <w:t>基本把握上位规划核心意图，能基本界定项目总体目标与战略定位。能与小部分周边区域形成协同发展，整合与优化各类设计要素存在一定不足。景观规划方案能基本落实国家相关政策和战略规划但有部分缺漏，有一定的科学性与前瞻性</w:t>
            </w:r>
            <w:r>
              <w:rPr>
                <w:rFonts w:hint="eastAsia"/>
                <w:color w:val="auto"/>
                <w:highlight w:val="none"/>
              </w:rPr>
              <w:t>。</w:t>
            </w:r>
          </w:p>
          <w:p>
            <w:pPr>
              <w:rPr>
                <w:rFonts w:ascii="宋体" w:hAnsi="宋体"/>
                <w:color w:val="auto"/>
                <w:szCs w:val="21"/>
                <w:highlight w:val="none"/>
              </w:rPr>
            </w:pPr>
            <w:r>
              <w:rPr>
                <w:rFonts w:hint="eastAsia"/>
                <w:color w:val="auto"/>
                <w:highlight w:val="none"/>
              </w:rPr>
              <w:t>差：</w:t>
            </w:r>
            <w:r>
              <w:rPr>
                <w:rFonts w:hint="eastAsia" w:ascii="宋体" w:hAnsi="宋体"/>
                <w:color w:val="auto"/>
                <w:szCs w:val="21"/>
                <w:highlight w:val="none"/>
              </w:rPr>
              <w:t>上位规划核心意图理解不清晰，项目总体目标与战略定位界定不明确。未能与周边区域形成有效的协同发展，未能有效整合与优化各类设计要素。景观规划方案不能有效落实国家相关政策和战略规划，科学性与前瞻性严重不足</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2972" w:type="dxa"/>
            <w:vMerge w:val="continue"/>
            <w:vAlign w:val="center"/>
          </w:tcPr>
          <w:p>
            <w:pPr>
              <w:jc w:val="center"/>
              <w:rPr>
                <w:rFonts w:ascii="宋体" w:hAnsi="宋体"/>
                <w:color w:val="auto"/>
                <w:szCs w:val="21"/>
                <w:highlight w:val="none"/>
              </w:rPr>
            </w:pPr>
          </w:p>
        </w:tc>
        <w:tc>
          <w:tcPr>
            <w:tcW w:w="1342" w:type="dxa"/>
            <w:vAlign w:val="center"/>
          </w:tcPr>
          <w:p>
            <w:pPr>
              <w:jc w:val="center"/>
              <w:rPr>
                <w:rFonts w:ascii="宋体" w:hAnsi="宋体"/>
                <w:color w:val="auto"/>
                <w:szCs w:val="21"/>
                <w:highlight w:val="none"/>
              </w:rPr>
            </w:pPr>
            <w:r>
              <w:rPr>
                <w:rFonts w:hint="eastAsia" w:ascii="宋体" w:hAnsi="宋体"/>
                <w:color w:val="auto"/>
                <w:szCs w:val="21"/>
                <w:highlight w:val="none"/>
              </w:rPr>
              <w:t>方案设计</w:t>
            </w:r>
          </w:p>
        </w:tc>
        <w:tc>
          <w:tcPr>
            <w:tcW w:w="922" w:type="dxa"/>
            <w:vAlign w:val="center"/>
          </w:tcPr>
          <w:p>
            <w:pPr>
              <w:jc w:val="center"/>
              <w:rPr>
                <w:rFonts w:ascii="宋体" w:hAnsi="宋体"/>
                <w:color w:val="auto"/>
                <w:szCs w:val="21"/>
                <w:highlight w:val="none"/>
              </w:rPr>
            </w:pPr>
            <w:r>
              <w:rPr>
                <w:rFonts w:hint="eastAsia" w:ascii="宋体" w:hAnsi="宋体"/>
                <w:color w:val="auto"/>
                <w:szCs w:val="21"/>
                <w:highlight w:val="none"/>
              </w:rPr>
              <w:t>[40]</w:t>
            </w:r>
          </w:p>
        </w:tc>
        <w:tc>
          <w:tcPr>
            <w:tcW w:w="8651" w:type="dxa"/>
            <w:vAlign w:val="center"/>
          </w:tcPr>
          <w:p>
            <w:pPr>
              <w:rPr>
                <w:rFonts w:ascii="宋体" w:hAnsi="宋体"/>
                <w:color w:val="auto"/>
                <w:szCs w:val="21"/>
                <w:highlight w:val="none"/>
              </w:rPr>
            </w:pPr>
            <w:r>
              <w:rPr>
                <w:rFonts w:hint="eastAsia" w:ascii="宋体" w:hAnsi="宋体"/>
                <w:color w:val="auto"/>
                <w:szCs w:val="21"/>
                <w:highlight w:val="none"/>
              </w:rPr>
              <w:t>设计内容符合招标文件要求，内容全面，表达清楚、思路清晰，图纸质量高。充分理解项目场地与需求，设计方案具有落地性，并能创新性运用前沿技术。对各场地现有生态资源和周边资源分析透彻，利用得当，并能够在设计方案中有所表述。</w:t>
            </w:r>
          </w:p>
          <w:p>
            <w:pPr>
              <w:pStyle w:val="2"/>
              <w:ind w:left="0" w:leftChars="0"/>
              <w:rPr>
                <w:rFonts w:ascii="宋体" w:hAnsi="宋体"/>
                <w:color w:val="auto"/>
                <w:szCs w:val="21"/>
                <w:highlight w:val="none"/>
              </w:rPr>
            </w:pPr>
            <w:r>
              <w:rPr>
                <w:rFonts w:hint="eastAsia" w:ascii="宋体" w:hAnsi="宋体"/>
                <w:color w:val="auto"/>
                <w:szCs w:val="21"/>
                <w:highlight w:val="none"/>
              </w:rPr>
              <w:t>评分标准：【优】得40分；【良】得30分；【中】得20分；【差】得10分，无相关内容，得0分。</w:t>
            </w:r>
          </w:p>
          <w:p>
            <w:pPr>
              <w:pStyle w:val="2"/>
              <w:ind w:left="0" w:leftChars="0"/>
              <w:rPr>
                <w:color w:val="auto"/>
                <w:highlight w:val="none"/>
              </w:rPr>
            </w:pPr>
            <w:r>
              <w:rPr>
                <w:rFonts w:hint="eastAsia"/>
                <w:color w:val="auto"/>
                <w:highlight w:val="none"/>
              </w:rPr>
              <w:t>评审标准：</w:t>
            </w:r>
          </w:p>
          <w:p>
            <w:pPr>
              <w:rPr>
                <w:color w:val="auto"/>
                <w:highlight w:val="none"/>
              </w:rPr>
            </w:pPr>
            <w:r>
              <w:rPr>
                <w:rFonts w:hint="eastAsia"/>
                <w:color w:val="auto"/>
                <w:highlight w:val="none"/>
              </w:rPr>
              <w:t>优：</w:t>
            </w:r>
            <w:r>
              <w:rPr>
                <w:rFonts w:hint="eastAsia" w:ascii="宋体" w:hAnsi="宋体"/>
                <w:color w:val="auto"/>
                <w:szCs w:val="21"/>
                <w:highlight w:val="none"/>
              </w:rPr>
              <w:t>设计内容完全符合招标文件要求，内容全面，表达清楚、思路清晰，图纸质量高。充分理解项目场地与需求，设计方案具有落地性，并能创新性运用前沿技术。对各场地现有生态资源和周边资源分析透彻，且生态资源利用充分得当，并能够在设计方案中有充分具体的表述。</w:t>
            </w:r>
          </w:p>
          <w:p>
            <w:pPr>
              <w:pStyle w:val="2"/>
              <w:ind w:left="0" w:leftChars="0"/>
              <w:rPr>
                <w:color w:val="auto"/>
                <w:highlight w:val="none"/>
              </w:rPr>
            </w:pPr>
            <w:r>
              <w:rPr>
                <w:rFonts w:hint="eastAsia"/>
                <w:color w:val="auto"/>
                <w:highlight w:val="none"/>
              </w:rPr>
              <w:t>良：</w:t>
            </w:r>
            <w:r>
              <w:rPr>
                <w:rFonts w:hint="eastAsia" w:ascii="宋体" w:hAnsi="宋体"/>
                <w:color w:val="auto"/>
                <w:szCs w:val="21"/>
                <w:highlight w:val="none"/>
              </w:rPr>
              <w:t>设计内容较好地符合招标文件要求，内容较为全面，表达较清楚、思路较清晰，图纸质量较高。能够理解项目场地与需求，设计方案具有较好的落地性。对各场地现有生态资源和周边资源分析较为清晰，且生态资源能得到较合理的利用，并能够在设计方案中有一定的表述</w:t>
            </w:r>
            <w:r>
              <w:rPr>
                <w:rFonts w:hint="eastAsia"/>
                <w:color w:val="auto"/>
                <w:highlight w:val="none"/>
              </w:rPr>
              <w:t>。</w:t>
            </w:r>
          </w:p>
          <w:p>
            <w:pPr>
              <w:pStyle w:val="2"/>
              <w:ind w:left="0" w:leftChars="0"/>
              <w:rPr>
                <w:color w:val="auto"/>
                <w:highlight w:val="none"/>
              </w:rPr>
            </w:pPr>
            <w:r>
              <w:rPr>
                <w:rFonts w:hint="eastAsia"/>
                <w:color w:val="auto"/>
                <w:highlight w:val="none"/>
              </w:rPr>
              <w:t>中：</w:t>
            </w:r>
            <w:r>
              <w:rPr>
                <w:rFonts w:hint="eastAsia" w:ascii="宋体" w:hAnsi="宋体"/>
                <w:color w:val="auto"/>
                <w:szCs w:val="21"/>
                <w:highlight w:val="none"/>
              </w:rPr>
              <w:t>设计内容基本符合招标文件要求，内容要素基本具备，表达及思路基本清晰，图纸质量一般。基本理解项目场地与需求，设计方案具有基本的落地性但有一定的缺陷。对各场地现有生态资源和周边资源分析较为浅显，生态资源利用不足，在设计方案中表述较简略</w:t>
            </w:r>
            <w:r>
              <w:rPr>
                <w:rFonts w:hint="eastAsia"/>
                <w:color w:val="auto"/>
                <w:highlight w:val="none"/>
              </w:rPr>
              <w:t>。</w:t>
            </w:r>
          </w:p>
          <w:p>
            <w:pPr>
              <w:rPr>
                <w:rFonts w:ascii="宋体" w:hAnsi="宋体"/>
                <w:color w:val="auto"/>
                <w:szCs w:val="21"/>
                <w:highlight w:val="none"/>
              </w:rPr>
            </w:pPr>
            <w:r>
              <w:rPr>
                <w:rFonts w:hint="eastAsia"/>
                <w:color w:val="auto"/>
                <w:highlight w:val="none"/>
              </w:rPr>
              <w:t>差：</w:t>
            </w:r>
            <w:r>
              <w:rPr>
                <w:rFonts w:hint="eastAsia" w:ascii="宋体" w:hAnsi="宋体"/>
                <w:color w:val="auto"/>
                <w:szCs w:val="21"/>
                <w:highlight w:val="none"/>
              </w:rPr>
              <w:t>设计内容仅小部分符合招标文件要求，内容</w:t>
            </w:r>
            <w:r>
              <w:rPr>
                <w:rFonts w:hint="eastAsia"/>
                <w:color w:val="auto"/>
                <w:highlight w:val="none"/>
              </w:rPr>
              <w:t>不全面</w:t>
            </w:r>
            <w:r>
              <w:rPr>
                <w:rFonts w:hint="eastAsia" w:ascii="宋体" w:hAnsi="宋体"/>
                <w:color w:val="auto"/>
                <w:szCs w:val="21"/>
                <w:highlight w:val="none"/>
              </w:rPr>
              <w:t>，图纸质量差。对项目场地与需求理解有明显偏差，设计方案可行性弱。缺少对各场地现有生态资源和周边资源分析或分析不当，生态资源利用不合理，或设计方案中无相关表述</w:t>
            </w:r>
            <w:r>
              <w:rPr>
                <w:rFonts w:hint="eastAsia"/>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972" w:type="dxa"/>
            <w:vMerge w:val="continue"/>
            <w:vAlign w:val="center"/>
          </w:tcPr>
          <w:p>
            <w:pPr>
              <w:jc w:val="center"/>
              <w:rPr>
                <w:rFonts w:ascii="宋体" w:hAnsi="宋体"/>
                <w:color w:val="auto"/>
                <w:szCs w:val="21"/>
                <w:highlight w:val="none"/>
              </w:rPr>
            </w:pPr>
          </w:p>
        </w:tc>
        <w:tc>
          <w:tcPr>
            <w:tcW w:w="1342" w:type="dxa"/>
            <w:vAlign w:val="center"/>
          </w:tcPr>
          <w:p>
            <w:pPr>
              <w:jc w:val="center"/>
              <w:rPr>
                <w:rFonts w:ascii="宋体" w:hAnsi="宋体"/>
                <w:color w:val="auto"/>
                <w:szCs w:val="21"/>
                <w:highlight w:val="none"/>
              </w:rPr>
            </w:pPr>
            <w:r>
              <w:rPr>
                <w:rFonts w:hint="eastAsia" w:ascii="宋体" w:hAnsi="宋体"/>
                <w:color w:val="auto"/>
                <w:szCs w:val="21"/>
                <w:highlight w:val="none"/>
              </w:rPr>
              <w:t>项目重难点</w:t>
            </w:r>
          </w:p>
        </w:tc>
        <w:tc>
          <w:tcPr>
            <w:tcW w:w="922"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8651" w:type="dxa"/>
            <w:vAlign w:val="center"/>
          </w:tcPr>
          <w:p>
            <w:pPr>
              <w:rPr>
                <w:rFonts w:ascii="宋体" w:hAnsi="宋体"/>
                <w:color w:val="auto"/>
                <w:szCs w:val="21"/>
                <w:highlight w:val="none"/>
              </w:rPr>
            </w:pPr>
            <w:r>
              <w:rPr>
                <w:rFonts w:hint="eastAsia" w:ascii="宋体" w:hAnsi="宋体"/>
                <w:color w:val="auto"/>
                <w:szCs w:val="21"/>
                <w:highlight w:val="none"/>
              </w:rPr>
              <w:t>项目重点、难点分析准确，保障措施合理可行，设计有可行的合理化建议。</w:t>
            </w:r>
          </w:p>
          <w:p>
            <w:pPr>
              <w:pStyle w:val="2"/>
              <w:ind w:left="0" w:leftChars="0"/>
              <w:rPr>
                <w:rFonts w:ascii="宋体" w:hAnsi="宋体"/>
                <w:color w:val="auto"/>
                <w:szCs w:val="21"/>
                <w:highlight w:val="none"/>
              </w:rPr>
            </w:pPr>
            <w:r>
              <w:rPr>
                <w:rFonts w:hint="eastAsia" w:ascii="宋体" w:hAnsi="宋体"/>
                <w:color w:val="auto"/>
                <w:szCs w:val="21"/>
                <w:highlight w:val="none"/>
              </w:rPr>
              <w:t>评分标准：【优】得5分；【良】得3.5分；【中】得2分；【差】得0.5分，无相关内容，得0分。</w:t>
            </w:r>
          </w:p>
          <w:p>
            <w:pPr>
              <w:pStyle w:val="2"/>
              <w:ind w:left="0" w:leftChars="0"/>
              <w:rPr>
                <w:color w:val="auto"/>
                <w:highlight w:val="none"/>
              </w:rPr>
            </w:pPr>
            <w:r>
              <w:rPr>
                <w:rFonts w:hint="eastAsia"/>
                <w:color w:val="auto"/>
                <w:highlight w:val="none"/>
              </w:rPr>
              <w:t>评审标准：</w:t>
            </w:r>
          </w:p>
          <w:p>
            <w:pPr>
              <w:rPr>
                <w:color w:val="auto"/>
                <w:highlight w:val="none"/>
              </w:rPr>
            </w:pPr>
            <w:r>
              <w:rPr>
                <w:rFonts w:hint="eastAsia"/>
                <w:color w:val="auto"/>
                <w:highlight w:val="none"/>
              </w:rPr>
              <w:t>优：</w:t>
            </w:r>
            <w:r>
              <w:rPr>
                <w:rFonts w:hint="eastAsia" w:ascii="宋体" w:hAnsi="宋体"/>
                <w:color w:val="auto"/>
                <w:szCs w:val="21"/>
                <w:highlight w:val="none"/>
              </w:rPr>
              <w:t>项目重点、难点分析完全准确，保障措施完善详实，可行性高，设计有科学可行的合理化建议。</w:t>
            </w:r>
          </w:p>
          <w:p>
            <w:pPr>
              <w:pStyle w:val="2"/>
              <w:ind w:left="0" w:leftChars="0"/>
              <w:rPr>
                <w:color w:val="auto"/>
                <w:highlight w:val="none"/>
              </w:rPr>
            </w:pPr>
            <w:r>
              <w:rPr>
                <w:rFonts w:hint="eastAsia"/>
                <w:color w:val="auto"/>
                <w:highlight w:val="none"/>
              </w:rPr>
              <w:t>良：</w:t>
            </w:r>
            <w:r>
              <w:rPr>
                <w:rFonts w:hint="eastAsia" w:ascii="宋体" w:hAnsi="宋体"/>
                <w:color w:val="auto"/>
                <w:szCs w:val="21"/>
                <w:highlight w:val="none"/>
              </w:rPr>
              <w:t>项目重点、难点分析较准确，保障措施较合理可行，设计有较合理化建议</w:t>
            </w:r>
            <w:r>
              <w:rPr>
                <w:rFonts w:hint="eastAsia"/>
                <w:color w:val="auto"/>
                <w:highlight w:val="none"/>
              </w:rPr>
              <w:t>。</w:t>
            </w:r>
          </w:p>
          <w:p>
            <w:pPr>
              <w:pStyle w:val="2"/>
              <w:ind w:left="0" w:leftChars="0"/>
              <w:rPr>
                <w:color w:val="auto"/>
                <w:highlight w:val="none"/>
              </w:rPr>
            </w:pPr>
            <w:r>
              <w:rPr>
                <w:rFonts w:hint="eastAsia"/>
                <w:color w:val="auto"/>
                <w:highlight w:val="none"/>
              </w:rPr>
              <w:t>中：</w:t>
            </w:r>
            <w:r>
              <w:rPr>
                <w:rFonts w:hint="eastAsia" w:ascii="宋体" w:hAnsi="宋体"/>
                <w:color w:val="auto"/>
                <w:szCs w:val="21"/>
                <w:highlight w:val="none"/>
              </w:rPr>
              <w:t>项目重点、难点分析基本准确，保障措施基本可行，提出的设计建议有基本的可行性但部分内容有缺漏</w:t>
            </w:r>
            <w:r>
              <w:rPr>
                <w:rFonts w:hint="eastAsia"/>
                <w:color w:val="auto"/>
                <w:highlight w:val="none"/>
              </w:rPr>
              <w:t>。</w:t>
            </w:r>
          </w:p>
          <w:p>
            <w:pPr>
              <w:rPr>
                <w:rFonts w:ascii="宋体" w:hAnsi="宋体"/>
                <w:color w:val="auto"/>
                <w:szCs w:val="21"/>
                <w:highlight w:val="none"/>
              </w:rPr>
            </w:pPr>
            <w:r>
              <w:rPr>
                <w:rFonts w:hint="eastAsia"/>
                <w:color w:val="auto"/>
                <w:highlight w:val="none"/>
              </w:rPr>
              <w:t>差：</w:t>
            </w:r>
            <w:r>
              <w:rPr>
                <w:rFonts w:hint="eastAsia" w:ascii="宋体" w:hAnsi="宋体"/>
                <w:color w:val="auto"/>
                <w:szCs w:val="21"/>
                <w:highlight w:val="none"/>
              </w:rPr>
              <w:t>项目重点、难点分析不准确，保障措施不合理，可行性严重不足，缺少设计的合理化建议或建议不可行。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972"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第五章 投资估算及控制</w:t>
            </w:r>
          </w:p>
        </w:tc>
        <w:tc>
          <w:tcPr>
            <w:tcW w:w="1342" w:type="dxa"/>
            <w:vAlign w:val="center"/>
          </w:tcPr>
          <w:p>
            <w:pPr>
              <w:jc w:val="center"/>
              <w:rPr>
                <w:rFonts w:ascii="宋体" w:hAnsi="宋体"/>
                <w:color w:val="auto"/>
                <w:szCs w:val="21"/>
                <w:highlight w:val="none"/>
              </w:rPr>
            </w:pPr>
            <w:r>
              <w:rPr>
                <w:rFonts w:hint="eastAsia" w:ascii="宋体" w:hAnsi="宋体"/>
                <w:color w:val="auto"/>
                <w:szCs w:val="21"/>
                <w:highlight w:val="none"/>
              </w:rPr>
              <w:t>投资估算情况</w:t>
            </w:r>
          </w:p>
        </w:tc>
        <w:tc>
          <w:tcPr>
            <w:tcW w:w="922"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8651" w:type="dxa"/>
            <w:vMerge w:val="restart"/>
            <w:vAlign w:val="center"/>
          </w:tcPr>
          <w:p>
            <w:pPr>
              <w:rPr>
                <w:rFonts w:ascii="宋体" w:hAnsi="宋体"/>
                <w:color w:val="auto"/>
                <w:szCs w:val="21"/>
                <w:highlight w:val="none"/>
              </w:rPr>
            </w:pPr>
            <w:r>
              <w:rPr>
                <w:rFonts w:hint="eastAsia" w:ascii="宋体" w:hAnsi="宋体"/>
                <w:color w:val="auto"/>
                <w:szCs w:val="21"/>
                <w:highlight w:val="none"/>
              </w:rPr>
              <w:t>节约实用的原则，工程总投资合理、可信、可行，投资估算编制依据正确。风险性及可控性分析合理全面。</w:t>
            </w:r>
          </w:p>
          <w:p>
            <w:pPr>
              <w:pStyle w:val="2"/>
              <w:ind w:left="0" w:leftChars="0"/>
              <w:rPr>
                <w:rFonts w:ascii="宋体" w:hAnsi="宋体"/>
                <w:color w:val="auto"/>
                <w:szCs w:val="21"/>
                <w:highlight w:val="none"/>
              </w:rPr>
            </w:pPr>
            <w:r>
              <w:rPr>
                <w:rFonts w:hint="eastAsia" w:ascii="宋体" w:hAnsi="宋体"/>
                <w:color w:val="auto"/>
                <w:szCs w:val="21"/>
                <w:highlight w:val="none"/>
              </w:rPr>
              <w:t>评分标准：【优】得10分；【</w:t>
            </w:r>
            <w:r>
              <w:rPr>
                <w:rFonts w:hint="eastAsia" w:ascii="宋体" w:hAnsi="宋体"/>
                <w:color w:val="auto"/>
                <w:sz w:val="24"/>
                <w:highlight w:val="none"/>
              </w:rPr>
              <w:t>良</w:t>
            </w:r>
            <w:r>
              <w:rPr>
                <w:rFonts w:hint="eastAsia" w:ascii="宋体" w:hAnsi="宋体"/>
                <w:color w:val="auto"/>
                <w:szCs w:val="21"/>
                <w:highlight w:val="none"/>
              </w:rPr>
              <w:t>】得7分；【中】得4分；【差】得1分，无相关内容，得0分。</w:t>
            </w:r>
          </w:p>
          <w:p>
            <w:pPr>
              <w:pStyle w:val="2"/>
              <w:ind w:left="0" w:leftChars="0"/>
              <w:rPr>
                <w:color w:val="auto"/>
                <w:highlight w:val="none"/>
              </w:rPr>
            </w:pPr>
            <w:r>
              <w:rPr>
                <w:rFonts w:hint="eastAsia"/>
                <w:color w:val="auto"/>
                <w:highlight w:val="none"/>
              </w:rPr>
              <w:t>评审标准：</w:t>
            </w:r>
          </w:p>
          <w:p>
            <w:pPr>
              <w:rPr>
                <w:color w:val="auto"/>
                <w:highlight w:val="none"/>
              </w:rPr>
            </w:pPr>
            <w:r>
              <w:rPr>
                <w:rFonts w:hint="eastAsia"/>
                <w:color w:val="auto"/>
                <w:highlight w:val="none"/>
              </w:rPr>
              <w:t>优：能全面落实</w:t>
            </w:r>
            <w:r>
              <w:rPr>
                <w:rFonts w:hint="eastAsia" w:ascii="宋体" w:hAnsi="宋体"/>
                <w:color w:val="auto"/>
                <w:szCs w:val="21"/>
                <w:highlight w:val="none"/>
              </w:rPr>
              <w:t>节约实用的原则，工程总投资合理、可信、可行，投资估算编制依据完全正确。风险性及可控性分析科学合理、全面详尽。</w:t>
            </w:r>
          </w:p>
          <w:p>
            <w:pPr>
              <w:pStyle w:val="2"/>
              <w:ind w:left="0" w:leftChars="0"/>
              <w:rPr>
                <w:color w:val="auto"/>
                <w:highlight w:val="none"/>
              </w:rPr>
            </w:pPr>
            <w:r>
              <w:rPr>
                <w:rFonts w:hint="eastAsia"/>
                <w:color w:val="auto"/>
                <w:highlight w:val="none"/>
              </w:rPr>
              <w:t>良：能够较好地落实</w:t>
            </w:r>
            <w:r>
              <w:rPr>
                <w:rFonts w:hint="eastAsia" w:ascii="宋体" w:hAnsi="宋体"/>
                <w:color w:val="auto"/>
                <w:szCs w:val="21"/>
                <w:highlight w:val="none"/>
              </w:rPr>
              <w:t>节约实用的原则，工程总投资较合理、可信、可行，投资估算编制依据正确。风险性及可控性分析较为合理具体。</w:t>
            </w:r>
          </w:p>
          <w:p>
            <w:pPr>
              <w:pStyle w:val="2"/>
              <w:ind w:left="0" w:leftChars="0"/>
              <w:rPr>
                <w:color w:val="auto"/>
                <w:highlight w:val="none"/>
              </w:rPr>
            </w:pPr>
            <w:r>
              <w:rPr>
                <w:rFonts w:hint="eastAsia"/>
                <w:color w:val="auto"/>
                <w:highlight w:val="none"/>
              </w:rPr>
              <w:t>中：能基本落实</w:t>
            </w:r>
            <w:r>
              <w:rPr>
                <w:rFonts w:hint="eastAsia" w:ascii="宋体" w:hAnsi="宋体"/>
                <w:color w:val="auto"/>
                <w:szCs w:val="21"/>
                <w:highlight w:val="none"/>
              </w:rPr>
              <w:t>节约实用的原则，工程总投资有一定的合理性和可行性，投资估算编制依据有小部分错漏。存在风险及可控性分析基本合理。</w:t>
            </w:r>
          </w:p>
          <w:p>
            <w:pPr>
              <w:rPr>
                <w:rFonts w:ascii="宋体" w:hAnsi="宋体"/>
                <w:color w:val="auto"/>
                <w:szCs w:val="21"/>
                <w:highlight w:val="none"/>
              </w:rPr>
            </w:pPr>
            <w:r>
              <w:rPr>
                <w:rFonts w:hint="eastAsia"/>
                <w:color w:val="auto"/>
                <w:highlight w:val="none"/>
              </w:rPr>
              <w:t>差：未能有效落实</w:t>
            </w:r>
            <w:r>
              <w:rPr>
                <w:rFonts w:hint="eastAsia" w:ascii="宋体" w:hAnsi="宋体"/>
                <w:color w:val="auto"/>
                <w:szCs w:val="21"/>
                <w:highlight w:val="none"/>
              </w:rPr>
              <w:t>节约实用的原则，工程总投资不合理，投资估算编制依据有多处错漏。没有对存在风险及可控性进行分析或分析严重合理。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972" w:type="dxa"/>
            <w:vMerge w:val="continue"/>
            <w:vAlign w:val="center"/>
          </w:tcPr>
          <w:p>
            <w:pPr>
              <w:jc w:val="center"/>
              <w:rPr>
                <w:rFonts w:ascii="宋体" w:hAnsi="宋体"/>
                <w:color w:val="auto"/>
                <w:szCs w:val="21"/>
                <w:highlight w:val="none"/>
              </w:rPr>
            </w:pPr>
          </w:p>
        </w:tc>
        <w:tc>
          <w:tcPr>
            <w:tcW w:w="1342" w:type="dxa"/>
            <w:vAlign w:val="center"/>
          </w:tcPr>
          <w:p>
            <w:pPr>
              <w:jc w:val="center"/>
              <w:rPr>
                <w:rFonts w:ascii="宋体" w:hAnsi="宋体"/>
                <w:color w:val="auto"/>
                <w:szCs w:val="21"/>
                <w:highlight w:val="none"/>
              </w:rPr>
            </w:pPr>
            <w:r>
              <w:rPr>
                <w:rFonts w:hint="eastAsia" w:ascii="宋体" w:hAnsi="宋体"/>
                <w:color w:val="auto"/>
                <w:szCs w:val="21"/>
                <w:highlight w:val="none"/>
              </w:rPr>
              <w:t>合理性分析</w:t>
            </w:r>
          </w:p>
        </w:tc>
        <w:tc>
          <w:tcPr>
            <w:tcW w:w="922" w:type="dxa"/>
            <w:vMerge w:val="continue"/>
            <w:vAlign w:val="center"/>
          </w:tcPr>
          <w:p>
            <w:pPr>
              <w:jc w:val="center"/>
              <w:rPr>
                <w:rFonts w:ascii="宋体" w:hAnsi="宋体"/>
                <w:color w:val="auto"/>
                <w:szCs w:val="21"/>
                <w:highlight w:val="none"/>
              </w:rPr>
            </w:pPr>
          </w:p>
        </w:tc>
        <w:tc>
          <w:tcPr>
            <w:tcW w:w="8651" w:type="dxa"/>
            <w:vMerge w:val="continue"/>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972" w:type="dxa"/>
            <w:vMerge w:val="continue"/>
            <w:vAlign w:val="center"/>
          </w:tcPr>
          <w:p>
            <w:pPr>
              <w:jc w:val="center"/>
              <w:rPr>
                <w:rFonts w:ascii="宋体" w:hAnsi="宋体"/>
                <w:color w:val="auto"/>
                <w:szCs w:val="21"/>
                <w:highlight w:val="none"/>
              </w:rPr>
            </w:pPr>
          </w:p>
        </w:tc>
        <w:tc>
          <w:tcPr>
            <w:tcW w:w="1342" w:type="dxa"/>
            <w:vAlign w:val="center"/>
          </w:tcPr>
          <w:p>
            <w:pPr>
              <w:jc w:val="center"/>
              <w:rPr>
                <w:rFonts w:ascii="宋体" w:hAnsi="宋体"/>
                <w:color w:val="auto"/>
                <w:szCs w:val="21"/>
                <w:highlight w:val="none"/>
              </w:rPr>
            </w:pPr>
            <w:r>
              <w:rPr>
                <w:rFonts w:hint="eastAsia" w:ascii="宋体" w:hAnsi="宋体"/>
                <w:color w:val="auto"/>
                <w:szCs w:val="21"/>
                <w:highlight w:val="none"/>
              </w:rPr>
              <w:t>存在风险及可控性</w:t>
            </w:r>
          </w:p>
        </w:tc>
        <w:tc>
          <w:tcPr>
            <w:tcW w:w="922" w:type="dxa"/>
            <w:vMerge w:val="continue"/>
            <w:vAlign w:val="center"/>
          </w:tcPr>
          <w:p>
            <w:pPr>
              <w:jc w:val="center"/>
              <w:rPr>
                <w:rFonts w:ascii="宋体" w:hAnsi="宋体"/>
                <w:color w:val="auto"/>
                <w:szCs w:val="21"/>
                <w:highlight w:val="none"/>
              </w:rPr>
            </w:pPr>
          </w:p>
        </w:tc>
        <w:tc>
          <w:tcPr>
            <w:tcW w:w="8651" w:type="dxa"/>
            <w:vMerge w:val="continue"/>
            <w:vAlign w:val="center"/>
          </w:tcPr>
          <w:p>
            <w:pPr>
              <w:rPr>
                <w:rFonts w:ascii="宋体" w:hAnsi="宋体"/>
                <w:color w:val="auto"/>
                <w:szCs w:val="21"/>
                <w:highlight w:val="none"/>
              </w:rPr>
            </w:pPr>
          </w:p>
        </w:tc>
      </w:tr>
    </w:tbl>
    <w:p>
      <w:pPr>
        <w:pStyle w:val="6"/>
        <w:numPr>
          <w:ilvl w:val="0"/>
          <w:numId w:val="0"/>
        </w:numPr>
        <w:adjustRightInd w:val="0"/>
        <w:snapToGrid w:val="0"/>
        <w:spacing w:before="0" w:beforeLines="0" w:after="0" w:afterLines="0"/>
        <w:rPr>
          <w:rFonts w:hAnsi="宋体"/>
          <w:b w:val="0"/>
          <w:bCs w:val="0"/>
          <w:strike/>
          <w:color w:val="auto"/>
          <w:highlight w:val="none"/>
        </w:rPr>
      </w:pPr>
      <w:r>
        <w:rPr>
          <w:rFonts w:hint="eastAsia"/>
          <w:color w:val="auto"/>
          <w:highlight w:val="none"/>
        </w:rPr>
        <w:br w:type="page"/>
      </w:r>
      <w:bookmarkStart w:id="150" w:name="_Toc9860"/>
      <w:bookmarkStart w:id="151" w:name="_Toc7082"/>
      <w:bookmarkStart w:id="152" w:name="_Toc31720"/>
      <w:r>
        <w:rPr>
          <w:rFonts w:hint="eastAsia"/>
          <w:color w:val="auto"/>
          <w:highlight w:val="none"/>
        </w:rPr>
        <w:t xml:space="preserve">附件5 </w:t>
      </w:r>
      <w:r>
        <w:rPr>
          <w:rFonts w:hint="eastAsia"/>
          <w:color w:val="auto"/>
          <w:highlight w:val="none"/>
          <w:u w:val="single"/>
        </w:rPr>
        <w:t>商务文件综合评分表</w:t>
      </w:r>
      <w:bookmarkEnd w:id="150"/>
      <w:bookmarkEnd w:id="151"/>
    </w:p>
    <w:tbl>
      <w:tblPr>
        <w:tblStyle w:val="2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1310"/>
        <w:gridCol w:w="10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898" w:type="dxa"/>
            <w:gridSpan w:val="3"/>
            <w:tcBorders>
              <w:top w:val="nil"/>
              <w:left w:val="nil"/>
              <w:right w:val="nil"/>
            </w:tcBorders>
            <w:shd w:val="clear" w:color="auto" w:fill="auto"/>
          </w:tcPr>
          <w:p>
            <w:pPr>
              <w:jc w:val="center"/>
              <w:rPr>
                <w:rFonts w:ascii="Times New Roman" w:hAnsi="Times New Roman"/>
                <w:b/>
                <w:color w:val="auto"/>
                <w:sz w:val="28"/>
                <w:szCs w:val="28"/>
                <w:highlight w:val="none"/>
              </w:rPr>
            </w:pPr>
            <w:r>
              <w:rPr>
                <w:rFonts w:hint="eastAsia" w:ascii="Times New Roman" w:hAnsi="Times New Roman"/>
                <w:b/>
                <w:color w:val="auto"/>
                <w:sz w:val="28"/>
                <w:szCs w:val="28"/>
                <w:highlight w:val="none"/>
              </w:rPr>
              <w:t>商务文件综合评分表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95" w:type="dxa"/>
            <w:shd w:val="clear" w:color="auto" w:fill="auto"/>
            <w:vAlign w:val="center"/>
          </w:tcPr>
          <w:p>
            <w:pPr>
              <w:ind w:firstLine="422" w:firstLineChars="200"/>
              <w:rPr>
                <w:rFonts w:ascii="宋体" w:hAnsi="宋体" w:cs="宋体"/>
                <w:b/>
                <w:bCs/>
                <w:color w:val="auto"/>
                <w:highlight w:val="none"/>
              </w:rPr>
            </w:pPr>
            <w:r>
              <w:rPr>
                <w:rFonts w:hint="eastAsia" w:ascii="宋体" w:hAnsi="宋体" w:cs="宋体"/>
                <w:b/>
                <w:bCs/>
                <w:color w:val="auto"/>
                <w:highlight w:val="none"/>
              </w:rPr>
              <w:t>评审项目</w:t>
            </w:r>
          </w:p>
        </w:tc>
        <w:tc>
          <w:tcPr>
            <w:tcW w:w="1310" w:type="dxa"/>
            <w:shd w:val="clear" w:color="auto" w:fill="auto"/>
            <w:vAlign w:val="center"/>
          </w:tcPr>
          <w:p>
            <w:pPr>
              <w:ind w:firstLine="422" w:firstLineChars="200"/>
              <w:rPr>
                <w:rFonts w:ascii="宋体" w:hAnsi="宋体" w:cs="宋体"/>
                <w:b/>
                <w:bCs/>
                <w:color w:val="auto"/>
                <w:highlight w:val="none"/>
              </w:rPr>
            </w:pPr>
            <w:r>
              <w:rPr>
                <w:rFonts w:hint="eastAsia" w:ascii="宋体" w:hAnsi="宋体" w:cs="宋体"/>
                <w:b/>
                <w:bCs/>
                <w:color w:val="auto"/>
                <w:highlight w:val="none"/>
              </w:rPr>
              <w:t>分值</w:t>
            </w:r>
          </w:p>
        </w:tc>
        <w:tc>
          <w:tcPr>
            <w:tcW w:w="10293" w:type="dxa"/>
            <w:shd w:val="clear" w:color="auto" w:fill="auto"/>
            <w:vAlign w:val="center"/>
          </w:tcPr>
          <w:p>
            <w:pPr>
              <w:ind w:firstLine="422" w:firstLineChars="200"/>
              <w:jc w:val="center"/>
              <w:rPr>
                <w:rFonts w:ascii="宋体" w:hAnsi="宋体" w:cs="宋体"/>
                <w:b/>
                <w:bCs/>
                <w:color w:val="auto"/>
                <w:highlight w:val="none"/>
              </w:rPr>
            </w:pPr>
            <w:r>
              <w:rPr>
                <w:rFonts w:hint="eastAsia" w:ascii="宋体" w:hAnsi="宋体" w:cs="宋体"/>
                <w:b/>
                <w:bCs/>
                <w:color w:val="auto"/>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95" w:type="dxa"/>
            <w:shd w:val="clear" w:color="auto" w:fill="auto"/>
            <w:vAlign w:val="center"/>
          </w:tcPr>
          <w:p>
            <w:pPr>
              <w:rPr>
                <w:rFonts w:ascii="宋体" w:hAnsi="宋体" w:cs="宋体"/>
                <w:color w:val="auto"/>
                <w:highlight w:val="none"/>
              </w:rPr>
            </w:pPr>
            <w:r>
              <w:rPr>
                <w:rFonts w:hint="eastAsia" w:ascii="宋体" w:hAnsi="宋体" w:cs="宋体"/>
                <w:b/>
                <w:bCs/>
                <w:color w:val="auto"/>
                <w:szCs w:val="21"/>
                <w:highlight w:val="none"/>
              </w:rPr>
              <w:t>一、企业类似业绩</w:t>
            </w:r>
          </w:p>
        </w:tc>
        <w:tc>
          <w:tcPr>
            <w:tcW w:w="1310" w:type="dxa"/>
            <w:shd w:val="clear" w:color="auto" w:fill="auto"/>
            <w:vAlign w:val="center"/>
          </w:tcPr>
          <w:p>
            <w:pPr>
              <w:jc w:val="center"/>
              <w:rPr>
                <w:rFonts w:ascii="宋体" w:hAnsi="宋体" w:cs="宋体"/>
                <w:color w:val="auto"/>
                <w:highlight w:val="none"/>
              </w:rPr>
            </w:pPr>
            <w:r>
              <w:rPr>
                <w:rFonts w:hint="eastAsia" w:ascii="宋体" w:hAnsi="宋体" w:cs="宋体"/>
                <w:color w:val="auto"/>
                <w:highlight w:val="none"/>
              </w:rPr>
              <w:t>30分</w:t>
            </w:r>
          </w:p>
        </w:tc>
        <w:tc>
          <w:tcPr>
            <w:tcW w:w="10293" w:type="dxa"/>
            <w:shd w:val="clear" w:color="auto" w:fill="auto"/>
            <w:vAlign w:val="center"/>
          </w:tcPr>
          <w:p>
            <w:pPr>
              <w:adjustRightInd w:val="0"/>
              <w:snapToGrid w:val="0"/>
              <w:spacing w:line="340" w:lineRule="exact"/>
              <w:jc w:val="left"/>
              <w:rPr>
                <w:rFonts w:hint="eastAsia" w:ascii="宋体" w:hAnsi="宋体" w:cs="宋体"/>
                <w:color w:val="auto"/>
                <w:highlight w:val="none"/>
              </w:rPr>
            </w:pPr>
            <w:r>
              <w:rPr>
                <w:rFonts w:hint="eastAsia" w:ascii="宋体" w:hAnsi="宋体"/>
                <w:color w:val="auto"/>
                <w:highlight w:val="none"/>
              </w:rPr>
              <w:t>（联合体投标的，由主办方提供）202</w:t>
            </w:r>
            <w:r>
              <w:rPr>
                <w:rFonts w:ascii="宋体" w:hAnsi="宋体"/>
                <w:color w:val="auto"/>
                <w:highlight w:val="none"/>
              </w:rPr>
              <w:t>2</w:t>
            </w:r>
            <w:r>
              <w:rPr>
                <w:rFonts w:hint="eastAsia" w:ascii="宋体" w:hAnsi="宋体"/>
                <w:color w:val="auto"/>
                <w:highlight w:val="none"/>
              </w:rPr>
              <w:t>年1月1日至今已完成合同金额为</w:t>
            </w:r>
            <w:r>
              <w:rPr>
                <w:rFonts w:ascii="宋体" w:hAnsi="宋体"/>
                <w:color w:val="auto"/>
                <w:highlight w:val="none"/>
              </w:rPr>
              <w:t>2</w:t>
            </w:r>
            <w:r>
              <w:rPr>
                <w:rFonts w:hint="eastAsia" w:ascii="宋体" w:hAnsi="宋体"/>
                <w:color w:val="auto"/>
                <w:highlight w:val="none"/>
              </w:rPr>
              <w:t>00万元或以上的类似风景园林设计或园林绿化工程设计业绩，</w:t>
            </w:r>
            <w:r>
              <w:rPr>
                <w:rFonts w:hint="eastAsia" w:ascii="宋体" w:hAnsi="宋体" w:cs="宋体"/>
                <w:color w:val="auto"/>
                <w:highlight w:val="none"/>
              </w:rPr>
              <w:t>每项得6分，本项最高得30分。</w:t>
            </w:r>
          </w:p>
          <w:p>
            <w:pPr>
              <w:adjustRightInd w:val="0"/>
              <w:snapToGrid w:val="0"/>
              <w:spacing w:line="340" w:lineRule="exact"/>
              <w:jc w:val="left"/>
              <w:rPr>
                <w:color w:val="auto"/>
                <w:highlight w:val="none"/>
              </w:rPr>
            </w:pPr>
            <w:r>
              <w:rPr>
                <w:rFonts w:hint="eastAsia" w:ascii="宋体" w:hAnsi="宋体" w:cs="宋体"/>
                <w:color w:val="auto"/>
                <w:highlight w:val="none"/>
              </w:rPr>
              <w:t>注：</w:t>
            </w:r>
            <w:r>
              <w:rPr>
                <w:rFonts w:hint="eastAsia" w:ascii="宋体" w:hAnsi="宋体"/>
                <w:color w:val="auto"/>
                <w:highlight w:val="none"/>
              </w:rPr>
              <w:t>①需提供中标通知书（或发包通知书、免招标证明材料）、招标（发包）公告网页截图</w:t>
            </w:r>
            <w:r>
              <w:rPr>
                <w:rFonts w:hint="eastAsia" w:ascii="宋体" w:hAnsi="宋体"/>
                <w:color w:val="auto"/>
                <w:highlight w:val="none"/>
                <w:lang w:eastAsia="zh-CN"/>
              </w:rPr>
              <w:t>（如有）</w:t>
            </w:r>
            <w:r>
              <w:rPr>
                <w:rFonts w:hint="eastAsia" w:ascii="宋体" w:hAnsi="宋体"/>
                <w:color w:val="auto"/>
                <w:highlight w:val="none"/>
              </w:rPr>
              <w:t>、设计合同关键页（包括签订合同双方的单位</w:t>
            </w:r>
            <w:r>
              <w:rPr>
                <w:rFonts w:hint="eastAsia" w:ascii="宋体" w:hAnsi="宋体" w:eastAsia="宋体" w:cs="Times New Roman"/>
                <w:color w:val="auto"/>
                <w:highlight w:val="none"/>
              </w:rPr>
              <w:t>名称</w:t>
            </w:r>
            <w:r>
              <w:rPr>
                <w:rFonts w:hint="eastAsia" w:ascii="宋体" w:hAnsi="宋体"/>
                <w:color w:val="auto"/>
                <w:highlight w:val="none"/>
              </w:rPr>
              <w:t>、</w:t>
            </w:r>
            <w:r>
              <w:rPr>
                <w:rFonts w:hint="eastAsia" w:ascii="宋体" w:hAnsi="宋体"/>
                <w:color w:val="auto"/>
                <w:highlight w:val="none"/>
                <w:lang w:val="en-US" w:eastAsia="zh-CN"/>
              </w:rPr>
              <w:t>合同金额</w:t>
            </w:r>
            <w:r>
              <w:rPr>
                <w:rFonts w:hint="eastAsia" w:ascii="宋体" w:hAnsi="宋体"/>
                <w:color w:val="auto"/>
                <w:highlight w:val="none"/>
              </w:rPr>
              <w:t>、签订合同双方的盖章页等）</w:t>
            </w:r>
            <w:r>
              <w:rPr>
                <w:rFonts w:hint="eastAsia" w:ascii="宋体" w:hAnsi="宋体"/>
                <w:color w:val="auto"/>
                <w:highlight w:val="none"/>
                <w:lang w:eastAsia="zh-CN"/>
              </w:rPr>
              <w:t>、</w:t>
            </w:r>
            <w:r>
              <w:rPr>
                <w:rFonts w:hint="eastAsia" w:ascii="宋体" w:hAnsi="宋体"/>
                <w:color w:val="auto"/>
                <w:highlight w:val="none"/>
              </w:rPr>
              <w:t>初步设计审查批文或施工图审查证明等资料的扫描件。②设计业绩</w:t>
            </w:r>
            <w:r>
              <w:rPr>
                <w:rFonts w:hint="eastAsia" w:ascii="宋体" w:hAnsi="宋体"/>
                <w:color w:val="auto"/>
                <w:highlight w:val="none"/>
                <w:lang w:eastAsia="zh-CN"/>
              </w:rPr>
              <w:t>时间</w:t>
            </w:r>
            <w:r>
              <w:rPr>
                <w:rFonts w:hint="eastAsia" w:ascii="宋体" w:hAnsi="宋体"/>
                <w:color w:val="auto"/>
                <w:highlight w:val="none"/>
              </w:rPr>
              <w:t>以合同签订日期为准。</w:t>
            </w:r>
            <w:r>
              <w:rPr>
                <w:rFonts w:hint="eastAsia" w:ascii="宋体" w:hAnsi="宋体" w:eastAsia="宋体" w:cs="Times New Roman"/>
                <w:color w:val="auto"/>
                <w:highlight w:val="none"/>
              </w:rPr>
              <w:t>③</w:t>
            </w:r>
            <w:r>
              <w:rPr>
                <w:rFonts w:hint="eastAsia" w:ascii="宋体" w:hAnsi="宋体"/>
                <w:color w:val="auto"/>
                <w:highlight w:val="none"/>
                <w:lang w:eastAsia="zh-CN"/>
              </w:rPr>
              <w:t>以联合体形式中标的业绩，业绩金额以投标人独立承担的为准，须提供联合体协议书或合同等能体现独立承担业绩金额的佐证材料。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95" w:type="dxa"/>
            <w:shd w:val="clear" w:color="auto" w:fill="auto"/>
            <w:vAlign w:val="center"/>
          </w:tcPr>
          <w:p>
            <w:pPr>
              <w:adjustRightInd w:val="0"/>
              <w:snapToGrid w:val="0"/>
              <w:spacing w:line="360" w:lineRule="auto"/>
              <w:rPr>
                <w:rFonts w:ascii="宋体" w:hAnsi="宋体" w:cs="宋体"/>
                <w:color w:val="auto"/>
                <w:highlight w:val="none"/>
              </w:rPr>
            </w:pPr>
            <w:r>
              <w:rPr>
                <w:rFonts w:hint="eastAsia" w:ascii="宋体" w:hAnsi="宋体" w:cs="宋体"/>
                <w:b/>
                <w:bCs/>
                <w:color w:val="auto"/>
                <w:szCs w:val="21"/>
                <w:highlight w:val="none"/>
              </w:rPr>
              <w:t>二、企业业绩获奖</w:t>
            </w:r>
          </w:p>
        </w:tc>
        <w:tc>
          <w:tcPr>
            <w:tcW w:w="1310" w:type="dxa"/>
            <w:shd w:val="clear" w:color="auto" w:fill="auto"/>
            <w:vAlign w:val="center"/>
          </w:tcPr>
          <w:p>
            <w:pPr>
              <w:jc w:val="center"/>
              <w:rPr>
                <w:rFonts w:ascii="宋体" w:hAnsi="宋体" w:cs="宋体"/>
                <w:color w:val="auto"/>
                <w:highlight w:val="none"/>
              </w:rPr>
            </w:pPr>
            <w:r>
              <w:rPr>
                <w:rFonts w:hint="eastAsia" w:ascii="宋体" w:hAnsi="宋体" w:cs="宋体"/>
                <w:color w:val="auto"/>
                <w:highlight w:val="none"/>
              </w:rPr>
              <w:t>20分</w:t>
            </w:r>
          </w:p>
        </w:tc>
        <w:tc>
          <w:tcPr>
            <w:tcW w:w="10293" w:type="dxa"/>
            <w:shd w:val="clear" w:color="auto" w:fill="auto"/>
            <w:vAlign w:val="center"/>
          </w:tcPr>
          <w:p>
            <w:pPr>
              <w:adjustRightInd w:val="0"/>
              <w:snapToGri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联合体投标的，由主办方提供）2022年1月1日至今参加的风景园林设计或园林绿化工程设计项目获得国家级奖项，每项得4分；获省级奖项的每项得2.5分；获市级（含副省级）奖项的每项得1分；无或其他情况不得分；同一项目不累计计分。本项最高得20分。</w:t>
            </w:r>
          </w:p>
          <w:p>
            <w:pPr>
              <w:adjustRightInd w:val="0"/>
              <w:snapToGrid w:val="0"/>
              <w:spacing w:line="340" w:lineRule="exact"/>
              <w:jc w:val="left"/>
              <w:rPr>
                <w:rFonts w:ascii="宋体" w:hAnsi="宋体"/>
                <w:color w:val="auto"/>
                <w:highlight w:val="none"/>
              </w:rPr>
            </w:pPr>
            <w:r>
              <w:rPr>
                <w:rFonts w:hint="eastAsia" w:ascii="宋体" w:hAnsi="宋体" w:cs="宋体"/>
                <w:color w:val="auto"/>
                <w:highlight w:val="none"/>
              </w:rPr>
              <w:t>注：</w:t>
            </w:r>
            <w:r>
              <w:rPr>
                <w:rFonts w:hint="eastAsia" w:ascii="宋体" w:hAnsi="宋体"/>
                <w:color w:val="auto"/>
                <w:highlight w:val="none"/>
              </w:rPr>
              <w:t>①</w:t>
            </w:r>
            <w:r>
              <w:rPr>
                <w:color w:val="auto"/>
                <w:highlight w:val="none"/>
              </w:rPr>
              <w:fldChar w:fldCharType="begin"/>
            </w:r>
            <w:r>
              <w:rPr>
                <w:color w:val="auto"/>
                <w:highlight w:val="none"/>
              </w:rPr>
              <w:instrText xml:space="preserve"> HYPERLINK "https://chinanpo.mca.gov.cn/）登记的有效组织，请另提供该组织在上述平台的查询截图，登记信息无法查询的不得分。需提供获奖证书扫描件，否则不得分。" </w:instrText>
            </w:r>
            <w:r>
              <w:rPr>
                <w:color w:val="auto"/>
                <w:highlight w:val="none"/>
              </w:rPr>
              <w:fldChar w:fldCharType="separate"/>
            </w:r>
            <w:r>
              <w:rPr>
                <w:rFonts w:hint="eastAsia" w:ascii="宋体" w:hAnsi="宋体"/>
                <w:color w:val="auto"/>
                <w:highlight w:val="none"/>
              </w:rPr>
              <w:t>获奖奖项是指与本次招标专业内容相对应的由行业协会（学会）或行政主管部门颁发的设计奖；②同一项目的获奖按最高等级计分</w:t>
            </w:r>
            <w:r>
              <w:rPr>
                <w:rFonts w:hint="eastAsia" w:ascii="宋体" w:hAnsi="宋体"/>
                <w:color w:val="auto"/>
                <w:highlight w:val="none"/>
                <w:lang w:eastAsia="zh-CN"/>
              </w:rPr>
              <w:t>；</w:t>
            </w:r>
            <w:r>
              <w:rPr>
                <w:rFonts w:ascii="宋体" w:hAnsi="宋体"/>
                <w:color w:val="auto"/>
                <w:highlight w:val="none"/>
              </w:rPr>
              <w:t>按等级最高的五个</w:t>
            </w:r>
            <w:r>
              <w:rPr>
                <w:rFonts w:hint="eastAsia" w:ascii="宋体" w:hAnsi="宋体"/>
                <w:color w:val="auto"/>
                <w:highlight w:val="none"/>
              </w:rPr>
              <w:t>奖项</w:t>
            </w:r>
            <w:r>
              <w:rPr>
                <w:rFonts w:ascii="宋体" w:hAnsi="宋体"/>
                <w:color w:val="auto"/>
                <w:highlight w:val="none"/>
              </w:rPr>
              <w:t>计算得分</w:t>
            </w:r>
            <w:r>
              <w:rPr>
                <w:rFonts w:hint="eastAsia" w:ascii="宋体" w:hAnsi="宋体"/>
                <w:color w:val="auto"/>
                <w:highlight w:val="none"/>
              </w:rPr>
              <w:t>。③需提供奖项的原件彩色扫描件（如电子证照则提供彩色打印件）以及发证单位官网公示页面截图并附网页链接。④若颁发单位如为行业协会（学会），须为中国社会组织政务服务平台登记的有效组织，请另提供该组织在上述平台的查询截图，登记信息无法查询的不得分。⑤</w:t>
            </w:r>
            <w:r>
              <w:rPr>
                <w:rFonts w:hint="eastAsia" w:ascii="宋体" w:hAnsi="宋体" w:cs="宋体"/>
                <w:color w:val="auto"/>
                <w:szCs w:val="21"/>
                <w:highlight w:val="none"/>
              </w:rPr>
              <w:t>获奖时间以奖项颁发时间为准。⑥</w:t>
            </w:r>
            <w:r>
              <w:rPr>
                <w:rFonts w:hint="eastAsia" w:ascii="宋体" w:hAnsi="宋体"/>
                <w:color w:val="auto"/>
                <w:highlight w:val="none"/>
              </w:rPr>
              <w:t>提供资料不齐全则不得分。</w:t>
            </w:r>
            <w:r>
              <w:rPr>
                <w:rFonts w:hint="eastAsia" w:ascii="宋体" w:hAnsi="宋体"/>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295" w:type="dxa"/>
            <w:shd w:val="clear" w:color="auto" w:fill="auto"/>
            <w:vAlign w:val="center"/>
          </w:tcPr>
          <w:p>
            <w:pPr>
              <w:rPr>
                <w:rFonts w:ascii="宋体" w:hAnsi="宋体" w:cs="宋体"/>
                <w:b/>
                <w:bCs/>
                <w:color w:val="auto"/>
                <w:szCs w:val="21"/>
                <w:highlight w:val="none"/>
              </w:rPr>
            </w:pPr>
            <w:r>
              <w:rPr>
                <w:rFonts w:hint="eastAsia" w:ascii="宋体" w:hAnsi="宋体" w:cs="仿宋_GB2312"/>
                <w:b/>
                <w:bCs/>
                <w:color w:val="auto"/>
                <w:szCs w:val="21"/>
                <w:highlight w:val="none"/>
              </w:rPr>
              <w:t>三、技术力量配备情况</w:t>
            </w:r>
          </w:p>
        </w:tc>
        <w:tc>
          <w:tcPr>
            <w:tcW w:w="1310" w:type="dxa"/>
            <w:shd w:val="clear" w:color="auto" w:fill="auto"/>
            <w:vAlign w:val="center"/>
          </w:tcPr>
          <w:p>
            <w:pPr>
              <w:jc w:val="center"/>
              <w:rPr>
                <w:rFonts w:ascii="宋体" w:hAnsi="宋体" w:cs="宋体"/>
                <w:color w:val="auto"/>
                <w:highlight w:val="none"/>
              </w:rPr>
            </w:pPr>
            <w:r>
              <w:rPr>
                <w:rFonts w:hint="eastAsia" w:ascii="宋体" w:hAnsi="宋体" w:cs="宋体"/>
                <w:color w:val="auto"/>
                <w:highlight w:val="none"/>
              </w:rPr>
              <w:t>40分</w:t>
            </w:r>
          </w:p>
        </w:tc>
        <w:tc>
          <w:tcPr>
            <w:tcW w:w="10293" w:type="dxa"/>
            <w:shd w:val="clear" w:color="auto" w:fill="auto"/>
          </w:tcPr>
          <w:p>
            <w:pPr>
              <w:adjustRightInd w:val="0"/>
              <w:snapToGrid w:val="0"/>
              <w:spacing w:line="340" w:lineRule="exact"/>
              <w:jc w:val="left"/>
              <w:rPr>
                <w:rFonts w:ascii="宋体" w:hAnsi="宋体"/>
                <w:color w:val="auto"/>
                <w:highlight w:val="none"/>
              </w:rPr>
            </w:pPr>
            <w:r>
              <w:rPr>
                <w:rFonts w:hint="eastAsia" w:ascii="宋体" w:hAnsi="宋体"/>
                <w:color w:val="auto"/>
                <w:highlight w:val="none"/>
              </w:rPr>
              <w:t>1.项目负责人设计业务能力（</w:t>
            </w:r>
            <w:r>
              <w:rPr>
                <w:rFonts w:ascii="宋体" w:hAnsi="宋体"/>
                <w:color w:val="auto"/>
                <w:highlight w:val="none"/>
              </w:rPr>
              <w:t>20</w:t>
            </w:r>
            <w:r>
              <w:rPr>
                <w:rFonts w:hint="eastAsia" w:ascii="宋体" w:hAnsi="宋体"/>
                <w:color w:val="auto"/>
                <w:highlight w:val="none"/>
              </w:rPr>
              <w:t>分）（联合体投标的，由主办方提供）：</w:t>
            </w:r>
          </w:p>
          <w:p>
            <w:pPr>
              <w:adjustRightInd w:val="0"/>
              <w:snapToGrid w:val="0"/>
              <w:spacing w:line="340" w:lineRule="exact"/>
              <w:jc w:val="left"/>
              <w:rPr>
                <w:rFonts w:ascii="宋体" w:hAnsi="宋体" w:cs="宋体"/>
                <w:color w:val="auto"/>
                <w:szCs w:val="21"/>
                <w:highlight w:val="none"/>
              </w:rPr>
            </w:pPr>
            <w:r>
              <w:rPr>
                <w:rFonts w:hint="eastAsia" w:ascii="宋体" w:hAnsi="宋体" w:cs="宋体"/>
                <w:color w:val="auto"/>
                <w:szCs w:val="21"/>
                <w:highlight w:val="none"/>
              </w:rPr>
              <w:t>（1）获得风景园林或园林类设计正高级技术职称的得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分；获得风景园林或园林类设计副高级技术职称的得3分；无或其他情况不得分。本小项最高得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pPr>
              <w:adjustRightInd w:val="0"/>
              <w:snapToGrid w:val="0"/>
              <w:spacing w:line="340" w:lineRule="exact"/>
              <w:jc w:val="left"/>
              <w:rPr>
                <w:rFonts w:ascii="宋体" w:hAnsi="宋体"/>
                <w:color w:val="auto"/>
                <w:highlight w:val="none"/>
              </w:rPr>
            </w:pPr>
            <w:r>
              <w:rPr>
                <w:rFonts w:hint="eastAsia" w:ascii="宋体" w:hAnsi="宋体" w:cs="宋体"/>
                <w:color w:val="auto"/>
                <w:szCs w:val="21"/>
                <w:highlight w:val="none"/>
              </w:rPr>
              <w:t>（2）202</w:t>
            </w:r>
            <w:r>
              <w:rPr>
                <w:rFonts w:ascii="宋体" w:hAnsi="宋体" w:cs="宋体"/>
                <w:color w:val="auto"/>
                <w:szCs w:val="21"/>
                <w:highlight w:val="none"/>
              </w:rPr>
              <w:t>2</w:t>
            </w:r>
            <w:r>
              <w:rPr>
                <w:rFonts w:hint="eastAsia" w:ascii="宋体" w:hAnsi="宋体" w:cs="宋体"/>
                <w:color w:val="auto"/>
                <w:szCs w:val="21"/>
                <w:highlight w:val="none"/>
              </w:rPr>
              <w:t>年1月1日至今参加的风景园林设计或园林绿化工程设计项目，获得国家级奖项的每项得3分；获省级奖项的每项得2分；获市级（含副省级）奖项的每项得1分；</w:t>
            </w:r>
            <w:r>
              <w:rPr>
                <w:rFonts w:hint="eastAsia" w:ascii="宋体" w:hAnsi="宋体" w:cs="宋体"/>
                <w:color w:val="auto"/>
                <w:highlight w:val="none"/>
              </w:rPr>
              <w:t>无或其他情况不得分；</w:t>
            </w:r>
            <w:r>
              <w:rPr>
                <w:rFonts w:hint="eastAsia" w:ascii="宋体" w:hAnsi="宋体" w:cs="宋体"/>
                <w:color w:val="auto"/>
                <w:szCs w:val="21"/>
                <w:highlight w:val="none"/>
              </w:rPr>
              <w:t>同一项目不累计计分。</w:t>
            </w:r>
            <w:r>
              <w:rPr>
                <w:rFonts w:hint="eastAsia" w:ascii="宋体" w:hAnsi="宋体"/>
                <w:color w:val="auto"/>
                <w:highlight w:val="none"/>
              </w:rPr>
              <w:t xml:space="preserve">本小项最高得15分。 </w:t>
            </w:r>
          </w:p>
          <w:p>
            <w:pPr>
              <w:adjustRightInd w:val="0"/>
              <w:snapToGrid w:val="0"/>
              <w:spacing w:line="340" w:lineRule="exact"/>
              <w:jc w:val="left"/>
              <w:rPr>
                <w:rFonts w:ascii="宋体" w:hAnsi="宋体"/>
                <w:color w:val="auto"/>
                <w:highlight w:val="none"/>
              </w:rPr>
            </w:pPr>
            <w:r>
              <w:rPr>
                <w:rFonts w:hint="eastAsia" w:ascii="宋体" w:hAnsi="宋体"/>
                <w:color w:val="auto"/>
                <w:highlight w:val="none"/>
              </w:rPr>
              <w:t>2.各专业负责人业务能力（</w:t>
            </w:r>
            <w:r>
              <w:rPr>
                <w:rFonts w:ascii="宋体" w:hAnsi="宋体"/>
                <w:color w:val="auto"/>
                <w:highlight w:val="none"/>
              </w:rPr>
              <w:t>20</w:t>
            </w:r>
            <w:r>
              <w:rPr>
                <w:rFonts w:hint="eastAsia" w:ascii="宋体" w:hAnsi="宋体"/>
                <w:color w:val="auto"/>
                <w:highlight w:val="none"/>
              </w:rPr>
              <w:t>分）（联合体投标的，任意一方提供均可）：</w:t>
            </w:r>
          </w:p>
          <w:p>
            <w:pPr>
              <w:adjustRightInd w:val="0"/>
              <w:snapToGrid w:val="0"/>
              <w:spacing w:line="340" w:lineRule="exact"/>
              <w:jc w:val="left"/>
              <w:rPr>
                <w:rFonts w:ascii="宋体" w:hAnsi="宋体"/>
                <w:color w:val="auto"/>
                <w:highlight w:val="none"/>
              </w:rPr>
            </w:pPr>
            <w:r>
              <w:rPr>
                <w:rFonts w:hint="eastAsia" w:ascii="宋体" w:hAnsi="宋体"/>
                <w:color w:val="auto"/>
                <w:highlight w:val="none"/>
              </w:rPr>
              <w:t>（1）园林专业负责人，具备园林相关专业副高级或以上技术职称的，得4分；具备园林相关专业中级技术职称的，得2分；</w:t>
            </w:r>
            <w:r>
              <w:rPr>
                <w:rFonts w:hint="eastAsia" w:ascii="宋体" w:hAnsi="宋体" w:cs="宋体"/>
                <w:color w:val="auto"/>
                <w:highlight w:val="none"/>
              </w:rPr>
              <w:t>无或</w:t>
            </w:r>
            <w:r>
              <w:rPr>
                <w:rFonts w:hint="eastAsia" w:ascii="宋体" w:hAnsi="宋体"/>
                <w:color w:val="auto"/>
                <w:highlight w:val="none"/>
              </w:rPr>
              <w:t>其他不得分。</w:t>
            </w:r>
          </w:p>
          <w:p>
            <w:pPr>
              <w:adjustRightInd w:val="0"/>
              <w:snapToGrid w:val="0"/>
              <w:spacing w:line="340" w:lineRule="exact"/>
              <w:jc w:val="left"/>
              <w:rPr>
                <w:rFonts w:ascii="宋体" w:hAnsi="宋体"/>
                <w:color w:val="auto"/>
                <w:highlight w:val="none"/>
              </w:rPr>
            </w:pPr>
            <w:r>
              <w:rPr>
                <w:rFonts w:hint="eastAsia" w:ascii="宋体" w:hAnsi="宋体"/>
                <w:color w:val="auto"/>
                <w:highlight w:val="none"/>
              </w:rPr>
              <w:t>（2）建筑专业负责人，具备一级注册建筑师或建筑相关专业副高级或以上技术职称的，得3分；具备二级注册建筑师或建筑相关专业中级技术职称的，得1.5分；无或其他不得分。</w:t>
            </w:r>
          </w:p>
          <w:p>
            <w:pPr>
              <w:adjustRightInd w:val="0"/>
              <w:snapToGrid w:val="0"/>
              <w:spacing w:line="340" w:lineRule="exact"/>
              <w:jc w:val="left"/>
              <w:rPr>
                <w:rFonts w:ascii="宋体" w:hAnsi="宋体"/>
                <w:color w:val="auto"/>
                <w:highlight w:val="none"/>
              </w:rPr>
            </w:pPr>
            <w:r>
              <w:rPr>
                <w:rFonts w:hint="eastAsia" w:ascii="宋体" w:hAnsi="宋体"/>
                <w:color w:val="auto"/>
                <w:highlight w:val="none"/>
              </w:rPr>
              <w:t>（3）结构专业负责人，具备一级注册结构工程师或结构相关专业副高级或以上技术职称的，得3分；具备二级注册结构工程师或结构相关专业中级技术职称的，得1.5分；无或其他不得分。</w:t>
            </w:r>
          </w:p>
          <w:p>
            <w:pPr>
              <w:adjustRightInd w:val="0"/>
              <w:snapToGrid w:val="0"/>
              <w:spacing w:line="340" w:lineRule="exact"/>
              <w:jc w:val="left"/>
              <w:rPr>
                <w:color w:val="auto"/>
                <w:highlight w:val="none"/>
              </w:rPr>
            </w:pPr>
            <w:r>
              <w:rPr>
                <w:rFonts w:hint="eastAsia" w:ascii="宋体" w:hAnsi="宋体"/>
                <w:color w:val="auto"/>
                <w:highlight w:val="none"/>
              </w:rPr>
              <w:t>（4）电气专业负责人，具备电气相关专业副高级或以上技术职称的，得3分；具备电气相关专业中级技术职称的，得1.5分；无或其他不得分。</w:t>
            </w:r>
          </w:p>
          <w:p>
            <w:pPr>
              <w:adjustRightInd w:val="0"/>
              <w:snapToGrid w:val="0"/>
              <w:spacing w:line="340" w:lineRule="exact"/>
              <w:jc w:val="left"/>
              <w:rPr>
                <w:rFonts w:ascii="宋体" w:hAnsi="宋体"/>
                <w:color w:val="auto"/>
                <w:highlight w:val="none"/>
              </w:rPr>
            </w:pPr>
            <w:r>
              <w:rPr>
                <w:rFonts w:hint="eastAsia" w:ascii="宋体" w:hAnsi="宋体"/>
                <w:color w:val="auto"/>
                <w:highlight w:val="none"/>
              </w:rPr>
              <w:t>（5）给排水专业负责人，具备给排水相关专业副高级或以上技术职称的，得3分；具备给排水相关专业中级技术职称的，得1.5分；</w:t>
            </w:r>
            <w:r>
              <w:rPr>
                <w:rFonts w:hint="eastAsia" w:ascii="宋体" w:hAnsi="宋体" w:cs="宋体"/>
                <w:color w:val="auto"/>
                <w:highlight w:val="none"/>
              </w:rPr>
              <w:t>无或</w:t>
            </w:r>
            <w:r>
              <w:rPr>
                <w:rFonts w:hint="eastAsia" w:ascii="宋体" w:hAnsi="宋体"/>
                <w:color w:val="auto"/>
                <w:highlight w:val="none"/>
              </w:rPr>
              <w:t>其他不得分。</w:t>
            </w:r>
          </w:p>
          <w:p>
            <w:pPr>
              <w:adjustRightInd w:val="0"/>
              <w:snapToGrid w:val="0"/>
              <w:spacing w:line="340" w:lineRule="exact"/>
              <w:jc w:val="left"/>
              <w:rPr>
                <w:rFonts w:ascii="宋体" w:hAnsi="宋体"/>
                <w:color w:val="auto"/>
                <w:highlight w:val="none"/>
              </w:rPr>
            </w:pPr>
            <w:r>
              <w:rPr>
                <w:rFonts w:hint="eastAsia" w:ascii="宋体" w:hAnsi="宋体"/>
                <w:color w:val="auto"/>
                <w:highlight w:val="none"/>
              </w:rPr>
              <w:t>（6）工程造价专业负责人，具备一级注册造价工程师或造价相关专业副高级或以上技术职称的，得</w:t>
            </w:r>
            <w:r>
              <w:rPr>
                <w:rFonts w:ascii="宋体" w:hAnsi="宋体"/>
                <w:color w:val="auto"/>
                <w:highlight w:val="none"/>
              </w:rPr>
              <w:t>4</w:t>
            </w:r>
            <w:r>
              <w:rPr>
                <w:rFonts w:hint="eastAsia" w:ascii="宋体" w:hAnsi="宋体"/>
                <w:color w:val="auto"/>
                <w:highlight w:val="none"/>
              </w:rPr>
              <w:t>分；具备二级</w:t>
            </w:r>
            <w:r>
              <w:rPr>
                <w:rFonts w:hint="eastAsia" w:ascii="宋体" w:hAnsi="宋体" w:cs="宋体"/>
                <w:color w:val="auto"/>
                <w:highlight w:val="none"/>
              </w:rPr>
              <w:t>注册造价工程师资格或</w:t>
            </w:r>
            <w:r>
              <w:rPr>
                <w:rFonts w:hint="eastAsia" w:ascii="宋体" w:hAnsi="宋体"/>
                <w:color w:val="auto"/>
                <w:highlight w:val="none"/>
              </w:rPr>
              <w:t>造价相关专业中级技术职称的，得</w:t>
            </w:r>
            <w:r>
              <w:rPr>
                <w:rFonts w:hint="eastAsia" w:ascii="宋体" w:hAnsi="宋体"/>
                <w:color w:val="auto"/>
                <w:highlight w:val="none"/>
                <w:lang w:val="en-US" w:eastAsia="zh-CN"/>
              </w:rPr>
              <w:t>2</w:t>
            </w:r>
            <w:r>
              <w:rPr>
                <w:rFonts w:hint="eastAsia" w:ascii="宋体" w:hAnsi="宋体"/>
                <w:color w:val="auto"/>
                <w:highlight w:val="none"/>
              </w:rPr>
              <w:t>分；</w:t>
            </w:r>
            <w:r>
              <w:rPr>
                <w:rFonts w:hint="eastAsia" w:ascii="宋体" w:hAnsi="宋体" w:cs="宋体"/>
                <w:color w:val="auto"/>
                <w:highlight w:val="none"/>
              </w:rPr>
              <w:t>无或</w:t>
            </w:r>
            <w:r>
              <w:rPr>
                <w:rFonts w:hint="eastAsia" w:ascii="宋体" w:hAnsi="宋体"/>
                <w:color w:val="auto"/>
                <w:highlight w:val="none"/>
              </w:rPr>
              <w:t>其他不得分。</w:t>
            </w:r>
          </w:p>
          <w:p>
            <w:pPr>
              <w:adjustRightInd w:val="0"/>
              <w:snapToGrid w:val="0"/>
              <w:spacing w:line="340" w:lineRule="exact"/>
              <w:jc w:val="left"/>
              <w:rPr>
                <w:rFonts w:ascii="宋体" w:hAnsi="宋体"/>
                <w:color w:val="auto"/>
                <w:highlight w:val="none"/>
              </w:rPr>
            </w:pPr>
            <w:r>
              <w:rPr>
                <w:rFonts w:hint="eastAsia" w:ascii="宋体" w:hAnsi="宋体"/>
                <w:color w:val="auto"/>
                <w:highlight w:val="none"/>
              </w:rPr>
              <w:t>本小项最高得</w:t>
            </w:r>
            <w:r>
              <w:rPr>
                <w:rFonts w:ascii="宋体" w:hAnsi="宋体"/>
                <w:color w:val="auto"/>
                <w:highlight w:val="none"/>
              </w:rPr>
              <w:t>20</w:t>
            </w:r>
            <w:r>
              <w:rPr>
                <w:rFonts w:hint="eastAsia" w:ascii="宋体" w:hAnsi="宋体"/>
                <w:color w:val="auto"/>
                <w:highlight w:val="none"/>
              </w:rPr>
              <w:t>分。</w:t>
            </w:r>
          </w:p>
          <w:p>
            <w:pPr>
              <w:adjustRightInd w:val="0"/>
              <w:snapToGrid w:val="0"/>
              <w:spacing w:line="340" w:lineRule="exact"/>
              <w:jc w:val="left"/>
              <w:rPr>
                <w:rFonts w:ascii="宋体" w:hAnsi="宋体"/>
                <w:color w:val="auto"/>
                <w:highlight w:val="none"/>
              </w:rPr>
            </w:pPr>
            <w:r>
              <w:rPr>
                <w:rFonts w:hint="eastAsia" w:ascii="宋体" w:hAnsi="宋体"/>
                <w:color w:val="auto"/>
                <w:highlight w:val="none"/>
              </w:rPr>
              <w:t>注：</w:t>
            </w:r>
            <w:r>
              <w:rPr>
                <w:rFonts w:hint="eastAsia" w:ascii="宋体" w:hAnsi="宋体" w:cs="宋体"/>
                <w:color w:val="auto"/>
                <w:szCs w:val="21"/>
                <w:highlight w:val="none"/>
              </w:rPr>
              <w:t>①</w:t>
            </w:r>
            <w:r>
              <w:rPr>
                <w:rFonts w:hint="eastAsia" w:ascii="宋体" w:hAnsi="宋体"/>
                <w:color w:val="auto"/>
                <w:highlight w:val="none"/>
              </w:rPr>
              <w:t>所提供的投入人员必须为投标单位人员，并提供近1个月（2025年10月）有效的参保的社保证明。</w:t>
            </w:r>
            <w:r>
              <w:rPr>
                <w:rFonts w:hint="eastAsia" w:ascii="仿宋_GB2312" w:hAnsi="仿宋_GB2312" w:eastAsia="仿宋_GB2312" w:cs="仿宋_GB2312"/>
                <w:color w:val="auto"/>
                <w:highlight w:val="none"/>
              </w:rPr>
              <w:t>②</w:t>
            </w:r>
            <w:r>
              <w:rPr>
                <w:rFonts w:hint="eastAsia" w:ascii="宋体" w:hAnsi="宋体"/>
                <w:color w:val="auto"/>
                <w:szCs w:val="21"/>
                <w:highlight w:val="none"/>
              </w:rPr>
              <w:t>拟投入本项目的人员需根据上述评分要求提供相应的注册证书、职称证书的</w:t>
            </w:r>
            <w:r>
              <w:rPr>
                <w:rFonts w:hint="eastAsia" w:ascii="宋体" w:hAnsi="宋体"/>
                <w:color w:val="auto"/>
                <w:highlight w:val="none"/>
              </w:rPr>
              <w:t>原件彩色扫描件（如电子证照则提供彩色打印件），同一人不可重复计分</w:t>
            </w:r>
            <w:r>
              <w:rPr>
                <w:rFonts w:hint="eastAsia" w:ascii="宋体" w:hAnsi="宋体"/>
                <w:color w:val="auto"/>
                <w:szCs w:val="21"/>
                <w:highlight w:val="none"/>
              </w:rPr>
              <w:t>。③</w:t>
            </w:r>
            <w:r>
              <w:rPr>
                <w:color w:val="auto"/>
                <w:highlight w:val="none"/>
              </w:rPr>
              <w:fldChar w:fldCharType="begin"/>
            </w:r>
            <w:r>
              <w:rPr>
                <w:color w:val="auto"/>
                <w:highlight w:val="none"/>
              </w:rPr>
              <w:instrText xml:space="preserve"> HYPERLINK "https://chinanpo.mca.gov.cn/）登记的有效组织，请另提供该组织在上述平台的查询截图，登记信息无法查询的不得分。需提供获奖证书扫描件，否则不得分。" </w:instrText>
            </w:r>
            <w:r>
              <w:rPr>
                <w:color w:val="auto"/>
                <w:highlight w:val="none"/>
              </w:rPr>
              <w:fldChar w:fldCharType="separate"/>
            </w:r>
            <w:r>
              <w:rPr>
                <w:rFonts w:hint="eastAsia" w:ascii="宋体" w:hAnsi="宋体"/>
                <w:color w:val="auto"/>
                <w:highlight w:val="none"/>
              </w:rPr>
              <w:t>获奖奖项是指与本次招标专业内容相对应的由权威行业协会（学会）或行政主管部门颁发的优秀设计奖；</w:t>
            </w:r>
            <w:r>
              <w:rPr>
                <w:rFonts w:hint="eastAsia" w:ascii="Times New Roman" w:hAnsi="Times New Roman"/>
                <w:color w:val="auto"/>
                <w:szCs w:val="21"/>
                <w:highlight w:val="none"/>
              </w:rPr>
              <w:t>④</w:t>
            </w:r>
            <w:r>
              <w:rPr>
                <w:rFonts w:hint="eastAsia" w:ascii="宋体" w:hAnsi="宋体"/>
                <w:color w:val="auto"/>
                <w:highlight w:val="none"/>
              </w:rPr>
              <w:t>获奖情况需提供奖项的原件彩色扫描件（如电子证照则提供彩色打印件）以及发证单位官网公示页面截图并附网页链接。若</w:t>
            </w:r>
            <w:r>
              <w:rPr>
                <w:rFonts w:hint="eastAsia" w:ascii="宋体" w:hAnsi="宋体" w:cs="宋体"/>
                <w:color w:val="auto"/>
                <w:szCs w:val="21"/>
                <w:highlight w:val="none"/>
              </w:rPr>
              <w:t>颁发单位如为行业协会（学会），须为中国社会组织政务服务平台</w:t>
            </w:r>
            <w:r>
              <w:rPr>
                <w:rFonts w:hint="eastAsia" w:ascii="宋体" w:hAnsi="宋体"/>
                <w:color w:val="auto"/>
                <w:highlight w:val="none"/>
              </w:rPr>
              <w:t>⑤</w:t>
            </w:r>
            <w:r>
              <w:rPr>
                <w:rFonts w:hint="eastAsia" w:ascii="宋体" w:hAnsi="宋体" w:cs="宋体"/>
                <w:color w:val="auto"/>
                <w:szCs w:val="21"/>
                <w:highlight w:val="none"/>
              </w:rPr>
              <w:t>获奖时间以奖项颁发时间为准。⑥</w:t>
            </w:r>
            <w:r>
              <w:rPr>
                <w:rFonts w:hint="eastAsia" w:ascii="宋体" w:hAnsi="宋体"/>
                <w:color w:val="auto"/>
                <w:highlight w:val="none"/>
              </w:rPr>
              <w:t>同一项目的获奖按最高等级计分。</w:t>
            </w:r>
            <w:r>
              <w:rPr>
                <w:rFonts w:hint="eastAsia" w:ascii="仿宋_GB2312" w:hAnsi="仿宋_GB2312" w:eastAsia="仿宋_GB2312" w:cs="仿宋_GB2312"/>
                <w:color w:val="auto"/>
                <w:szCs w:val="21"/>
                <w:highlight w:val="none"/>
              </w:rPr>
              <w:t>⑦</w:t>
            </w:r>
            <w:r>
              <w:rPr>
                <w:rFonts w:hint="eastAsia" w:ascii="宋体" w:hAnsi="宋体"/>
                <w:color w:val="auto"/>
                <w:highlight w:val="none"/>
              </w:rPr>
              <w:t>提供资料不齐全则不得分。</w:t>
            </w:r>
            <w:r>
              <w:rPr>
                <w:rFonts w:hint="eastAsia" w:ascii="宋体" w:hAnsi="宋体"/>
                <w:color w:val="auto"/>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2295" w:type="dxa"/>
            <w:shd w:val="clear" w:color="auto" w:fill="auto"/>
            <w:vAlign w:val="center"/>
          </w:tcPr>
          <w:p>
            <w:pPr>
              <w:rPr>
                <w:rFonts w:ascii="宋体" w:hAnsi="宋体" w:cs="宋体"/>
                <w:b/>
                <w:bCs/>
                <w:color w:val="auto"/>
                <w:szCs w:val="21"/>
                <w:highlight w:val="none"/>
              </w:rPr>
            </w:pPr>
            <w:r>
              <w:rPr>
                <w:rFonts w:hint="eastAsia" w:ascii="宋体" w:hAnsi="宋体" w:cs="仿宋_GB2312"/>
                <w:b/>
                <w:bCs/>
                <w:color w:val="auto"/>
                <w:szCs w:val="21"/>
                <w:highlight w:val="none"/>
              </w:rPr>
              <w:t>四、企业信誉</w:t>
            </w:r>
          </w:p>
        </w:tc>
        <w:tc>
          <w:tcPr>
            <w:tcW w:w="1310" w:type="dxa"/>
            <w:shd w:val="clear" w:color="auto" w:fill="auto"/>
            <w:vAlign w:val="center"/>
          </w:tcPr>
          <w:p>
            <w:pPr>
              <w:jc w:val="center"/>
              <w:rPr>
                <w:rFonts w:ascii="宋体" w:hAnsi="宋体" w:cs="宋体"/>
                <w:color w:val="auto"/>
                <w:highlight w:val="none"/>
              </w:rPr>
            </w:pPr>
            <w:r>
              <w:rPr>
                <w:rFonts w:hint="eastAsia" w:ascii="宋体" w:hAnsi="宋体" w:cs="宋体"/>
                <w:color w:val="auto"/>
                <w:highlight w:val="none"/>
              </w:rPr>
              <w:t>10分</w:t>
            </w:r>
          </w:p>
        </w:tc>
        <w:tc>
          <w:tcPr>
            <w:tcW w:w="10293" w:type="dxa"/>
            <w:shd w:val="clear" w:color="auto" w:fill="auto"/>
            <w:vAlign w:val="center"/>
          </w:tcPr>
          <w:p>
            <w:pPr>
              <w:adjustRightInd w:val="0"/>
              <w:snapToGrid w:val="0"/>
              <w:spacing w:line="340" w:lineRule="exact"/>
              <w:jc w:val="left"/>
              <w:rPr>
                <w:rFonts w:ascii="宋体" w:hAnsi="宋体"/>
                <w:color w:val="auto"/>
                <w:highlight w:val="none"/>
              </w:rPr>
            </w:pPr>
            <w:r>
              <w:rPr>
                <w:rFonts w:hint="eastAsia" w:ascii="宋体" w:hAnsi="宋体"/>
                <w:color w:val="auto"/>
                <w:highlight w:val="none"/>
              </w:rPr>
              <w:t>（联合体投标的，任意一方提供均可）投标人在投标截止之日前三年的纳税信用等级资料，获得税务机关颁发的“纳税信用 A 级荣誉证书”，获得过三年，得10分，获得过二年，得7分，获得过一年，得4分，其他情况不得分，本项最高得10分。</w:t>
            </w:r>
          </w:p>
          <w:p>
            <w:pPr>
              <w:adjustRightInd w:val="0"/>
              <w:snapToGrid w:val="0"/>
              <w:spacing w:line="340" w:lineRule="exact"/>
              <w:jc w:val="left"/>
              <w:rPr>
                <w:rFonts w:ascii="宋体" w:hAnsi="宋体"/>
                <w:color w:val="auto"/>
                <w:highlight w:val="none"/>
              </w:rPr>
            </w:pPr>
            <w:r>
              <w:rPr>
                <w:rFonts w:hint="eastAsia" w:ascii="宋体" w:hAnsi="宋体"/>
                <w:color w:val="auto"/>
                <w:highlight w:val="none"/>
              </w:rPr>
              <w:t>注：提供证书(复印件/扫描件）、网页查询结果截图及其查询路径。</w:t>
            </w:r>
            <w:r>
              <w:rPr>
                <w:rFonts w:hint="eastAsia" w:ascii="宋体" w:hAnsi="宋体"/>
                <w:color w:val="auto"/>
                <w:highlight w:val="none"/>
                <w:lang w:eastAsia="zh-CN"/>
              </w:rPr>
              <w:t>如联合体双方同时提供，按得分最高的一方计取。</w:t>
            </w:r>
            <w:r>
              <w:rPr>
                <w:rFonts w:hint="eastAsia" w:ascii="宋体" w:hAnsi="宋体"/>
                <w:color w:val="auto"/>
                <w:highlight w:val="none"/>
              </w:rPr>
              <w:t>国家税务机关每年4月确定上一年度纳税信用评价结果（www.chinatax.gov.cn），若在投标前仍未公布上一年的评价结果，则将前一年度结果作为最近一年度的查询结果，以此类推。</w:t>
            </w:r>
          </w:p>
        </w:tc>
      </w:tr>
      <w:bookmarkEnd w:id="144"/>
      <w:bookmarkEnd w:id="152"/>
    </w:tbl>
    <w:p>
      <w:pPr>
        <w:spacing w:line="260" w:lineRule="exact"/>
        <w:jc w:val="left"/>
        <w:rPr>
          <w:rFonts w:ascii="宋体" w:hAnsi="宋体"/>
          <w:color w:val="auto"/>
          <w:sz w:val="22"/>
          <w:szCs w:val="22"/>
          <w:highlight w:val="none"/>
        </w:rPr>
      </w:pPr>
      <w:bookmarkStart w:id="153" w:name="_Toc1566"/>
      <w:r>
        <w:rPr>
          <w:rFonts w:hint="eastAsia" w:ascii="宋体" w:hAnsi="宋体"/>
          <w:color w:val="auto"/>
          <w:sz w:val="22"/>
          <w:szCs w:val="22"/>
          <w:highlight w:val="none"/>
        </w:rPr>
        <w:t>评委签名：                                                                        日期：</w:t>
      </w:r>
    </w:p>
    <w:p>
      <w:pPr>
        <w:pStyle w:val="6"/>
        <w:numPr>
          <w:ilvl w:val="0"/>
          <w:numId w:val="0"/>
        </w:numPr>
        <w:spacing w:before="120" w:after="120"/>
        <w:rPr>
          <w:strike/>
          <w:color w:val="auto"/>
          <w:highlight w:val="none"/>
        </w:rPr>
      </w:pPr>
      <w:r>
        <w:rPr>
          <w:rFonts w:hint="eastAsia"/>
          <w:strike/>
          <w:color w:val="auto"/>
          <w:highlight w:val="none"/>
        </w:rPr>
        <w:br w:type="page"/>
      </w:r>
      <w:bookmarkEnd w:id="153"/>
      <w:bookmarkStart w:id="154" w:name="_Toc17067"/>
      <w:r>
        <w:rPr>
          <w:rFonts w:hint="eastAsia"/>
          <w:strike/>
          <w:color w:val="auto"/>
          <w:highlight w:val="none"/>
        </w:rPr>
        <w:t>附件6 投标报价得分表（适用于综合评分法二）</w:t>
      </w:r>
      <w:bookmarkEnd w:id="154"/>
    </w:p>
    <w:p>
      <w:pPr>
        <w:jc w:val="center"/>
        <w:rPr>
          <w:rFonts w:ascii="宋体" w:hAnsi="宋体"/>
          <w:b/>
          <w:bCs/>
          <w:strike/>
          <w:color w:val="auto"/>
          <w:sz w:val="32"/>
          <w:szCs w:val="32"/>
          <w:highlight w:val="none"/>
        </w:rPr>
      </w:pPr>
    </w:p>
    <w:p>
      <w:pPr>
        <w:jc w:val="center"/>
        <w:rPr>
          <w:rFonts w:ascii="宋体" w:hAnsi="宋体"/>
          <w:b/>
          <w:bCs/>
          <w:strike/>
          <w:color w:val="auto"/>
          <w:sz w:val="32"/>
          <w:szCs w:val="32"/>
          <w:highlight w:val="none"/>
        </w:rPr>
      </w:pPr>
    </w:p>
    <w:p>
      <w:pPr>
        <w:jc w:val="center"/>
        <w:rPr>
          <w:rFonts w:ascii="宋体" w:hAnsi="宋体"/>
          <w:b/>
          <w:bCs/>
          <w:strike/>
          <w:color w:val="auto"/>
          <w:sz w:val="30"/>
          <w:szCs w:val="30"/>
          <w:highlight w:val="none"/>
        </w:rPr>
      </w:pPr>
      <w:r>
        <w:rPr>
          <w:rFonts w:hint="eastAsia" w:ascii="宋体" w:hAnsi="宋体"/>
          <w:b/>
          <w:bCs/>
          <w:strike/>
          <w:color w:val="auto"/>
          <w:sz w:val="30"/>
          <w:szCs w:val="30"/>
          <w:highlight w:val="none"/>
        </w:rPr>
        <w:t>投标报价得分表</w:t>
      </w:r>
    </w:p>
    <w:p>
      <w:pPr>
        <w:jc w:val="center"/>
        <w:rPr>
          <w:rFonts w:ascii="宋体" w:hAnsi="宋体"/>
          <w:b/>
          <w:bCs/>
          <w:strike/>
          <w:color w:val="auto"/>
          <w:sz w:val="32"/>
          <w:szCs w:val="32"/>
          <w:highlight w:val="none"/>
        </w:rPr>
      </w:pPr>
    </w:p>
    <w:p>
      <w:pPr>
        <w:spacing w:line="360" w:lineRule="auto"/>
        <w:jc w:val="left"/>
        <w:rPr>
          <w:rFonts w:ascii="宋体" w:hAnsi="宋体"/>
          <w:strike/>
          <w:color w:val="auto"/>
          <w:szCs w:val="21"/>
          <w:highlight w:val="none"/>
        </w:rPr>
      </w:pPr>
    </w:p>
    <w:p>
      <w:pPr>
        <w:spacing w:line="360" w:lineRule="auto"/>
        <w:jc w:val="left"/>
        <w:rPr>
          <w:rFonts w:ascii="宋体" w:hAnsi="宋体"/>
          <w:strike/>
          <w:color w:val="auto"/>
          <w:szCs w:val="21"/>
          <w:highlight w:val="none"/>
        </w:rPr>
      </w:pPr>
      <w:r>
        <w:rPr>
          <w:rFonts w:hint="eastAsia" w:ascii="宋体" w:hAnsi="宋体"/>
          <w:strike/>
          <w:color w:val="auto"/>
          <w:szCs w:val="21"/>
          <w:highlight w:val="none"/>
        </w:rPr>
        <w:t>项目名称：</w:t>
      </w:r>
      <w:r>
        <w:rPr>
          <w:rFonts w:hint="eastAsia" w:ascii="宋体" w:hAnsi="宋体"/>
          <w:strike/>
          <w:color w:val="auto"/>
          <w:szCs w:val="21"/>
          <w:highlight w:val="none"/>
          <w:u w:val="single"/>
        </w:rPr>
        <w:t xml:space="preserve">                                   </w:t>
      </w:r>
      <w:r>
        <w:rPr>
          <w:rFonts w:hint="eastAsia" w:ascii="宋体" w:hAnsi="宋体"/>
          <w:strike/>
          <w:color w:val="auto"/>
          <w:szCs w:val="21"/>
          <w:highlight w:val="none"/>
        </w:rPr>
        <w:t xml:space="preserve">     </w:t>
      </w:r>
      <w:r>
        <w:rPr>
          <w:rFonts w:hint="eastAsia" w:ascii="宋体" w:hAnsi="宋体" w:cs="宋体"/>
          <w:strike/>
          <w:color w:val="auto"/>
          <w:szCs w:val="21"/>
          <w:highlight w:val="none"/>
          <w:lang w:val="zh-CN"/>
        </w:rPr>
        <w:t>投标人名称：</w:t>
      </w:r>
      <w:r>
        <w:rPr>
          <w:rFonts w:hint="eastAsia" w:ascii="宋体" w:hAnsi="宋体"/>
          <w:strike/>
          <w:color w:val="auto"/>
          <w:szCs w:val="21"/>
          <w:highlight w:val="none"/>
          <w:u w:val="single"/>
        </w:rPr>
        <w:t xml:space="preserve">                                   </w:t>
      </w:r>
    </w:p>
    <w:tbl>
      <w:tblPr>
        <w:tblStyle w:val="29"/>
        <w:tblW w:w="0" w:type="auto"/>
        <w:jc w:val="center"/>
        <w:tblLayout w:type="fixed"/>
        <w:tblCellMar>
          <w:top w:w="0" w:type="dxa"/>
          <w:left w:w="108" w:type="dxa"/>
          <w:bottom w:w="0" w:type="dxa"/>
          <w:right w:w="108" w:type="dxa"/>
        </w:tblCellMar>
      </w:tblPr>
      <w:tblGrid>
        <w:gridCol w:w="642"/>
        <w:gridCol w:w="1656"/>
        <w:gridCol w:w="1856"/>
        <w:gridCol w:w="8863"/>
        <w:gridCol w:w="1080"/>
      </w:tblGrid>
      <w:tr>
        <w:tblPrEx>
          <w:tblCellMar>
            <w:top w:w="0" w:type="dxa"/>
            <w:left w:w="108" w:type="dxa"/>
            <w:bottom w:w="0" w:type="dxa"/>
            <w:right w:w="108" w:type="dxa"/>
          </w:tblCellMar>
        </w:tblPrEx>
        <w:trPr>
          <w:trHeight w:val="445"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strike/>
                <w:color w:val="auto"/>
                <w:szCs w:val="21"/>
                <w:highlight w:val="none"/>
              </w:rPr>
            </w:pPr>
            <w:r>
              <w:rPr>
                <w:rFonts w:hint="eastAsia" w:ascii="宋体" w:hAnsi="宋体" w:cs="宋体"/>
                <w:strike/>
                <w:color w:val="auto"/>
                <w:szCs w:val="21"/>
                <w:highlight w:val="none"/>
                <w:lang w:val="zh-CN"/>
              </w:rPr>
              <w:t>序号</w:t>
            </w:r>
          </w:p>
        </w:tc>
        <w:tc>
          <w:tcPr>
            <w:tcW w:w="16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strike/>
                <w:color w:val="auto"/>
                <w:szCs w:val="21"/>
                <w:highlight w:val="none"/>
              </w:rPr>
            </w:pPr>
            <w:r>
              <w:rPr>
                <w:rFonts w:hint="eastAsia" w:ascii="宋体" w:hAnsi="宋体" w:cs="宋体"/>
                <w:strike/>
                <w:color w:val="auto"/>
                <w:szCs w:val="21"/>
                <w:highlight w:val="none"/>
                <w:lang w:val="zh-CN"/>
              </w:rPr>
              <w:t>项目</w:t>
            </w:r>
          </w:p>
        </w:tc>
        <w:tc>
          <w:tcPr>
            <w:tcW w:w="18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hAnsi="宋体"/>
                <w:strike/>
                <w:color w:val="auto"/>
                <w:szCs w:val="21"/>
                <w:highlight w:val="none"/>
              </w:rPr>
            </w:pPr>
            <w:r>
              <w:rPr>
                <w:rFonts w:hint="eastAsia" w:ascii="宋体" w:hAnsi="宋体" w:cs="宋体"/>
                <w:strike/>
                <w:color w:val="auto"/>
                <w:szCs w:val="21"/>
                <w:highlight w:val="none"/>
                <w:lang w:val="zh-CN"/>
              </w:rPr>
              <w:t>分值分配</w:t>
            </w:r>
          </w:p>
        </w:tc>
        <w:tc>
          <w:tcPr>
            <w:tcW w:w="88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strike/>
                <w:color w:val="auto"/>
                <w:szCs w:val="21"/>
                <w:highlight w:val="none"/>
              </w:rPr>
            </w:pPr>
            <w:r>
              <w:rPr>
                <w:rFonts w:hint="eastAsia" w:ascii="宋体" w:hAnsi="宋体" w:cs="宋体"/>
                <w:strike/>
                <w:color w:val="auto"/>
                <w:szCs w:val="21"/>
                <w:highlight w:val="none"/>
                <w:lang w:val="zh-CN"/>
              </w:rPr>
              <w:t>内</w:t>
            </w:r>
            <w:r>
              <w:rPr>
                <w:rFonts w:ascii="宋体" w:hAnsi="宋体"/>
                <w:strike/>
                <w:color w:val="auto"/>
                <w:szCs w:val="21"/>
                <w:highlight w:val="none"/>
              </w:rPr>
              <w:t xml:space="preserve">     </w:t>
            </w:r>
            <w:r>
              <w:rPr>
                <w:rFonts w:hint="eastAsia" w:ascii="宋体" w:hAnsi="宋体" w:cs="宋体"/>
                <w:strike/>
                <w:color w:val="auto"/>
                <w:szCs w:val="21"/>
                <w:highlight w:val="none"/>
                <w:lang w:val="zh-CN"/>
              </w:rPr>
              <w:t>容</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strike/>
                <w:color w:val="auto"/>
                <w:szCs w:val="21"/>
                <w:highlight w:val="none"/>
              </w:rPr>
            </w:pPr>
            <w:r>
              <w:rPr>
                <w:rFonts w:ascii="宋体" w:hAnsi="宋体"/>
                <w:strike/>
                <w:color w:val="auto"/>
                <w:szCs w:val="21"/>
                <w:highlight w:val="none"/>
                <w:lang w:val="zh-CN"/>
              </w:rPr>
              <w:t>得分</w:t>
            </w:r>
          </w:p>
        </w:tc>
      </w:tr>
      <w:tr>
        <w:tblPrEx>
          <w:tblCellMar>
            <w:top w:w="0" w:type="dxa"/>
            <w:left w:w="108" w:type="dxa"/>
            <w:bottom w:w="0" w:type="dxa"/>
            <w:right w:w="108" w:type="dxa"/>
          </w:tblCellMar>
        </w:tblPrEx>
        <w:trPr>
          <w:trHeight w:val="1594" w:hRule="atLeast"/>
          <w:jc w:val="center"/>
        </w:trPr>
        <w:tc>
          <w:tcPr>
            <w:tcW w:w="64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hAnsi="宋体" w:cs="宋体"/>
                <w:strike/>
                <w:color w:val="auto"/>
                <w:szCs w:val="21"/>
                <w:highlight w:val="none"/>
                <w:lang w:val="zh-CN"/>
              </w:rPr>
            </w:pPr>
            <w:r>
              <w:rPr>
                <w:rFonts w:hint="eastAsia" w:ascii="宋体" w:hAnsi="宋体" w:cs="宋体"/>
                <w:strike/>
                <w:color w:val="auto"/>
                <w:szCs w:val="21"/>
                <w:highlight w:val="none"/>
                <w:lang w:val="zh-CN"/>
              </w:rPr>
              <w:t>一</w:t>
            </w:r>
          </w:p>
        </w:tc>
        <w:tc>
          <w:tcPr>
            <w:tcW w:w="1656" w:type="dxa"/>
            <w:tcBorders>
              <w:top w:val="single" w:color="auto" w:sz="6" w:space="0"/>
              <w:left w:val="single" w:color="auto" w:sz="6" w:space="0"/>
              <w:bottom w:val="single" w:color="auto" w:sz="6" w:space="0"/>
              <w:right w:val="single" w:color="auto" w:sz="6" w:space="0"/>
            </w:tcBorders>
            <w:vAlign w:val="center"/>
          </w:tcPr>
          <w:p>
            <w:pPr>
              <w:spacing w:line="260" w:lineRule="exact"/>
              <w:jc w:val="center"/>
              <w:rPr>
                <w:rFonts w:ascii="宋体" w:hAnsi="宋体"/>
                <w:strike/>
                <w:color w:val="auto"/>
                <w:szCs w:val="21"/>
                <w:highlight w:val="none"/>
              </w:rPr>
            </w:pPr>
            <w:r>
              <w:rPr>
                <w:rFonts w:hint="eastAsia" w:ascii="宋体" w:hAnsi="宋体" w:cs="宋体"/>
                <w:strike/>
                <w:color w:val="auto"/>
                <w:szCs w:val="21"/>
                <w:highlight w:val="none"/>
                <w:lang w:val="zh-CN"/>
              </w:rPr>
              <w:t>投标报价</w:t>
            </w:r>
          </w:p>
          <w:p>
            <w:pPr>
              <w:autoSpaceDE w:val="0"/>
              <w:autoSpaceDN w:val="0"/>
              <w:adjustRightInd w:val="0"/>
              <w:spacing w:line="400" w:lineRule="exact"/>
              <w:jc w:val="center"/>
              <w:rPr>
                <w:rFonts w:ascii="宋体" w:hAnsi="宋体" w:cs="宋体"/>
                <w:strike/>
                <w:color w:val="auto"/>
                <w:szCs w:val="21"/>
                <w:highlight w:val="none"/>
                <w:lang w:val="zh-CN"/>
              </w:rPr>
            </w:pPr>
            <w:r>
              <w:rPr>
                <w:rFonts w:hint="eastAsia" w:ascii="宋体" w:hAnsi="宋体" w:cs="宋体"/>
                <w:strike/>
                <w:color w:val="auto"/>
                <w:szCs w:val="21"/>
                <w:highlight w:val="none"/>
                <w:lang w:val="zh-CN"/>
              </w:rPr>
              <w:t>得分</w:t>
            </w:r>
          </w:p>
        </w:tc>
        <w:tc>
          <w:tcPr>
            <w:tcW w:w="18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strike/>
                <w:color w:val="auto"/>
                <w:szCs w:val="21"/>
                <w:highlight w:val="none"/>
              </w:rPr>
            </w:pPr>
            <w:r>
              <w:rPr>
                <w:rFonts w:hint="eastAsia" w:ascii="宋体" w:hAnsi="宋体" w:cs="宋体"/>
                <w:strike/>
                <w:color w:val="auto"/>
                <w:szCs w:val="21"/>
                <w:highlight w:val="none"/>
                <w:lang w:val="zh-CN"/>
              </w:rPr>
              <w:t>100</w:t>
            </w:r>
          </w:p>
        </w:tc>
        <w:tc>
          <w:tcPr>
            <w:tcW w:w="88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rPr>
                <w:rFonts w:ascii="宋体" w:hAnsi="宋体"/>
                <w:strike/>
                <w:color w:val="auto"/>
                <w:szCs w:val="21"/>
                <w:highlight w:val="none"/>
              </w:rPr>
            </w:pPr>
            <w:r>
              <w:rPr>
                <w:rFonts w:hint="eastAsia" w:ascii="宋体" w:hAnsi="宋体"/>
                <w:strike/>
                <w:color w:val="auto"/>
                <w:szCs w:val="21"/>
                <w:highlight w:val="none"/>
              </w:rPr>
              <w:t>本招标项目所有有效投标中，最低的投标价为本招标项目的评标基准价。</w:t>
            </w:r>
          </w:p>
          <w:p>
            <w:pPr>
              <w:autoSpaceDE w:val="0"/>
              <w:autoSpaceDN w:val="0"/>
              <w:adjustRightInd w:val="0"/>
              <w:spacing w:line="260" w:lineRule="exact"/>
              <w:rPr>
                <w:rFonts w:ascii="宋体" w:hAnsi="宋体"/>
                <w:strike/>
                <w:color w:val="auto"/>
                <w:szCs w:val="21"/>
                <w:highlight w:val="none"/>
              </w:rPr>
            </w:pPr>
            <w:r>
              <w:rPr>
                <w:rFonts w:hint="eastAsia" w:ascii="宋体" w:hAnsi="宋体"/>
                <w:strike/>
                <w:color w:val="auto"/>
                <w:szCs w:val="21"/>
                <w:highlight w:val="none"/>
              </w:rPr>
              <w:t>投标报价得分=(评标基准价／投标报价)*100。</w:t>
            </w:r>
          </w:p>
          <w:p>
            <w:pPr>
              <w:autoSpaceDE w:val="0"/>
              <w:autoSpaceDN w:val="0"/>
              <w:adjustRightInd w:val="0"/>
              <w:spacing w:line="260" w:lineRule="exact"/>
              <w:rPr>
                <w:rFonts w:ascii="宋体" w:hAnsi="宋体"/>
                <w:strike/>
                <w:color w:val="auto"/>
                <w:szCs w:val="21"/>
                <w:highlight w:val="none"/>
              </w:rPr>
            </w:pPr>
            <w:r>
              <w:rPr>
                <w:rFonts w:hint="eastAsia" w:ascii="宋体" w:hAnsi="宋体"/>
                <w:strike/>
                <w:color w:val="auto"/>
                <w:szCs w:val="21"/>
                <w:highlight w:val="none"/>
              </w:rPr>
              <w:t>分数出现小数点，保留小数点后二位，第三位小数四舍五入。</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strike/>
                <w:color w:val="auto"/>
                <w:szCs w:val="21"/>
                <w:highlight w:val="none"/>
              </w:rPr>
            </w:pPr>
          </w:p>
        </w:tc>
      </w:tr>
      <w:tr>
        <w:tblPrEx>
          <w:tblCellMar>
            <w:top w:w="0" w:type="dxa"/>
            <w:left w:w="108" w:type="dxa"/>
            <w:bottom w:w="0" w:type="dxa"/>
            <w:right w:w="108" w:type="dxa"/>
          </w:tblCellMar>
        </w:tblPrEx>
        <w:trPr>
          <w:trHeight w:val="688" w:hRule="atLeast"/>
          <w:jc w:val="center"/>
        </w:trPr>
        <w:tc>
          <w:tcPr>
            <w:tcW w:w="2298"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strike/>
                <w:color w:val="auto"/>
                <w:szCs w:val="21"/>
                <w:highlight w:val="none"/>
              </w:rPr>
            </w:pPr>
            <w:r>
              <w:rPr>
                <w:rFonts w:hint="eastAsia" w:ascii="宋体" w:hAnsi="宋体" w:cs="宋体"/>
                <w:strike/>
                <w:color w:val="auto"/>
                <w:szCs w:val="21"/>
                <w:highlight w:val="none"/>
                <w:lang w:val="zh-CN"/>
              </w:rPr>
              <w:t>总计</w:t>
            </w:r>
          </w:p>
        </w:tc>
        <w:tc>
          <w:tcPr>
            <w:tcW w:w="185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strike/>
                <w:color w:val="auto"/>
                <w:szCs w:val="21"/>
                <w:highlight w:val="none"/>
              </w:rPr>
            </w:pPr>
          </w:p>
        </w:tc>
        <w:tc>
          <w:tcPr>
            <w:tcW w:w="886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hAnsi="宋体"/>
                <w:strike/>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宋体" w:hAnsi="宋体"/>
                <w:strike/>
                <w:color w:val="auto"/>
                <w:szCs w:val="21"/>
                <w:highlight w:val="none"/>
              </w:rPr>
            </w:pPr>
          </w:p>
        </w:tc>
      </w:tr>
    </w:tbl>
    <w:p>
      <w:pPr>
        <w:rPr>
          <w:rFonts w:ascii="宋体" w:hAnsi="宋体"/>
          <w:b/>
          <w:bCs/>
          <w:strike/>
          <w:color w:val="auto"/>
          <w:szCs w:val="21"/>
          <w:highlight w:val="none"/>
        </w:rPr>
      </w:pPr>
    </w:p>
    <w:p>
      <w:pPr>
        <w:spacing w:line="260" w:lineRule="exact"/>
        <w:jc w:val="left"/>
        <w:rPr>
          <w:rFonts w:ascii="宋体" w:hAnsi="宋体"/>
          <w:strike/>
          <w:color w:val="auto"/>
          <w:sz w:val="22"/>
          <w:szCs w:val="22"/>
          <w:highlight w:val="none"/>
        </w:rPr>
      </w:pPr>
      <w:r>
        <w:rPr>
          <w:rFonts w:hint="eastAsia" w:ascii="宋体" w:hAnsi="宋体"/>
          <w:strike/>
          <w:color w:val="auto"/>
          <w:sz w:val="22"/>
          <w:szCs w:val="22"/>
          <w:highlight w:val="none"/>
        </w:rPr>
        <w:t>评委签名：                                                 日期：</w:t>
      </w:r>
    </w:p>
    <w:p>
      <w:pPr>
        <w:spacing w:line="360" w:lineRule="auto"/>
        <w:rPr>
          <w:rFonts w:ascii="宋体" w:hAnsi="宋体"/>
          <w:b/>
          <w:bCs/>
          <w:strike/>
          <w:color w:val="auto"/>
          <w:szCs w:val="21"/>
          <w:highlight w:val="none"/>
        </w:rPr>
      </w:pPr>
      <w:r>
        <w:rPr>
          <w:rFonts w:hint="eastAsia" w:ascii="宋体" w:hAnsi="宋体"/>
          <w:b/>
          <w:bCs/>
          <w:strike/>
          <w:color w:val="auto"/>
          <w:szCs w:val="21"/>
          <w:highlight w:val="none"/>
        </w:rPr>
        <w:t xml:space="preserve"> </w:t>
      </w:r>
    </w:p>
    <w:p>
      <w:pPr>
        <w:spacing w:line="260" w:lineRule="exact"/>
        <w:ind w:firstLine="660" w:firstLineChars="300"/>
        <w:jc w:val="left"/>
        <w:rPr>
          <w:rFonts w:ascii="宋体" w:hAnsi="宋体"/>
          <w:color w:val="auto"/>
          <w:sz w:val="22"/>
          <w:szCs w:val="22"/>
          <w:highlight w:val="none"/>
        </w:rPr>
      </w:pPr>
    </w:p>
    <w:p>
      <w:pPr>
        <w:pStyle w:val="18"/>
        <w:rPr>
          <w:rFonts w:hAnsi="宋体"/>
          <w:b/>
          <w:bCs/>
          <w:color w:val="auto"/>
          <w:szCs w:val="21"/>
          <w:highlight w:val="none"/>
        </w:rPr>
      </w:pPr>
    </w:p>
    <w:p>
      <w:pPr>
        <w:pStyle w:val="6"/>
        <w:numPr>
          <w:ilvl w:val="0"/>
          <w:numId w:val="0"/>
        </w:numPr>
        <w:spacing w:before="120" w:after="120"/>
        <w:rPr>
          <w:color w:val="auto"/>
          <w:highlight w:val="none"/>
        </w:rPr>
      </w:pPr>
      <w:bookmarkStart w:id="155" w:name="_Toc28084"/>
      <w:bookmarkStart w:id="156" w:name="_Toc1687"/>
      <w:r>
        <w:rPr>
          <w:rFonts w:hint="eastAsia"/>
          <w:strike/>
          <w:color w:val="auto"/>
          <w:highlight w:val="none"/>
        </w:rPr>
        <w:br w:type="page"/>
      </w:r>
      <w:bookmarkStart w:id="157" w:name="_Toc9024"/>
      <w:r>
        <w:rPr>
          <w:rFonts w:hint="eastAsia"/>
          <w:color w:val="auto"/>
          <w:highlight w:val="none"/>
        </w:rPr>
        <w:t xml:space="preserve">附件7 </w:t>
      </w:r>
      <w:r>
        <w:rPr>
          <w:rFonts w:hint="eastAsia"/>
          <w:color w:val="auto"/>
          <w:highlight w:val="none"/>
          <w:u w:val="single"/>
        </w:rPr>
        <w:t>综合得分汇总表</w:t>
      </w:r>
      <w:bookmarkEnd w:id="155"/>
      <w:bookmarkEnd w:id="156"/>
      <w:bookmarkEnd w:id="157"/>
    </w:p>
    <w:p>
      <w:pPr>
        <w:jc w:val="center"/>
        <w:rPr>
          <w:rFonts w:ascii="宋体" w:hAnsi="宋体"/>
          <w:b/>
          <w:bCs/>
          <w:color w:val="auto"/>
          <w:sz w:val="30"/>
          <w:szCs w:val="30"/>
          <w:highlight w:val="none"/>
        </w:rPr>
      </w:pPr>
      <w:r>
        <w:rPr>
          <w:rFonts w:hint="eastAsia" w:ascii="宋体" w:hAnsi="宋体"/>
          <w:b/>
          <w:bCs/>
          <w:color w:val="auto"/>
          <w:sz w:val="30"/>
          <w:szCs w:val="30"/>
          <w:highlight w:val="none"/>
        </w:rPr>
        <w:t>综合得分汇总表</w:t>
      </w:r>
    </w:p>
    <w:p>
      <w:pPr>
        <w:rPr>
          <w:rFonts w:ascii="宋体" w:hAnsi="宋体"/>
          <w:b/>
          <w:bCs/>
          <w:color w:val="auto"/>
          <w:sz w:val="24"/>
          <w:highlight w:val="none"/>
        </w:rPr>
      </w:pPr>
    </w:p>
    <w:tbl>
      <w:tblPr>
        <w:tblStyle w:val="29"/>
        <w:tblW w:w="14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138"/>
        <w:gridCol w:w="2285"/>
        <w:gridCol w:w="2200"/>
        <w:gridCol w:w="2227"/>
        <w:gridCol w:w="2293"/>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29" w:type="dxa"/>
            <w:vAlign w:val="center"/>
          </w:tcPr>
          <w:p>
            <w:pPr>
              <w:spacing w:line="400" w:lineRule="exact"/>
              <w:rPr>
                <w:rFonts w:ascii="宋体" w:hAnsi="宋体"/>
                <w:color w:val="auto"/>
                <w:szCs w:val="21"/>
                <w:highlight w:val="none"/>
              </w:rPr>
            </w:pPr>
            <w:r>
              <w:rPr>
                <w:rFonts w:hint="eastAsia" w:ascii="宋体" w:hAnsi="宋体"/>
                <w:color w:val="auto"/>
                <w:szCs w:val="21"/>
                <w:highlight w:val="none"/>
              </w:rPr>
              <w:t>序号</w:t>
            </w:r>
          </w:p>
        </w:tc>
        <w:tc>
          <w:tcPr>
            <w:tcW w:w="3138" w:type="dxa"/>
            <w:vAlign w:val="center"/>
          </w:tcPr>
          <w:p>
            <w:pPr>
              <w:spacing w:line="400" w:lineRule="exact"/>
              <w:ind w:firstLine="1260" w:firstLineChars="600"/>
              <w:rPr>
                <w:rFonts w:ascii="宋体" w:hAnsi="宋体"/>
                <w:color w:val="auto"/>
                <w:szCs w:val="21"/>
                <w:highlight w:val="none"/>
              </w:rPr>
            </w:pPr>
            <w:r>
              <w:rPr>
                <w:rFonts w:hint="eastAsia" w:ascii="宋体" w:hAnsi="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-46990</wp:posOffset>
                      </wp:positionH>
                      <wp:positionV relativeFrom="paragraph">
                        <wp:posOffset>17145</wp:posOffset>
                      </wp:positionV>
                      <wp:extent cx="1939290" cy="1050290"/>
                      <wp:effectExtent l="0" t="0" r="0" b="0"/>
                      <wp:wrapNone/>
                      <wp:docPr id="1" name="自选图形 5"/>
                      <wp:cNvGraphicFramePr/>
                      <a:graphic xmlns:a="http://schemas.openxmlformats.org/drawingml/2006/main">
                        <a:graphicData uri="http://schemas.microsoft.com/office/word/2010/wordprocessingShape">
                          <wps:wsp>
                            <wps:cNvCnPr/>
                            <wps:spPr>
                              <a:xfrm>
                                <a:off x="0" y="0"/>
                                <a:ext cx="1939290" cy="10502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3.7pt;margin-top:1.35pt;height:82.7pt;width:152.7pt;z-index:251659264;mso-width-relative:page;mso-height-relative:page;" filled="f" stroked="t" coordsize="21600,21600" o:gfxdata="UEsDBAoAAAAAAIdO4kAAAAAAAAAAAAAAAAAEAAAAZHJzL1BLAwQUAAAACACHTuJAQBiRCdcAAAAI&#10;AQAADwAAAGRycy9kb3ducmV2LnhtbE2PwU7DMBBE70j8g7VIXFBrJ4I2DXGqqhIHjrSVuLrxkqSN&#10;11HsNKVfz3KC42qeZt8U66vrxAWH0HrSkMwVCKTK25ZqDYf92ywDEaIhazpPqOEbA6zL+7vC5NZP&#10;9IGXXawFl1DIjYYmxj6XMlQNOhPmvkfi7MsPzkQ+h1rawUxc7jqZKrWQzrTEHxrT47bB6rwbnQYM&#10;40uiNitXH95v09NnejtN/V7rx4dEvYKIeI1/MPzqszqU7HT0I9kgOg2z5TOTGtIlCI7TVcbTjswt&#10;sgRkWcj/A8ofUEsDBBQAAAAIAIdO4kCzZdUK9wEAAOkDAAAOAAAAZHJzL2Uyb0RvYy54bWytU82O&#10;0zAQviPxDpbvNGlREY2a7qFluSCoBDzA1HESS/6Tx9u0N26IZ+DGkXeAt1kJ3oKxU7rs7qUHcnBm&#10;7Jlv5vs8Xl4djGZ7GVA5W/PppORMWuEaZbuaf/xw/ewlZxjBNqCdlTU/SuRXq6dPloOv5Mz1Tjcy&#10;MAKxWA2+5n2MvioKFL00gBPnpaXD1gUDkdzQFU2AgdCNLmZl+aIYXGh8cEIi0u5mPOQnxHAJoGtb&#10;JeTGiRsjbRxRg9QQiRL2yiNf5W7bVor4rm1RRqZrTkxjXqkI2bu0FqslVF0A3ytxagEuaeEBJwPK&#10;UtEz1AYisJugHkEZJYJD18aJcKYYiWRFiMW0fKDN+x68zFxIavRn0fH/wYq3+21gqqFJ4MyCoQv/&#10;9fn7709fbr/+vP3xjc2TQoPHigLXdhtOHvptSHQPbTDpT0TYIat6PKsqD5EJ2pwuni9mCxJc0Nm0&#10;nJfJIZziLt0HjK+lMywZNccYQHV9XDtr6QZdmGZtYf8G45j4NyHV1pYNNV/MZ3MqATSRLU0CmcYT&#10;K7RdzkWnVXOttE4ZGLrdWge2hzQV+Ts1dC8sFdkA9mNcPkphUPUSmle2YfHoSS9Lz4SnFoxsONOS&#10;XlWycmQEpS+JJC20JUmS0qO2ydq55pglz/s0AVm007SmEfvXz9l3L3T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AYkQnXAAAACAEAAA8AAAAAAAAAAQAgAAAAIgAAAGRycy9kb3ducmV2LnhtbFBL&#10;AQIUABQAAAAIAIdO4kCzZdUK9wEAAOkDAAAOAAAAAAAAAAEAIAAAACYBAABkcnMvZTJvRG9jLnht&#10;bFBLBQYAAAAABgAGAFkBAACPBQAAAAA=&#10;">
                      <v:fill on="f" focussize="0,0"/>
                      <v:stroke color="#000000" joinstyle="round"/>
                      <v:imagedata o:title=""/>
                      <o:lock v:ext="edit" aspectratio="f"/>
                    </v:shape>
                  </w:pict>
                </mc:Fallback>
              </mc:AlternateContent>
            </w:r>
            <w:r>
              <w:rPr>
                <w:rFonts w:hint="eastAsia" w:ascii="宋体" w:hAnsi="宋体"/>
                <w:color w:val="auto"/>
                <w:szCs w:val="21"/>
                <w:highlight w:val="none"/>
              </w:rPr>
              <w:t xml:space="preserve"> </w:t>
            </w:r>
          </w:p>
          <w:p>
            <w:pPr>
              <w:spacing w:line="400" w:lineRule="exact"/>
              <w:rPr>
                <w:rFonts w:ascii="宋体" w:hAnsi="宋体"/>
                <w:color w:val="auto"/>
                <w:szCs w:val="21"/>
                <w:highlight w:val="none"/>
              </w:rPr>
            </w:pPr>
            <w:r>
              <w:rPr>
                <w:rFonts w:hint="eastAsia" w:ascii="宋体" w:hAnsi="宋体"/>
                <w:color w:val="auto"/>
                <w:szCs w:val="21"/>
                <w:highlight w:val="none"/>
              </w:rPr>
              <w:t xml:space="preserve">                评分项</w:t>
            </w:r>
          </w:p>
          <w:p>
            <w:pPr>
              <w:spacing w:line="400" w:lineRule="exact"/>
              <w:rPr>
                <w:rFonts w:ascii="宋体" w:hAnsi="宋体"/>
                <w:color w:val="auto"/>
                <w:szCs w:val="21"/>
                <w:highlight w:val="none"/>
              </w:rPr>
            </w:pPr>
            <w:r>
              <w:rPr>
                <w:rFonts w:hint="eastAsia" w:ascii="宋体" w:hAnsi="宋体"/>
                <w:color w:val="auto"/>
                <w:szCs w:val="21"/>
                <w:highlight w:val="none"/>
              </w:rPr>
              <w:t>投标人名称</w:t>
            </w:r>
          </w:p>
        </w:tc>
        <w:tc>
          <w:tcPr>
            <w:tcW w:w="2285" w:type="dxa"/>
            <w:vAlign w:val="center"/>
          </w:tcPr>
          <w:p>
            <w:pPr>
              <w:spacing w:line="400" w:lineRule="exact"/>
              <w:jc w:val="center"/>
              <w:rPr>
                <w:rFonts w:ascii="宋体" w:hAnsi="宋体"/>
                <w:color w:val="auto"/>
                <w:highlight w:val="none"/>
              </w:rPr>
            </w:pPr>
            <w:r>
              <w:rPr>
                <w:rFonts w:hint="eastAsia" w:ascii="宋体" w:hAnsi="宋体"/>
                <w:color w:val="auto"/>
                <w:highlight w:val="none"/>
              </w:rPr>
              <w:t>商务得分</w:t>
            </w:r>
          </w:p>
        </w:tc>
        <w:tc>
          <w:tcPr>
            <w:tcW w:w="2200" w:type="dxa"/>
            <w:vAlign w:val="center"/>
          </w:tcPr>
          <w:p>
            <w:pPr>
              <w:spacing w:line="400" w:lineRule="exact"/>
              <w:jc w:val="center"/>
              <w:rPr>
                <w:rFonts w:ascii="宋体" w:hAnsi="宋体"/>
                <w:color w:val="auto"/>
                <w:highlight w:val="none"/>
              </w:rPr>
            </w:pPr>
            <w:r>
              <w:rPr>
                <w:rFonts w:hint="eastAsia" w:ascii="宋体" w:hAnsi="宋体"/>
                <w:color w:val="auto"/>
                <w:highlight w:val="none"/>
              </w:rPr>
              <w:t>技术得分</w:t>
            </w:r>
          </w:p>
        </w:tc>
        <w:tc>
          <w:tcPr>
            <w:tcW w:w="2227" w:type="dxa"/>
            <w:vAlign w:val="center"/>
          </w:tcPr>
          <w:p>
            <w:pPr>
              <w:spacing w:line="400" w:lineRule="exact"/>
              <w:jc w:val="center"/>
              <w:rPr>
                <w:rFonts w:ascii="宋体" w:hAnsi="宋体"/>
                <w:color w:val="auto"/>
                <w:highlight w:val="none"/>
              </w:rPr>
            </w:pPr>
            <w:r>
              <w:rPr>
                <w:rFonts w:hint="eastAsia" w:ascii="宋体" w:hAnsi="宋体"/>
                <w:strike/>
                <w:color w:val="auto"/>
                <w:highlight w:val="none"/>
              </w:rPr>
              <w:t>报价得分</w:t>
            </w:r>
          </w:p>
        </w:tc>
        <w:tc>
          <w:tcPr>
            <w:tcW w:w="2293" w:type="dxa"/>
            <w:vAlign w:val="center"/>
          </w:tcPr>
          <w:p>
            <w:pPr>
              <w:spacing w:line="400" w:lineRule="exact"/>
              <w:jc w:val="center"/>
              <w:rPr>
                <w:rFonts w:ascii="宋体" w:hAnsi="宋体"/>
                <w:color w:val="auto"/>
                <w:szCs w:val="21"/>
                <w:highlight w:val="none"/>
              </w:rPr>
            </w:pPr>
            <w:r>
              <w:rPr>
                <w:rFonts w:hint="eastAsia" w:ascii="宋体" w:hAnsi="宋体"/>
                <w:color w:val="auto"/>
                <w:highlight w:val="none"/>
              </w:rPr>
              <w:t>综合总得分(100分)</w:t>
            </w:r>
          </w:p>
        </w:tc>
        <w:tc>
          <w:tcPr>
            <w:tcW w:w="1334" w:type="dxa"/>
            <w:vAlign w:val="center"/>
          </w:tcPr>
          <w:p>
            <w:pPr>
              <w:spacing w:line="400" w:lineRule="exact"/>
              <w:jc w:val="center"/>
              <w:rPr>
                <w:rFonts w:ascii="宋体" w:hAnsi="宋体"/>
                <w:color w:val="auto"/>
                <w:szCs w:val="21"/>
                <w:highlight w:val="none"/>
              </w:rPr>
            </w:pPr>
            <w:r>
              <w:rPr>
                <w:rFonts w:hint="eastAsia" w:ascii="宋体" w:hAnsi="宋体"/>
                <w:color w:val="auto"/>
                <w:highlight w:val="none"/>
              </w:rPr>
              <w:t>综合排名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pPr>
              <w:spacing w:line="400" w:lineRule="exact"/>
              <w:jc w:val="center"/>
              <w:rPr>
                <w:rFonts w:ascii="宋体" w:hAnsi="宋体"/>
                <w:color w:val="auto"/>
                <w:szCs w:val="21"/>
                <w:highlight w:val="none"/>
              </w:rPr>
            </w:pPr>
          </w:p>
        </w:tc>
        <w:tc>
          <w:tcPr>
            <w:tcW w:w="3138" w:type="dxa"/>
            <w:vAlign w:val="center"/>
          </w:tcPr>
          <w:p>
            <w:pPr>
              <w:spacing w:line="400" w:lineRule="exact"/>
              <w:jc w:val="center"/>
              <w:rPr>
                <w:rFonts w:ascii="宋体" w:hAnsi="宋体"/>
                <w:color w:val="auto"/>
                <w:szCs w:val="21"/>
                <w:highlight w:val="none"/>
              </w:rPr>
            </w:pPr>
          </w:p>
        </w:tc>
        <w:tc>
          <w:tcPr>
            <w:tcW w:w="2285" w:type="dxa"/>
            <w:vAlign w:val="center"/>
          </w:tcPr>
          <w:p>
            <w:pPr>
              <w:spacing w:line="400" w:lineRule="exact"/>
              <w:jc w:val="center"/>
              <w:rPr>
                <w:rFonts w:ascii="宋体" w:hAnsi="宋体"/>
                <w:color w:val="auto"/>
                <w:szCs w:val="21"/>
                <w:highlight w:val="none"/>
              </w:rPr>
            </w:pPr>
          </w:p>
        </w:tc>
        <w:tc>
          <w:tcPr>
            <w:tcW w:w="2200" w:type="dxa"/>
            <w:vAlign w:val="center"/>
          </w:tcPr>
          <w:p>
            <w:pPr>
              <w:spacing w:line="400" w:lineRule="exact"/>
              <w:jc w:val="center"/>
              <w:rPr>
                <w:rFonts w:ascii="宋体" w:hAnsi="宋体"/>
                <w:color w:val="auto"/>
                <w:szCs w:val="21"/>
                <w:highlight w:val="none"/>
              </w:rPr>
            </w:pPr>
          </w:p>
        </w:tc>
        <w:tc>
          <w:tcPr>
            <w:tcW w:w="2227" w:type="dxa"/>
            <w:vAlign w:val="center"/>
          </w:tcPr>
          <w:p>
            <w:pPr>
              <w:spacing w:line="400" w:lineRule="exact"/>
              <w:jc w:val="center"/>
              <w:rPr>
                <w:rFonts w:ascii="宋体" w:hAnsi="宋体"/>
                <w:color w:val="auto"/>
                <w:szCs w:val="21"/>
                <w:highlight w:val="none"/>
              </w:rPr>
            </w:pPr>
          </w:p>
        </w:tc>
        <w:tc>
          <w:tcPr>
            <w:tcW w:w="2293" w:type="dxa"/>
            <w:vAlign w:val="center"/>
          </w:tcPr>
          <w:p>
            <w:pPr>
              <w:spacing w:line="400" w:lineRule="exact"/>
              <w:jc w:val="center"/>
              <w:rPr>
                <w:rFonts w:ascii="宋体" w:hAnsi="宋体"/>
                <w:color w:val="auto"/>
                <w:szCs w:val="21"/>
                <w:highlight w:val="none"/>
              </w:rPr>
            </w:pPr>
          </w:p>
        </w:tc>
        <w:tc>
          <w:tcPr>
            <w:tcW w:w="1334" w:type="dxa"/>
            <w:vAlign w:val="center"/>
          </w:tcPr>
          <w:p>
            <w:pPr>
              <w:spacing w:line="40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pPr>
              <w:spacing w:line="400" w:lineRule="exact"/>
              <w:jc w:val="center"/>
              <w:rPr>
                <w:rFonts w:ascii="宋体" w:hAnsi="宋体"/>
                <w:strike/>
                <w:color w:val="auto"/>
                <w:szCs w:val="21"/>
                <w:highlight w:val="none"/>
              </w:rPr>
            </w:pPr>
          </w:p>
        </w:tc>
        <w:tc>
          <w:tcPr>
            <w:tcW w:w="3138" w:type="dxa"/>
            <w:vAlign w:val="center"/>
          </w:tcPr>
          <w:p>
            <w:pPr>
              <w:spacing w:line="400" w:lineRule="exact"/>
              <w:jc w:val="center"/>
              <w:rPr>
                <w:rFonts w:ascii="宋体" w:hAnsi="宋体"/>
                <w:strike/>
                <w:color w:val="auto"/>
                <w:szCs w:val="21"/>
                <w:highlight w:val="none"/>
              </w:rPr>
            </w:pPr>
          </w:p>
        </w:tc>
        <w:tc>
          <w:tcPr>
            <w:tcW w:w="2285" w:type="dxa"/>
            <w:vAlign w:val="center"/>
          </w:tcPr>
          <w:p>
            <w:pPr>
              <w:spacing w:line="400" w:lineRule="exact"/>
              <w:jc w:val="center"/>
              <w:rPr>
                <w:rFonts w:ascii="宋体" w:hAnsi="宋体"/>
                <w:strike/>
                <w:color w:val="auto"/>
                <w:szCs w:val="21"/>
                <w:highlight w:val="none"/>
              </w:rPr>
            </w:pPr>
          </w:p>
        </w:tc>
        <w:tc>
          <w:tcPr>
            <w:tcW w:w="2200" w:type="dxa"/>
            <w:vAlign w:val="center"/>
          </w:tcPr>
          <w:p>
            <w:pPr>
              <w:spacing w:line="400" w:lineRule="exact"/>
              <w:jc w:val="center"/>
              <w:rPr>
                <w:rFonts w:ascii="宋体" w:hAnsi="宋体"/>
                <w:strike/>
                <w:color w:val="auto"/>
                <w:szCs w:val="21"/>
                <w:highlight w:val="none"/>
              </w:rPr>
            </w:pPr>
          </w:p>
        </w:tc>
        <w:tc>
          <w:tcPr>
            <w:tcW w:w="2227" w:type="dxa"/>
            <w:vAlign w:val="center"/>
          </w:tcPr>
          <w:p>
            <w:pPr>
              <w:spacing w:line="400" w:lineRule="exact"/>
              <w:jc w:val="center"/>
              <w:rPr>
                <w:rFonts w:ascii="宋体" w:hAnsi="宋体"/>
                <w:strike/>
                <w:color w:val="auto"/>
                <w:szCs w:val="21"/>
                <w:highlight w:val="none"/>
              </w:rPr>
            </w:pPr>
          </w:p>
        </w:tc>
        <w:tc>
          <w:tcPr>
            <w:tcW w:w="2293" w:type="dxa"/>
            <w:vAlign w:val="center"/>
          </w:tcPr>
          <w:p>
            <w:pPr>
              <w:spacing w:line="400" w:lineRule="exact"/>
              <w:jc w:val="center"/>
              <w:rPr>
                <w:rFonts w:ascii="宋体" w:hAnsi="宋体"/>
                <w:strike/>
                <w:color w:val="auto"/>
                <w:szCs w:val="21"/>
                <w:highlight w:val="none"/>
              </w:rPr>
            </w:pPr>
          </w:p>
        </w:tc>
        <w:tc>
          <w:tcPr>
            <w:tcW w:w="1334" w:type="dxa"/>
            <w:vAlign w:val="center"/>
          </w:tcPr>
          <w:p>
            <w:pPr>
              <w:spacing w:line="40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pPr>
              <w:spacing w:line="400" w:lineRule="exact"/>
              <w:jc w:val="center"/>
              <w:rPr>
                <w:rFonts w:ascii="宋体" w:hAnsi="宋体"/>
                <w:strike/>
                <w:color w:val="auto"/>
                <w:szCs w:val="21"/>
                <w:highlight w:val="none"/>
              </w:rPr>
            </w:pPr>
          </w:p>
        </w:tc>
        <w:tc>
          <w:tcPr>
            <w:tcW w:w="3138" w:type="dxa"/>
            <w:vAlign w:val="center"/>
          </w:tcPr>
          <w:p>
            <w:pPr>
              <w:spacing w:line="400" w:lineRule="exact"/>
              <w:jc w:val="center"/>
              <w:rPr>
                <w:rFonts w:ascii="宋体" w:hAnsi="宋体"/>
                <w:strike/>
                <w:color w:val="auto"/>
                <w:szCs w:val="21"/>
                <w:highlight w:val="none"/>
              </w:rPr>
            </w:pPr>
          </w:p>
        </w:tc>
        <w:tc>
          <w:tcPr>
            <w:tcW w:w="2285" w:type="dxa"/>
            <w:vAlign w:val="center"/>
          </w:tcPr>
          <w:p>
            <w:pPr>
              <w:spacing w:line="400" w:lineRule="exact"/>
              <w:jc w:val="center"/>
              <w:rPr>
                <w:rFonts w:ascii="宋体" w:hAnsi="宋体"/>
                <w:strike/>
                <w:color w:val="auto"/>
                <w:szCs w:val="21"/>
                <w:highlight w:val="none"/>
              </w:rPr>
            </w:pPr>
          </w:p>
        </w:tc>
        <w:tc>
          <w:tcPr>
            <w:tcW w:w="2200" w:type="dxa"/>
            <w:vAlign w:val="center"/>
          </w:tcPr>
          <w:p>
            <w:pPr>
              <w:spacing w:line="400" w:lineRule="exact"/>
              <w:jc w:val="center"/>
              <w:rPr>
                <w:rFonts w:ascii="宋体" w:hAnsi="宋体"/>
                <w:strike/>
                <w:color w:val="auto"/>
                <w:szCs w:val="21"/>
                <w:highlight w:val="none"/>
              </w:rPr>
            </w:pPr>
          </w:p>
        </w:tc>
        <w:tc>
          <w:tcPr>
            <w:tcW w:w="2227" w:type="dxa"/>
            <w:vAlign w:val="center"/>
          </w:tcPr>
          <w:p>
            <w:pPr>
              <w:spacing w:line="400" w:lineRule="exact"/>
              <w:jc w:val="center"/>
              <w:rPr>
                <w:rFonts w:ascii="宋体" w:hAnsi="宋体"/>
                <w:strike/>
                <w:color w:val="auto"/>
                <w:szCs w:val="21"/>
                <w:highlight w:val="none"/>
              </w:rPr>
            </w:pPr>
          </w:p>
        </w:tc>
        <w:tc>
          <w:tcPr>
            <w:tcW w:w="2293" w:type="dxa"/>
            <w:vAlign w:val="center"/>
          </w:tcPr>
          <w:p>
            <w:pPr>
              <w:spacing w:line="400" w:lineRule="exact"/>
              <w:jc w:val="center"/>
              <w:rPr>
                <w:rFonts w:ascii="宋体" w:hAnsi="宋体"/>
                <w:strike/>
                <w:color w:val="auto"/>
                <w:szCs w:val="21"/>
                <w:highlight w:val="none"/>
              </w:rPr>
            </w:pPr>
          </w:p>
        </w:tc>
        <w:tc>
          <w:tcPr>
            <w:tcW w:w="1334" w:type="dxa"/>
            <w:vAlign w:val="center"/>
          </w:tcPr>
          <w:p>
            <w:pPr>
              <w:spacing w:line="40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pPr>
              <w:spacing w:line="400" w:lineRule="exact"/>
              <w:jc w:val="center"/>
              <w:rPr>
                <w:rFonts w:ascii="宋体" w:hAnsi="宋体"/>
                <w:strike/>
                <w:color w:val="auto"/>
                <w:szCs w:val="21"/>
                <w:highlight w:val="none"/>
              </w:rPr>
            </w:pPr>
          </w:p>
        </w:tc>
        <w:tc>
          <w:tcPr>
            <w:tcW w:w="3138" w:type="dxa"/>
            <w:vAlign w:val="center"/>
          </w:tcPr>
          <w:p>
            <w:pPr>
              <w:spacing w:line="400" w:lineRule="exact"/>
              <w:jc w:val="center"/>
              <w:rPr>
                <w:rFonts w:ascii="宋体" w:hAnsi="宋体"/>
                <w:strike/>
                <w:color w:val="auto"/>
                <w:szCs w:val="21"/>
                <w:highlight w:val="none"/>
              </w:rPr>
            </w:pPr>
          </w:p>
        </w:tc>
        <w:tc>
          <w:tcPr>
            <w:tcW w:w="2285" w:type="dxa"/>
            <w:vAlign w:val="center"/>
          </w:tcPr>
          <w:p>
            <w:pPr>
              <w:spacing w:line="400" w:lineRule="exact"/>
              <w:jc w:val="center"/>
              <w:rPr>
                <w:rFonts w:ascii="宋体" w:hAnsi="宋体"/>
                <w:strike/>
                <w:color w:val="auto"/>
                <w:szCs w:val="21"/>
                <w:highlight w:val="none"/>
              </w:rPr>
            </w:pPr>
          </w:p>
        </w:tc>
        <w:tc>
          <w:tcPr>
            <w:tcW w:w="2200" w:type="dxa"/>
            <w:vAlign w:val="center"/>
          </w:tcPr>
          <w:p>
            <w:pPr>
              <w:spacing w:line="400" w:lineRule="exact"/>
              <w:jc w:val="center"/>
              <w:rPr>
                <w:rFonts w:ascii="宋体" w:hAnsi="宋体"/>
                <w:strike/>
                <w:color w:val="auto"/>
                <w:szCs w:val="21"/>
                <w:highlight w:val="none"/>
              </w:rPr>
            </w:pPr>
          </w:p>
        </w:tc>
        <w:tc>
          <w:tcPr>
            <w:tcW w:w="2227" w:type="dxa"/>
            <w:vAlign w:val="center"/>
          </w:tcPr>
          <w:p>
            <w:pPr>
              <w:spacing w:line="400" w:lineRule="exact"/>
              <w:jc w:val="center"/>
              <w:rPr>
                <w:rFonts w:ascii="宋体" w:hAnsi="宋体"/>
                <w:strike/>
                <w:color w:val="auto"/>
                <w:szCs w:val="21"/>
                <w:highlight w:val="none"/>
              </w:rPr>
            </w:pPr>
          </w:p>
        </w:tc>
        <w:tc>
          <w:tcPr>
            <w:tcW w:w="2293" w:type="dxa"/>
            <w:vAlign w:val="center"/>
          </w:tcPr>
          <w:p>
            <w:pPr>
              <w:spacing w:line="400" w:lineRule="exact"/>
              <w:jc w:val="center"/>
              <w:rPr>
                <w:rFonts w:ascii="宋体" w:hAnsi="宋体"/>
                <w:strike/>
                <w:color w:val="auto"/>
                <w:szCs w:val="21"/>
                <w:highlight w:val="none"/>
              </w:rPr>
            </w:pPr>
          </w:p>
        </w:tc>
        <w:tc>
          <w:tcPr>
            <w:tcW w:w="1334" w:type="dxa"/>
            <w:vAlign w:val="center"/>
          </w:tcPr>
          <w:p>
            <w:pPr>
              <w:spacing w:line="40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pPr>
              <w:spacing w:line="400" w:lineRule="exact"/>
              <w:jc w:val="center"/>
              <w:rPr>
                <w:rFonts w:ascii="宋体" w:hAnsi="宋体"/>
                <w:strike/>
                <w:color w:val="auto"/>
                <w:szCs w:val="21"/>
                <w:highlight w:val="none"/>
              </w:rPr>
            </w:pPr>
          </w:p>
        </w:tc>
        <w:tc>
          <w:tcPr>
            <w:tcW w:w="3138" w:type="dxa"/>
            <w:vAlign w:val="center"/>
          </w:tcPr>
          <w:p>
            <w:pPr>
              <w:spacing w:line="400" w:lineRule="exact"/>
              <w:jc w:val="center"/>
              <w:rPr>
                <w:rFonts w:ascii="宋体" w:hAnsi="宋体"/>
                <w:strike/>
                <w:color w:val="auto"/>
                <w:szCs w:val="21"/>
                <w:highlight w:val="none"/>
              </w:rPr>
            </w:pPr>
          </w:p>
        </w:tc>
        <w:tc>
          <w:tcPr>
            <w:tcW w:w="2285" w:type="dxa"/>
            <w:vAlign w:val="center"/>
          </w:tcPr>
          <w:p>
            <w:pPr>
              <w:spacing w:line="400" w:lineRule="exact"/>
              <w:jc w:val="center"/>
              <w:rPr>
                <w:rFonts w:ascii="宋体" w:hAnsi="宋体"/>
                <w:strike/>
                <w:color w:val="auto"/>
                <w:szCs w:val="21"/>
                <w:highlight w:val="none"/>
              </w:rPr>
            </w:pPr>
          </w:p>
        </w:tc>
        <w:tc>
          <w:tcPr>
            <w:tcW w:w="2200" w:type="dxa"/>
            <w:vAlign w:val="center"/>
          </w:tcPr>
          <w:p>
            <w:pPr>
              <w:spacing w:line="400" w:lineRule="exact"/>
              <w:jc w:val="center"/>
              <w:rPr>
                <w:rFonts w:ascii="宋体" w:hAnsi="宋体"/>
                <w:strike/>
                <w:color w:val="auto"/>
                <w:szCs w:val="21"/>
                <w:highlight w:val="none"/>
              </w:rPr>
            </w:pPr>
          </w:p>
        </w:tc>
        <w:tc>
          <w:tcPr>
            <w:tcW w:w="2227" w:type="dxa"/>
            <w:vAlign w:val="center"/>
          </w:tcPr>
          <w:p>
            <w:pPr>
              <w:spacing w:line="400" w:lineRule="exact"/>
              <w:jc w:val="center"/>
              <w:rPr>
                <w:rFonts w:ascii="宋体" w:hAnsi="宋体"/>
                <w:strike/>
                <w:color w:val="auto"/>
                <w:szCs w:val="21"/>
                <w:highlight w:val="none"/>
              </w:rPr>
            </w:pPr>
          </w:p>
        </w:tc>
        <w:tc>
          <w:tcPr>
            <w:tcW w:w="2293" w:type="dxa"/>
            <w:vAlign w:val="center"/>
          </w:tcPr>
          <w:p>
            <w:pPr>
              <w:spacing w:line="400" w:lineRule="exact"/>
              <w:jc w:val="center"/>
              <w:rPr>
                <w:rFonts w:ascii="宋体" w:hAnsi="宋体"/>
                <w:strike/>
                <w:color w:val="auto"/>
                <w:szCs w:val="21"/>
                <w:highlight w:val="none"/>
              </w:rPr>
            </w:pPr>
          </w:p>
        </w:tc>
        <w:tc>
          <w:tcPr>
            <w:tcW w:w="1334" w:type="dxa"/>
            <w:vAlign w:val="center"/>
          </w:tcPr>
          <w:p>
            <w:pPr>
              <w:spacing w:line="40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pPr>
              <w:spacing w:line="400" w:lineRule="exact"/>
              <w:jc w:val="center"/>
              <w:rPr>
                <w:rFonts w:ascii="宋体" w:hAnsi="宋体"/>
                <w:strike/>
                <w:color w:val="auto"/>
                <w:szCs w:val="21"/>
                <w:highlight w:val="none"/>
              </w:rPr>
            </w:pPr>
          </w:p>
        </w:tc>
        <w:tc>
          <w:tcPr>
            <w:tcW w:w="3138" w:type="dxa"/>
            <w:vAlign w:val="center"/>
          </w:tcPr>
          <w:p>
            <w:pPr>
              <w:spacing w:line="400" w:lineRule="exact"/>
              <w:jc w:val="center"/>
              <w:rPr>
                <w:rFonts w:ascii="宋体" w:hAnsi="宋体"/>
                <w:strike/>
                <w:color w:val="auto"/>
                <w:szCs w:val="21"/>
                <w:highlight w:val="none"/>
              </w:rPr>
            </w:pPr>
          </w:p>
        </w:tc>
        <w:tc>
          <w:tcPr>
            <w:tcW w:w="2285" w:type="dxa"/>
            <w:vAlign w:val="center"/>
          </w:tcPr>
          <w:p>
            <w:pPr>
              <w:spacing w:line="400" w:lineRule="exact"/>
              <w:jc w:val="center"/>
              <w:rPr>
                <w:rFonts w:ascii="宋体" w:hAnsi="宋体"/>
                <w:strike/>
                <w:color w:val="auto"/>
                <w:szCs w:val="21"/>
                <w:highlight w:val="none"/>
              </w:rPr>
            </w:pPr>
          </w:p>
        </w:tc>
        <w:tc>
          <w:tcPr>
            <w:tcW w:w="2200" w:type="dxa"/>
            <w:vAlign w:val="center"/>
          </w:tcPr>
          <w:p>
            <w:pPr>
              <w:spacing w:line="400" w:lineRule="exact"/>
              <w:jc w:val="center"/>
              <w:rPr>
                <w:rFonts w:ascii="宋体" w:hAnsi="宋体"/>
                <w:strike/>
                <w:color w:val="auto"/>
                <w:szCs w:val="21"/>
                <w:highlight w:val="none"/>
              </w:rPr>
            </w:pPr>
          </w:p>
        </w:tc>
        <w:tc>
          <w:tcPr>
            <w:tcW w:w="2227" w:type="dxa"/>
            <w:vAlign w:val="center"/>
          </w:tcPr>
          <w:p>
            <w:pPr>
              <w:spacing w:line="400" w:lineRule="exact"/>
              <w:jc w:val="center"/>
              <w:rPr>
                <w:rFonts w:ascii="宋体" w:hAnsi="宋体"/>
                <w:strike/>
                <w:color w:val="auto"/>
                <w:szCs w:val="21"/>
                <w:highlight w:val="none"/>
              </w:rPr>
            </w:pPr>
          </w:p>
        </w:tc>
        <w:tc>
          <w:tcPr>
            <w:tcW w:w="2293" w:type="dxa"/>
            <w:vAlign w:val="center"/>
          </w:tcPr>
          <w:p>
            <w:pPr>
              <w:spacing w:line="400" w:lineRule="exact"/>
              <w:jc w:val="center"/>
              <w:rPr>
                <w:rFonts w:ascii="宋体" w:hAnsi="宋体"/>
                <w:strike/>
                <w:color w:val="auto"/>
                <w:szCs w:val="21"/>
                <w:highlight w:val="none"/>
              </w:rPr>
            </w:pPr>
          </w:p>
        </w:tc>
        <w:tc>
          <w:tcPr>
            <w:tcW w:w="1334" w:type="dxa"/>
            <w:vAlign w:val="center"/>
          </w:tcPr>
          <w:p>
            <w:pPr>
              <w:spacing w:line="400" w:lineRule="exact"/>
              <w:jc w:val="center"/>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pPr>
              <w:spacing w:line="400" w:lineRule="exact"/>
              <w:jc w:val="center"/>
              <w:rPr>
                <w:rFonts w:ascii="宋体" w:hAnsi="宋体"/>
                <w:strike/>
                <w:color w:val="auto"/>
                <w:szCs w:val="21"/>
                <w:highlight w:val="none"/>
              </w:rPr>
            </w:pPr>
          </w:p>
        </w:tc>
        <w:tc>
          <w:tcPr>
            <w:tcW w:w="3138" w:type="dxa"/>
            <w:vAlign w:val="center"/>
          </w:tcPr>
          <w:p>
            <w:pPr>
              <w:spacing w:line="400" w:lineRule="exact"/>
              <w:jc w:val="center"/>
              <w:rPr>
                <w:rFonts w:ascii="宋体" w:hAnsi="宋体"/>
                <w:strike/>
                <w:color w:val="auto"/>
                <w:szCs w:val="21"/>
                <w:highlight w:val="none"/>
              </w:rPr>
            </w:pPr>
          </w:p>
        </w:tc>
        <w:tc>
          <w:tcPr>
            <w:tcW w:w="2285" w:type="dxa"/>
            <w:vAlign w:val="center"/>
          </w:tcPr>
          <w:p>
            <w:pPr>
              <w:spacing w:line="400" w:lineRule="exact"/>
              <w:jc w:val="center"/>
              <w:rPr>
                <w:rFonts w:ascii="宋体" w:hAnsi="宋体"/>
                <w:strike/>
                <w:color w:val="auto"/>
                <w:szCs w:val="21"/>
                <w:highlight w:val="none"/>
              </w:rPr>
            </w:pPr>
          </w:p>
        </w:tc>
        <w:tc>
          <w:tcPr>
            <w:tcW w:w="2200" w:type="dxa"/>
            <w:vAlign w:val="center"/>
          </w:tcPr>
          <w:p>
            <w:pPr>
              <w:spacing w:line="400" w:lineRule="exact"/>
              <w:jc w:val="center"/>
              <w:rPr>
                <w:rFonts w:ascii="宋体" w:hAnsi="宋体"/>
                <w:strike/>
                <w:color w:val="auto"/>
                <w:szCs w:val="21"/>
                <w:highlight w:val="none"/>
              </w:rPr>
            </w:pPr>
          </w:p>
        </w:tc>
        <w:tc>
          <w:tcPr>
            <w:tcW w:w="2227" w:type="dxa"/>
            <w:vAlign w:val="center"/>
          </w:tcPr>
          <w:p>
            <w:pPr>
              <w:spacing w:line="400" w:lineRule="exact"/>
              <w:jc w:val="center"/>
              <w:rPr>
                <w:rFonts w:ascii="宋体" w:hAnsi="宋体"/>
                <w:strike/>
                <w:color w:val="auto"/>
                <w:szCs w:val="21"/>
                <w:highlight w:val="none"/>
              </w:rPr>
            </w:pPr>
          </w:p>
        </w:tc>
        <w:tc>
          <w:tcPr>
            <w:tcW w:w="2293" w:type="dxa"/>
            <w:vAlign w:val="center"/>
          </w:tcPr>
          <w:p>
            <w:pPr>
              <w:spacing w:line="400" w:lineRule="exact"/>
              <w:jc w:val="center"/>
              <w:rPr>
                <w:rFonts w:ascii="宋体" w:hAnsi="宋体"/>
                <w:strike/>
                <w:color w:val="auto"/>
                <w:szCs w:val="21"/>
                <w:highlight w:val="none"/>
              </w:rPr>
            </w:pPr>
          </w:p>
        </w:tc>
        <w:tc>
          <w:tcPr>
            <w:tcW w:w="1334" w:type="dxa"/>
            <w:vAlign w:val="center"/>
          </w:tcPr>
          <w:p>
            <w:pPr>
              <w:spacing w:line="400" w:lineRule="exact"/>
              <w:jc w:val="center"/>
              <w:rPr>
                <w:rFonts w:ascii="宋体" w:hAnsi="宋体"/>
                <w:strike/>
                <w:color w:val="auto"/>
                <w:szCs w:val="21"/>
                <w:highlight w:val="none"/>
              </w:rPr>
            </w:pPr>
          </w:p>
        </w:tc>
      </w:tr>
    </w:tbl>
    <w:p>
      <w:pPr>
        <w:spacing w:line="260" w:lineRule="exact"/>
        <w:jc w:val="left"/>
        <w:rPr>
          <w:rFonts w:ascii="宋体" w:hAnsi="宋体"/>
          <w:color w:val="auto"/>
          <w:sz w:val="22"/>
          <w:szCs w:val="22"/>
          <w:highlight w:val="none"/>
        </w:rPr>
      </w:pPr>
      <w:r>
        <w:rPr>
          <w:rFonts w:hint="eastAsia" w:ascii="宋体" w:hAnsi="宋体"/>
          <w:color w:val="auto"/>
          <w:sz w:val="22"/>
          <w:szCs w:val="22"/>
          <w:highlight w:val="none"/>
        </w:rPr>
        <w:t>评委签名：                                                                        日期：</w:t>
      </w:r>
    </w:p>
    <w:p>
      <w:pPr>
        <w:spacing w:line="400" w:lineRule="exact"/>
        <w:rPr>
          <w:rFonts w:ascii="宋体" w:hAnsi="宋体"/>
          <w:strike/>
          <w:color w:val="auto"/>
          <w:sz w:val="24"/>
          <w:highlight w:val="none"/>
        </w:rPr>
        <w:sectPr>
          <w:footerReference r:id="rId10" w:type="default"/>
          <w:pgSz w:w="16838" w:h="11906" w:orient="landscape"/>
          <w:pgMar w:top="1276" w:right="1440" w:bottom="1440" w:left="1440" w:header="851" w:footer="992" w:gutter="0"/>
          <w:cols w:space="720" w:num="1"/>
          <w:docGrid w:linePitch="312" w:charSpace="0"/>
        </w:sectPr>
      </w:pPr>
    </w:p>
    <w:p>
      <w:pPr>
        <w:pStyle w:val="6"/>
        <w:numPr>
          <w:ilvl w:val="0"/>
          <w:numId w:val="0"/>
        </w:numPr>
        <w:spacing w:before="156" w:after="156"/>
        <w:rPr>
          <w:strike/>
          <w:color w:val="auto"/>
          <w:highlight w:val="none"/>
        </w:rPr>
      </w:pPr>
      <w:bookmarkStart w:id="158" w:name="_Toc1584"/>
      <w:bookmarkStart w:id="159" w:name="_Toc11114"/>
      <w:bookmarkStart w:id="160" w:name="_Toc29532"/>
      <w:r>
        <w:rPr>
          <w:rFonts w:hint="eastAsia"/>
          <w:strike/>
          <w:color w:val="auto"/>
          <w:highlight w:val="none"/>
        </w:rPr>
        <w:t>附件8 设计方案评审记录表（适用于投票法）</w:t>
      </w:r>
      <w:bookmarkEnd w:id="158"/>
      <w:bookmarkEnd w:id="159"/>
      <w:bookmarkEnd w:id="160"/>
    </w:p>
    <w:p>
      <w:pPr>
        <w:jc w:val="center"/>
        <w:rPr>
          <w:rFonts w:ascii="宋体" w:hAnsi="宋体"/>
          <w:b/>
          <w:bCs/>
          <w:strike/>
          <w:color w:val="auto"/>
          <w:sz w:val="32"/>
          <w:highlight w:val="none"/>
        </w:rPr>
      </w:pPr>
      <w:r>
        <w:rPr>
          <w:rFonts w:hint="eastAsia" w:ascii="宋体" w:hAnsi="宋体"/>
          <w:b/>
          <w:bCs/>
          <w:strike/>
          <w:color w:val="auto"/>
          <w:sz w:val="32"/>
          <w:highlight w:val="none"/>
        </w:rPr>
        <w:t>设计方案评审记录表</w:t>
      </w:r>
    </w:p>
    <w:p>
      <w:pPr>
        <w:rPr>
          <w:rFonts w:ascii="宋体" w:hAnsi="宋体"/>
          <w:strike/>
          <w:color w:val="auto"/>
          <w:highlight w:val="none"/>
        </w:rPr>
      </w:pPr>
      <w:r>
        <w:rPr>
          <w:rFonts w:hint="eastAsia" w:ascii="宋体" w:hAnsi="宋体"/>
          <w:strike/>
          <w:color w:val="auto"/>
          <w:highlight w:val="none"/>
        </w:rPr>
        <w:t>项目名称：</w:t>
      </w:r>
      <w:r>
        <w:rPr>
          <w:rFonts w:hint="eastAsia" w:ascii="宋体" w:hAnsi="宋体"/>
          <w:strike/>
          <w:color w:val="auto"/>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749"/>
        <w:gridCol w:w="8718"/>
        <w:gridCol w:w="988"/>
        <w:gridCol w:w="919"/>
        <w:gridCol w:w="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36" w:type="dxa"/>
            <w:vAlign w:val="center"/>
          </w:tcPr>
          <w:p>
            <w:pPr>
              <w:jc w:val="center"/>
              <w:rPr>
                <w:rFonts w:ascii="宋体" w:hAnsi="宋体"/>
                <w:strike/>
                <w:color w:val="auto"/>
                <w:highlight w:val="none"/>
              </w:rPr>
            </w:pPr>
            <w:r>
              <w:rPr>
                <w:rFonts w:hint="eastAsia" w:ascii="宋体" w:hAnsi="宋体"/>
                <w:strike/>
                <w:color w:val="auto"/>
                <w:highlight w:val="none"/>
              </w:rPr>
              <w:t>序号</w:t>
            </w:r>
          </w:p>
        </w:tc>
        <w:tc>
          <w:tcPr>
            <w:tcW w:w="1749" w:type="dxa"/>
            <w:vAlign w:val="center"/>
          </w:tcPr>
          <w:p>
            <w:pPr>
              <w:jc w:val="center"/>
              <w:rPr>
                <w:rFonts w:ascii="宋体" w:hAnsi="宋体"/>
                <w:strike/>
                <w:color w:val="auto"/>
                <w:highlight w:val="none"/>
              </w:rPr>
            </w:pPr>
            <w:r>
              <w:rPr>
                <w:rFonts w:hint="eastAsia" w:ascii="宋体" w:hAnsi="宋体"/>
                <w:strike/>
                <w:color w:val="auto"/>
                <w:highlight w:val="none"/>
              </w:rPr>
              <w:t>评审项目</w:t>
            </w:r>
          </w:p>
        </w:tc>
        <w:tc>
          <w:tcPr>
            <w:tcW w:w="8718" w:type="dxa"/>
            <w:vAlign w:val="center"/>
          </w:tcPr>
          <w:p>
            <w:pPr>
              <w:jc w:val="center"/>
              <w:rPr>
                <w:rFonts w:ascii="宋体" w:hAnsi="宋体"/>
                <w:strike/>
                <w:color w:val="auto"/>
                <w:highlight w:val="none"/>
              </w:rPr>
            </w:pPr>
            <w:r>
              <w:rPr>
                <w:rFonts w:hint="eastAsia" w:ascii="宋体" w:hAnsi="宋体"/>
                <w:strike/>
                <w:color w:val="auto"/>
                <w:highlight w:val="none"/>
              </w:rPr>
              <w:t>主要评判因素</w:t>
            </w:r>
          </w:p>
        </w:tc>
        <w:tc>
          <w:tcPr>
            <w:tcW w:w="988" w:type="dxa"/>
            <w:vAlign w:val="center"/>
          </w:tcPr>
          <w:p>
            <w:pPr>
              <w:jc w:val="center"/>
              <w:rPr>
                <w:rFonts w:ascii="宋体" w:hAnsi="宋体"/>
                <w:strike/>
                <w:color w:val="auto"/>
                <w:highlight w:val="none"/>
              </w:rPr>
            </w:pPr>
            <w:r>
              <w:rPr>
                <w:rFonts w:hint="eastAsia" w:ascii="宋体" w:hAnsi="宋体"/>
                <w:strike/>
                <w:color w:val="auto"/>
                <w:highlight w:val="none"/>
              </w:rPr>
              <w:t>较好</w:t>
            </w:r>
          </w:p>
          <w:p>
            <w:pPr>
              <w:jc w:val="center"/>
              <w:rPr>
                <w:rFonts w:ascii="宋体" w:hAnsi="宋体"/>
                <w:strike/>
                <w:color w:val="auto"/>
                <w:highlight w:val="none"/>
              </w:rPr>
            </w:pPr>
            <w:r>
              <w:rPr>
                <w:rFonts w:hint="eastAsia" w:ascii="宋体" w:hAnsi="宋体"/>
                <w:strike/>
                <w:color w:val="auto"/>
                <w:highlight w:val="none"/>
              </w:rPr>
              <w:t>方案</w:t>
            </w:r>
          </w:p>
        </w:tc>
        <w:tc>
          <w:tcPr>
            <w:tcW w:w="919" w:type="dxa"/>
            <w:vAlign w:val="center"/>
          </w:tcPr>
          <w:p>
            <w:pPr>
              <w:jc w:val="center"/>
              <w:rPr>
                <w:rFonts w:ascii="宋体" w:hAnsi="宋体"/>
                <w:strike/>
                <w:color w:val="auto"/>
                <w:highlight w:val="none"/>
              </w:rPr>
            </w:pPr>
            <w:r>
              <w:rPr>
                <w:rFonts w:hint="eastAsia" w:ascii="宋体" w:hAnsi="宋体"/>
                <w:strike/>
                <w:color w:val="auto"/>
                <w:highlight w:val="none"/>
              </w:rPr>
              <w:t>一般</w:t>
            </w:r>
          </w:p>
          <w:p>
            <w:pPr>
              <w:jc w:val="center"/>
              <w:rPr>
                <w:rFonts w:ascii="宋体" w:hAnsi="宋体"/>
                <w:strike/>
                <w:color w:val="auto"/>
                <w:highlight w:val="none"/>
              </w:rPr>
            </w:pPr>
            <w:r>
              <w:rPr>
                <w:rFonts w:hint="eastAsia" w:ascii="宋体" w:hAnsi="宋体"/>
                <w:strike/>
                <w:color w:val="auto"/>
                <w:highlight w:val="none"/>
              </w:rPr>
              <w:t>方案</w:t>
            </w:r>
          </w:p>
        </w:tc>
        <w:tc>
          <w:tcPr>
            <w:tcW w:w="919" w:type="dxa"/>
            <w:vAlign w:val="center"/>
          </w:tcPr>
          <w:p>
            <w:pPr>
              <w:jc w:val="center"/>
              <w:rPr>
                <w:rFonts w:ascii="宋体" w:hAnsi="宋体"/>
                <w:strike/>
                <w:color w:val="auto"/>
                <w:highlight w:val="none"/>
              </w:rPr>
            </w:pPr>
            <w:r>
              <w:rPr>
                <w:rFonts w:hint="eastAsia" w:ascii="宋体" w:hAnsi="宋体"/>
                <w:strike/>
                <w:color w:val="auto"/>
                <w:highlight w:val="none"/>
              </w:rPr>
              <w:t>较差</w:t>
            </w:r>
          </w:p>
          <w:p>
            <w:pPr>
              <w:jc w:val="center"/>
              <w:rPr>
                <w:rFonts w:ascii="宋体" w:hAnsi="宋体"/>
                <w:strike/>
                <w:color w:val="auto"/>
                <w:highlight w:val="none"/>
              </w:rPr>
            </w:pPr>
            <w:r>
              <w:rPr>
                <w:rFonts w:hint="eastAsia" w:ascii="宋体" w:hAnsi="宋体"/>
                <w:strike/>
                <w:color w:val="auto"/>
                <w:highlight w:val="none"/>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36" w:type="dxa"/>
            <w:vAlign w:val="center"/>
          </w:tcPr>
          <w:p>
            <w:pPr>
              <w:jc w:val="center"/>
              <w:rPr>
                <w:rFonts w:ascii="宋体" w:hAnsi="宋体"/>
                <w:strike/>
                <w:color w:val="auto"/>
                <w:highlight w:val="none"/>
              </w:rPr>
            </w:pPr>
            <w:r>
              <w:rPr>
                <w:rFonts w:hint="eastAsia" w:ascii="宋体" w:hAnsi="宋体"/>
                <w:strike/>
                <w:color w:val="auto"/>
                <w:highlight w:val="none"/>
              </w:rPr>
              <w:t>1</w:t>
            </w:r>
          </w:p>
        </w:tc>
        <w:tc>
          <w:tcPr>
            <w:tcW w:w="1749" w:type="dxa"/>
            <w:vAlign w:val="center"/>
          </w:tcPr>
          <w:p>
            <w:pPr>
              <w:jc w:val="center"/>
              <w:rPr>
                <w:rFonts w:ascii="宋体" w:hAnsi="宋体"/>
                <w:strike/>
                <w:color w:val="auto"/>
                <w:highlight w:val="none"/>
              </w:rPr>
            </w:pPr>
            <w:r>
              <w:rPr>
                <w:rFonts w:hint="eastAsia" w:ascii="宋体" w:hAnsi="宋体"/>
                <w:strike/>
                <w:color w:val="auto"/>
                <w:highlight w:val="none"/>
              </w:rPr>
              <w:t>概况</w:t>
            </w:r>
          </w:p>
        </w:tc>
        <w:tc>
          <w:tcPr>
            <w:tcW w:w="8718" w:type="dxa"/>
            <w:vAlign w:val="center"/>
          </w:tcPr>
          <w:p>
            <w:pPr>
              <w:jc w:val="left"/>
              <w:rPr>
                <w:rFonts w:ascii="宋体" w:hAnsi="宋体"/>
                <w:strike/>
                <w:color w:val="auto"/>
                <w:highlight w:val="none"/>
              </w:rPr>
            </w:pPr>
            <w:r>
              <w:rPr>
                <w:rFonts w:hint="eastAsia" w:ascii="宋体" w:hAnsi="宋体"/>
                <w:strike/>
                <w:color w:val="auto"/>
                <w:highlight w:val="none"/>
              </w:rPr>
              <w:t>概况内容全面、概括性强，包括工程概况、工程范围、编制依据等。</w:t>
            </w:r>
          </w:p>
        </w:tc>
        <w:tc>
          <w:tcPr>
            <w:tcW w:w="988"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36" w:type="dxa"/>
            <w:vAlign w:val="center"/>
          </w:tcPr>
          <w:p>
            <w:pPr>
              <w:jc w:val="center"/>
              <w:rPr>
                <w:rFonts w:ascii="宋体" w:hAnsi="宋体"/>
                <w:strike/>
                <w:color w:val="auto"/>
                <w:highlight w:val="none"/>
              </w:rPr>
            </w:pPr>
            <w:r>
              <w:rPr>
                <w:rFonts w:hint="eastAsia" w:ascii="宋体" w:hAnsi="宋体"/>
                <w:strike/>
                <w:color w:val="auto"/>
                <w:highlight w:val="none"/>
              </w:rPr>
              <w:t>2</w:t>
            </w:r>
          </w:p>
        </w:tc>
        <w:tc>
          <w:tcPr>
            <w:tcW w:w="1749" w:type="dxa"/>
            <w:vAlign w:val="center"/>
          </w:tcPr>
          <w:p>
            <w:pPr>
              <w:jc w:val="center"/>
              <w:rPr>
                <w:rFonts w:ascii="宋体" w:hAnsi="宋体"/>
                <w:strike/>
                <w:color w:val="auto"/>
                <w:highlight w:val="none"/>
              </w:rPr>
            </w:pPr>
            <w:r>
              <w:rPr>
                <w:rFonts w:hint="eastAsia" w:ascii="宋体" w:hAnsi="宋体"/>
                <w:strike/>
                <w:color w:val="auto"/>
                <w:highlight w:val="none"/>
              </w:rPr>
              <w:t>工作目标与组织架构</w:t>
            </w:r>
          </w:p>
        </w:tc>
        <w:tc>
          <w:tcPr>
            <w:tcW w:w="8718" w:type="dxa"/>
            <w:vAlign w:val="center"/>
          </w:tcPr>
          <w:p>
            <w:pPr>
              <w:jc w:val="left"/>
              <w:rPr>
                <w:rFonts w:ascii="宋体" w:hAnsi="宋体"/>
                <w:strike/>
                <w:color w:val="auto"/>
                <w:highlight w:val="none"/>
              </w:rPr>
            </w:pPr>
            <w:r>
              <w:rPr>
                <w:rFonts w:hint="eastAsia" w:ascii="宋体" w:hAnsi="宋体"/>
                <w:strike/>
                <w:color w:val="auto"/>
                <w:highlight w:val="none"/>
              </w:rPr>
              <w:t>了解项目总体情况，编制合理的项目总体目标、设计目标、施工目标、质量目标和工期目标等；编制合理的组织架构，满足项目需要。</w:t>
            </w:r>
          </w:p>
        </w:tc>
        <w:tc>
          <w:tcPr>
            <w:tcW w:w="988"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36" w:type="dxa"/>
            <w:vAlign w:val="center"/>
          </w:tcPr>
          <w:p>
            <w:pPr>
              <w:jc w:val="center"/>
              <w:rPr>
                <w:rFonts w:ascii="宋体" w:hAnsi="宋体"/>
                <w:strike/>
                <w:color w:val="auto"/>
                <w:highlight w:val="none"/>
              </w:rPr>
            </w:pPr>
            <w:r>
              <w:rPr>
                <w:rFonts w:hint="eastAsia" w:ascii="宋体" w:hAnsi="宋体"/>
                <w:strike/>
                <w:color w:val="auto"/>
                <w:highlight w:val="none"/>
              </w:rPr>
              <w:t>3</w:t>
            </w:r>
          </w:p>
        </w:tc>
        <w:tc>
          <w:tcPr>
            <w:tcW w:w="1749" w:type="dxa"/>
            <w:vAlign w:val="center"/>
          </w:tcPr>
          <w:p>
            <w:pPr>
              <w:jc w:val="center"/>
              <w:rPr>
                <w:rFonts w:ascii="宋体" w:hAnsi="宋体"/>
                <w:strike/>
                <w:color w:val="auto"/>
                <w:highlight w:val="none"/>
              </w:rPr>
            </w:pPr>
            <w:r>
              <w:rPr>
                <w:rFonts w:hint="eastAsia" w:ascii="宋体" w:hAnsi="宋体"/>
                <w:strike/>
                <w:color w:val="auto"/>
                <w:highlight w:val="none"/>
              </w:rPr>
              <w:t>现状调研与分析</w:t>
            </w:r>
          </w:p>
        </w:tc>
        <w:tc>
          <w:tcPr>
            <w:tcW w:w="8718" w:type="dxa"/>
            <w:vAlign w:val="center"/>
          </w:tcPr>
          <w:p>
            <w:pPr>
              <w:jc w:val="left"/>
              <w:rPr>
                <w:rFonts w:ascii="宋体" w:hAnsi="宋体"/>
                <w:strike/>
                <w:color w:val="auto"/>
                <w:highlight w:val="none"/>
              </w:rPr>
            </w:pPr>
            <w:r>
              <w:rPr>
                <w:rFonts w:hint="eastAsia" w:ascii="宋体" w:hAnsi="宋体"/>
                <w:strike/>
                <w:color w:val="auto"/>
                <w:highlight w:val="none"/>
              </w:rPr>
              <w:t>对项目背景全面了解，对项目目的把握深入、清晰、准确，正确理解并执行规划建设意图，对项目现状摸查充分，从经济、技术、市场、政策等多方面对项目建设的可行性进行全面分析和评价。</w:t>
            </w:r>
          </w:p>
        </w:tc>
        <w:tc>
          <w:tcPr>
            <w:tcW w:w="988"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36" w:type="dxa"/>
            <w:vAlign w:val="center"/>
          </w:tcPr>
          <w:p>
            <w:pPr>
              <w:jc w:val="center"/>
              <w:rPr>
                <w:rFonts w:ascii="宋体" w:hAnsi="宋体"/>
                <w:strike/>
                <w:color w:val="auto"/>
                <w:highlight w:val="none"/>
              </w:rPr>
            </w:pPr>
            <w:r>
              <w:rPr>
                <w:rFonts w:hint="eastAsia" w:ascii="宋体" w:hAnsi="宋体"/>
                <w:strike/>
                <w:color w:val="auto"/>
                <w:highlight w:val="none"/>
              </w:rPr>
              <w:t>4</w:t>
            </w:r>
          </w:p>
        </w:tc>
        <w:tc>
          <w:tcPr>
            <w:tcW w:w="1749" w:type="dxa"/>
            <w:vAlign w:val="center"/>
          </w:tcPr>
          <w:p>
            <w:pPr>
              <w:jc w:val="center"/>
              <w:rPr>
                <w:strike/>
                <w:color w:val="auto"/>
                <w:szCs w:val="21"/>
                <w:highlight w:val="none"/>
                <w:lang w:val="zh-CN"/>
              </w:rPr>
            </w:pPr>
            <w:r>
              <w:rPr>
                <w:rFonts w:hint="eastAsia" w:ascii="宋体" w:hAnsi="宋体"/>
                <w:strike/>
                <w:color w:val="auto"/>
                <w:highlight w:val="none"/>
              </w:rPr>
              <w:t>整体设计</w:t>
            </w:r>
          </w:p>
        </w:tc>
        <w:tc>
          <w:tcPr>
            <w:tcW w:w="8718" w:type="dxa"/>
            <w:vAlign w:val="center"/>
          </w:tcPr>
          <w:p>
            <w:pPr>
              <w:jc w:val="left"/>
              <w:rPr>
                <w:rFonts w:ascii="宋体" w:hAnsi="宋体"/>
                <w:strike/>
                <w:color w:val="auto"/>
                <w:highlight w:val="none"/>
              </w:rPr>
            </w:pPr>
            <w:r>
              <w:rPr>
                <w:strike/>
                <w:color w:val="auto"/>
                <w:szCs w:val="21"/>
                <w:highlight w:val="none"/>
                <w:lang w:val="zh-CN"/>
              </w:rPr>
              <w:t>整个设计内容符合招标文件要求，内容全面，设计总说明书文字表达清楚、思路清晰、重点和难点突出、图纸及文卷质量高</w:t>
            </w:r>
            <w:r>
              <w:rPr>
                <w:rFonts w:hint="eastAsia"/>
                <w:strike/>
                <w:color w:val="auto"/>
                <w:szCs w:val="21"/>
                <w:highlight w:val="none"/>
                <w:lang w:val="zh-CN"/>
              </w:rPr>
              <w:t>，整体风格新颖大方。</w:t>
            </w:r>
          </w:p>
        </w:tc>
        <w:tc>
          <w:tcPr>
            <w:tcW w:w="988"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836" w:type="dxa"/>
            <w:vAlign w:val="center"/>
          </w:tcPr>
          <w:p>
            <w:pPr>
              <w:jc w:val="center"/>
              <w:rPr>
                <w:rFonts w:ascii="宋体" w:hAnsi="宋体"/>
                <w:strike/>
                <w:color w:val="auto"/>
                <w:highlight w:val="none"/>
              </w:rPr>
            </w:pPr>
            <w:r>
              <w:rPr>
                <w:rFonts w:hint="eastAsia" w:ascii="宋体" w:hAnsi="宋体"/>
                <w:strike/>
                <w:color w:val="auto"/>
                <w:highlight w:val="none"/>
              </w:rPr>
              <w:t>5</w:t>
            </w:r>
          </w:p>
        </w:tc>
        <w:tc>
          <w:tcPr>
            <w:tcW w:w="1749" w:type="dxa"/>
            <w:vAlign w:val="center"/>
          </w:tcPr>
          <w:p>
            <w:pPr>
              <w:jc w:val="center"/>
              <w:rPr>
                <w:rFonts w:ascii="宋体" w:hAnsi="宋体"/>
                <w:strike/>
                <w:color w:val="auto"/>
                <w:highlight w:val="none"/>
              </w:rPr>
            </w:pPr>
            <w:r>
              <w:rPr>
                <w:rFonts w:hint="eastAsia" w:ascii="宋体" w:hAnsi="宋体"/>
                <w:strike/>
                <w:color w:val="auto"/>
                <w:highlight w:val="none"/>
              </w:rPr>
              <w:t>设计概念</w:t>
            </w:r>
          </w:p>
        </w:tc>
        <w:tc>
          <w:tcPr>
            <w:tcW w:w="8718" w:type="dxa"/>
            <w:vAlign w:val="center"/>
          </w:tcPr>
          <w:p>
            <w:pPr>
              <w:jc w:val="left"/>
              <w:rPr>
                <w:strike/>
                <w:color w:val="auto"/>
                <w:szCs w:val="21"/>
                <w:highlight w:val="none"/>
                <w:lang w:val="zh-CN"/>
              </w:rPr>
            </w:pPr>
            <w:r>
              <w:rPr>
                <w:rFonts w:hint="eastAsia" w:ascii="宋体" w:hAnsi="宋体"/>
                <w:strike/>
                <w:color w:val="auto"/>
                <w:highlight w:val="none"/>
              </w:rPr>
              <w:t>设计主题突出、特色鲜明，符合适用、经济、绿色和美观原则，结合地理、气候、风俗、文化和个性特点，反映时代精神、具有创新的风格和意识，富有特色和吸引力，体现城市的历史文化、风貌特色。</w:t>
            </w:r>
          </w:p>
        </w:tc>
        <w:tc>
          <w:tcPr>
            <w:tcW w:w="988"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836" w:type="dxa"/>
            <w:vAlign w:val="center"/>
          </w:tcPr>
          <w:p>
            <w:pPr>
              <w:jc w:val="center"/>
              <w:rPr>
                <w:rFonts w:ascii="宋体" w:hAnsi="宋体"/>
                <w:strike/>
                <w:color w:val="auto"/>
                <w:highlight w:val="none"/>
              </w:rPr>
            </w:pPr>
            <w:r>
              <w:rPr>
                <w:rFonts w:hint="eastAsia" w:ascii="宋体" w:hAnsi="宋体"/>
                <w:strike/>
                <w:color w:val="auto"/>
                <w:highlight w:val="none"/>
              </w:rPr>
              <w:t>6</w:t>
            </w:r>
          </w:p>
        </w:tc>
        <w:tc>
          <w:tcPr>
            <w:tcW w:w="1749" w:type="dxa"/>
            <w:vAlign w:val="center"/>
          </w:tcPr>
          <w:p>
            <w:pPr>
              <w:jc w:val="center"/>
              <w:rPr>
                <w:rFonts w:hAnsi="宋体"/>
                <w:strike/>
                <w:color w:val="auto"/>
                <w:szCs w:val="21"/>
                <w:highlight w:val="none"/>
                <w:lang w:val="zh-CN"/>
              </w:rPr>
            </w:pPr>
            <w:r>
              <w:rPr>
                <w:rFonts w:hint="eastAsia" w:ascii="宋体" w:hAnsi="宋体"/>
                <w:strike/>
                <w:color w:val="auto"/>
                <w:highlight w:val="none"/>
              </w:rPr>
              <w:t>景观规划</w:t>
            </w:r>
          </w:p>
        </w:tc>
        <w:tc>
          <w:tcPr>
            <w:tcW w:w="8718" w:type="dxa"/>
            <w:vAlign w:val="center"/>
          </w:tcPr>
          <w:p>
            <w:pPr>
              <w:jc w:val="left"/>
              <w:rPr>
                <w:rFonts w:hAnsi="宋体"/>
                <w:strike/>
                <w:color w:val="auto"/>
                <w:szCs w:val="21"/>
                <w:highlight w:val="none"/>
                <w:lang w:val="zh-CN"/>
              </w:rPr>
            </w:pPr>
            <w:r>
              <w:rPr>
                <w:rFonts w:hint="eastAsia" w:ascii="宋体" w:hAnsi="宋体"/>
                <w:strike/>
                <w:color w:val="auto"/>
                <w:highlight w:val="none"/>
              </w:rPr>
              <w:t>因地制宜，充分考虑地域环境条件，主要轴线布置合理，</w:t>
            </w:r>
            <w:r>
              <w:rPr>
                <w:rFonts w:hAnsi="宋体"/>
                <w:strike/>
                <w:color w:val="auto"/>
                <w:szCs w:val="21"/>
                <w:highlight w:val="none"/>
                <w:lang w:val="zh-CN"/>
              </w:rPr>
              <w:t>交通组织完善，</w:t>
            </w:r>
            <w:r>
              <w:rPr>
                <w:rFonts w:hint="eastAsia" w:ascii="宋体" w:hAnsi="宋体"/>
                <w:strike/>
                <w:color w:val="auto"/>
                <w:highlight w:val="none"/>
              </w:rPr>
              <w:t>利用自然风光，合理布置绿化、水体、建筑小品，与周边环境景观相协调。</w:t>
            </w:r>
          </w:p>
        </w:tc>
        <w:tc>
          <w:tcPr>
            <w:tcW w:w="988"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vAlign w:val="center"/>
          </w:tcPr>
          <w:p>
            <w:pPr>
              <w:jc w:val="center"/>
              <w:rPr>
                <w:rFonts w:ascii="宋体" w:hAnsi="宋体"/>
                <w:strike/>
                <w:color w:val="auto"/>
                <w:highlight w:val="none"/>
              </w:rPr>
            </w:pPr>
            <w:r>
              <w:rPr>
                <w:rFonts w:hint="eastAsia" w:ascii="宋体" w:hAnsi="宋体"/>
                <w:strike/>
                <w:color w:val="auto"/>
                <w:highlight w:val="none"/>
              </w:rPr>
              <w:t>7</w:t>
            </w:r>
          </w:p>
        </w:tc>
        <w:tc>
          <w:tcPr>
            <w:tcW w:w="1749" w:type="dxa"/>
            <w:vAlign w:val="center"/>
          </w:tcPr>
          <w:p>
            <w:pPr>
              <w:jc w:val="center"/>
              <w:rPr>
                <w:rFonts w:ascii="宋体" w:hAnsi="宋体"/>
                <w:strike/>
                <w:color w:val="auto"/>
                <w:highlight w:val="none"/>
              </w:rPr>
            </w:pPr>
            <w:r>
              <w:rPr>
                <w:rFonts w:hint="eastAsia" w:ascii="宋体" w:hAnsi="宋体"/>
                <w:strike/>
                <w:color w:val="auto"/>
                <w:highlight w:val="none"/>
              </w:rPr>
              <w:t>使用功能</w:t>
            </w:r>
          </w:p>
        </w:tc>
        <w:tc>
          <w:tcPr>
            <w:tcW w:w="8718" w:type="dxa"/>
            <w:vAlign w:val="center"/>
          </w:tcPr>
          <w:p>
            <w:pPr>
              <w:jc w:val="left"/>
              <w:rPr>
                <w:rFonts w:ascii="宋体" w:hAnsi="宋体"/>
                <w:strike/>
                <w:color w:val="auto"/>
                <w:highlight w:val="none"/>
              </w:rPr>
            </w:pPr>
            <w:r>
              <w:rPr>
                <w:rFonts w:hint="eastAsia" w:ascii="宋体" w:hAnsi="宋体"/>
                <w:strike/>
                <w:color w:val="auto"/>
                <w:highlight w:val="none"/>
              </w:rPr>
              <w:t>从使用者的角度考虑设计，景观与功能协调统一，舒适实用、功能齐全、满足使用要求，有充分的可实施性。</w:t>
            </w:r>
          </w:p>
        </w:tc>
        <w:tc>
          <w:tcPr>
            <w:tcW w:w="988"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vAlign w:val="center"/>
          </w:tcPr>
          <w:p>
            <w:pPr>
              <w:jc w:val="center"/>
              <w:rPr>
                <w:rFonts w:ascii="宋体" w:hAnsi="宋体"/>
                <w:strike/>
                <w:color w:val="auto"/>
                <w:highlight w:val="none"/>
              </w:rPr>
            </w:pPr>
            <w:r>
              <w:rPr>
                <w:rFonts w:hint="eastAsia" w:ascii="宋体" w:hAnsi="宋体"/>
                <w:strike/>
                <w:color w:val="auto"/>
                <w:highlight w:val="none"/>
              </w:rPr>
              <w:t>8</w:t>
            </w:r>
          </w:p>
        </w:tc>
        <w:tc>
          <w:tcPr>
            <w:tcW w:w="1749" w:type="dxa"/>
            <w:vAlign w:val="center"/>
          </w:tcPr>
          <w:p>
            <w:pPr>
              <w:jc w:val="center"/>
              <w:rPr>
                <w:rFonts w:hAnsi="宋体"/>
                <w:strike/>
                <w:color w:val="auto"/>
                <w:szCs w:val="21"/>
                <w:highlight w:val="none"/>
                <w:lang w:val="zh-CN"/>
              </w:rPr>
            </w:pPr>
            <w:r>
              <w:rPr>
                <w:rFonts w:hint="eastAsia" w:ascii="宋体" w:hAnsi="宋体"/>
                <w:strike/>
                <w:color w:val="auto"/>
                <w:highlight w:val="none"/>
              </w:rPr>
              <w:t>重点难点分析</w:t>
            </w:r>
          </w:p>
        </w:tc>
        <w:tc>
          <w:tcPr>
            <w:tcW w:w="8718" w:type="dxa"/>
            <w:vAlign w:val="center"/>
          </w:tcPr>
          <w:p>
            <w:pPr>
              <w:jc w:val="left"/>
              <w:rPr>
                <w:rFonts w:ascii="宋体" w:hAnsi="宋体"/>
                <w:strike/>
                <w:color w:val="auto"/>
                <w:highlight w:val="none"/>
              </w:rPr>
            </w:pPr>
            <w:r>
              <w:rPr>
                <w:rFonts w:hint="eastAsia" w:hAnsi="宋体"/>
                <w:strike/>
                <w:color w:val="auto"/>
                <w:szCs w:val="21"/>
                <w:highlight w:val="none"/>
                <w:lang w:val="zh-CN"/>
              </w:rPr>
              <w:t>项目设计</w:t>
            </w:r>
            <w:r>
              <w:rPr>
                <w:rFonts w:hAnsi="宋体"/>
                <w:strike/>
                <w:color w:val="auto"/>
                <w:szCs w:val="21"/>
                <w:highlight w:val="none"/>
                <w:lang w:val="zh-CN"/>
              </w:rPr>
              <w:t>和使用的重点、难点分析透彻，解决措施合理</w:t>
            </w:r>
            <w:r>
              <w:rPr>
                <w:rFonts w:hint="eastAsia" w:hAnsi="宋体"/>
                <w:strike/>
                <w:color w:val="auto"/>
                <w:szCs w:val="21"/>
                <w:highlight w:val="none"/>
                <w:lang w:val="zh-CN"/>
              </w:rPr>
              <w:t>可行，实施计划目标明确、重点突出。</w:t>
            </w:r>
          </w:p>
        </w:tc>
        <w:tc>
          <w:tcPr>
            <w:tcW w:w="988"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vAlign w:val="center"/>
          </w:tcPr>
          <w:p>
            <w:pPr>
              <w:jc w:val="center"/>
              <w:rPr>
                <w:rFonts w:ascii="宋体" w:hAnsi="宋体"/>
                <w:strike/>
                <w:color w:val="auto"/>
                <w:highlight w:val="none"/>
              </w:rPr>
            </w:pPr>
            <w:r>
              <w:rPr>
                <w:rFonts w:hint="eastAsia" w:ascii="宋体" w:hAnsi="宋体"/>
                <w:strike/>
                <w:color w:val="auto"/>
                <w:highlight w:val="none"/>
              </w:rPr>
              <w:t>9</w:t>
            </w:r>
          </w:p>
        </w:tc>
        <w:tc>
          <w:tcPr>
            <w:tcW w:w="1749" w:type="dxa"/>
            <w:vAlign w:val="center"/>
          </w:tcPr>
          <w:p>
            <w:pPr>
              <w:jc w:val="center"/>
              <w:rPr>
                <w:rFonts w:ascii="宋体" w:hAnsi="宋体"/>
                <w:strike/>
                <w:color w:val="auto"/>
                <w:highlight w:val="none"/>
              </w:rPr>
            </w:pPr>
            <w:r>
              <w:rPr>
                <w:rFonts w:hint="eastAsia" w:ascii="宋体" w:hAnsi="宋体"/>
                <w:strike/>
                <w:color w:val="auto"/>
                <w:highlight w:val="none"/>
              </w:rPr>
              <w:t>勘察工作计划</w:t>
            </w:r>
          </w:p>
        </w:tc>
        <w:tc>
          <w:tcPr>
            <w:tcW w:w="8718" w:type="dxa"/>
            <w:vAlign w:val="center"/>
          </w:tcPr>
          <w:p>
            <w:pPr>
              <w:jc w:val="left"/>
              <w:rPr>
                <w:strike/>
                <w:color w:val="auto"/>
                <w:highlight w:val="none"/>
                <w:lang w:val="zh-CN"/>
              </w:rPr>
            </w:pPr>
            <w:r>
              <w:rPr>
                <w:strike/>
                <w:color w:val="auto"/>
                <w:highlight w:val="none"/>
              </w:rPr>
              <w:t>勘察工作流程规范，工期进度计划</w:t>
            </w:r>
            <w:r>
              <w:rPr>
                <w:rFonts w:hint="eastAsia"/>
                <w:strike/>
                <w:color w:val="auto"/>
                <w:highlight w:val="none"/>
              </w:rPr>
              <w:t>和质量控制措施</w:t>
            </w:r>
            <w:r>
              <w:rPr>
                <w:strike/>
                <w:color w:val="auto"/>
                <w:highlight w:val="none"/>
              </w:rPr>
              <w:t>合理可行</w:t>
            </w:r>
            <w:r>
              <w:rPr>
                <w:rFonts w:hint="eastAsia"/>
                <w:strike/>
                <w:color w:val="auto"/>
                <w:highlight w:val="none"/>
              </w:rPr>
              <w:t>，承诺投入项目的人员数量和工种、设备数量和种类等配置合理。</w:t>
            </w:r>
          </w:p>
        </w:tc>
        <w:tc>
          <w:tcPr>
            <w:tcW w:w="988"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vAlign w:val="center"/>
          </w:tcPr>
          <w:p>
            <w:pPr>
              <w:jc w:val="center"/>
              <w:rPr>
                <w:rFonts w:ascii="宋体" w:hAnsi="宋体"/>
                <w:strike/>
                <w:color w:val="auto"/>
                <w:highlight w:val="none"/>
              </w:rPr>
            </w:pPr>
            <w:r>
              <w:rPr>
                <w:rFonts w:hint="eastAsia" w:ascii="宋体" w:hAnsi="宋体"/>
                <w:strike/>
                <w:color w:val="auto"/>
                <w:highlight w:val="none"/>
              </w:rPr>
              <w:t>10</w:t>
            </w:r>
          </w:p>
        </w:tc>
        <w:tc>
          <w:tcPr>
            <w:tcW w:w="1749" w:type="dxa"/>
            <w:vAlign w:val="center"/>
          </w:tcPr>
          <w:p>
            <w:pPr>
              <w:jc w:val="center"/>
              <w:rPr>
                <w:strike/>
                <w:color w:val="auto"/>
                <w:highlight w:val="none"/>
              </w:rPr>
            </w:pPr>
            <w:r>
              <w:rPr>
                <w:rFonts w:hint="eastAsia" w:ascii="宋体" w:hAnsi="宋体"/>
                <w:strike/>
                <w:color w:val="auto"/>
                <w:highlight w:val="none"/>
              </w:rPr>
              <w:t>勘察方案</w:t>
            </w:r>
          </w:p>
        </w:tc>
        <w:tc>
          <w:tcPr>
            <w:tcW w:w="8718" w:type="dxa"/>
            <w:vAlign w:val="center"/>
          </w:tcPr>
          <w:p>
            <w:pPr>
              <w:jc w:val="left"/>
              <w:rPr>
                <w:rFonts w:ascii="宋体" w:hAnsi="宋体"/>
                <w:strike/>
                <w:color w:val="auto"/>
                <w:highlight w:val="none"/>
              </w:rPr>
            </w:pPr>
            <w:r>
              <w:rPr>
                <w:strike/>
                <w:color w:val="auto"/>
                <w:highlight w:val="none"/>
              </w:rPr>
              <w:t>勘察方案</w:t>
            </w:r>
            <w:r>
              <w:rPr>
                <w:rFonts w:hint="eastAsia"/>
                <w:strike/>
                <w:color w:val="auto"/>
                <w:highlight w:val="none"/>
              </w:rPr>
              <w:t>合理</w:t>
            </w:r>
            <w:r>
              <w:rPr>
                <w:strike/>
                <w:color w:val="auto"/>
                <w:highlight w:val="none"/>
              </w:rPr>
              <w:t>可行，勘察的</w:t>
            </w:r>
            <w:r>
              <w:rPr>
                <w:rFonts w:hint="eastAsia"/>
                <w:strike/>
                <w:color w:val="auto"/>
                <w:highlight w:val="none"/>
              </w:rPr>
              <w:t>重点、</w:t>
            </w:r>
            <w:r>
              <w:rPr>
                <w:strike/>
                <w:color w:val="auto"/>
                <w:highlight w:val="none"/>
              </w:rPr>
              <w:t>难点理解准确，</w:t>
            </w:r>
            <w:r>
              <w:rPr>
                <w:rFonts w:hint="eastAsia"/>
                <w:strike/>
                <w:color w:val="auto"/>
                <w:highlight w:val="none"/>
              </w:rPr>
              <w:t>建议</w:t>
            </w:r>
            <w:r>
              <w:rPr>
                <w:strike/>
                <w:color w:val="auto"/>
                <w:highlight w:val="none"/>
              </w:rPr>
              <w:t>合理可行</w:t>
            </w:r>
            <w:r>
              <w:rPr>
                <w:rFonts w:hint="eastAsia"/>
                <w:strike/>
                <w:color w:val="auto"/>
                <w:highlight w:val="none"/>
              </w:rPr>
              <w:t>；勘察报告综合评价深度详细，勘察成果文件目录及内容完善。</w:t>
            </w:r>
          </w:p>
        </w:tc>
        <w:tc>
          <w:tcPr>
            <w:tcW w:w="988"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836" w:type="dxa"/>
            <w:vAlign w:val="center"/>
          </w:tcPr>
          <w:p>
            <w:pPr>
              <w:jc w:val="center"/>
              <w:rPr>
                <w:rFonts w:ascii="宋体" w:hAnsi="宋体"/>
                <w:strike/>
                <w:color w:val="auto"/>
                <w:highlight w:val="none"/>
              </w:rPr>
            </w:pPr>
            <w:r>
              <w:rPr>
                <w:rFonts w:hint="eastAsia" w:ascii="宋体" w:hAnsi="宋体"/>
                <w:strike/>
                <w:color w:val="auto"/>
                <w:highlight w:val="none"/>
              </w:rPr>
              <w:t>11</w:t>
            </w:r>
          </w:p>
        </w:tc>
        <w:tc>
          <w:tcPr>
            <w:tcW w:w="1749" w:type="dxa"/>
            <w:vAlign w:val="center"/>
          </w:tcPr>
          <w:p>
            <w:pPr>
              <w:jc w:val="center"/>
              <w:rPr>
                <w:strike/>
                <w:color w:val="auto"/>
                <w:szCs w:val="21"/>
                <w:highlight w:val="none"/>
                <w:lang w:val="zh-CN"/>
              </w:rPr>
            </w:pPr>
            <w:r>
              <w:rPr>
                <w:rFonts w:hint="eastAsia" w:ascii="宋体" w:hAnsi="宋体"/>
                <w:strike/>
                <w:color w:val="auto"/>
                <w:highlight w:val="none"/>
              </w:rPr>
              <w:t>投资估算及控制</w:t>
            </w:r>
          </w:p>
        </w:tc>
        <w:tc>
          <w:tcPr>
            <w:tcW w:w="8718" w:type="dxa"/>
            <w:vAlign w:val="center"/>
          </w:tcPr>
          <w:p>
            <w:pPr>
              <w:jc w:val="left"/>
              <w:rPr>
                <w:strike/>
                <w:color w:val="auto"/>
                <w:szCs w:val="21"/>
                <w:highlight w:val="none"/>
                <w:lang w:val="zh-CN"/>
              </w:rPr>
            </w:pPr>
            <w:r>
              <w:rPr>
                <w:rFonts w:hint="eastAsia" w:ascii="宋体" w:hAnsi="宋体"/>
                <w:strike/>
                <w:color w:val="auto"/>
                <w:highlight w:val="none"/>
              </w:rPr>
              <w:t>设计符合标准、规范，造价合理、指标准确；投资估算编制依据正确，达到相应深度要求，编制质量高；投资估算合理，节约工程总投资的措施及理由合理可行。</w:t>
            </w:r>
          </w:p>
        </w:tc>
        <w:tc>
          <w:tcPr>
            <w:tcW w:w="988"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36" w:type="dxa"/>
            <w:vAlign w:val="center"/>
          </w:tcPr>
          <w:p>
            <w:pPr>
              <w:jc w:val="center"/>
              <w:rPr>
                <w:rFonts w:ascii="宋体" w:hAnsi="宋体"/>
                <w:strike/>
                <w:color w:val="auto"/>
                <w:highlight w:val="none"/>
              </w:rPr>
            </w:pPr>
            <w:r>
              <w:rPr>
                <w:rFonts w:hint="eastAsia" w:ascii="宋体" w:hAnsi="宋体"/>
                <w:strike/>
                <w:color w:val="auto"/>
                <w:highlight w:val="none"/>
              </w:rPr>
              <w:t>12</w:t>
            </w:r>
          </w:p>
        </w:tc>
        <w:tc>
          <w:tcPr>
            <w:tcW w:w="1749" w:type="dxa"/>
            <w:vAlign w:val="center"/>
          </w:tcPr>
          <w:p>
            <w:pPr>
              <w:jc w:val="center"/>
              <w:rPr>
                <w:strike/>
                <w:color w:val="auto"/>
                <w:highlight w:val="none"/>
              </w:rPr>
            </w:pPr>
            <w:r>
              <w:rPr>
                <w:rFonts w:hint="eastAsia" w:ascii="宋体" w:hAnsi="宋体"/>
                <w:strike/>
                <w:color w:val="auto"/>
                <w:highlight w:val="none"/>
              </w:rPr>
              <w:t>其他</w:t>
            </w:r>
          </w:p>
        </w:tc>
        <w:tc>
          <w:tcPr>
            <w:tcW w:w="8718" w:type="dxa"/>
            <w:vAlign w:val="center"/>
          </w:tcPr>
          <w:p>
            <w:pPr>
              <w:jc w:val="center"/>
              <w:rPr>
                <w:rFonts w:ascii="宋体" w:hAnsi="宋体"/>
                <w:strike/>
                <w:color w:val="auto"/>
                <w:highlight w:val="none"/>
              </w:rPr>
            </w:pPr>
          </w:p>
        </w:tc>
        <w:tc>
          <w:tcPr>
            <w:tcW w:w="988"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85" w:type="dxa"/>
            <w:gridSpan w:val="2"/>
            <w:vAlign w:val="center"/>
          </w:tcPr>
          <w:p>
            <w:pPr>
              <w:jc w:val="center"/>
              <w:rPr>
                <w:rFonts w:ascii="宋体" w:hAnsi="宋体"/>
                <w:strike/>
                <w:color w:val="auto"/>
                <w:highlight w:val="none"/>
              </w:rPr>
            </w:pPr>
            <w:r>
              <w:rPr>
                <w:rFonts w:hint="eastAsia" w:ascii="宋体" w:hAnsi="宋体"/>
                <w:strike/>
                <w:color w:val="auto"/>
                <w:highlight w:val="none"/>
              </w:rPr>
              <w:t>综合评价</w:t>
            </w:r>
          </w:p>
        </w:tc>
        <w:tc>
          <w:tcPr>
            <w:tcW w:w="8718" w:type="dxa"/>
            <w:vAlign w:val="center"/>
          </w:tcPr>
          <w:p>
            <w:pPr>
              <w:jc w:val="center"/>
              <w:rPr>
                <w:rFonts w:ascii="宋体" w:hAnsi="宋体"/>
                <w:strike/>
                <w:color w:val="auto"/>
                <w:highlight w:val="none"/>
              </w:rPr>
            </w:pPr>
          </w:p>
        </w:tc>
        <w:tc>
          <w:tcPr>
            <w:tcW w:w="988"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c>
          <w:tcPr>
            <w:tcW w:w="919" w:type="dxa"/>
            <w:vAlign w:val="center"/>
          </w:tcPr>
          <w:p>
            <w:pPr>
              <w:jc w:val="center"/>
              <w:rPr>
                <w:rFonts w:ascii="宋体" w:hAnsi="宋体"/>
                <w:strike/>
                <w:color w:val="auto"/>
                <w:highlight w:val="none"/>
              </w:rPr>
            </w:pPr>
          </w:p>
        </w:tc>
      </w:tr>
    </w:tbl>
    <w:p>
      <w:pPr>
        <w:rPr>
          <w:rFonts w:ascii="宋体" w:hAnsi="宋体"/>
          <w:strike/>
          <w:color w:val="auto"/>
          <w:highlight w:val="none"/>
        </w:rPr>
      </w:pPr>
      <w:r>
        <w:rPr>
          <w:rFonts w:hint="eastAsia" w:ascii="宋体" w:hAnsi="宋体"/>
          <w:strike/>
          <w:color w:val="auto"/>
          <w:highlight w:val="none"/>
        </w:rPr>
        <w:t>招标人可以根据项目类型、特点、设计价值观等情况增删评判因素。</w:t>
      </w:r>
    </w:p>
    <w:p>
      <w:pPr>
        <w:jc w:val="center"/>
        <w:rPr>
          <w:rFonts w:ascii="宋体" w:hAnsi="宋体"/>
          <w:strike/>
          <w:color w:val="auto"/>
          <w:highlight w:val="none"/>
        </w:rPr>
      </w:pPr>
    </w:p>
    <w:p>
      <w:pPr>
        <w:jc w:val="center"/>
        <w:rPr>
          <w:rFonts w:ascii="宋体" w:hAnsi="宋体"/>
          <w:strike/>
          <w:color w:val="auto"/>
          <w:highlight w:val="none"/>
        </w:rPr>
      </w:pPr>
      <w:r>
        <w:rPr>
          <w:rFonts w:hint="eastAsia" w:ascii="宋体" w:hAnsi="宋体"/>
          <w:strike/>
          <w:color w:val="auto"/>
          <w:highlight w:val="none"/>
        </w:rPr>
        <w:t>评委签名：                                                                                       日期：       年    月    日</w:t>
      </w:r>
    </w:p>
    <w:p>
      <w:pPr>
        <w:jc w:val="center"/>
        <w:rPr>
          <w:rFonts w:ascii="宋体" w:hAnsi="宋体"/>
          <w:strike/>
          <w:color w:val="auto"/>
          <w:highlight w:val="none"/>
        </w:rPr>
      </w:pPr>
    </w:p>
    <w:p>
      <w:pPr>
        <w:jc w:val="left"/>
        <w:rPr>
          <w:rFonts w:ascii="宋体" w:hAnsi="宋体"/>
          <w:strike/>
          <w:color w:val="auto"/>
          <w:highlight w:val="none"/>
        </w:rPr>
      </w:pPr>
    </w:p>
    <w:p>
      <w:pPr>
        <w:jc w:val="left"/>
        <w:rPr>
          <w:rFonts w:ascii="宋体" w:hAnsi="宋体"/>
          <w:strike/>
          <w:color w:val="auto"/>
          <w:highlight w:val="none"/>
        </w:rPr>
      </w:pPr>
    </w:p>
    <w:p>
      <w:pPr>
        <w:jc w:val="left"/>
        <w:rPr>
          <w:rFonts w:ascii="宋体" w:hAnsi="宋体"/>
          <w:strike/>
          <w:color w:val="auto"/>
          <w:highlight w:val="none"/>
        </w:rPr>
      </w:pPr>
    </w:p>
    <w:p>
      <w:pPr>
        <w:jc w:val="left"/>
        <w:rPr>
          <w:rFonts w:ascii="宋体" w:hAnsi="宋体"/>
          <w:strike/>
          <w:color w:val="auto"/>
          <w:highlight w:val="none"/>
        </w:rPr>
      </w:pPr>
    </w:p>
    <w:p>
      <w:pPr>
        <w:jc w:val="left"/>
        <w:rPr>
          <w:rFonts w:ascii="宋体" w:hAnsi="宋体"/>
          <w:strike/>
          <w:color w:val="auto"/>
          <w:highlight w:val="none"/>
        </w:rPr>
      </w:pPr>
    </w:p>
    <w:p>
      <w:pPr>
        <w:jc w:val="left"/>
        <w:rPr>
          <w:rFonts w:ascii="宋体" w:hAnsi="宋体"/>
          <w:strike/>
          <w:color w:val="auto"/>
          <w:highlight w:val="none"/>
        </w:rPr>
      </w:pPr>
    </w:p>
    <w:p>
      <w:pPr>
        <w:jc w:val="left"/>
        <w:rPr>
          <w:rFonts w:ascii="宋体" w:hAnsi="宋体"/>
          <w:strike/>
          <w:color w:val="auto"/>
          <w:highlight w:val="none"/>
        </w:rPr>
      </w:pPr>
    </w:p>
    <w:p>
      <w:pPr>
        <w:jc w:val="left"/>
        <w:rPr>
          <w:rFonts w:ascii="宋体" w:hAnsi="宋体"/>
          <w:strike/>
          <w:color w:val="auto"/>
          <w:highlight w:val="none"/>
        </w:rPr>
      </w:pPr>
    </w:p>
    <w:p>
      <w:pPr>
        <w:rPr>
          <w:rFonts w:ascii="宋体" w:hAnsi="宋体"/>
          <w:color w:val="auto"/>
          <w:highlight w:val="none"/>
        </w:rPr>
        <w:sectPr>
          <w:pgSz w:w="16838" w:h="11906" w:orient="landscape"/>
          <w:pgMar w:top="1440" w:right="1440" w:bottom="1440" w:left="1440" w:header="851" w:footer="992" w:gutter="0"/>
          <w:cols w:space="720" w:num="1"/>
          <w:docGrid w:type="lines" w:linePitch="312" w:charSpace="0"/>
        </w:sectPr>
      </w:pPr>
    </w:p>
    <w:p>
      <w:pPr>
        <w:pStyle w:val="6"/>
        <w:numPr>
          <w:ilvl w:val="0"/>
          <w:numId w:val="0"/>
        </w:numPr>
        <w:spacing w:before="156" w:after="156"/>
        <w:rPr>
          <w:strike/>
          <w:color w:val="auto"/>
          <w:highlight w:val="none"/>
        </w:rPr>
      </w:pPr>
      <w:bookmarkStart w:id="161" w:name="_Toc32634"/>
      <w:bookmarkStart w:id="162" w:name="_Toc32500"/>
      <w:bookmarkStart w:id="163" w:name="_Toc8409"/>
      <w:r>
        <w:rPr>
          <w:rFonts w:hint="eastAsia"/>
          <w:strike/>
          <w:color w:val="auto"/>
          <w:highlight w:val="none"/>
        </w:rPr>
        <w:t>附件9 投标方案评语（适用于投票法）</w:t>
      </w:r>
      <w:bookmarkEnd w:id="161"/>
      <w:bookmarkEnd w:id="162"/>
      <w:bookmarkEnd w:id="163"/>
    </w:p>
    <w:p>
      <w:pPr>
        <w:rPr>
          <w:rFonts w:ascii="宋体" w:hAnsi="宋体"/>
          <w:b/>
          <w:bCs/>
          <w:strike/>
          <w:color w:val="auto"/>
          <w:sz w:val="24"/>
          <w:highlight w:val="none"/>
        </w:rPr>
      </w:pPr>
    </w:p>
    <w:p>
      <w:pPr>
        <w:jc w:val="center"/>
        <w:rPr>
          <w:rFonts w:ascii="宋体" w:hAnsi="宋体"/>
          <w:strike/>
          <w:color w:val="auto"/>
          <w:sz w:val="24"/>
          <w:highlight w:val="none"/>
        </w:rPr>
      </w:pPr>
      <w:r>
        <w:rPr>
          <w:rFonts w:hint="eastAsia" w:ascii="宋体" w:hAnsi="宋体"/>
          <w:b/>
          <w:bCs/>
          <w:strike/>
          <w:color w:val="auto"/>
          <w:sz w:val="32"/>
          <w:highlight w:val="none"/>
        </w:rPr>
        <w:t>投标方案评语</w:t>
      </w:r>
    </w:p>
    <w:p>
      <w:pPr>
        <w:rPr>
          <w:rFonts w:ascii="宋体" w:hAnsi="宋体"/>
          <w:strike/>
          <w:color w:val="auto"/>
          <w:sz w:val="24"/>
          <w:highlight w:val="none"/>
          <w:u w:val="single"/>
        </w:rPr>
      </w:pPr>
      <w:r>
        <w:rPr>
          <w:rFonts w:hint="eastAsia" w:ascii="宋体" w:hAnsi="宋体"/>
          <w:strike/>
          <w:color w:val="auto"/>
          <w:sz w:val="24"/>
          <w:highlight w:val="none"/>
        </w:rPr>
        <w:t>项目名称：</w:t>
      </w:r>
      <w:r>
        <w:rPr>
          <w:rFonts w:hint="eastAsia" w:ascii="宋体" w:hAnsi="宋体"/>
          <w:strike/>
          <w:color w:val="auto"/>
          <w:sz w:val="24"/>
          <w:highlight w:val="none"/>
          <w:u w:val="single"/>
        </w:rPr>
        <w:t xml:space="preserve">                       </w:t>
      </w:r>
    </w:p>
    <w:p>
      <w:pPr>
        <w:rPr>
          <w:rFonts w:ascii="宋体" w:hAnsi="宋体"/>
          <w:strike/>
          <w:color w:val="auto"/>
          <w:sz w:val="24"/>
          <w:highlight w:val="none"/>
          <w:u w:val="singl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399" w:type="dxa"/>
            <w:vAlign w:val="center"/>
          </w:tcPr>
          <w:p>
            <w:pPr>
              <w:jc w:val="center"/>
              <w:rPr>
                <w:rFonts w:ascii="宋体" w:hAnsi="宋体"/>
                <w:strike/>
                <w:color w:val="auto"/>
                <w:sz w:val="24"/>
                <w:highlight w:val="none"/>
              </w:rPr>
            </w:pPr>
            <w:r>
              <w:rPr>
                <w:rFonts w:hint="eastAsia" w:ascii="宋体" w:hAnsi="宋体"/>
                <w:strike/>
                <w:color w:val="auto"/>
                <w:sz w:val="24"/>
                <w:highlight w:val="none"/>
              </w:rPr>
              <w:t>方案编号</w:t>
            </w:r>
          </w:p>
        </w:tc>
        <w:tc>
          <w:tcPr>
            <w:tcW w:w="7097" w:type="dxa"/>
            <w:vAlign w:val="center"/>
          </w:tcPr>
          <w:p>
            <w:pPr>
              <w:jc w:val="center"/>
              <w:rPr>
                <w:rFonts w:ascii="宋体" w:hAnsi="宋体"/>
                <w:strike/>
                <w:color w:val="auto"/>
                <w:sz w:val="24"/>
                <w:highlight w:val="none"/>
              </w:rPr>
            </w:pPr>
            <w:r>
              <w:rPr>
                <w:rFonts w:hint="eastAsia" w:ascii="宋体" w:hAnsi="宋体"/>
                <w:strike/>
                <w:color w:val="auto"/>
                <w:sz w:val="24"/>
                <w:highlight w:val="none"/>
              </w:rPr>
              <w:t>评    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tcPr>
          <w:p>
            <w:pPr>
              <w:rPr>
                <w:rFonts w:ascii="宋体" w:hAnsi="宋体"/>
                <w:strike/>
                <w:color w:val="auto"/>
                <w:highlight w:val="none"/>
              </w:rPr>
            </w:pPr>
          </w:p>
        </w:tc>
        <w:tc>
          <w:tcPr>
            <w:tcW w:w="7097"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tcPr>
          <w:p>
            <w:pPr>
              <w:rPr>
                <w:rFonts w:ascii="宋体" w:hAnsi="宋体"/>
                <w:strike/>
                <w:color w:val="auto"/>
                <w:highlight w:val="none"/>
              </w:rPr>
            </w:pPr>
          </w:p>
        </w:tc>
        <w:tc>
          <w:tcPr>
            <w:tcW w:w="7097"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tcPr>
          <w:p>
            <w:pPr>
              <w:rPr>
                <w:rFonts w:ascii="宋体" w:hAnsi="宋体"/>
                <w:strike/>
                <w:color w:val="auto"/>
                <w:highlight w:val="none"/>
              </w:rPr>
            </w:pPr>
          </w:p>
        </w:tc>
        <w:tc>
          <w:tcPr>
            <w:tcW w:w="7097"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tcPr>
          <w:p>
            <w:pPr>
              <w:rPr>
                <w:rFonts w:ascii="宋体" w:hAnsi="宋体"/>
                <w:strike/>
                <w:color w:val="auto"/>
                <w:highlight w:val="none"/>
              </w:rPr>
            </w:pPr>
          </w:p>
        </w:tc>
        <w:tc>
          <w:tcPr>
            <w:tcW w:w="7097"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tcPr>
          <w:p>
            <w:pPr>
              <w:rPr>
                <w:rFonts w:ascii="宋体" w:hAnsi="宋体"/>
                <w:strike/>
                <w:color w:val="auto"/>
                <w:highlight w:val="none"/>
              </w:rPr>
            </w:pPr>
          </w:p>
        </w:tc>
        <w:tc>
          <w:tcPr>
            <w:tcW w:w="7097"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tcPr>
          <w:p>
            <w:pPr>
              <w:rPr>
                <w:rFonts w:ascii="宋体" w:hAnsi="宋体"/>
                <w:strike/>
                <w:color w:val="auto"/>
                <w:highlight w:val="none"/>
              </w:rPr>
            </w:pPr>
          </w:p>
        </w:tc>
        <w:tc>
          <w:tcPr>
            <w:tcW w:w="7097"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tcPr>
          <w:p>
            <w:pPr>
              <w:rPr>
                <w:rFonts w:ascii="宋体" w:hAnsi="宋体"/>
                <w:strike/>
                <w:color w:val="auto"/>
                <w:highlight w:val="none"/>
              </w:rPr>
            </w:pPr>
          </w:p>
        </w:tc>
        <w:tc>
          <w:tcPr>
            <w:tcW w:w="7097"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99" w:type="dxa"/>
          </w:tcPr>
          <w:p>
            <w:pPr>
              <w:rPr>
                <w:rFonts w:ascii="宋体" w:hAnsi="宋体"/>
                <w:strike/>
                <w:color w:val="auto"/>
                <w:highlight w:val="none"/>
              </w:rPr>
            </w:pPr>
          </w:p>
        </w:tc>
        <w:tc>
          <w:tcPr>
            <w:tcW w:w="7097" w:type="dxa"/>
          </w:tcPr>
          <w:p>
            <w:pPr>
              <w:jc w:val="center"/>
              <w:rPr>
                <w:rFonts w:ascii="宋体" w:hAnsi="宋体"/>
                <w:strike/>
                <w:color w:val="auto"/>
                <w:highlight w:val="none"/>
              </w:rPr>
            </w:pPr>
          </w:p>
        </w:tc>
      </w:tr>
    </w:tbl>
    <w:p>
      <w:pPr>
        <w:rPr>
          <w:rFonts w:ascii="宋体" w:hAnsi="宋体"/>
          <w:strike/>
          <w:color w:val="auto"/>
          <w:sz w:val="24"/>
          <w:highlight w:val="none"/>
        </w:rPr>
      </w:pPr>
    </w:p>
    <w:p>
      <w:pPr>
        <w:rPr>
          <w:rFonts w:ascii="宋体" w:hAnsi="宋体"/>
          <w:b/>
          <w:bCs/>
          <w:strike/>
          <w:color w:val="auto"/>
          <w:sz w:val="24"/>
          <w:highlight w:val="none"/>
        </w:rPr>
      </w:pPr>
      <w:r>
        <w:rPr>
          <w:rFonts w:hint="eastAsia" w:ascii="宋体" w:hAnsi="宋体"/>
          <w:strike/>
          <w:color w:val="auto"/>
          <w:sz w:val="24"/>
          <w:highlight w:val="none"/>
        </w:rPr>
        <w:t>评委签名：                                    日期：       年    月    日</w:t>
      </w:r>
    </w:p>
    <w:p>
      <w:pPr>
        <w:tabs>
          <w:tab w:val="left" w:pos="420"/>
        </w:tabs>
        <w:rPr>
          <w:rFonts w:ascii="宋体" w:hAnsi="宋体"/>
          <w:b/>
          <w:bCs/>
          <w:strike/>
          <w:color w:val="auto"/>
          <w:sz w:val="24"/>
          <w:highlight w:val="none"/>
        </w:rPr>
      </w:pPr>
    </w:p>
    <w:p>
      <w:pPr>
        <w:tabs>
          <w:tab w:val="left" w:pos="420"/>
        </w:tabs>
        <w:rPr>
          <w:rFonts w:ascii="宋体" w:hAnsi="宋体"/>
          <w:b/>
          <w:bCs/>
          <w:strike/>
          <w:color w:val="auto"/>
          <w:sz w:val="24"/>
          <w:highlight w:val="none"/>
        </w:rPr>
      </w:pPr>
    </w:p>
    <w:p>
      <w:pPr>
        <w:tabs>
          <w:tab w:val="left" w:pos="420"/>
        </w:tabs>
        <w:rPr>
          <w:rFonts w:ascii="宋体" w:hAnsi="宋体"/>
          <w:b/>
          <w:bCs/>
          <w:strike/>
          <w:color w:val="auto"/>
          <w:sz w:val="24"/>
          <w:highlight w:val="none"/>
        </w:rPr>
      </w:pPr>
    </w:p>
    <w:p>
      <w:pPr>
        <w:tabs>
          <w:tab w:val="left" w:pos="420"/>
        </w:tabs>
        <w:rPr>
          <w:rFonts w:ascii="宋体" w:hAnsi="宋体"/>
          <w:b/>
          <w:bCs/>
          <w:strike/>
          <w:color w:val="auto"/>
          <w:sz w:val="24"/>
          <w:highlight w:val="none"/>
        </w:rPr>
      </w:pPr>
    </w:p>
    <w:p>
      <w:pPr>
        <w:tabs>
          <w:tab w:val="left" w:pos="420"/>
        </w:tabs>
        <w:rPr>
          <w:rFonts w:ascii="宋体" w:hAnsi="宋体"/>
          <w:b/>
          <w:bCs/>
          <w:strike/>
          <w:color w:val="auto"/>
          <w:sz w:val="24"/>
          <w:highlight w:val="none"/>
        </w:rPr>
      </w:pPr>
    </w:p>
    <w:p>
      <w:pPr>
        <w:pStyle w:val="6"/>
        <w:numPr>
          <w:ilvl w:val="0"/>
          <w:numId w:val="0"/>
        </w:numPr>
        <w:spacing w:before="156" w:after="156"/>
        <w:rPr>
          <w:strike/>
          <w:color w:val="auto"/>
          <w:highlight w:val="none"/>
        </w:rPr>
      </w:pPr>
      <w:bookmarkStart w:id="164" w:name="_Toc16884"/>
      <w:bookmarkStart w:id="165" w:name="_Toc9442"/>
      <w:bookmarkStart w:id="166" w:name="_Toc20703"/>
      <w:r>
        <w:rPr>
          <w:rFonts w:hint="eastAsia"/>
          <w:strike/>
          <w:color w:val="auto"/>
          <w:highlight w:val="none"/>
        </w:rPr>
        <w:t>附件10 投票表格（适用于投票法）</w:t>
      </w:r>
      <w:bookmarkEnd w:id="164"/>
      <w:bookmarkEnd w:id="165"/>
      <w:bookmarkEnd w:id="166"/>
    </w:p>
    <w:p>
      <w:pPr>
        <w:pStyle w:val="18"/>
        <w:tabs>
          <w:tab w:val="left" w:pos="420"/>
        </w:tabs>
        <w:jc w:val="center"/>
        <w:rPr>
          <w:rFonts w:hAnsi="宋体"/>
          <w:b/>
          <w:strike/>
          <w:color w:val="auto"/>
          <w:sz w:val="32"/>
          <w:highlight w:val="none"/>
        </w:rPr>
      </w:pPr>
      <w:r>
        <w:rPr>
          <w:rFonts w:hint="eastAsia" w:hAnsi="宋体"/>
          <w:b/>
          <w:strike/>
          <w:color w:val="auto"/>
          <w:sz w:val="32"/>
          <w:highlight w:val="none"/>
        </w:rPr>
        <w:t>投票表格</w:t>
      </w:r>
    </w:p>
    <w:p>
      <w:pPr>
        <w:tabs>
          <w:tab w:val="left" w:pos="420"/>
        </w:tabs>
        <w:rPr>
          <w:rFonts w:ascii="宋体" w:hAnsi="宋体"/>
          <w:strike/>
          <w:color w:val="auto"/>
          <w:sz w:val="24"/>
          <w:highlight w:val="none"/>
        </w:rPr>
      </w:pPr>
    </w:p>
    <w:p>
      <w:pPr>
        <w:tabs>
          <w:tab w:val="left" w:pos="420"/>
        </w:tabs>
        <w:spacing w:line="360" w:lineRule="auto"/>
        <w:rPr>
          <w:rFonts w:ascii="宋体" w:hAnsi="宋体"/>
          <w:strike/>
          <w:color w:val="auto"/>
          <w:sz w:val="24"/>
          <w:highlight w:val="none"/>
          <w:u w:val="single"/>
        </w:rPr>
      </w:pPr>
      <w:r>
        <w:rPr>
          <w:rFonts w:hint="eastAsia" w:ascii="宋体" w:hAnsi="宋体"/>
          <w:strike/>
          <w:color w:val="auto"/>
          <w:sz w:val="24"/>
          <w:highlight w:val="none"/>
        </w:rPr>
        <w:t>项目名称：</w:t>
      </w:r>
      <w:r>
        <w:rPr>
          <w:rFonts w:hint="eastAsia" w:ascii="宋体" w:hAnsi="宋体"/>
          <w:strike/>
          <w:color w:val="auto"/>
          <w:sz w:val="24"/>
          <w:highlight w:val="none"/>
          <w:u w:val="single"/>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tabs>
                <w:tab w:val="left" w:pos="420"/>
              </w:tabs>
              <w:spacing w:line="360" w:lineRule="auto"/>
              <w:rPr>
                <w:rFonts w:ascii="宋体" w:hAnsi="宋体"/>
                <w:strike/>
                <w:color w:val="auto"/>
                <w:szCs w:val="21"/>
                <w:highlight w:val="none"/>
              </w:rPr>
            </w:pPr>
          </w:p>
        </w:tc>
        <w:tc>
          <w:tcPr>
            <w:tcW w:w="6120" w:type="dxa"/>
            <w:gridSpan w:val="3"/>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每轮投票允许选择总数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投标人数</w:t>
            </w:r>
          </w:p>
        </w:tc>
        <w:tc>
          <w:tcPr>
            <w:tcW w:w="1980"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3至4</w:t>
            </w:r>
          </w:p>
        </w:tc>
        <w:tc>
          <w:tcPr>
            <w:tcW w:w="1980"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5至8</w:t>
            </w:r>
          </w:p>
        </w:tc>
        <w:tc>
          <w:tcPr>
            <w:tcW w:w="2160"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第1轮</w:t>
            </w:r>
          </w:p>
        </w:tc>
        <w:tc>
          <w:tcPr>
            <w:tcW w:w="1980"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2</w:t>
            </w:r>
          </w:p>
        </w:tc>
        <w:tc>
          <w:tcPr>
            <w:tcW w:w="1980"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4</w:t>
            </w:r>
          </w:p>
        </w:tc>
        <w:tc>
          <w:tcPr>
            <w:tcW w:w="2160"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第2轮</w:t>
            </w:r>
          </w:p>
        </w:tc>
        <w:tc>
          <w:tcPr>
            <w:tcW w:w="1980"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1</w:t>
            </w:r>
          </w:p>
        </w:tc>
        <w:tc>
          <w:tcPr>
            <w:tcW w:w="1980"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2</w:t>
            </w:r>
          </w:p>
        </w:tc>
        <w:tc>
          <w:tcPr>
            <w:tcW w:w="2160"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第3轮</w:t>
            </w:r>
          </w:p>
        </w:tc>
        <w:tc>
          <w:tcPr>
            <w:tcW w:w="1980" w:type="dxa"/>
          </w:tcPr>
          <w:p>
            <w:pPr>
              <w:tabs>
                <w:tab w:val="left" w:pos="420"/>
              </w:tabs>
              <w:spacing w:line="360" w:lineRule="auto"/>
              <w:jc w:val="center"/>
              <w:rPr>
                <w:rFonts w:ascii="宋体" w:hAnsi="宋体"/>
                <w:strike/>
                <w:color w:val="auto"/>
                <w:szCs w:val="21"/>
                <w:highlight w:val="none"/>
              </w:rPr>
            </w:pPr>
          </w:p>
        </w:tc>
        <w:tc>
          <w:tcPr>
            <w:tcW w:w="1980"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1</w:t>
            </w:r>
          </w:p>
        </w:tc>
        <w:tc>
          <w:tcPr>
            <w:tcW w:w="2160"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第4轮</w:t>
            </w:r>
          </w:p>
        </w:tc>
        <w:tc>
          <w:tcPr>
            <w:tcW w:w="1980" w:type="dxa"/>
          </w:tcPr>
          <w:p>
            <w:pPr>
              <w:tabs>
                <w:tab w:val="left" w:pos="420"/>
              </w:tabs>
              <w:spacing w:line="360" w:lineRule="auto"/>
              <w:jc w:val="center"/>
              <w:rPr>
                <w:rFonts w:ascii="宋体" w:hAnsi="宋体"/>
                <w:strike/>
                <w:color w:val="auto"/>
                <w:szCs w:val="21"/>
                <w:highlight w:val="none"/>
              </w:rPr>
            </w:pPr>
          </w:p>
        </w:tc>
        <w:tc>
          <w:tcPr>
            <w:tcW w:w="1980" w:type="dxa"/>
          </w:tcPr>
          <w:p>
            <w:pPr>
              <w:tabs>
                <w:tab w:val="left" w:pos="420"/>
              </w:tabs>
              <w:spacing w:line="360" w:lineRule="auto"/>
              <w:jc w:val="center"/>
              <w:rPr>
                <w:rFonts w:ascii="宋体" w:hAnsi="宋体"/>
                <w:strike/>
                <w:color w:val="auto"/>
                <w:szCs w:val="21"/>
                <w:highlight w:val="none"/>
              </w:rPr>
            </w:pPr>
          </w:p>
        </w:tc>
        <w:tc>
          <w:tcPr>
            <w:tcW w:w="2160" w:type="dxa"/>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1</w:t>
            </w:r>
          </w:p>
        </w:tc>
      </w:tr>
    </w:tbl>
    <w:p>
      <w:pPr>
        <w:tabs>
          <w:tab w:val="left" w:pos="420"/>
        </w:tabs>
        <w:adjustRightInd w:val="0"/>
        <w:snapToGrid w:val="0"/>
        <w:jc w:val="center"/>
        <w:rPr>
          <w:rFonts w:ascii="宋体" w:hAnsi="宋体"/>
          <w:strike/>
          <w:color w:val="auto"/>
          <w:szCs w:val="21"/>
          <w:highlight w:val="none"/>
        </w:rPr>
      </w:pPr>
      <w:r>
        <w:rPr>
          <w:rFonts w:hint="eastAsia" w:ascii="宋体" w:hAnsi="宋体"/>
          <w:strike/>
          <w:color w:val="auto"/>
          <w:szCs w:val="21"/>
          <w:highlight w:val="none"/>
        </w:rPr>
        <w:t>表1.每轮投票允许选择方案总数</w:t>
      </w:r>
    </w:p>
    <w:p>
      <w:pPr>
        <w:tabs>
          <w:tab w:val="left" w:pos="420"/>
        </w:tabs>
        <w:adjustRightInd w:val="0"/>
        <w:snapToGrid w:val="0"/>
        <w:jc w:val="center"/>
        <w:rPr>
          <w:rFonts w:ascii="宋体" w:hAnsi="宋体"/>
          <w:b/>
          <w:bCs/>
          <w:strike/>
          <w:color w:val="auto"/>
          <w:szCs w:val="21"/>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第    轮</w:t>
            </w:r>
          </w:p>
        </w:tc>
        <w:tc>
          <w:tcPr>
            <w:tcW w:w="917" w:type="dxa"/>
            <w:tcBorders>
              <w:top w:val="double" w:color="auto" w:sz="4" w:space="0"/>
              <w:left w:val="single" w:color="auto" w:sz="4" w:space="0"/>
              <w:bottom w:val="double" w:color="auto" w:sz="4" w:space="0"/>
            </w:tcBorders>
          </w:tcPr>
          <w:p>
            <w:pPr>
              <w:tabs>
                <w:tab w:val="left" w:pos="420"/>
              </w:tabs>
              <w:spacing w:line="360" w:lineRule="auto"/>
              <w:rPr>
                <w:rFonts w:ascii="宋体" w:hAnsi="宋体"/>
                <w:strike/>
                <w:color w:val="auto"/>
                <w:szCs w:val="21"/>
                <w:highlight w:val="none"/>
              </w:rPr>
            </w:pPr>
          </w:p>
        </w:tc>
        <w:tc>
          <w:tcPr>
            <w:tcW w:w="918" w:type="dxa"/>
            <w:tcBorders>
              <w:top w:val="double" w:color="auto" w:sz="4" w:space="0"/>
              <w:bottom w:val="double" w:color="auto" w:sz="4" w:space="0"/>
            </w:tcBorders>
          </w:tcPr>
          <w:p>
            <w:pPr>
              <w:tabs>
                <w:tab w:val="left" w:pos="420"/>
              </w:tabs>
              <w:spacing w:line="360" w:lineRule="auto"/>
              <w:rPr>
                <w:rFonts w:ascii="宋体" w:hAnsi="宋体"/>
                <w:strike/>
                <w:color w:val="auto"/>
                <w:szCs w:val="21"/>
                <w:highlight w:val="none"/>
              </w:rPr>
            </w:pPr>
          </w:p>
        </w:tc>
        <w:tc>
          <w:tcPr>
            <w:tcW w:w="917" w:type="dxa"/>
            <w:tcBorders>
              <w:top w:val="double" w:color="auto" w:sz="4" w:space="0"/>
              <w:bottom w:val="double" w:color="auto" w:sz="4" w:space="0"/>
            </w:tcBorders>
          </w:tcPr>
          <w:p>
            <w:pPr>
              <w:tabs>
                <w:tab w:val="left" w:pos="420"/>
              </w:tabs>
              <w:spacing w:line="360" w:lineRule="auto"/>
              <w:rPr>
                <w:rFonts w:ascii="宋体" w:hAnsi="宋体"/>
                <w:strike/>
                <w:color w:val="auto"/>
                <w:szCs w:val="21"/>
                <w:highlight w:val="none"/>
              </w:rPr>
            </w:pPr>
          </w:p>
        </w:tc>
        <w:tc>
          <w:tcPr>
            <w:tcW w:w="918" w:type="dxa"/>
            <w:tcBorders>
              <w:top w:val="double" w:color="auto" w:sz="4" w:space="0"/>
              <w:bottom w:val="double" w:color="auto" w:sz="4" w:space="0"/>
            </w:tcBorders>
          </w:tcPr>
          <w:p>
            <w:pPr>
              <w:tabs>
                <w:tab w:val="left" w:pos="420"/>
              </w:tabs>
              <w:spacing w:line="360" w:lineRule="auto"/>
              <w:rPr>
                <w:rFonts w:ascii="宋体" w:hAnsi="宋体"/>
                <w:strike/>
                <w:color w:val="auto"/>
                <w:szCs w:val="21"/>
                <w:highlight w:val="none"/>
              </w:rPr>
            </w:pPr>
          </w:p>
        </w:tc>
        <w:tc>
          <w:tcPr>
            <w:tcW w:w="917" w:type="dxa"/>
            <w:tcBorders>
              <w:top w:val="double" w:color="auto" w:sz="4" w:space="0"/>
              <w:bottom w:val="double" w:color="auto" w:sz="4" w:space="0"/>
            </w:tcBorders>
          </w:tcPr>
          <w:p>
            <w:pPr>
              <w:tabs>
                <w:tab w:val="left" w:pos="420"/>
              </w:tabs>
              <w:spacing w:line="360" w:lineRule="auto"/>
              <w:rPr>
                <w:rFonts w:ascii="宋体" w:hAnsi="宋体"/>
                <w:strike/>
                <w:color w:val="auto"/>
                <w:szCs w:val="21"/>
                <w:highlight w:val="none"/>
              </w:rPr>
            </w:pPr>
          </w:p>
        </w:tc>
        <w:tc>
          <w:tcPr>
            <w:tcW w:w="918" w:type="dxa"/>
            <w:tcBorders>
              <w:top w:val="double" w:color="auto" w:sz="4" w:space="0"/>
              <w:bottom w:val="double" w:color="auto" w:sz="4" w:space="0"/>
            </w:tcBorders>
          </w:tcPr>
          <w:p>
            <w:pPr>
              <w:tabs>
                <w:tab w:val="left" w:pos="420"/>
              </w:tabs>
              <w:spacing w:line="360" w:lineRule="auto"/>
              <w:rPr>
                <w:rFonts w:ascii="宋体" w:hAnsi="宋体"/>
                <w:strike/>
                <w:color w:val="auto"/>
                <w:szCs w:val="21"/>
                <w:highlight w:val="none"/>
              </w:rPr>
            </w:pPr>
          </w:p>
        </w:tc>
        <w:tc>
          <w:tcPr>
            <w:tcW w:w="917" w:type="dxa"/>
            <w:tcBorders>
              <w:top w:val="double" w:color="auto" w:sz="4" w:space="0"/>
              <w:bottom w:val="double" w:color="auto" w:sz="4" w:space="0"/>
            </w:tcBorders>
          </w:tcPr>
          <w:p>
            <w:pPr>
              <w:tabs>
                <w:tab w:val="left" w:pos="420"/>
              </w:tabs>
              <w:spacing w:line="360" w:lineRule="auto"/>
              <w:rPr>
                <w:rFonts w:ascii="宋体" w:hAnsi="宋体"/>
                <w:strike/>
                <w:color w:val="auto"/>
                <w:szCs w:val="21"/>
                <w:highlight w:val="none"/>
              </w:rPr>
            </w:pPr>
          </w:p>
        </w:tc>
        <w:tc>
          <w:tcPr>
            <w:tcW w:w="918" w:type="dxa"/>
            <w:tcBorders>
              <w:top w:val="double" w:color="auto" w:sz="4" w:space="0"/>
              <w:bottom w:val="double" w:color="auto" w:sz="4" w:space="0"/>
              <w:right w:val="double" w:color="auto" w:sz="4" w:space="0"/>
            </w:tcBorders>
          </w:tcPr>
          <w:p>
            <w:pPr>
              <w:tabs>
                <w:tab w:val="left" w:pos="420"/>
              </w:tabs>
              <w:spacing w:line="360" w:lineRule="auto"/>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第    轮</w:t>
            </w:r>
          </w:p>
        </w:tc>
        <w:tc>
          <w:tcPr>
            <w:tcW w:w="1835" w:type="dxa"/>
            <w:gridSpan w:val="2"/>
            <w:tcBorders>
              <w:top w:val="double" w:color="auto" w:sz="4" w:space="0"/>
              <w:left w:val="single" w:color="auto" w:sz="4" w:space="0"/>
              <w:bottom w:val="double" w:color="auto" w:sz="4" w:space="0"/>
            </w:tcBorders>
          </w:tcPr>
          <w:p>
            <w:pPr>
              <w:tabs>
                <w:tab w:val="left" w:pos="420"/>
              </w:tabs>
              <w:spacing w:line="360" w:lineRule="auto"/>
              <w:rPr>
                <w:rFonts w:ascii="宋体" w:hAnsi="宋体"/>
                <w:strike/>
                <w:color w:val="auto"/>
                <w:szCs w:val="21"/>
                <w:highlight w:val="none"/>
              </w:rPr>
            </w:pPr>
          </w:p>
        </w:tc>
        <w:tc>
          <w:tcPr>
            <w:tcW w:w="1835" w:type="dxa"/>
            <w:gridSpan w:val="2"/>
            <w:tcBorders>
              <w:top w:val="double" w:color="auto" w:sz="4" w:space="0"/>
              <w:bottom w:val="double" w:color="auto" w:sz="4" w:space="0"/>
            </w:tcBorders>
          </w:tcPr>
          <w:p>
            <w:pPr>
              <w:tabs>
                <w:tab w:val="left" w:pos="420"/>
              </w:tabs>
              <w:spacing w:line="360" w:lineRule="auto"/>
              <w:rPr>
                <w:rFonts w:ascii="宋体" w:hAnsi="宋体"/>
                <w:strike/>
                <w:color w:val="auto"/>
                <w:szCs w:val="21"/>
                <w:highlight w:val="none"/>
              </w:rPr>
            </w:pPr>
          </w:p>
        </w:tc>
        <w:tc>
          <w:tcPr>
            <w:tcW w:w="1835" w:type="dxa"/>
            <w:gridSpan w:val="2"/>
            <w:tcBorders>
              <w:top w:val="double" w:color="auto" w:sz="4" w:space="0"/>
              <w:bottom w:val="double" w:color="auto" w:sz="4" w:space="0"/>
            </w:tcBorders>
          </w:tcPr>
          <w:p>
            <w:pPr>
              <w:tabs>
                <w:tab w:val="left" w:pos="420"/>
              </w:tabs>
              <w:spacing w:line="360" w:lineRule="auto"/>
              <w:rPr>
                <w:rFonts w:ascii="宋体" w:hAnsi="宋体"/>
                <w:strike/>
                <w:color w:val="auto"/>
                <w:szCs w:val="21"/>
                <w:highlight w:val="none"/>
              </w:rPr>
            </w:pPr>
          </w:p>
        </w:tc>
        <w:tc>
          <w:tcPr>
            <w:tcW w:w="1835" w:type="dxa"/>
            <w:gridSpan w:val="2"/>
            <w:tcBorders>
              <w:top w:val="double" w:color="auto" w:sz="4" w:space="0"/>
              <w:bottom w:val="double" w:color="auto" w:sz="4" w:space="0"/>
              <w:right w:val="double" w:color="auto" w:sz="4" w:space="0"/>
            </w:tcBorders>
          </w:tcPr>
          <w:p>
            <w:pPr>
              <w:tabs>
                <w:tab w:val="left" w:pos="420"/>
              </w:tabs>
              <w:spacing w:line="360" w:lineRule="auto"/>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第    轮</w:t>
            </w:r>
          </w:p>
        </w:tc>
        <w:tc>
          <w:tcPr>
            <w:tcW w:w="3670" w:type="dxa"/>
            <w:gridSpan w:val="4"/>
            <w:tcBorders>
              <w:top w:val="double" w:color="auto" w:sz="4" w:space="0"/>
              <w:left w:val="single" w:color="auto" w:sz="4" w:space="0"/>
              <w:bottom w:val="double" w:color="auto" w:sz="4" w:space="0"/>
            </w:tcBorders>
          </w:tcPr>
          <w:p>
            <w:pPr>
              <w:tabs>
                <w:tab w:val="left" w:pos="420"/>
              </w:tabs>
              <w:spacing w:line="360" w:lineRule="auto"/>
              <w:rPr>
                <w:rFonts w:ascii="宋体" w:hAnsi="宋体"/>
                <w:strike/>
                <w:color w:val="auto"/>
                <w:szCs w:val="21"/>
                <w:highlight w:val="none"/>
              </w:rPr>
            </w:pPr>
          </w:p>
        </w:tc>
        <w:tc>
          <w:tcPr>
            <w:tcW w:w="3670" w:type="dxa"/>
            <w:gridSpan w:val="4"/>
            <w:tcBorders>
              <w:top w:val="double" w:color="auto" w:sz="4" w:space="0"/>
              <w:bottom w:val="double" w:color="auto" w:sz="4" w:space="0"/>
              <w:right w:val="double" w:color="auto" w:sz="4" w:space="0"/>
            </w:tcBorders>
          </w:tcPr>
          <w:p>
            <w:pPr>
              <w:tabs>
                <w:tab w:val="left" w:pos="420"/>
              </w:tabs>
              <w:spacing w:line="360" w:lineRule="auto"/>
              <w:rPr>
                <w:rFonts w:ascii="宋体" w:hAnsi="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tabs>
                <w:tab w:val="left" w:pos="420"/>
              </w:tabs>
              <w:spacing w:line="360" w:lineRule="auto"/>
              <w:jc w:val="center"/>
              <w:rPr>
                <w:rFonts w:ascii="宋体" w:hAnsi="宋体"/>
                <w:strike/>
                <w:color w:val="auto"/>
                <w:szCs w:val="21"/>
                <w:highlight w:val="none"/>
              </w:rPr>
            </w:pPr>
            <w:r>
              <w:rPr>
                <w:rFonts w:hint="eastAsia" w:ascii="宋体" w:hAnsi="宋体"/>
                <w:strike/>
                <w:color w:val="auto"/>
                <w:szCs w:val="21"/>
                <w:highlight w:val="none"/>
              </w:rPr>
              <w:t>第    轮</w:t>
            </w:r>
          </w:p>
        </w:tc>
        <w:tc>
          <w:tcPr>
            <w:tcW w:w="7340" w:type="dxa"/>
            <w:gridSpan w:val="8"/>
            <w:tcBorders>
              <w:top w:val="double" w:color="auto" w:sz="4" w:space="0"/>
              <w:left w:val="single" w:color="auto" w:sz="4" w:space="0"/>
              <w:bottom w:val="double" w:color="auto" w:sz="4" w:space="0"/>
              <w:right w:val="double" w:color="auto" w:sz="4" w:space="0"/>
            </w:tcBorders>
          </w:tcPr>
          <w:p>
            <w:pPr>
              <w:tabs>
                <w:tab w:val="left" w:pos="420"/>
              </w:tabs>
              <w:spacing w:line="360" w:lineRule="auto"/>
              <w:rPr>
                <w:rFonts w:ascii="宋体" w:hAnsi="宋体"/>
                <w:strike/>
                <w:color w:val="auto"/>
                <w:szCs w:val="21"/>
                <w:highlight w:val="none"/>
              </w:rPr>
            </w:pPr>
          </w:p>
        </w:tc>
      </w:tr>
    </w:tbl>
    <w:p>
      <w:pPr>
        <w:tabs>
          <w:tab w:val="left" w:pos="420"/>
        </w:tabs>
        <w:adjustRightInd w:val="0"/>
        <w:snapToGrid w:val="0"/>
        <w:jc w:val="center"/>
        <w:rPr>
          <w:rFonts w:ascii="宋体" w:hAnsi="宋体"/>
          <w:strike/>
          <w:color w:val="auto"/>
          <w:szCs w:val="21"/>
          <w:highlight w:val="none"/>
        </w:rPr>
      </w:pPr>
      <w:r>
        <w:rPr>
          <w:rFonts w:hint="eastAsia" w:ascii="宋体" w:hAnsi="宋体"/>
          <w:strike/>
          <w:color w:val="auto"/>
          <w:szCs w:val="21"/>
          <w:highlight w:val="none"/>
        </w:rPr>
        <w:t>表2.每轮投票后的入围方案</w:t>
      </w:r>
    </w:p>
    <w:p>
      <w:pPr>
        <w:tabs>
          <w:tab w:val="left" w:pos="420"/>
        </w:tabs>
        <w:adjustRightInd w:val="0"/>
        <w:snapToGrid w:val="0"/>
        <w:rPr>
          <w:rFonts w:ascii="宋体" w:hAnsi="宋体"/>
          <w:strike/>
          <w:color w:val="auto"/>
          <w:sz w:val="24"/>
          <w:highlight w:val="none"/>
        </w:rPr>
      </w:pPr>
    </w:p>
    <w:p>
      <w:pPr>
        <w:tabs>
          <w:tab w:val="left" w:pos="420"/>
        </w:tabs>
        <w:adjustRightInd w:val="0"/>
        <w:snapToGrid w:val="0"/>
        <w:ind w:firstLine="480" w:firstLineChars="200"/>
        <w:rPr>
          <w:rFonts w:ascii="宋体" w:hAnsi="宋体"/>
          <w:strike/>
          <w:color w:val="auto"/>
          <w:sz w:val="24"/>
          <w:highlight w:val="none"/>
        </w:rPr>
      </w:pPr>
      <w:r>
        <w:rPr>
          <w:rFonts w:hint="eastAsia" w:ascii="宋体" w:hAnsi="宋体"/>
          <w:strike/>
          <w:color w:val="auto"/>
          <w:sz w:val="24"/>
          <w:highlight w:val="none"/>
        </w:rPr>
        <w:t>投票规则：</w:t>
      </w:r>
    </w:p>
    <w:p>
      <w:pPr>
        <w:tabs>
          <w:tab w:val="left" w:pos="420"/>
        </w:tabs>
        <w:adjustRightInd w:val="0"/>
        <w:snapToGrid w:val="0"/>
        <w:ind w:firstLine="480" w:firstLineChars="200"/>
        <w:rPr>
          <w:strike/>
          <w:color w:val="auto"/>
          <w:sz w:val="24"/>
          <w:highlight w:val="none"/>
        </w:rPr>
      </w:pPr>
      <w:r>
        <w:rPr>
          <w:rFonts w:hint="eastAsia" w:ascii="宋体" w:hAnsi="宋体"/>
          <w:strike/>
          <w:color w:val="auto"/>
          <w:sz w:val="24"/>
          <w:highlight w:val="none"/>
        </w:rPr>
        <w:t>1.采用逐轮投票方式，表2用于汇总每轮投票结果，从上到下每轮投票使用一行空格，每个空格填一个方案编号，同一行的方案编号不得重复。每轮投票允许选择的总数即下一轮候选总数，</w:t>
      </w:r>
      <w:r>
        <w:rPr>
          <w:rFonts w:hint="eastAsia" w:ascii="宋体" w:hAnsi="宋体" w:cs="Arial"/>
          <w:strike/>
          <w:color w:val="auto"/>
          <w:sz w:val="24"/>
          <w:highlight w:val="none"/>
        </w:rPr>
        <w:t>以得票多的方案当选为</w:t>
      </w:r>
      <w:r>
        <w:rPr>
          <w:rFonts w:hint="eastAsia" w:ascii="宋体" w:hAnsi="宋体"/>
          <w:strike/>
          <w:color w:val="auto"/>
          <w:sz w:val="24"/>
          <w:highlight w:val="none"/>
        </w:rPr>
        <w:t>下一轮投票的候选方案</w:t>
      </w:r>
      <w:r>
        <w:rPr>
          <w:rFonts w:hint="eastAsia" w:ascii="宋体" w:hAnsi="宋体" w:cs="Arial"/>
          <w:strike/>
          <w:color w:val="auto"/>
          <w:sz w:val="24"/>
          <w:highlight w:val="none"/>
        </w:rPr>
        <w:t>。</w:t>
      </w:r>
      <w:r>
        <w:rPr>
          <w:rFonts w:hint="eastAsia" w:ascii="宋体" w:hAnsi="宋体"/>
          <w:strike/>
          <w:color w:val="auto"/>
          <w:sz w:val="24"/>
          <w:highlight w:val="none"/>
        </w:rPr>
        <w:t>不能进入下一轮的方案，根据本轮得票数量确定名次。</w:t>
      </w:r>
      <w:r>
        <w:rPr>
          <w:rFonts w:hint="eastAsia" w:ascii="宋体" w:hAnsi="宋体" w:cs="Arial"/>
          <w:strike/>
          <w:color w:val="auto"/>
          <w:sz w:val="24"/>
          <w:highlight w:val="none"/>
        </w:rPr>
        <w:t>遇票数相等不能确定入选下一轮投标方案时，</w:t>
      </w:r>
      <w:r>
        <w:rPr>
          <w:rFonts w:hint="eastAsia"/>
          <w:strike/>
          <w:color w:val="auto"/>
          <w:sz w:val="24"/>
          <w:highlight w:val="none"/>
        </w:rPr>
        <w:t>应进行附加投票，以确定名次。</w:t>
      </w:r>
    </w:p>
    <w:p>
      <w:pPr>
        <w:tabs>
          <w:tab w:val="left" w:pos="420"/>
        </w:tabs>
        <w:adjustRightInd w:val="0"/>
        <w:snapToGrid w:val="0"/>
        <w:ind w:firstLine="480" w:firstLineChars="200"/>
        <w:rPr>
          <w:rFonts w:ascii="宋体" w:hAnsi="宋体"/>
          <w:strike/>
          <w:color w:val="auto"/>
          <w:sz w:val="24"/>
          <w:highlight w:val="none"/>
        </w:rPr>
      </w:pPr>
      <w:r>
        <w:rPr>
          <w:rFonts w:hint="eastAsia" w:ascii="宋体" w:hAnsi="宋体"/>
          <w:strike/>
          <w:color w:val="auto"/>
          <w:sz w:val="24"/>
          <w:highlight w:val="none"/>
        </w:rPr>
        <w:t>2.若投标人数为9人或以上，第一轮投票从表2第一行开始；若投标人数为5至8人，第一轮投票从表2第二行开始；若投标人数为3至4人，第一轮投票从表2第三行空格开始。</w:t>
      </w:r>
    </w:p>
    <w:p>
      <w:pPr>
        <w:tabs>
          <w:tab w:val="left" w:pos="420"/>
        </w:tabs>
        <w:adjustRightInd w:val="0"/>
        <w:snapToGrid w:val="0"/>
        <w:ind w:firstLine="480" w:firstLineChars="200"/>
        <w:rPr>
          <w:rFonts w:ascii="宋体" w:hAnsi="宋体"/>
          <w:strike/>
          <w:color w:val="auto"/>
          <w:sz w:val="24"/>
          <w:highlight w:val="none"/>
        </w:rPr>
      </w:pPr>
      <w:r>
        <w:rPr>
          <w:rFonts w:hint="eastAsia" w:ascii="宋体" w:hAnsi="宋体"/>
          <w:strike/>
          <w:color w:val="auto"/>
          <w:sz w:val="24"/>
          <w:highlight w:val="none"/>
        </w:rPr>
        <w:t>3.投票结束后，点票人员对投票人数、票数和每票应选方案总数加以核对和统计，作废的选票不得统计，并向评标委员会报告。</w:t>
      </w:r>
    </w:p>
    <w:p>
      <w:pPr>
        <w:tabs>
          <w:tab w:val="left" w:pos="420"/>
        </w:tabs>
        <w:adjustRightInd w:val="0"/>
        <w:snapToGrid w:val="0"/>
        <w:ind w:firstLine="480" w:firstLineChars="200"/>
        <w:rPr>
          <w:rFonts w:ascii="宋体" w:hAnsi="宋体"/>
          <w:strike/>
          <w:color w:val="auto"/>
          <w:sz w:val="24"/>
          <w:highlight w:val="none"/>
        </w:rPr>
      </w:pPr>
      <w:r>
        <w:rPr>
          <w:rFonts w:hint="eastAsia" w:ascii="宋体" w:hAnsi="宋体"/>
          <w:strike/>
          <w:color w:val="auto"/>
          <w:sz w:val="24"/>
          <w:highlight w:val="none"/>
        </w:rPr>
        <w:t>4.评标委员会成员应当独立投票，自投票开始至最终排名统计结果公布期间，任何人不得非法干预、影响投票过程，不得透露、协商、改变投票结果，不得使用通信联络工具。</w:t>
      </w:r>
    </w:p>
    <w:p>
      <w:pPr>
        <w:tabs>
          <w:tab w:val="left" w:pos="420"/>
        </w:tabs>
        <w:spacing w:line="360" w:lineRule="auto"/>
        <w:ind w:firstLine="480"/>
        <w:rPr>
          <w:rFonts w:ascii="宋体" w:hAnsi="宋体"/>
          <w:strike/>
          <w:color w:val="auto"/>
          <w:sz w:val="24"/>
          <w:highlight w:val="none"/>
        </w:rPr>
      </w:pPr>
    </w:p>
    <w:p>
      <w:pPr>
        <w:tabs>
          <w:tab w:val="left" w:pos="420"/>
        </w:tabs>
        <w:spacing w:line="360" w:lineRule="auto"/>
        <w:rPr>
          <w:rFonts w:ascii="宋体" w:hAnsi="宋体"/>
          <w:b/>
          <w:bCs/>
          <w:strike/>
          <w:color w:val="auto"/>
          <w:sz w:val="24"/>
          <w:highlight w:val="none"/>
        </w:rPr>
        <w:sectPr>
          <w:footerReference r:id="rId11" w:type="default"/>
          <w:type w:val="nextColumn"/>
          <w:pgSz w:w="11906" w:h="16838"/>
          <w:pgMar w:top="1440" w:right="1440" w:bottom="1440" w:left="1440" w:header="851" w:footer="992" w:gutter="0"/>
          <w:cols w:space="720" w:num="1"/>
          <w:docGrid w:type="linesAndChars" w:linePitch="312" w:charSpace="0"/>
        </w:sectPr>
      </w:pPr>
      <w:r>
        <w:rPr>
          <w:rFonts w:hint="eastAsia" w:ascii="宋体" w:hAnsi="宋体"/>
          <w:strike/>
          <w:color w:val="auto"/>
          <w:sz w:val="24"/>
          <w:highlight w:val="none"/>
        </w:rPr>
        <w:t>评委签名：                                 日期：     年    月   日</w:t>
      </w:r>
    </w:p>
    <w:p>
      <w:pPr>
        <w:pStyle w:val="6"/>
        <w:numPr>
          <w:ilvl w:val="0"/>
          <w:numId w:val="0"/>
        </w:numPr>
        <w:spacing w:before="156" w:after="156"/>
        <w:rPr>
          <w:strike/>
          <w:color w:val="auto"/>
          <w:highlight w:val="none"/>
        </w:rPr>
      </w:pPr>
      <w:bookmarkStart w:id="167" w:name="_Toc29468"/>
      <w:bookmarkStart w:id="168" w:name="_Toc21590"/>
      <w:bookmarkStart w:id="169" w:name="_Toc942"/>
      <w:r>
        <w:rPr>
          <w:rFonts w:hint="eastAsia"/>
          <w:strike/>
          <w:color w:val="auto"/>
          <w:highlight w:val="none"/>
        </w:rPr>
        <w:t>附件11 投票汇总表格（适用于投票法）</w:t>
      </w:r>
      <w:bookmarkEnd w:id="167"/>
      <w:bookmarkEnd w:id="168"/>
      <w:bookmarkEnd w:id="169"/>
    </w:p>
    <w:p>
      <w:pPr>
        <w:jc w:val="center"/>
        <w:rPr>
          <w:rFonts w:ascii="宋体" w:hAnsi="宋体"/>
          <w:b/>
          <w:strike/>
          <w:color w:val="auto"/>
          <w:sz w:val="32"/>
          <w:highlight w:val="none"/>
        </w:rPr>
      </w:pPr>
    </w:p>
    <w:p>
      <w:pPr>
        <w:jc w:val="center"/>
        <w:rPr>
          <w:rFonts w:ascii="宋体" w:hAnsi="宋体"/>
          <w:b/>
          <w:strike/>
          <w:color w:val="auto"/>
          <w:sz w:val="32"/>
          <w:highlight w:val="none"/>
        </w:rPr>
      </w:pPr>
      <w:r>
        <w:rPr>
          <w:rFonts w:hint="eastAsia" w:ascii="宋体" w:hAnsi="宋体"/>
          <w:b/>
          <w:strike/>
          <w:color w:val="auto"/>
          <w:sz w:val="32"/>
          <w:highlight w:val="none"/>
        </w:rPr>
        <w:t>投票汇总表格</w:t>
      </w:r>
    </w:p>
    <w:p>
      <w:pPr>
        <w:rPr>
          <w:rFonts w:ascii="宋体" w:hAnsi="宋体"/>
          <w:strike/>
          <w:color w:val="auto"/>
          <w:highlight w:val="none"/>
        </w:rPr>
      </w:pPr>
      <w:r>
        <w:rPr>
          <w:rFonts w:hint="eastAsia" w:ascii="宋体" w:hAnsi="宋体"/>
          <w:strike/>
          <w:color w:val="auto"/>
          <w:highlight w:val="none"/>
        </w:rPr>
        <w:t>项目名称：</w:t>
      </w:r>
      <w:r>
        <w:rPr>
          <w:rFonts w:hint="eastAsia" w:ascii="宋体" w:hAnsi="宋体"/>
          <w:strike/>
          <w:color w:val="auto"/>
          <w:sz w:val="24"/>
          <w:highlight w:val="none"/>
          <w:u w:val="single"/>
        </w:rPr>
        <w:t xml:space="preserve">                       </w:t>
      </w:r>
      <w:r>
        <w:rPr>
          <w:rFonts w:hint="eastAsia" w:ascii="宋体" w:hAnsi="宋体"/>
          <w:strike/>
          <w:color w:val="auto"/>
          <w:highlight w:val="none"/>
        </w:rPr>
        <w:t xml:space="preserve">                                                                     日期：       年    月    日</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方案编号</w:t>
            </w:r>
          </w:p>
        </w:tc>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第一轮得票</w:t>
            </w:r>
          </w:p>
        </w:tc>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第二轮得票</w:t>
            </w:r>
          </w:p>
        </w:tc>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第三轮得票</w:t>
            </w:r>
          </w:p>
        </w:tc>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第四轮得票</w:t>
            </w:r>
          </w:p>
        </w:tc>
        <w:tc>
          <w:tcPr>
            <w:tcW w:w="2708" w:type="dxa"/>
            <w:gridSpan w:val="4"/>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每轮得票排序</w:t>
            </w:r>
          </w:p>
        </w:tc>
        <w:tc>
          <w:tcPr>
            <w:tcW w:w="1275"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排列名次</w:t>
            </w:r>
          </w:p>
        </w:tc>
        <w:tc>
          <w:tcPr>
            <w:tcW w:w="3045"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投标人名称</w:t>
            </w:r>
          </w:p>
          <w:p>
            <w:pPr>
              <w:spacing w:line="360" w:lineRule="auto"/>
              <w:jc w:val="center"/>
              <w:rPr>
                <w:rFonts w:ascii="宋体" w:hAnsi="宋体"/>
                <w:strike/>
                <w:color w:val="auto"/>
                <w:highlight w:val="none"/>
              </w:rPr>
            </w:pPr>
            <w:r>
              <w:rPr>
                <w:rFonts w:hint="eastAsia" w:ascii="宋体" w:hAnsi="宋体"/>
                <w:strike/>
                <w:color w:val="auto"/>
                <w:highlight w:val="none"/>
              </w:rPr>
              <w:t>（代表）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420" w:type="dxa"/>
            <w:vMerge w:val="continue"/>
          </w:tcPr>
          <w:p>
            <w:pPr>
              <w:spacing w:line="360" w:lineRule="auto"/>
              <w:jc w:val="center"/>
              <w:rPr>
                <w:rFonts w:ascii="宋体" w:hAnsi="宋体"/>
                <w:strike/>
                <w:color w:val="auto"/>
                <w:highlight w:val="none"/>
              </w:rPr>
            </w:pPr>
          </w:p>
        </w:tc>
        <w:tc>
          <w:tcPr>
            <w:tcW w:w="1420" w:type="dxa"/>
            <w:vMerge w:val="continue"/>
          </w:tcPr>
          <w:p>
            <w:pPr>
              <w:spacing w:line="360" w:lineRule="auto"/>
              <w:jc w:val="center"/>
              <w:rPr>
                <w:rFonts w:ascii="宋体" w:hAnsi="宋体"/>
                <w:strike/>
                <w:color w:val="auto"/>
                <w:highlight w:val="none"/>
              </w:rPr>
            </w:pPr>
          </w:p>
        </w:tc>
        <w:tc>
          <w:tcPr>
            <w:tcW w:w="1420" w:type="dxa"/>
            <w:vMerge w:val="continue"/>
          </w:tcPr>
          <w:p>
            <w:pPr>
              <w:spacing w:line="360" w:lineRule="auto"/>
              <w:jc w:val="center"/>
              <w:rPr>
                <w:rFonts w:ascii="宋体" w:hAnsi="宋体"/>
                <w:strike/>
                <w:color w:val="auto"/>
                <w:highlight w:val="none"/>
              </w:rPr>
            </w:pPr>
          </w:p>
        </w:tc>
        <w:tc>
          <w:tcPr>
            <w:tcW w:w="1420" w:type="dxa"/>
            <w:vMerge w:val="continue"/>
          </w:tcPr>
          <w:p>
            <w:pPr>
              <w:spacing w:line="360" w:lineRule="auto"/>
              <w:jc w:val="center"/>
              <w:rPr>
                <w:rFonts w:ascii="宋体" w:hAnsi="宋体"/>
                <w:strike/>
                <w:color w:val="auto"/>
                <w:highlight w:val="none"/>
              </w:rPr>
            </w:pPr>
          </w:p>
        </w:tc>
        <w:tc>
          <w:tcPr>
            <w:tcW w:w="1420" w:type="dxa"/>
            <w:vMerge w:val="continue"/>
          </w:tcPr>
          <w:p>
            <w:pPr>
              <w:spacing w:line="360" w:lineRule="auto"/>
              <w:jc w:val="center"/>
              <w:rPr>
                <w:rFonts w:ascii="宋体" w:hAnsi="宋体"/>
                <w:strike/>
                <w:color w:val="auto"/>
                <w:highlight w:val="none"/>
              </w:rPr>
            </w:pPr>
          </w:p>
        </w:tc>
        <w:tc>
          <w:tcPr>
            <w:tcW w:w="677" w:type="dxa"/>
          </w:tcPr>
          <w:p>
            <w:pPr>
              <w:spacing w:line="360" w:lineRule="auto"/>
              <w:jc w:val="center"/>
              <w:rPr>
                <w:rFonts w:ascii="宋体" w:hAnsi="宋体"/>
                <w:strike/>
                <w:color w:val="auto"/>
                <w:highlight w:val="none"/>
              </w:rPr>
            </w:pPr>
            <w:r>
              <w:rPr>
                <w:rFonts w:hint="eastAsia" w:ascii="宋体" w:hAnsi="宋体"/>
                <w:strike/>
                <w:color w:val="auto"/>
                <w:highlight w:val="none"/>
              </w:rPr>
              <w:t>1</w:t>
            </w:r>
          </w:p>
        </w:tc>
        <w:tc>
          <w:tcPr>
            <w:tcW w:w="677" w:type="dxa"/>
          </w:tcPr>
          <w:p>
            <w:pPr>
              <w:spacing w:line="360" w:lineRule="auto"/>
              <w:jc w:val="center"/>
              <w:rPr>
                <w:rFonts w:ascii="宋体" w:hAnsi="宋体"/>
                <w:strike/>
                <w:color w:val="auto"/>
                <w:highlight w:val="none"/>
              </w:rPr>
            </w:pPr>
            <w:r>
              <w:rPr>
                <w:rFonts w:hint="eastAsia" w:ascii="宋体" w:hAnsi="宋体"/>
                <w:strike/>
                <w:color w:val="auto"/>
                <w:highlight w:val="none"/>
              </w:rPr>
              <w:t>2</w:t>
            </w:r>
          </w:p>
        </w:tc>
        <w:tc>
          <w:tcPr>
            <w:tcW w:w="677" w:type="dxa"/>
          </w:tcPr>
          <w:p>
            <w:pPr>
              <w:spacing w:line="360" w:lineRule="auto"/>
              <w:jc w:val="center"/>
              <w:rPr>
                <w:rFonts w:ascii="宋体" w:hAnsi="宋体"/>
                <w:strike/>
                <w:color w:val="auto"/>
                <w:highlight w:val="none"/>
              </w:rPr>
            </w:pPr>
            <w:r>
              <w:rPr>
                <w:rFonts w:hint="eastAsia" w:ascii="宋体" w:hAnsi="宋体"/>
                <w:strike/>
                <w:color w:val="auto"/>
                <w:highlight w:val="none"/>
              </w:rPr>
              <w:t>3</w:t>
            </w:r>
          </w:p>
        </w:tc>
        <w:tc>
          <w:tcPr>
            <w:tcW w:w="677" w:type="dxa"/>
          </w:tcPr>
          <w:p>
            <w:pPr>
              <w:spacing w:line="360" w:lineRule="auto"/>
              <w:jc w:val="center"/>
              <w:rPr>
                <w:rFonts w:ascii="宋体" w:hAnsi="宋体"/>
                <w:strike/>
                <w:color w:val="auto"/>
                <w:highlight w:val="none"/>
              </w:rPr>
            </w:pPr>
            <w:r>
              <w:rPr>
                <w:rFonts w:hint="eastAsia" w:ascii="宋体" w:hAnsi="宋体"/>
                <w:strike/>
                <w:color w:val="auto"/>
                <w:highlight w:val="none"/>
              </w:rPr>
              <w:t>4</w:t>
            </w:r>
          </w:p>
        </w:tc>
        <w:tc>
          <w:tcPr>
            <w:tcW w:w="1275" w:type="dxa"/>
            <w:vMerge w:val="continue"/>
          </w:tcPr>
          <w:p>
            <w:pPr>
              <w:spacing w:line="360" w:lineRule="auto"/>
              <w:jc w:val="center"/>
              <w:rPr>
                <w:rFonts w:ascii="宋体" w:hAnsi="宋体"/>
                <w:strike/>
                <w:color w:val="auto"/>
                <w:highlight w:val="none"/>
              </w:rPr>
            </w:pPr>
          </w:p>
        </w:tc>
        <w:tc>
          <w:tcPr>
            <w:tcW w:w="3045" w:type="dxa"/>
            <w:vMerge w:val="continue"/>
          </w:tcPr>
          <w:p>
            <w:pPr>
              <w:spacing w:line="360" w:lineRule="auto"/>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1</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2</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3</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4</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5</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6</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vAlign w:val="bottom"/>
          </w:tcPr>
          <w:p>
            <w:pPr>
              <w:spacing w:line="480" w:lineRule="auto"/>
              <w:jc w:val="center"/>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vAlign w:val="bottom"/>
          </w:tcPr>
          <w:p>
            <w:pPr>
              <w:spacing w:line="480" w:lineRule="auto"/>
              <w:rPr>
                <w:rFonts w:ascii="宋体" w:hAnsi="宋体"/>
                <w:strike/>
                <w:color w:val="auto"/>
                <w:highlight w:val="none"/>
              </w:rPr>
            </w:pPr>
          </w:p>
        </w:tc>
        <w:tc>
          <w:tcPr>
            <w:tcW w:w="677" w:type="dxa"/>
            <w:vAlign w:val="bottom"/>
          </w:tcPr>
          <w:p>
            <w:pPr>
              <w:spacing w:line="480" w:lineRule="auto"/>
              <w:rPr>
                <w:rFonts w:ascii="宋体" w:hAnsi="宋体"/>
                <w:strike/>
                <w:color w:val="auto"/>
                <w:highlight w:val="none"/>
              </w:rPr>
            </w:pPr>
          </w:p>
        </w:tc>
        <w:tc>
          <w:tcPr>
            <w:tcW w:w="1275" w:type="dxa"/>
            <w:vAlign w:val="bottom"/>
          </w:tcPr>
          <w:p>
            <w:pPr>
              <w:spacing w:line="480" w:lineRule="auto"/>
              <w:jc w:val="center"/>
              <w:rPr>
                <w:rFonts w:ascii="宋体" w:hAnsi="宋体"/>
                <w:strike/>
                <w:color w:val="auto"/>
                <w:highlight w:val="none"/>
              </w:rPr>
            </w:pPr>
          </w:p>
        </w:tc>
        <w:tc>
          <w:tcPr>
            <w:tcW w:w="3045" w:type="dxa"/>
            <w:vAlign w:val="bottom"/>
          </w:tcPr>
          <w:p>
            <w:pPr>
              <w:spacing w:line="480" w:lineRule="auto"/>
              <w:jc w:val="center"/>
              <w:rPr>
                <w:rFonts w:ascii="宋体" w:hAnsi="宋体"/>
                <w:strike/>
                <w:color w:val="auto"/>
                <w:highlight w:val="none"/>
              </w:rPr>
            </w:pPr>
          </w:p>
        </w:tc>
      </w:tr>
    </w:tbl>
    <w:p>
      <w:pPr>
        <w:rPr>
          <w:rFonts w:ascii="宋体" w:hAnsi="宋体"/>
          <w:b/>
          <w:bCs/>
          <w:strike/>
          <w:color w:val="auto"/>
          <w:sz w:val="24"/>
          <w:highlight w:val="none"/>
        </w:rPr>
        <w:sectPr>
          <w:pgSz w:w="16838" w:h="11906" w:orient="landscape"/>
          <w:pgMar w:top="1440" w:right="1440" w:bottom="1440" w:left="1440" w:header="851" w:footer="992" w:gutter="0"/>
          <w:cols w:space="720" w:num="1"/>
          <w:docGrid w:type="linesAndChars" w:linePitch="312" w:charSpace="0"/>
        </w:sectPr>
      </w:pPr>
    </w:p>
    <w:p>
      <w:pPr>
        <w:pStyle w:val="6"/>
        <w:numPr>
          <w:ilvl w:val="0"/>
          <w:numId w:val="0"/>
        </w:numPr>
        <w:spacing w:before="156" w:after="156"/>
        <w:rPr>
          <w:strike/>
          <w:color w:val="auto"/>
          <w:highlight w:val="none"/>
        </w:rPr>
      </w:pPr>
      <w:bookmarkStart w:id="170" w:name="_Toc11946"/>
      <w:bookmarkStart w:id="171" w:name="_Toc6563"/>
      <w:bookmarkStart w:id="172" w:name="_Toc6658"/>
      <w:r>
        <w:rPr>
          <w:rFonts w:hint="eastAsia"/>
          <w:strike/>
          <w:color w:val="auto"/>
          <w:highlight w:val="none"/>
        </w:rPr>
        <w:t>附件12 定标委员会组建及定标办法</w:t>
      </w:r>
      <w:bookmarkEnd w:id="170"/>
      <w:bookmarkEnd w:id="171"/>
      <w:bookmarkEnd w:id="172"/>
    </w:p>
    <w:p>
      <w:pPr>
        <w:rPr>
          <w:rFonts w:ascii="宋体" w:hAnsi="宋体"/>
          <w:strike/>
          <w:color w:val="auto"/>
          <w:highlight w:val="none"/>
        </w:rPr>
      </w:pPr>
    </w:p>
    <w:p>
      <w:pPr>
        <w:tabs>
          <w:tab w:val="left" w:pos="420"/>
        </w:tabs>
        <w:jc w:val="center"/>
        <w:rPr>
          <w:rFonts w:ascii="宋体" w:hAnsi="宋体"/>
          <w:b/>
          <w:strike/>
          <w:color w:val="auto"/>
          <w:sz w:val="32"/>
          <w:highlight w:val="none"/>
        </w:rPr>
      </w:pPr>
      <w:r>
        <w:rPr>
          <w:rFonts w:hint="eastAsia" w:ascii="宋体" w:hAnsi="宋体"/>
          <w:b/>
          <w:strike/>
          <w:color w:val="auto"/>
          <w:sz w:val="32"/>
          <w:highlight w:val="none"/>
        </w:rPr>
        <w:t>定标委员会组建及定标办法</w:t>
      </w:r>
    </w:p>
    <w:p>
      <w:pPr>
        <w:tabs>
          <w:tab w:val="left" w:pos="420"/>
        </w:tabs>
        <w:ind w:firstLine="480"/>
        <w:rPr>
          <w:rFonts w:ascii="宋体" w:hAnsi="宋体"/>
          <w:strike/>
          <w:color w:val="auto"/>
          <w:sz w:val="24"/>
          <w:highlight w:val="none"/>
        </w:rPr>
      </w:pPr>
    </w:p>
    <w:p>
      <w:pPr>
        <w:tabs>
          <w:tab w:val="left" w:pos="420"/>
        </w:tabs>
        <w:ind w:firstLine="480"/>
        <w:rPr>
          <w:rFonts w:ascii="宋体" w:hAnsi="宋体"/>
          <w:strike/>
          <w:color w:val="auto"/>
          <w:sz w:val="24"/>
          <w:highlight w:val="none"/>
        </w:rPr>
      </w:pPr>
    </w:p>
    <w:p>
      <w:pPr>
        <w:tabs>
          <w:tab w:val="left" w:pos="420"/>
        </w:tabs>
        <w:ind w:firstLine="480"/>
        <w:rPr>
          <w:rFonts w:ascii="宋体" w:hAnsi="宋体"/>
          <w:strike/>
          <w:color w:val="auto"/>
          <w:sz w:val="24"/>
          <w:highlight w:val="none"/>
        </w:rPr>
      </w:pPr>
      <w:r>
        <w:rPr>
          <w:rFonts w:hint="eastAsia" w:ascii="宋体" w:hAnsi="宋体"/>
          <w:strike/>
          <w:color w:val="auto"/>
          <w:sz w:val="24"/>
          <w:highlight w:val="none"/>
        </w:rPr>
        <w:t>招标人自行制定。</w:t>
      </w:r>
    </w:p>
    <w:p>
      <w:pPr>
        <w:tabs>
          <w:tab w:val="left" w:pos="420"/>
        </w:tabs>
        <w:jc w:val="center"/>
        <w:rPr>
          <w:rFonts w:ascii="宋体" w:hAnsi="宋体"/>
          <w:b/>
          <w:color w:val="auto"/>
          <w:sz w:val="32"/>
          <w:highlight w:val="none"/>
        </w:rPr>
      </w:pPr>
    </w:p>
    <w:p>
      <w:pPr>
        <w:tabs>
          <w:tab w:val="left" w:pos="420"/>
        </w:tabs>
        <w:jc w:val="center"/>
        <w:rPr>
          <w:rFonts w:ascii="宋体" w:hAnsi="宋体"/>
          <w:b/>
          <w:color w:val="auto"/>
          <w:sz w:val="32"/>
          <w:highlight w:val="none"/>
        </w:rPr>
      </w:pPr>
    </w:p>
    <w:p>
      <w:pPr>
        <w:tabs>
          <w:tab w:val="left" w:pos="420"/>
        </w:tabs>
        <w:jc w:val="center"/>
        <w:rPr>
          <w:rFonts w:ascii="宋体" w:hAnsi="宋体"/>
          <w:b/>
          <w:color w:val="auto"/>
          <w:sz w:val="32"/>
          <w:highlight w:val="none"/>
        </w:rPr>
      </w:pPr>
    </w:p>
    <w:p>
      <w:pPr>
        <w:adjustRightInd w:val="0"/>
        <w:snapToGrid w:val="0"/>
        <w:spacing w:line="360" w:lineRule="auto"/>
        <w:ind w:firstLine="411" w:firstLineChars="196"/>
        <w:rPr>
          <w:rFonts w:ascii="宋体" w:hAnsi="宋体"/>
          <w:color w:val="auto"/>
          <w:kern w:val="0"/>
          <w:szCs w:val="21"/>
          <w:highlight w:val="none"/>
        </w:rPr>
      </w:pPr>
    </w:p>
    <w:p>
      <w:pPr>
        <w:pStyle w:val="6"/>
        <w:numPr>
          <w:ilvl w:val="0"/>
          <w:numId w:val="0"/>
        </w:numPr>
        <w:spacing w:before="156" w:after="156"/>
        <w:rPr>
          <w:strike/>
          <w:color w:val="auto"/>
          <w:highlight w:val="none"/>
        </w:rPr>
      </w:pPr>
      <w:r>
        <w:rPr>
          <w:rFonts w:hint="eastAsia" w:ascii="宋体" w:hAnsi="宋体"/>
          <w:b w:val="0"/>
          <w:color w:val="auto"/>
          <w:sz w:val="32"/>
          <w:highlight w:val="none"/>
        </w:rPr>
        <w:br w:type="page"/>
      </w:r>
      <w:bookmarkStart w:id="173" w:name="_Toc4462"/>
      <w:bookmarkStart w:id="174" w:name="_Toc30384"/>
      <w:bookmarkStart w:id="175" w:name="_Toc10652"/>
      <w:r>
        <w:rPr>
          <w:rFonts w:hint="eastAsia"/>
          <w:strike/>
          <w:color w:val="auto"/>
          <w:highlight w:val="none"/>
        </w:rPr>
        <w:t>附件13 定标办法设置说明</w:t>
      </w:r>
      <w:bookmarkEnd w:id="173"/>
      <w:bookmarkEnd w:id="174"/>
      <w:bookmarkEnd w:id="175"/>
    </w:p>
    <w:p>
      <w:pPr>
        <w:rPr>
          <w:rFonts w:ascii="宋体" w:hAnsi="宋体"/>
          <w:strike/>
          <w:color w:val="auto"/>
          <w:highlight w:val="none"/>
        </w:rPr>
      </w:pPr>
    </w:p>
    <w:p>
      <w:pPr>
        <w:jc w:val="center"/>
        <w:rPr>
          <w:rFonts w:ascii="宋体" w:hAnsi="宋体"/>
          <w:b/>
          <w:strike/>
          <w:color w:val="auto"/>
          <w:sz w:val="32"/>
          <w:szCs w:val="20"/>
          <w:highlight w:val="none"/>
        </w:rPr>
      </w:pPr>
      <w:r>
        <w:rPr>
          <w:rFonts w:hint="eastAsia" w:ascii="宋体" w:hAnsi="宋体"/>
          <w:b/>
          <w:strike/>
          <w:color w:val="auto"/>
          <w:sz w:val="32"/>
          <w:szCs w:val="20"/>
          <w:highlight w:val="none"/>
        </w:rPr>
        <w:t>定标办法设置说明</w:t>
      </w:r>
    </w:p>
    <w:p>
      <w:pPr>
        <w:adjustRightInd w:val="0"/>
        <w:snapToGrid w:val="0"/>
        <w:spacing w:line="360" w:lineRule="auto"/>
        <w:rPr>
          <w:rFonts w:ascii="宋体" w:hAnsi="宋体"/>
          <w:strike/>
          <w:color w:val="auto"/>
          <w:kern w:val="0"/>
          <w:szCs w:val="21"/>
          <w:highlight w:val="none"/>
        </w:rPr>
      </w:pPr>
      <w:r>
        <w:rPr>
          <w:rFonts w:hint="eastAsia" w:ascii="宋体" w:hAnsi="宋体"/>
          <w:strike/>
          <w:color w:val="auto"/>
          <w:highlight w:val="none"/>
        </w:rPr>
        <w:t xml:space="preserve"> </w:t>
      </w:r>
      <w:r>
        <w:rPr>
          <w:rFonts w:hint="eastAsia" w:ascii="宋体" w:hAnsi="宋体"/>
          <w:strike/>
          <w:color w:val="auto"/>
          <w:kern w:val="0"/>
          <w:szCs w:val="21"/>
          <w:highlight w:val="none"/>
        </w:rPr>
        <w:t>一、招标公告发布前，招标人应当根据招标项目特点，事先制定科学、合理的定标委员会组建及定标办法，并在招标文件中详细载明。定标时必须严格遵守定标办法，不得临时改变。</w:t>
      </w:r>
    </w:p>
    <w:p>
      <w:pPr>
        <w:adjustRightInd w:val="0"/>
        <w:snapToGrid w:val="0"/>
        <w:spacing w:line="360" w:lineRule="auto"/>
        <w:ind w:firstLine="411" w:firstLineChars="196"/>
        <w:rPr>
          <w:rFonts w:ascii="宋体" w:hAnsi="宋体"/>
          <w:strike/>
          <w:color w:val="auto"/>
          <w:kern w:val="0"/>
          <w:szCs w:val="21"/>
          <w:highlight w:val="none"/>
        </w:rPr>
      </w:pPr>
      <w:r>
        <w:rPr>
          <w:rFonts w:hint="eastAsia" w:ascii="宋体" w:hAnsi="宋体"/>
          <w:strike/>
          <w:color w:val="auto"/>
          <w:kern w:val="0"/>
          <w:szCs w:val="21"/>
          <w:highlight w:val="none"/>
        </w:rPr>
        <w:t>定标办法应当对定标因素、定标程序等内容予以明确。可采用价格优势排名、票决、抽签、集体议事决策等办法。</w:t>
      </w:r>
    </w:p>
    <w:p>
      <w:pPr>
        <w:adjustRightInd w:val="0"/>
        <w:snapToGrid w:val="0"/>
        <w:spacing w:line="360" w:lineRule="auto"/>
        <w:ind w:firstLine="411" w:firstLineChars="196"/>
        <w:rPr>
          <w:rFonts w:ascii="宋体" w:hAnsi="宋体"/>
          <w:strike/>
          <w:color w:val="auto"/>
          <w:kern w:val="0"/>
          <w:szCs w:val="21"/>
          <w:highlight w:val="none"/>
        </w:rPr>
      </w:pPr>
      <w:r>
        <w:rPr>
          <w:rFonts w:hint="eastAsia" w:ascii="宋体" w:hAnsi="宋体"/>
          <w:strike/>
          <w:color w:val="auto"/>
          <w:kern w:val="0"/>
          <w:szCs w:val="21"/>
          <w:highlight w:val="none"/>
        </w:rPr>
        <w:t>定标委员会成员原则上从招标人、项目业主或者使用单位的领导班子成员、经营管理人员中产生，成员数量为5人以上单数。</w:t>
      </w:r>
    </w:p>
    <w:p>
      <w:pPr>
        <w:adjustRightInd w:val="0"/>
        <w:snapToGrid w:val="0"/>
        <w:spacing w:line="360" w:lineRule="auto"/>
        <w:ind w:firstLine="411" w:firstLineChars="196"/>
        <w:rPr>
          <w:rFonts w:ascii="宋体" w:hAnsi="宋体"/>
          <w:strike/>
          <w:color w:val="auto"/>
          <w:kern w:val="0"/>
          <w:szCs w:val="21"/>
          <w:highlight w:val="none"/>
        </w:rPr>
      </w:pPr>
      <w:r>
        <w:rPr>
          <w:rFonts w:hint="eastAsia" w:ascii="宋体" w:hAnsi="宋体"/>
          <w:strike/>
          <w:color w:val="auto"/>
          <w:kern w:val="0"/>
          <w:szCs w:val="21"/>
          <w:highlight w:val="none"/>
        </w:rPr>
        <w:t>二、评标结束后，评标过程中使用的文件、表格及其他纸质资料由招标人收齐并妥善保管。招标人应当自中标候选人公示结束后5个工作日内进入交易中心召开定标会。定标过程应当公开、公平、公正，定标委员会按有关规定及招标文件约定的定标办法确定中标人。</w:t>
      </w:r>
    </w:p>
    <w:p>
      <w:pPr>
        <w:adjustRightInd w:val="0"/>
        <w:snapToGrid w:val="0"/>
        <w:spacing w:line="360" w:lineRule="auto"/>
        <w:ind w:firstLine="411" w:firstLineChars="196"/>
        <w:outlineLvl w:val="1"/>
        <w:rPr>
          <w:rFonts w:ascii="宋体" w:hAnsi="宋体"/>
          <w:color w:val="auto"/>
          <w:kern w:val="0"/>
          <w:szCs w:val="21"/>
          <w:highlight w:val="none"/>
        </w:rPr>
      </w:pPr>
      <w:bookmarkStart w:id="176" w:name="_Toc26588"/>
      <w:bookmarkStart w:id="177" w:name="_Toc31956"/>
      <w:r>
        <w:rPr>
          <w:rFonts w:hint="eastAsia" w:ascii="宋体" w:hAnsi="宋体"/>
          <w:strike/>
          <w:color w:val="auto"/>
          <w:kern w:val="0"/>
          <w:szCs w:val="21"/>
          <w:highlight w:val="none"/>
        </w:rPr>
        <w:t>三、招标人应当对定标过程进行记录，并存档备查。</w:t>
      </w:r>
      <w:bookmarkEnd w:id="176"/>
      <w:bookmarkEnd w:id="177"/>
    </w:p>
    <w:p>
      <w:pPr>
        <w:adjustRightInd w:val="0"/>
        <w:snapToGrid w:val="0"/>
        <w:spacing w:line="360" w:lineRule="auto"/>
        <w:ind w:firstLine="420" w:firstLineChars="200"/>
        <w:rPr>
          <w:rFonts w:ascii="宋体" w:hAnsi="宋体"/>
          <w:color w:val="auto"/>
          <w:kern w:val="0"/>
          <w:szCs w:val="21"/>
          <w:highlight w:val="none"/>
        </w:rPr>
      </w:pPr>
    </w:p>
    <w:p>
      <w:pPr>
        <w:adjustRightInd w:val="0"/>
        <w:snapToGrid w:val="0"/>
        <w:spacing w:line="360" w:lineRule="auto"/>
        <w:ind w:firstLine="420" w:firstLineChars="200"/>
        <w:rPr>
          <w:rFonts w:ascii="宋体" w:hAnsi="宋体"/>
          <w:color w:val="auto"/>
          <w:kern w:val="0"/>
          <w:szCs w:val="21"/>
          <w:highlight w:val="none"/>
        </w:rPr>
      </w:pPr>
    </w:p>
    <w:p>
      <w:pPr>
        <w:adjustRightInd w:val="0"/>
        <w:snapToGrid w:val="0"/>
        <w:spacing w:line="360" w:lineRule="auto"/>
        <w:rPr>
          <w:rFonts w:ascii="宋体" w:hAnsi="宋体"/>
          <w:color w:val="auto"/>
          <w:kern w:val="0"/>
          <w:szCs w:val="21"/>
          <w:highlight w:val="none"/>
        </w:rPr>
      </w:pPr>
    </w:p>
    <w:p>
      <w:pPr>
        <w:adjustRightInd w:val="0"/>
        <w:snapToGrid w:val="0"/>
        <w:spacing w:line="360" w:lineRule="auto"/>
        <w:rPr>
          <w:rFonts w:ascii="宋体" w:hAnsi="宋体"/>
          <w:color w:val="auto"/>
          <w:kern w:val="0"/>
          <w:szCs w:val="21"/>
          <w:highlight w:val="none"/>
        </w:rPr>
      </w:pPr>
    </w:p>
    <w:p>
      <w:pPr>
        <w:adjustRightInd w:val="0"/>
        <w:snapToGrid w:val="0"/>
        <w:spacing w:line="360" w:lineRule="auto"/>
        <w:rPr>
          <w:rFonts w:ascii="宋体" w:hAnsi="宋体"/>
          <w:color w:val="auto"/>
          <w:kern w:val="0"/>
          <w:szCs w:val="21"/>
          <w:highlight w:val="none"/>
        </w:rPr>
      </w:pPr>
    </w:p>
    <w:p>
      <w:pPr>
        <w:adjustRightInd w:val="0"/>
        <w:snapToGrid w:val="0"/>
        <w:ind w:firstLine="420" w:firstLineChars="200"/>
        <w:rPr>
          <w:rFonts w:ascii="宋体" w:hAnsi="宋体"/>
          <w:color w:val="auto"/>
          <w:kern w:val="0"/>
          <w:szCs w:val="21"/>
          <w:highlight w:val="none"/>
        </w:rPr>
      </w:pPr>
    </w:p>
    <w:p>
      <w:pPr>
        <w:rPr>
          <w:rFonts w:ascii="宋体" w:hAnsi="宋体"/>
          <w:b/>
          <w:color w:val="auto"/>
          <w:sz w:val="36"/>
          <w:szCs w:val="36"/>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rPr>
          <w:rFonts w:hint="default"/>
          <w:color w:val="auto"/>
          <w:highlight w:val="none"/>
        </w:rPr>
      </w:pPr>
      <w:bookmarkStart w:id="178" w:name="_Toc8413"/>
      <w:bookmarkStart w:id="179" w:name="_Toc8165"/>
      <w:r>
        <w:rPr>
          <w:color w:val="auto"/>
          <w:highlight w:val="none"/>
        </w:rPr>
        <w:br w:type="page"/>
      </w:r>
      <w:bookmarkStart w:id="180" w:name="_Toc10928"/>
      <w:r>
        <w:rPr>
          <w:color w:val="auto"/>
          <w:highlight w:val="none"/>
        </w:rPr>
        <w:t>第三章  合同条款</w:t>
      </w:r>
      <w:bookmarkEnd w:id="178"/>
      <w:bookmarkEnd w:id="180"/>
    </w:p>
    <w:p>
      <w:pPr>
        <w:pStyle w:val="3"/>
        <w:rPr>
          <w:rFonts w:hint="default"/>
          <w:color w:val="auto"/>
          <w:highlight w:val="none"/>
        </w:rPr>
      </w:pPr>
      <w:bookmarkStart w:id="181" w:name="_Toc23375"/>
      <w:bookmarkStart w:id="182" w:name="_Toc13885"/>
      <w:r>
        <w:rPr>
          <w:color w:val="auto"/>
          <w:highlight w:val="none"/>
        </w:rPr>
        <w:t>（另册）</w:t>
      </w:r>
      <w:bookmarkEnd w:id="181"/>
      <w:bookmarkEnd w:id="182"/>
    </w:p>
    <w:p>
      <w:pPr>
        <w:jc w:val="center"/>
        <w:rPr>
          <w:rFonts w:ascii="宋体" w:hAnsi="宋体" w:cs="宋体"/>
          <w:b/>
          <w:bCs/>
          <w:color w:val="auto"/>
          <w:sz w:val="44"/>
          <w:szCs w:val="44"/>
          <w:highlight w:val="none"/>
        </w:rPr>
      </w:pPr>
    </w:p>
    <w:p>
      <w:pPr>
        <w:jc w:val="center"/>
        <w:rPr>
          <w:rFonts w:ascii="宋体" w:hAnsi="宋体" w:cs="宋体"/>
          <w:b/>
          <w:bCs/>
          <w:color w:val="auto"/>
          <w:sz w:val="44"/>
          <w:szCs w:val="44"/>
          <w:highlight w:val="none"/>
        </w:rPr>
      </w:pPr>
    </w:p>
    <w:p>
      <w:pPr>
        <w:snapToGrid w:val="0"/>
        <w:spacing w:line="480" w:lineRule="auto"/>
        <w:rPr>
          <w:color w:val="auto"/>
          <w:highlight w:val="none"/>
        </w:rPr>
      </w:pPr>
    </w:p>
    <w:p>
      <w:pPr>
        <w:snapToGrid w:val="0"/>
        <w:spacing w:line="480" w:lineRule="auto"/>
        <w:rPr>
          <w:rFonts w:ascii="宋体" w:hAnsi="宋体"/>
          <w:b/>
          <w:bCs/>
          <w:color w:val="auto"/>
          <w:highlight w:val="none"/>
        </w:rPr>
        <w:sectPr>
          <w:type w:val="nextColumn"/>
          <w:pgSz w:w="11906" w:h="16838"/>
          <w:pgMar w:top="1440" w:right="1440" w:bottom="1418" w:left="1440" w:header="851" w:footer="992" w:gutter="0"/>
          <w:cols w:space="720" w:num="1"/>
          <w:docGrid w:type="lines" w:linePitch="312" w:charSpace="0"/>
        </w:sectPr>
      </w:pPr>
      <w:r>
        <w:rPr>
          <w:rFonts w:hint="eastAsia" w:ascii="宋体" w:hAnsi="宋体" w:cs="宋体"/>
          <w:color w:val="auto"/>
          <w:kern w:val="15"/>
          <w:sz w:val="24"/>
          <w:highlight w:val="none"/>
        </w:rPr>
        <w:t xml:space="preserve">   </w:t>
      </w:r>
    </w:p>
    <w:bookmarkEnd w:id="179"/>
    <w:p>
      <w:pPr>
        <w:pStyle w:val="3"/>
        <w:rPr>
          <w:rFonts w:hint="default"/>
          <w:color w:val="auto"/>
          <w:highlight w:val="none"/>
        </w:rPr>
      </w:pPr>
      <w:bookmarkStart w:id="183" w:name="_Toc17868"/>
      <w:bookmarkStart w:id="184" w:name="_Toc15312"/>
      <w:bookmarkStart w:id="185" w:name="_Toc30687"/>
      <w:r>
        <w:rPr>
          <w:color w:val="auto"/>
          <w:highlight w:val="none"/>
        </w:rPr>
        <w:t xml:space="preserve">第四章  </w:t>
      </w:r>
      <w:r>
        <w:rPr>
          <w:color w:val="auto"/>
          <w:highlight w:val="none"/>
          <w:u w:val="single"/>
        </w:rPr>
        <w:t>设计</w:t>
      </w:r>
      <w:r>
        <w:rPr>
          <w:color w:val="auto"/>
          <w:highlight w:val="none"/>
        </w:rPr>
        <w:t>任务书及前期资料</w:t>
      </w:r>
      <w:bookmarkEnd w:id="183"/>
      <w:bookmarkEnd w:id="184"/>
    </w:p>
    <w:p>
      <w:pPr>
        <w:pStyle w:val="3"/>
        <w:rPr>
          <w:rFonts w:hint="default" w:cs="宋体"/>
          <w:color w:val="auto"/>
          <w:sz w:val="32"/>
          <w:szCs w:val="20"/>
          <w:highlight w:val="none"/>
        </w:rPr>
      </w:pPr>
      <w:bookmarkStart w:id="186" w:name="_Toc27173"/>
      <w:bookmarkStart w:id="187" w:name="_Toc24816"/>
      <w:r>
        <w:rPr>
          <w:rFonts w:cs="宋体"/>
          <w:color w:val="auto"/>
          <w:sz w:val="32"/>
          <w:szCs w:val="20"/>
          <w:highlight w:val="none"/>
        </w:rPr>
        <w:t>广州市流溪河国家森林公园基础设施配套完善建设项目设计</w:t>
      </w:r>
    </w:p>
    <w:p>
      <w:pPr>
        <w:widowControl/>
        <w:spacing w:line="360" w:lineRule="auto"/>
        <w:ind w:firstLine="420"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一、项目概况</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（一）项目名称：广州市流溪河国家森林公园基础设施配套完善建设项目</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（二）工程建设地点：广州市从化区。</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主要建设内容：围绕核心景区完善登山徒步与环湖骑行网络体系，并对现有破损步道进行修复提升；完善夏湾半岛至月牙湖片区交通体系；结合现有森林动植物资源营建特色生境示范区，完善自然教育体系；利用现状建筑改造为游客服务中心，对公园内原有建筑进行翻新改造与功能置换，赋予其游客服务、信息咨询、休憩补给等综合功能，以完善旅游服务配套设施体系；改造提升不同等级的服务节点，完善区域主次出入口、停车场及游客服务功能；提升水岸交通基础设施，优化提升游船码头功能布局；完善园区供水、供电等旅游基础设施配套；打造特色低空应用场景；标识导览系统提升等。</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（四）投资总额：总投资约为27467.72万元。其中，工程费用约为20648.29万元。</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（五）项目批准文件： </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（六）建设背景：为落实国家对生态优势地区发展政策和习近平总书记对广东城乡区域协调发展的重要指示精神，根据《</w:t>
      </w:r>
      <w:r>
        <w:rPr>
          <w:color w:val="auto"/>
          <w:highlight w:val="none"/>
        </w:rPr>
        <w:t>绿美广州五年行动计划（2023—2027年）</w:t>
      </w:r>
      <w:r>
        <w:rPr>
          <w:rFonts w:hint="eastAsia" w:ascii="宋体" w:hAnsi="宋体" w:cs="宋体"/>
          <w:color w:val="auto"/>
          <w:szCs w:val="21"/>
          <w:highlight w:val="none"/>
        </w:rPr>
        <w:t>》《关于推进环南昆山—罗浮山县镇村高质量发展引领区建设的意见》</w:t>
      </w:r>
      <w:r>
        <w:rPr>
          <w:rFonts w:hint="eastAsia"/>
          <w:color w:val="auto"/>
          <w:highlight w:val="none"/>
        </w:rPr>
        <w:t>的</w:t>
      </w:r>
      <w:r>
        <w:rPr>
          <w:rFonts w:hint="eastAsia" w:ascii="宋体" w:hAnsi="宋体" w:cs="宋体"/>
          <w:color w:val="auto"/>
          <w:szCs w:val="21"/>
          <w:highlight w:val="none"/>
        </w:rPr>
        <w:t>要求，</w:t>
      </w:r>
      <w:r>
        <w:rPr>
          <w:rFonts w:hint="eastAsia"/>
          <w:color w:val="auto"/>
          <w:highlight w:val="none"/>
        </w:rPr>
        <w:t>通过绿美广州生态建设，统筹山水林田湖海一体化保护和系统治理，强化国土空间规划和用途管控，实施重要生态系统保护和修复重大工程，开展大规模国土绿化行动，推动形成人与自然和谐发展现代化建设新格局</w:t>
      </w:r>
      <w:r>
        <w:rPr>
          <w:rFonts w:hint="eastAsia" w:ascii="宋体" w:hAnsi="宋体" w:cs="宋体"/>
          <w:color w:val="auto"/>
          <w:szCs w:val="21"/>
          <w:highlight w:val="none"/>
        </w:rPr>
        <w:t>，其中将在流溪河国家森林公园重点培育“体旅融合”、“林旅融合”两种康养旅游新情景</w:t>
      </w:r>
      <w:r>
        <w:rPr>
          <w:rFonts w:hint="eastAsia" w:ascii="Times New Roman" w:hAnsi="Times New Roman"/>
          <w:color w:val="auto"/>
          <w:highlight w:val="none"/>
        </w:rPr>
        <w:t>，依托流溪河山水品牌，培育发展全国高质量户外运动目的地的示范引领区之一。与此同时，流溪河国家森林公园临近从化、增城两处资源要素集中且发展相对成熟的区域，带来客群与服务设施的相互支持。</w:t>
      </w:r>
    </w:p>
    <w:p>
      <w:pPr>
        <w:widowControl/>
        <w:spacing w:line="360" w:lineRule="auto"/>
        <w:ind w:firstLine="420"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二、服务要求</w:t>
      </w:r>
    </w:p>
    <w:p>
      <w:pPr>
        <w:widowControl/>
        <w:spacing w:line="360" w:lineRule="auto"/>
        <w:ind w:firstLine="420" w:firstLineChars="200"/>
        <w:jc w:val="left"/>
        <w:rPr>
          <w:color w:val="auto"/>
          <w:highlight w:val="none"/>
        </w:rPr>
      </w:pPr>
      <w:r>
        <w:rPr>
          <w:rFonts w:hint="eastAsia"/>
          <w:color w:val="auto"/>
          <w:highlight w:val="none"/>
        </w:rPr>
        <w:t>完成本项目所有建设内容的设计工作，主要包括：</w:t>
      </w:r>
    </w:p>
    <w:p>
      <w:pPr>
        <w:widowControl/>
        <w:spacing w:line="360" w:lineRule="auto"/>
        <w:ind w:firstLine="420" w:firstLineChars="200"/>
        <w:jc w:val="left"/>
        <w:rPr>
          <w:color w:val="auto"/>
          <w:highlight w:val="none"/>
        </w:rPr>
      </w:pPr>
      <w:r>
        <w:rPr>
          <w:rFonts w:hint="eastAsia"/>
          <w:color w:val="auto"/>
          <w:highlight w:val="none"/>
        </w:rPr>
        <w:t>1.设计主要阶段：方案设计、初步设计、施工图设计、竣工图编制。</w:t>
      </w:r>
    </w:p>
    <w:p>
      <w:pPr>
        <w:widowControl/>
        <w:spacing w:line="360" w:lineRule="auto"/>
        <w:ind w:firstLine="420" w:firstLineChars="200"/>
        <w:jc w:val="left"/>
        <w:rPr>
          <w:color w:val="auto"/>
          <w:highlight w:val="none"/>
        </w:rPr>
      </w:pPr>
      <w:r>
        <w:rPr>
          <w:rFonts w:hint="eastAsia"/>
          <w:color w:val="auto"/>
          <w:highlight w:val="none"/>
        </w:rPr>
        <w:t>2.其他工作：</w:t>
      </w:r>
    </w:p>
    <w:p>
      <w:pPr>
        <w:widowControl/>
        <w:spacing w:line="360" w:lineRule="auto"/>
        <w:ind w:firstLine="420" w:firstLineChars="200"/>
        <w:jc w:val="left"/>
        <w:rPr>
          <w:color w:val="auto"/>
          <w:highlight w:val="none"/>
        </w:rPr>
      </w:pPr>
      <w:r>
        <w:rPr>
          <w:rFonts w:hint="eastAsia"/>
          <w:color w:val="auto"/>
          <w:highlight w:val="none"/>
        </w:rPr>
        <w:t>（1）造价文件编制工作：完成本项目招标范围内工程投资估算、概（预）算、及设计变更及相关配合报审工作，细化设计过程的投资控制工作要求，包括分解、落实、反馈各阶段、各专业技术经济指标、限额设计量化指标；</w:t>
      </w:r>
    </w:p>
    <w:p>
      <w:pPr>
        <w:widowControl/>
        <w:spacing w:line="360" w:lineRule="auto"/>
        <w:ind w:firstLine="420" w:firstLineChars="200"/>
        <w:jc w:val="left"/>
        <w:rPr>
          <w:color w:val="auto"/>
          <w:highlight w:val="none"/>
        </w:rPr>
      </w:pPr>
      <w:r>
        <w:rPr>
          <w:rFonts w:hint="eastAsia"/>
          <w:color w:val="auto"/>
          <w:highlight w:val="none"/>
        </w:rPr>
        <w:t>（2）技术配合工作：招标人后续各类招标工作配合、施工配合、现场服务（设计驻场）、竣工图编制服务等；</w:t>
      </w:r>
    </w:p>
    <w:p>
      <w:pPr>
        <w:widowControl/>
        <w:spacing w:line="360" w:lineRule="auto"/>
        <w:ind w:firstLine="420" w:firstLineChars="200"/>
        <w:jc w:val="left"/>
        <w:rPr>
          <w:color w:val="auto"/>
          <w:highlight w:val="none"/>
        </w:rPr>
      </w:pPr>
      <w:r>
        <w:rPr>
          <w:rFonts w:hint="eastAsia"/>
          <w:color w:val="auto"/>
          <w:highlight w:val="none"/>
        </w:rPr>
        <w:t>（3）设计文件修改、完善工作：中标人应根据政府相关行政主管部门、行业主管部门的审批意见无条件地修改、完善各阶段的设计成果文件，确保其满足相关的审批要求；中标人应根据施工图审查单位的审查、招标人的设计评审、招标人组织的专业人士的意见对设计成果文件进行修改、完善。</w:t>
      </w:r>
    </w:p>
    <w:p>
      <w:pPr>
        <w:widowControl/>
        <w:numPr>
          <w:ilvl w:val="255"/>
          <w:numId w:val="0"/>
        </w:numPr>
        <w:spacing w:line="360" w:lineRule="auto"/>
        <w:ind w:firstLine="420"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三、设计服务期限</w:t>
      </w:r>
    </w:p>
    <w:p>
      <w:pPr>
        <w:widowControl/>
        <w:numPr>
          <w:ilvl w:val="255"/>
          <w:numId w:val="0"/>
        </w:numPr>
        <w:spacing w:line="360" w:lineRule="auto"/>
        <w:ind w:firstLine="420" w:firstLineChars="200"/>
        <w:jc w:val="left"/>
        <w:rPr>
          <w:color w:val="auto"/>
          <w:highlight w:val="none"/>
        </w:rPr>
      </w:pPr>
      <w:r>
        <w:rPr>
          <w:rFonts w:hint="eastAsia"/>
          <w:color w:val="auto"/>
          <w:highlight w:val="none"/>
        </w:rPr>
        <w:t>自合同签订生效之日起算，至按本合同约定设计人应承担的全部工作内容完成止。</w:t>
      </w:r>
    </w:p>
    <w:p>
      <w:pPr>
        <w:widowControl/>
        <w:spacing w:line="360" w:lineRule="auto"/>
        <w:ind w:firstLine="420"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四、政策依据</w:t>
      </w:r>
    </w:p>
    <w:p>
      <w:pPr>
        <w:widowControl/>
        <w:spacing w:line="360" w:lineRule="auto"/>
        <w:ind w:firstLine="420" w:firstLineChars="200"/>
        <w:jc w:val="left"/>
        <w:rPr>
          <w:color w:val="auto"/>
          <w:highlight w:val="none"/>
        </w:rPr>
      </w:pPr>
      <w:r>
        <w:rPr>
          <w:rFonts w:hint="eastAsia"/>
          <w:color w:val="auto"/>
          <w:highlight w:val="none"/>
        </w:rPr>
        <w:t>1.国家、省市相关政策（如有更新版政策文件，按更新版政策文件执行）</w:t>
      </w:r>
    </w:p>
    <w:p>
      <w:pPr>
        <w:widowControl/>
        <w:spacing w:line="360" w:lineRule="auto"/>
        <w:ind w:firstLine="420" w:firstLineChars="200"/>
        <w:jc w:val="left"/>
        <w:rPr>
          <w:color w:val="auto"/>
          <w:highlight w:val="none"/>
        </w:rPr>
      </w:pPr>
      <w:r>
        <w:rPr>
          <w:rFonts w:hint="eastAsia"/>
          <w:color w:val="auto"/>
          <w:highlight w:val="none"/>
        </w:rPr>
        <w:t>(1) 《中华人民共和国城乡规划法》（2019 年修正）；</w:t>
      </w:r>
    </w:p>
    <w:p>
      <w:pPr>
        <w:widowControl/>
        <w:spacing w:line="360" w:lineRule="auto"/>
        <w:ind w:firstLine="420" w:firstLineChars="200"/>
        <w:jc w:val="left"/>
        <w:rPr>
          <w:color w:val="auto"/>
          <w:highlight w:val="none"/>
        </w:rPr>
      </w:pPr>
      <w:r>
        <w:rPr>
          <w:rFonts w:hint="eastAsia"/>
          <w:color w:val="auto"/>
          <w:highlight w:val="none"/>
        </w:rPr>
        <w:t>(2) 《中华人民共和国国民经济和社会发展第十四个五年规划和 2035 年远景目标纲要》；</w:t>
      </w:r>
    </w:p>
    <w:p>
      <w:pPr>
        <w:widowControl/>
        <w:spacing w:line="360" w:lineRule="auto"/>
        <w:ind w:firstLine="420" w:firstLineChars="200"/>
        <w:jc w:val="left"/>
        <w:rPr>
          <w:color w:val="auto"/>
          <w:highlight w:val="none"/>
        </w:rPr>
      </w:pPr>
      <w:r>
        <w:rPr>
          <w:rFonts w:hint="eastAsia"/>
          <w:color w:val="auto"/>
          <w:highlight w:val="none"/>
        </w:rPr>
        <w:t>(3) 《习近平生态文明思想学习纲要》；</w:t>
      </w:r>
    </w:p>
    <w:p>
      <w:pPr>
        <w:widowControl/>
        <w:spacing w:line="360" w:lineRule="auto"/>
        <w:ind w:firstLine="420" w:firstLineChars="200"/>
        <w:jc w:val="left"/>
        <w:rPr>
          <w:color w:val="auto"/>
          <w:highlight w:val="none"/>
        </w:rPr>
      </w:pPr>
      <w:r>
        <w:rPr>
          <w:rFonts w:hint="eastAsia"/>
          <w:color w:val="auto"/>
          <w:highlight w:val="none"/>
        </w:rPr>
        <w:t>(4) 《中共广东省委关于实施“百县千镇万村高质量发展工程”促进城乡区域协调发展的决定》；</w:t>
      </w:r>
    </w:p>
    <w:p>
      <w:pPr>
        <w:widowControl/>
        <w:spacing w:line="360" w:lineRule="auto"/>
        <w:ind w:firstLine="420" w:firstLineChars="200"/>
        <w:jc w:val="left"/>
        <w:rPr>
          <w:color w:val="auto"/>
          <w:highlight w:val="none"/>
        </w:rPr>
      </w:pPr>
      <w:r>
        <w:rPr>
          <w:rFonts w:hint="eastAsia"/>
          <w:color w:val="auto"/>
          <w:highlight w:val="none"/>
        </w:rPr>
        <w:t>(5) 《绿美广州五年行动计划（2023—2027 年）》；</w:t>
      </w:r>
    </w:p>
    <w:p>
      <w:pPr>
        <w:widowControl/>
        <w:spacing w:line="360" w:lineRule="auto"/>
        <w:ind w:firstLine="420" w:firstLineChars="200"/>
        <w:jc w:val="left"/>
        <w:rPr>
          <w:color w:val="auto"/>
          <w:highlight w:val="none"/>
        </w:rPr>
      </w:pPr>
      <w:r>
        <w:rPr>
          <w:rFonts w:hint="eastAsia"/>
          <w:color w:val="auto"/>
          <w:highlight w:val="none"/>
        </w:rPr>
        <w:t>(6) 《“健康中国 2030”规划纲要》；</w:t>
      </w:r>
    </w:p>
    <w:p>
      <w:pPr>
        <w:widowControl/>
        <w:spacing w:line="360" w:lineRule="auto"/>
        <w:ind w:firstLine="420" w:firstLineChars="200"/>
        <w:jc w:val="left"/>
        <w:rPr>
          <w:color w:val="auto"/>
          <w:highlight w:val="none"/>
        </w:rPr>
      </w:pPr>
      <w:r>
        <w:rPr>
          <w:rFonts w:hint="eastAsia"/>
          <w:color w:val="auto"/>
          <w:highlight w:val="none"/>
        </w:rPr>
        <w:t>(7) 《关于进一步加强生物多样性保护的意见》；</w:t>
      </w:r>
    </w:p>
    <w:p>
      <w:pPr>
        <w:widowControl/>
        <w:spacing w:line="360" w:lineRule="auto"/>
        <w:ind w:firstLine="420" w:firstLineChars="200"/>
        <w:jc w:val="left"/>
        <w:rPr>
          <w:color w:val="auto"/>
          <w:highlight w:val="none"/>
        </w:rPr>
      </w:pPr>
      <w:r>
        <w:rPr>
          <w:rFonts w:hint="eastAsia"/>
          <w:color w:val="auto"/>
          <w:highlight w:val="none"/>
        </w:rPr>
        <w:t>(8) 《关于建设高质量户外运动目的地的指导意见》；</w:t>
      </w:r>
    </w:p>
    <w:p>
      <w:pPr>
        <w:widowControl/>
        <w:spacing w:line="360" w:lineRule="auto"/>
        <w:ind w:firstLine="420" w:firstLineChars="200"/>
        <w:jc w:val="left"/>
        <w:rPr>
          <w:color w:val="auto"/>
          <w:highlight w:val="none"/>
        </w:rPr>
      </w:pPr>
      <w:r>
        <w:rPr>
          <w:rFonts w:hint="eastAsia"/>
          <w:color w:val="auto"/>
          <w:highlight w:val="none"/>
        </w:rPr>
        <w:t>(9) 《国务院办公厅关于促进全域旅游发展的指导意见》国办发〔2018〕15号；</w:t>
      </w:r>
    </w:p>
    <w:p>
      <w:pPr>
        <w:widowControl/>
        <w:spacing w:line="360" w:lineRule="auto"/>
        <w:ind w:firstLine="420" w:firstLineChars="200"/>
        <w:jc w:val="left"/>
        <w:rPr>
          <w:color w:val="auto"/>
          <w:highlight w:val="none"/>
        </w:rPr>
      </w:pPr>
      <w:r>
        <w:rPr>
          <w:rFonts w:hint="eastAsia"/>
          <w:color w:val="auto"/>
          <w:highlight w:val="none"/>
        </w:rPr>
        <w:t>(10) 《进一步优化供给推动消费平稳增长促进形成强大国内市场的实施方案（2019 年）》（发改综合〔2019〕181 号）；</w:t>
      </w:r>
    </w:p>
    <w:p>
      <w:pPr>
        <w:widowControl/>
        <w:spacing w:line="360" w:lineRule="auto"/>
        <w:ind w:firstLine="420" w:firstLineChars="200"/>
        <w:jc w:val="left"/>
        <w:rPr>
          <w:color w:val="auto"/>
          <w:highlight w:val="none"/>
        </w:rPr>
      </w:pPr>
      <w:r>
        <w:rPr>
          <w:rFonts w:hint="eastAsia"/>
          <w:color w:val="auto"/>
          <w:highlight w:val="none"/>
        </w:rPr>
        <w:t>(11) 《“十四五”文化发展规划》；</w:t>
      </w:r>
    </w:p>
    <w:p>
      <w:pPr>
        <w:widowControl/>
        <w:spacing w:line="360" w:lineRule="auto"/>
        <w:ind w:firstLine="420" w:firstLineChars="200"/>
        <w:jc w:val="left"/>
        <w:rPr>
          <w:color w:val="auto"/>
          <w:highlight w:val="none"/>
        </w:rPr>
      </w:pPr>
      <w:r>
        <w:rPr>
          <w:rFonts w:hint="eastAsia"/>
          <w:color w:val="auto"/>
          <w:highlight w:val="none"/>
        </w:rPr>
        <w:t>(12) 《广州市国土空间总体规划（2021-2035 年）》；</w:t>
      </w:r>
    </w:p>
    <w:p>
      <w:pPr>
        <w:widowControl/>
        <w:spacing w:line="360" w:lineRule="auto"/>
        <w:ind w:firstLine="420" w:firstLineChars="200"/>
        <w:jc w:val="left"/>
        <w:rPr>
          <w:color w:val="auto"/>
          <w:highlight w:val="none"/>
        </w:rPr>
      </w:pPr>
      <w:r>
        <w:rPr>
          <w:rFonts w:hint="eastAsia"/>
          <w:color w:val="auto"/>
          <w:highlight w:val="none"/>
        </w:rPr>
        <w:t>(13) 《广州市从化区国土空间总体规划（2021-2035 年）》；</w:t>
      </w:r>
    </w:p>
    <w:p>
      <w:pPr>
        <w:widowControl/>
        <w:spacing w:line="360" w:lineRule="auto"/>
        <w:ind w:firstLine="420" w:firstLineChars="200"/>
        <w:jc w:val="left"/>
        <w:rPr>
          <w:color w:val="auto"/>
          <w:highlight w:val="none"/>
        </w:rPr>
      </w:pPr>
      <w:r>
        <w:rPr>
          <w:rFonts w:hint="eastAsia"/>
          <w:color w:val="auto"/>
          <w:highlight w:val="none"/>
        </w:rPr>
        <w:t>(14) 《广州市国民经济和社会发展第十四个五年规划和 2035 年远景目标纲要》；</w:t>
      </w:r>
    </w:p>
    <w:p>
      <w:pPr>
        <w:widowControl/>
        <w:spacing w:line="360" w:lineRule="auto"/>
        <w:ind w:firstLine="420" w:firstLineChars="200"/>
        <w:jc w:val="left"/>
        <w:rPr>
          <w:color w:val="auto"/>
          <w:highlight w:val="none"/>
        </w:rPr>
      </w:pPr>
      <w:r>
        <w:rPr>
          <w:rFonts w:hint="eastAsia"/>
          <w:color w:val="auto"/>
          <w:highlight w:val="none"/>
        </w:rPr>
        <w:t>(15) 《广州市城乡规划技术规定》；</w:t>
      </w:r>
    </w:p>
    <w:p>
      <w:pPr>
        <w:widowControl/>
        <w:spacing w:line="360" w:lineRule="auto"/>
        <w:ind w:firstLine="420" w:firstLineChars="200"/>
        <w:jc w:val="left"/>
        <w:rPr>
          <w:color w:val="auto"/>
          <w:highlight w:val="none"/>
        </w:rPr>
      </w:pPr>
      <w:r>
        <w:rPr>
          <w:rFonts w:hint="eastAsia"/>
          <w:color w:val="auto"/>
          <w:highlight w:val="none"/>
        </w:rPr>
        <w:t>(16) 《广州市自然保护地规划（2023-2035 年）》；</w:t>
      </w:r>
    </w:p>
    <w:p>
      <w:pPr>
        <w:widowControl/>
        <w:spacing w:line="360" w:lineRule="auto"/>
        <w:ind w:firstLine="420" w:firstLineChars="200"/>
        <w:jc w:val="left"/>
        <w:rPr>
          <w:color w:val="auto"/>
          <w:highlight w:val="none"/>
        </w:rPr>
      </w:pPr>
      <w:r>
        <w:rPr>
          <w:rFonts w:hint="eastAsia"/>
          <w:color w:val="auto"/>
          <w:highlight w:val="none"/>
        </w:rPr>
        <w:t>(17) 《广州市流溪河流域综合规划(2015-2030 年)》；</w:t>
      </w:r>
    </w:p>
    <w:p>
      <w:pPr>
        <w:widowControl/>
        <w:spacing w:line="360" w:lineRule="auto"/>
        <w:ind w:firstLine="420" w:firstLineChars="200"/>
        <w:jc w:val="left"/>
        <w:rPr>
          <w:color w:val="auto"/>
          <w:highlight w:val="none"/>
        </w:rPr>
      </w:pPr>
      <w:r>
        <w:rPr>
          <w:rFonts w:hint="eastAsia"/>
          <w:color w:val="auto"/>
          <w:highlight w:val="none"/>
        </w:rPr>
        <w:t>(18) 其他有关的法律法规、规范标准、政策、规划等。</w:t>
      </w:r>
    </w:p>
    <w:p>
      <w:pPr>
        <w:widowControl/>
        <w:spacing w:line="360" w:lineRule="auto"/>
        <w:ind w:firstLine="420" w:firstLineChars="200"/>
        <w:jc w:val="left"/>
        <w:rPr>
          <w:color w:val="auto"/>
          <w:highlight w:val="none"/>
        </w:rPr>
      </w:pPr>
      <w:r>
        <w:rPr>
          <w:rFonts w:hint="eastAsia"/>
          <w:color w:val="auto"/>
          <w:highlight w:val="none"/>
        </w:rPr>
        <w:t>2.设计规范（如有更新版规范文件，按更新版规范文件执行）</w:t>
      </w:r>
    </w:p>
    <w:p>
      <w:pPr>
        <w:widowControl/>
        <w:spacing w:line="360" w:lineRule="auto"/>
        <w:ind w:firstLine="420" w:firstLineChars="200"/>
        <w:jc w:val="left"/>
        <w:rPr>
          <w:color w:val="auto"/>
          <w:highlight w:val="none"/>
        </w:rPr>
      </w:pPr>
      <w:r>
        <w:rPr>
          <w:rFonts w:hint="eastAsia"/>
          <w:color w:val="auto"/>
          <w:highlight w:val="none"/>
        </w:rPr>
        <w:t>(1) 《消防给水及消火栓系统技术规范》（GB50974-2014）；</w:t>
      </w:r>
    </w:p>
    <w:p>
      <w:pPr>
        <w:widowControl/>
        <w:spacing w:line="360" w:lineRule="auto"/>
        <w:ind w:firstLine="420" w:firstLineChars="200"/>
        <w:jc w:val="left"/>
        <w:rPr>
          <w:color w:val="auto"/>
          <w:highlight w:val="none"/>
        </w:rPr>
      </w:pPr>
      <w:r>
        <w:rPr>
          <w:rFonts w:hint="eastAsia"/>
          <w:color w:val="auto"/>
          <w:highlight w:val="none"/>
        </w:rPr>
        <w:t>(2) 《建筑结构可靠性设计统一标准》（GB50068-2018）；</w:t>
      </w:r>
    </w:p>
    <w:p>
      <w:pPr>
        <w:widowControl/>
        <w:spacing w:line="360" w:lineRule="auto"/>
        <w:ind w:firstLine="420" w:firstLineChars="200"/>
        <w:jc w:val="left"/>
        <w:rPr>
          <w:color w:val="auto"/>
          <w:highlight w:val="none"/>
        </w:rPr>
      </w:pPr>
      <w:r>
        <w:rPr>
          <w:rFonts w:hint="eastAsia"/>
          <w:color w:val="auto"/>
          <w:highlight w:val="none"/>
        </w:rPr>
        <w:t>(3) 《城市电力规划规范》（GB50293-2014）；</w:t>
      </w:r>
    </w:p>
    <w:p>
      <w:pPr>
        <w:widowControl/>
        <w:spacing w:line="360" w:lineRule="auto"/>
        <w:ind w:firstLine="420" w:firstLineChars="200"/>
        <w:jc w:val="left"/>
        <w:rPr>
          <w:color w:val="auto"/>
          <w:highlight w:val="none"/>
        </w:rPr>
      </w:pPr>
      <w:r>
        <w:rPr>
          <w:rFonts w:hint="eastAsia"/>
          <w:color w:val="auto"/>
          <w:highlight w:val="none"/>
        </w:rPr>
        <w:t>(4) 《城市排水工程规划规范》（GB50318-2017）；</w:t>
      </w:r>
    </w:p>
    <w:p>
      <w:pPr>
        <w:widowControl/>
        <w:spacing w:line="360" w:lineRule="auto"/>
        <w:ind w:firstLine="420" w:firstLineChars="200"/>
        <w:jc w:val="left"/>
        <w:rPr>
          <w:color w:val="auto"/>
          <w:highlight w:val="none"/>
        </w:rPr>
      </w:pPr>
      <w:r>
        <w:rPr>
          <w:rFonts w:hint="eastAsia"/>
          <w:color w:val="auto"/>
          <w:highlight w:val="none"/>
        </w:rPr>
        <w:t>(5) 《无障碍设计规范》（GB50763-2022）；</w:t>
      </w:r>
    </w:p>
    <w:p>
      <w:pPr>
        <w:widowControl/>
        <w:spacing w:line="360" w:lineRule="auto"/>
        <w:ind w:firstLine="420" w:firstLineChars="200"/>
        <w:jc w:val="left"/>
        <w:rPr>
          <w:color w:val="auto"/>
          <w:highlight w:val="none"/>
        </w:rPr>
      </w:pPr>
      <w:r>
        <w:rPr>
          <w:rFonts w:hint="eastAsia"/>
          <w:color w:val="auto"/>
          <w:highlight w:val="none"/>
        </w:rPr>
        <w:t>(6) 《建筑给排水设计规范》（GB50015-2025）；</w:t>
      </w:r>
    </w:p>
    <w:p>
      <w:pPr>
        <w:widowControl/>
        <w:spacing w:line="360" w:lineRule="auto"/>
        <w:ind w:firstLine="420" w:firstLineChars="200"/>
        <w:jc w:val="left"/>
        <w:rPr>
          <w:color w:val="auto"/>
          <w:highlight w:val="none"/>
        </w:rPr>
      </w:pPr>
      <w:r>
        <w:rPr>
          <w:rFonts w:hint="eastAsia"/>
          <w:color w:val="auto"/>
          <w:highlight w:val="none"/>
        </w:rPr>
        <w:t>(7) 《民用建筑设计统一标准》（GB50352-2019）；</w:t>
      </w:r>
    </w:p>
    <w:p>
      <w:pPr>
        <w:widowControl/>
        <w:spacing w:line="360" w:lineRule="auto"/>
        <w:ind w:firstLine="420" w:firstLineChars="200"/>
        <w:jc w:val="left"/>
        <w:rPr>
          <w:color w:val="auto"/>
          <w:highlight w:val="none"/>
        </w:rPr>
      </w:pPr>
      <w:r>
        <w:rPr>
          <w:rFonts w:hint="eastAsia"/>
          <w:color w:val="auto"/>
          <w:highlight w:val="none"/>
        </w:rPr>
        <w:t>(8) 《民用建筑绿色设计规范》（JGJ/T229-2010）；</w:t>
      </w:r>
    </w:p>
    <w:p>
      <w:pPr>
        <w:widowControl/>
        <w:spacing w:line="360" w:lineRule="auto"/>
        <w:ind w:firstLine="420" w:firstLineChars="200"/>
        <w:jc w:val="left"/>
        <w:rPr>
          <w:color w:val="auto"/>
          <w:highlight w:val="none"/>
        </w:rPr>
      </w:pPr>
      <w:r>
        <w:rPr>
          <w:rFonts w:hint="eastAsia"/>
          <w:color w:val="auto"/>
          <w:highlight w:val="none"/>
        </w:rPr>
        <w:t>(9) 《园林环境提升项目规范》（GB 55014-2021）；</w:t>
      </w:r>
    </w:p>
    <w:p>
      <w:pPr>
        <w:widowControl/>
        <w:spacing w:line="360" w:lineRule="auto"/>
        <w:ind w:firstLine="420" w:firstLineChars="200"/>
        <w:jc w:val="left"/>
        <w:rPr>
          <w:color w:val="auto"/>
          <w:highlight w:val="none"/>
        </w:rPr>
      </w:pPr>
      <w:r>
        <w:rPr>
          <w:rFonts w:hint="eastAsia"/>
          <w:color w:val="auto"/>
          <w:highlight w:val="none"/>
        </w:rPr>
        <w:t>(10) 《建筑防火通用规范》（GB 55037-2022）；</w:t>
      </w:r>
    </w:p>
    <w:p>
      <w:pPr>
        <w:widowControl/>
        <w:spacing w:line="360" w:lineRule="auto"/>
        <w:ind w:firstLine="420" w:firstLineChars="200"/>
        <w:jc w:val="left"/>
        <w:rPr>
          <w:color w:val="auto"/>
          <w:highlight w:val="none"/>
        </w:rPr>
      </w:pPr>
      <w:r>
        <w:rPr>
          <w:rFonts w:hint="eastAsia"/>
          <w:color w:val="auto"/>
          <w:highlight w:val="none"/>
        </w:rPr>
        <w:t>(11) 《消防设施通用规范》（GB 55036-2022）；</w:t>
      </w:r>
    </w:p>
    <w:p>
      <w:pPr>
        <w:widowControl/>
        <w:spacing w:line="360" w:lineRule="auto"/>
        <w:ind w:firstLine="420" w:firstLineChars="200"/>
        <w:jc w:val="left"/>
        <w:rPr>
          <w:color w:val="auto"/>
          <w:highlight w:val="none"/>
        </w:rPr>
      </w:pPr>
      <w:r>
        <w:rPr>
          <w:rFonts w:hint="eastAsia"/>
          <w:color w:val="auto"/>
          <w:highlight w:val="none"/>
        </w:rPr>
        <w:t>(12) 《建筑给水排水与节水通用规范》（GB 55020-2021）；</w:t>
      </w:r>
    </w:p>
    <w:p>
      <w:pPr>
        <w:widowControl/>
        <w:spacing w:line="360" w:lineRule="auto"/>
        <w:ind w:firstLine="420" w:firstLineChars="200"/>
        <w:jc w:val="left"/>
        <w:rPr>
          <w:color w:val="auto"/>
          <w:highlight w:val="none"/>
        </w:rPr>
      </w:pPr>
      <w:r>
        <w:rPr>
          <w:rFonts w:hint="eastAsia"/>
          <w:color w:val="auto"/>
          <w:highlight w:val="none"/>
        </w:rPr>
        <w:t>(13) 《建筑照明设计标准》（GB 50034-2024）；</w:t>
      </w:r>
    </w:p>
    <w:p>
      <w:pPr>
        <w:widowControl/>
        <w:spacing w:line="360" w:lineRule="auto"/>
        <w:ind w:firstLine="420" w:firstLineChars="200"/>
        <w:jc w:val="left"/>
        <w:rPr>
          <w:color w:val="auto"/>
          <w:highlight w:val="none"/>
        </w:rPr>
      </w:pPr>
      <w:r>
        <w:rPr>
          <w:rFonts w:hint="eastAsia"/>
          <w:color w:val="auto"/>
          <w:highlight w:val="none"/>
        </w:rPr>
        <w:t>(14) 《建筑设计防火规范》（GB 50016-2018）；</w:t>
      </w:r>
    </w:p>
    <w:p>
      <w:pPr>
        <w:widowControl/>
        <w:spacing w:line="360" w:lineRule="auto"/>
        <w:ind w:firstLine="420" w:firstLineChars="200"/>
        <w:jc w:val="left"/>
        <w:rPr>
          <w:color w:val="auto"/>
          <w:highlight w:val="none"/>
        </w:rPr>
      </w:pPr>
      <w:r>
        <w:rPr>
          <w:rFonts w:hint="eastAsia"/>
          <w:color w:val="auto"/>
          <w:highlight w:val="none"/>
        </w:rPr>
        <w:t>(15) 《海绵城市建设项目设计、施工和运行维护技术规程》DB4401/T253-2024；</w:t>
      </w:r>
    </w:p>
    <w:p>
      <w:pPr>
        <w:widowControl/>
        <w:spacing w:line="360" w:lineRule="auto"/>
        <w:ind w:firstLine="420" w:firstLineChars="200"/>
        <w:jc w:val="left"/>
        <w:rPr>
          <w:color w:val="auto"/>
          <w:highlight w:val="none"/>
        </w:rPr>
      </w:pPr>
      <w:r>
        <w:rPr>
          <w:rFonts w:hint="eastAsia"/>
          <w:color w:val="auto"/>
          <w:highlight w:val="none"/>
        </w:rPr>
        <w:t>(16) 《城市给水工程项目规范》（GB55026-2022）；</w:t>
      </w:r>
    </w:p>
    <w:p>
      <w:pPr>
        <w:widowControl/>
        <w:spacing w:line="360" w:lineRule="auto"/>
        <w:ind w:firstLine="420" w:firstLineChars="200"/>
        <w:jc w:val="left"/>
        <w:rPr>
          <w:color w:val="auto"/>
          <w:highlight w:val="none"/>
        </w:rPr>
      </w:pPr>
      <w:r>
        <w:rPr>
          <w:rFonts w:hint="eastAsia"/>
          <w:color w:val="auto"/>
          <w:highlight w:val="none"/>
        </w:rPr>
        <w:t>(17) 《城乡排水工程项目规范》（GB55026-2022）；</w:t>
      </w:r>
    </w:p>
    <w:p>
      <w:pPr>
        <w:widowControl/>
        <w:spacing w:line="360" w:lineRule="auto"/>
        <w:ind w:firstLine="420" w:firstLineChars="200"/>
        <w:jc w:val="left"/>
        <w:rPr>
          <w:color w:val="auto"/>
          <w:highlight w:val="none"/>
        </w:rPr>
      </w:pPr>
      <w:r>
        <w:rPr>
          <w:rFonts w:hint="eastAsia"/>
          <w:color w:val="auto"/>
          <w:highlight w:val="none"/>
        </w:rPr>
        <w:t>(18) 《给水排水管道工程施工及验收规范》（GB50268-2008）；</w:t>
      </w:r>
    </w:p>
    <w:p>
      <w:pPr>
        <w:widowControl/>
        <w:spacing w:line="360" w:lineRule="auto"/>
        <w:ind w:firstLine="420" w:firstLineChars="200"/>
        <w:jc w:val="left"/>
        <w:rPr>
          <w:color w:val="auto"/>
          <w:highlight w:val="none"/>
        </w:rPr>
      </w:pPr>
      <w:r>
        <w:rPr>
          <w:rFonts w:hint="eastAsia"/>
          <w:color w:val="auto"/>
          <w:highlight w:val="none"/>
        </w:rPr>
        <w:t>(19) 《给水排水工程管道结构设计规范》（GB50332-2022）；</w:t>
      </w:r>
    </w:p>
    <w:p>
      <w:pPr>
        <w:widowControl/>
        <w:spacing w:line="360" w:lineRule="auto"/>
        <w:ind w:firstLine="420" w:firstLineChars="200"/>
        <w:jc w:val="left"/>
        <w:rPr>
          <w:color w:val="auto"/>
          <w:highlight w:val="none"/>
        </w:rPr>
      </w:pPr>
      <w:r>
        <w:rPr>
          <w:rFonts w:hint="eastAsia"/>
          <w:color w:val="auto"/>
          <w:highlight w:val="none"/>
        </w:rPr>
        <w:t>(20) 《给水排水工程构筑物结构设计规范》（GB50069-2016）；</w:t>
      </w:r>
    </w:p>
    <w:p>
      <w:pPr>
        <w:widowControl/>
        <w:spacing w:line="360" w:lineRule="auto"/>
        <w:ind w:firstLine="420" w:firstLineChars="200"/>
        <w:jc w:val="left"/>
        <w:rPr>
          <w:color w:val="auto"/>
          <w:highlight w:val="none"/>
        </w:rPr>
      </w:pPr>
      <w:r>
        <w:rPr>
          <w:rFonts w:hint="eastAsia"/>
          <w:color w:val="auto"/>
          <w:highlight w:val="none"/>
        </w:rPr>
        <w:t>(21) 《城市给水工程规划规范》（GB50282-2022）；</w:t>
      </w:r>
    </w:p>
    <w:p>
      <w:pPr>
        <w:widowControl/>
        <w:spacing w:line="360" w:lineRule="auto"/>
        <w:ind w:firstLine="420" w:firstLineChars="200"/>
        <w:jc w:val="left"/>
        <w:rPr>
          <w:color w:val="auto"/>
          <w:highlight w:val="none"/>
        </w:rPr>
      </w:pPr>
      <w:r>
        <w:rPr>
          <w:rFonts w:hint="eastAsia"/>
          <w:color w:val="auto"/>
          <w:highlight w:val="none"/>
        </w:rPr>
        <w:t>(22) 《城市电力规划规范》（GB/T50293-2019）；</w:t>
      </w:r>
    </w:p>
    <w:p>
      <w:pPr>
        <w:widowControl/>
        <w:spacing w:line="360" w:lineRule="auto"/>
        <w:ind w:firstLine="420" w:firstLineChars="200"/>
        <w:jc w:val="left"/>
        <w:rPr>
          <w:color w:val="auto"/>
          <w:highlight w:val="none"/>
        </w:rPr>
      </w:pPr>
      <w:r>
        <w:rPr>
          <w:rFonts w:hint="eastAsia"/>
          <w:color w:val="auto"/>
          <w:highlight w:val="none"/>
        </w:rPr>
        <w:t>(23) 《室外排水设计标准》（GB50014-2021）；</w:t>
      </w:r>
    </w:p>
    <w:p>
      <w:pPr>
        <w:widowControl/>
        <w:spacing w:line="360" w:lineRule="auto"/>
        <w:ind w:firstLine="420" w:firstLineChars="200"/>
        <w:jc w:val="left"/>
        <w:rPr>
          <w:color w:val="auto"/>
          <w:highlight w:val="none"/>
        </w:rPr>
      </w:pPr>
      <w:r>
        <w:rPr>
          <w:rFonts w:hint="eastAsia"/>
          <w:color w:val="auto"/>
          <w:highlight w:val="none"/>
        </w:rPr>
        <w:t>(24) 《室外给水设计标准》（GB50013-2018）；</w:t>
      </w:r>
    </w:p>
    <w:p>
      <w:pPr>
        <w:widowControl/>
        <w:spacing w:line="360" w:lineRule="auto"/>
        <w:ind w:firstLine="420" w:firstLineChars="200"/>
        <w:jc w:val="left"/>
        <w:rPr>
          <w:color w:val="auto"/>
          <w:highlight w:val="none"/>
        </w:rPr>
      </w:pPr>
      <w:r>
        <w:rPr>
          <w:rFonts w:hint="eastAsia"/>
          <w:color w:val="auto"/>
          <w:highlight w:val="none"/>
        </w:rPr>
        <w:t>(25) 《城市工程管线综合规划规范》（GB50289-2021）；</w:t>
      </w:r>
    </w:p>
    <w:p>
      <w:pPr>
        <w:widowControl/>
        <w:spacing w:line="360" w:lineRule="auto"/>
        <w:ind w:firstLine="420" w:firstLineChars="200"/>
        <w:jc w:val="left"/>
        <w:rPr>
          <w:color w:val="auto"/>
          <w:highlight w:val="none"/>
        </w:rPr>
      </w:pPr>
      <w:r>
        <w:rPr>
          <w:rFonts w:hint="eastAsia"/>
          <w:color w:val="auto"/>
          <w:highlight w:val="none"/>
        </w:rPr>
        <w:t>(26) 《城市给水工程项目规范》（GB55026-2022）；</w:t>
      </w:r>
    </w:p>
    <w:p>
      <w:pPr>
        <w:widowControl/>
        <w:spacing w:line="360" w:lineRule="auto"/>
        <w:ind w:firstLine="420" w:firstLineChars="200"/>
        <w:jc w:val="left"/>
        <w:rPr>
          <w:color w:val="auto"/>
          <w:highlight w:val="none"/>
        </w:rPr>
      </w:pPr>
      <w:r>
        <w:rPr>
          <w:rFonts w:hint="eastAsia"/>
          <w:color w:val="auto"/>
          <w:highlight w:val="none"/>
        </w:rPr>
        <w:t>(27) 《给水排水标准图集—市政排水管道工程及附属设施》（06MS201）。</w:t>
      </w:r>
    </w:p>
    <w:p>
      <w:pPr>
        <w:widowControl/>
        <w:spacing w:line="360" w:lineRule="auto"/>
        <w:ind w:firstLine="420" w:firstLineChars="200"/>
        <w:jc w:val="left"/>
        <w:rPr>
          <w:color w:val="auto"/>
          <w:highlight w:val="none"/>
        </w:rPr>
      </w:pPr>
      <w:r>
        <w:rPr>
          <w:rFonts w:hint="eastAsia"/>
          <w:color w:val="auto"/>
          <w:highlight w:val="none"/>
        </w:rPr>
        <w:t>(28) 《城市道路照明设计标准》（CJJ45-2020）；</w:t>
      </w:r>
    </w:p>
    <w:p>
      <w:pPr>
        <w:widowControl/>
        <w:spacing w:line="360" w:lineRule="auto"/>
        <w:ind w:firstLine="420" w:firstLineChars="200"/>
        <w:jc w:val="left"/>
        <w:rPr>
          <w:color w:val="auto"/>
          <w:highlight w:val="none"/>
        </w:rPr>
      </w:pPr>
      <w:r>
        <w:rPr>
          <w:rFonts w:hint="eastAsia"/>
          <w:color w:val="auto"/>
          <w:highlight w:val="none"/>
        </w:rPr>
        <w:t>(29) 《城市道路照明施工及验收规程》（CJJ89-2022）；</w:t>
      </w:r>
    </w:p>
    <w:p>
      <w:pPr>
        <w:widowControl/>
        <w:spacing w:line="360" w:lineRule="auto"/>
        <w:ind w:firstLine="420" w:firstLineChars="200"/>
        <w:jc w:val="left"/>
        <w:rPr>
          <w:color w:val="auto"/>
          <w:highlight w:val="none"/>
        </w:rPr>
      </w:pPr>
      <w:r>
        <w:rPr>
          <w:rFonts w:hint="eastAsia"/>
          <w:color w:val="auto"/>
          <w:highlight w:val="none"/>
        </w:rPr>
        <w:t>(30) 《广东省 LED 路灯地方标准》（DB44/T609-2009）；</w:t>
      </w:r>
    </w:p>
    <w:p>
      <w:pPr>
        <w:widowControl/>
        <w:spacing w:line="360" w:lineRule="auto"/>
        <w:ind w:firstLine="420" w:firstLineChars="200"/>
        <w:jc w:val="left"/>
        <w:rPr>
          <w:color w:val="auto"/>
          <w:highlight w:val="none"/>
        </w:rPr>
      </w:pPr>
      <w:r>
        <w:rPr>
          <w:rFonts w:hint="eastAsia"/>
          <w:color w:val="auto"/>
          <w:highlight w:val="none"/>
        </w:rPr>
        <w:t>(31) 《电力工程电缆设计规范》（GB50217-2018）；</w:t>
      </w:r>
    </w:p>
    <w:p>
      <w:pPr>
        <w:widowControl/>
        <w:spacing w:line="360" w:lineRule="auto"/>
        <w:ind w:firstLine="420" w:firstLineChars="200"/>
        <w:jc w:val="left"/>
        <w:rPr>
          <w:color w:val="auto"/>
          <w:highlight w:val="none"/>
        </w:rPr>
      </w:pPr>
      <w:r>
        <w:rPr>
          <w:rFonts w:hint="eastAsia"/>
          <w:color w:val="auto"/>
          <w:highlight w:val="none"/>
        </w:rPr>
        <w:t>(32) 《城市电力电缆设计行业标准》；</w:t>
      </w:r>
    </w:p>
    <w:p>
      <w:pPr>
        <w:widowControl/>
        <w:spacing w:line="360" w:lineRule="auto"/>
        <w:ind w:firstLine="420" w:firstLineChars="200"/>
        <w:jc w:val="left"/>
        <w:rPr>
          <w:color w:val="auto"/>
          <w:highlight w:val="none"/>
        </w:rPr>
      </w:pPr>
      <w:r>
        <w:rPr>
          <w:rFonts w:hint="eastAsia"/>
          <w:color w:val="auto"/>
          <w:highlight w:val="none"/>
        </w:rPr>
        <w:t>(33) 《城市电力规划规范》（GB50293-2018）；</w:t>
      </w:r>
    </w:p>
    <w:p>
      <w:pPr>
        <w:widowControl/>
        <w:spacing w:line="360" w:lineRule="auto"/>
        <w:ind w:firstLine="420" w:firstLineChars="200"/>
        <w:jc w:val="left"/>
        <w:rPr>
          <w:color w:val="auto"/>
          <w:highlight w:val="none"/>
        </w:rPr>
      </w:pPr>
      <w:r>
        <w:rPr>
          <w:rFonts w:hint="eastAsia"/>
          <w:color w:val="auto"/>
          <w:highlight w:val="none"/>
        </w:rPr>
        <w:t>(34) 《广东电网规划技术导则》；</w:t>
      </w:r>
    </w:p>
    <w:p>
      <w:pPr>
        <w:widowControl/>
        <w:spacing w:line="360" w:lineRule="auto"/>
        <w:ind w:firstLine="420" w:firstLineChars="200"/>
        <w:jc w:val="left"/>
        <w:rPr>
          <w:color w:val="auto"/>
          <w:highlight w:val="none"/>
        </w:rPr>
      </w:pPr>
      <w:r>
        <w:rPr>
          <w:rFonts w:hint="eastAsia"/>
          <w:color w:val="auto"/>
          <w:highlight w:val="none"/>
        </w:rPr>
        <w:t>(35) 《通信管道与通道工程设计标准》（GB50373-2019）；</w:t>
      </w:r>
    </w:p>
    <w:p>
      <w:pPr>
        <w:widowControl/>
        <w:spacing w:line="360" w:lineRule="auto"/>
        <w:ind w:firstLine="420" w:firstLineChars="200"/>
        <w:jc w:val="left"/>
        <w:rPr>
          <w:color w:val="auto"/>
          <w:highlight w:val="none"/>
        </w:rPr>
      </w:pPr>
      <w:r>
        <w:rPr>
          <w:rFonts w:hint="eastAsia"/>
          <w:color w:val="auto"/>
          <w:highlight w:val="none"/>
        </w:rPr>
        <w:t>(36) 《通信管道工程施工及验收标准》（GB/T50374-2018）；</w:t>
      </w:r>
    </w:p>
    <w:p>
      <w:pPr>
        <w:widowControl/>
        <w:spacing w:line="360" w:lineRule="auto"/>
        <w:ind w:firstLine="420" w:firstLineChars="200"/>
        <w:jc w:val="left"/>
        <w:rPr>
          <w:color w:val="auto"/>
          <w:highlight w:val="none"/>
        </w:rPr>
      </w:pPr>
      <w:r>
        <w:rPr>
          <w:rFonts w:hint="eastAsia"/>
          <w:color w:val="auto"/>
          <w:highlight w:val="none"/>
        </w:rPr>
        <w:t>(37) 《混凝土结构设计规范》（GB50010-2022）；</w:t>
      </w:r>
    </w:p>
    <w:p>
      <w:pPr>
        <w:widowControl/>
        <w:spacing w:line="360" w:lineRule="auto"/>
        <w:ind w:firstLine="420" w:firstLineChars="200"/>
        <w:jc w:val="left"/>
        <w:rPr>
          <w:color w:val="auto"/>
          <w:highlight w:val="none"/>
        </w:rPr>
      </w:pPr>
      <w:r>
        <w:rPr>
          <w:rFonts w:hint="eastAsia"/>
          <w:color w:val="auto"/>
          <w:highlight w:val="none"/>
        </w:rPr>
        <w:t>(38) 《混凝土结构工程施工及验收规范》（GB50204-2018）；</w:t>
      </w:r>
    </w:p>
    <w:p>
      <w:pPr>
        <w:widowControl/>
        <w:spacing w:line="360" w:lineRule="auto"/>
        <w:ind w:firstLine="420" w:firstLineChars="200"/>
        <w:jc w:val="left"/>
        <w:rPr>
          <w:color w:val="auto"/>
          <w:highlight w:val="none"/>
        </w:rPr>
      </w:pPr>
      <w:r>
        <w:rPr>
          <w:rFonts w:hint="eastAsia"/>
          <w:color w:val="auto"/>
          <w:highlight w:val="none"/>
        </w:rPr>
        <w:t>(39) 《砌体结构设计规范》（GB50003-2019）；</w:t>
      </w:r>
    </w:p>
    <w:p>
      <w:pPr>
        <w:widowControl/>
        <w:spacing w:line="360" w:lineRule="auto"/>
        <w:ind w:firstLine="420" w:firstLineChars="200"/>
        <w:jc w:val="left"/>
        <w:rPr>
          <w:color w:val="auto"/>
          <w:highlight w:val="none"/>
        </w:rPr>
      </w:pPr>
      <w:r>
        <w:rPr>
          <w:rFonts w:hint="eastAsia"/>
          <w:color w:val="auto"/>
          <w:highlight w:val="none"/>
        </w:rPr>
        <w:t>(40) 《砌体工程施工质量验收规范》（GB50203-2023）；</w:t>
      </w:r>
    </w:p>
    <w:p>
      <w:pPr>
        <w:widowControl/>
        <w:spacing w:line="360" w:lineRule="auto"/>
        <w:ind w:firstLine="420" w:firstLineChars="200"/>
        <w:jc w:val="left"/>
        <w:rPr>
          <w:color w:val="auto"/>
          <w:highlight w:val="none"/>
        </w:rPr>
      </w:pPr>
      <w:r>
        <w:rPr>
          <w:rFonts w:hint="eastAsia"/>
          <w:color w:val="auto"/>
          <w:highlight w:val="none"/>
        </w:rPr>
        <w:t>(41) 《低压配电设计规范》（GB50054-2019）；</w:t>
      </w:r>
    </w:p>
    <w:p>
      <w:pPr>
        <w:widowControl/>
        <w:spacing w:line="360" w:lineRule="auto"/>
        <w:ind w:firstLine="420" w:firstLineChars="200"/>
        <w:jc w:val="left"/>
        <w:rPr>
          <w:color w:val="auto"/>
          <w:highlight w:val="none"/>
        </w:rPr>
      </w:pPr>
      <w:r>
        <w:rPr>
          <w:rFonts w:hint="eastAsia"/>
          <w:color w:val="auto"/>
          <w:highlight w:val="none"/>
        </w:rPr>
        <w:t>(42) 《供配电系统设计规范》（GB50054-2020）；</w:t>
      </w:r>
    </w:p>
    <w:p>
      <w:pPr>
        <w:widowControl/>
        <w:spacing w:line="360" w:lineRule="auto"/>
        <w:ind w:firstLine="420" w:firstLineChars="200"/>
        <w:jc w:val="left"/>
        <w:rPr>
          <w:color w:val="auto"/>
          <w:highlight w:val="none"/>
        </w:rPr>
      </w:pPr>
      <w:r>
        <w:rPr>
          <w:rFonts w:hint="eastAsia"/>
          <w:color w:val="auto"/>
          <w:highlight w:val="none"/>
        </w:rPr>
        <w:t>(43) 《城市夜景照明设计规范》（JGJ/T163-2019）；</w:t>
      </w:r>
    </w:p>
    <w:p>
      <w:pPr>
        <w:widowControl/>
        <w:spacing w:line="360" w:lineRule="auto"/>
        <w:ind w:firstLine="420" w:firstLineChars="200"/>
        <w:jc w:val="left"/>
        <w:rPr>
          <w:color w:val="auto"/>
          <w:highlight w:val="none"/>
        </w:rPr>
      </w:pPr>
      <w:r>
        <w:rPr>
          <w:rFonts w:hint="eastAsia"/>
          <w:color w:val="auto"/>
          <w:highlight w:val="none"/>
        </w:rPr>
        <w:t>(44) 《园林基本术语标准》（CJJ/T91-2017）；</w:t>
      </w:r>
    </w:p>
    <w:p>
      <w:pPr>
        <w:widowControl/>
        <w:spacing w:line="360" w:lineRule="auto"/>
        <w:ind w:firstLine="420" w:firstLineChars="200"/>
        <w:jc w:val="left"/>
        <w:rPr>
          <w:color w:val="auto"/>
          <w:highlight w:val="none"/>
        </w:rPr>
      </w:pPr>
      <w:r>
        <w:rPr>
          <w:rFonts w:hint="eastAsia"/>
          <w:color w:val="auto"/>
          <w:highlight w:val="none"/>
        </w:rPr>
        <w:t>(45) 《风景名胜区规划规范》（GB-50298-1999）；</w:t>
      </w:r>
    </w:p>
    <w:p>
      <w:pPr>
        <w:widowControl/>
        <w:spacing w:line="360" w:lineRule="auto"/>
        <w:ind w:firstLine="420" w:firstLineChars="200"/>
        <w:jc w:val="left"/>
        <w:rPr>
          <w:color w:val="auto"/>
          <w:highlight w:val="none"/>
        </w:rPr>
      </w:pPr>
      <w:r>
        <w:rPr>
          <w:rFonts w:hint="eastAsia"/>
          <w:color w:val="auto"/>
          <w:highlight w:val="none"/>
        </w:rPr>
        <w:t>(46) 《风景园林图例图示标准》（CJJ67-95）；</w:t>
      </w:r>
    </w:p>
    <w:p>
      <w:pPr>
        <w:widowControl/>
        <w:spacing w:line="360" w:lineRule="auto"/>
        <w:ind w:firstLine="420" w:firstLineChars="200"/>
        <w:jc w:val="left"/>
        <w:rPr>
          <w:color w:val="auto"/>
          <w:highlight w:val="none"/>
        </w:rPr>
      </w:pPr>
      <w:r>
        <w:rPr>
          <w:rFonts w:hint="eastAsia"/>
          <w:color w:val="auto"/>
          <w:highlight w:val="none"/>
        </w:rPr>
        <w:t>(47) 《城市绿地分类标准》（CJJ/T85-2022）；</w:t>
      </w:r>
    </w:p>
    <w:p>
      <w:pPr>
        <w:widowControl/>
        <w:spacing w:line="360" w:lineRule="auto"/>
        <w:ind w:firstLine="420" w:firstLineChars="200"/>
        <w:jc w:val="left"/>
        <w:rPr>
          <w:color w:val="auto"/>
          <w:highlight w:val="none"/>
        </w:rPr>
      </w:pPr>
      <w:r>
        <w:rPr>
          <w:rFonts w:hint="eastAsia"/>
          <w:color w:val="auto"/>
          <w:highlight w:val="none"/>
        </w:rPr>
        <w:t>(48) 《城市绿植工程施工及验收规范》（CJJ82-2012）；</w:t>
      </w:r>
    </w:p>
    <w:p>
      <w:pPr>
        <w:widowControl/>
        <w:spacing w:line="360" w:lineRule="auto"/>
        <w:ind w:firstLine="420" w:firstLineChars="200"/>
        <w:jc w:val="left"/>
        <w:rPr>
          <w:color w:val="auto"/>
          <w:highlight w:val="none"/>
        </w:rPr>
      </w:pPr>
      <w:r>
        <w:rPr>
          <w:rFonts w:hint="eastAsia"/>
          <w:color w:val="auto"/>
          <w:highlight w:val="none"/>
        </w:rPr>
        <w:t>(49) 《公路建设项目环境影响评价规范》（JTGB03-2006）。</w:t>
      </w:r>
    </w:p>
    <w:p>
      <w:pPr>
        <w:widowControl/>
        <w:spacing w:line="360" w:lineRule="auto"/>
        <w:ind w:firstLine="420" w:firstLineChars="200"/>
        <w:jc w:val="left"/>
        <w:rPr>
          <w:color w:val="auto"/>
          <w:highlight w:val="none"/>
        </w:rPr>
      </w:pPr>
      <w:r>
        <w:rPr>
          <w:rFonts w:hint="eastAsia"/>
          <w:color w:val="auto"/>
          <w:highlight w:val="none"/>
        </w:rPr>
        <w:t>3.海绵城市设计依据（如有更新版依据文件，按更新版依据文件执行）</w:t>
      </w:r>
    </w:p>
    <w:p>
      <w:pPr>
        <w:widowControl/>
        <w:spacing w:line="360" w:lineRule="auto"/>
        <w:ind w:firstLine="420" w:firstLineChars="200"/>
        <w:jc w:val="left"/>
        <w:rPr>
          <w:color w:val="auto"/>
          <w:highlight w:val="none"/>
        </w:rPr>
      </w:pPr>
      <w:r>
        <w:rPr>
          <w:rFonts w:hint="eastAsia"/>
          <w:color w:val="auto"/>
          <w:highlight w:val="none"/>
        </w:rPr>
        <w:t>(1) 《防洪标准》（GB50201-2014）；</w:t>
      </w:r>
    </w:p>
    <w:p>
      <w:pPr>
        <w:widowControl/>
        <w:spacing w:line="360" w:lineRule="auto"/>
        <w:ind w:firstLine="420" w:firstLineChars="200"/>
        <w:jc w:val="left"/>
        <w:rPr>
          <w:color w:val="auto"/>
          <w:highlight w:val="none"/>
        </w:rPr>
      </w:pPr>
      <w:r>
        <w:rPr>
          <w:rFonts w:hint="eastAsia"/>
          <w:color w:val="auto"/>
          <w:highlight w:val="none"/>
        </w:rPr>
        <w:t>(2) 《城市防洪工程设计规范》（GB/T50805-2012）；</w:t>
      </w:r>
    </w:p>
    <w:p>
      <w:pPr>
        <w:widowControl/>
        <w:spacing w:line="360" w:lineRule="auto"/>
        <w:ind w:firstLine="420" w:firstLineChars="200"/>
        <w:jc w:val="left"/>
        <w:rPr>
          <w:color w:val="auto"/>
          <w:highlight w:val="none"/>
        </w:rPr>
      </w:pPr>
      <w:r>
        <w:rPr>
          <w:rFonts w:hint="eastAsia"/>
          <w:color w:val="auto"/>
          <w:highlight w:val="none"/>
        </w:rPr>
        <w:t>(3) 《地表水环境质量标准》（GB3838-2002）；</w:t>
      </w:r>
    </w:p>
    <w:p>
      <w:pPr>
        <w:widowControl/>
        <w:spacing w:line="360" w:lineRule="auto"/>
        <w:ind w:firstLine="420" w:firstLineChars="200"/>
        <w:jc w:val="left"/>
        <w:rPr>
          <w:color w:val="auto"/>
          <w:highlight w:val="none"/>
        </w:rPr>
      </w:pPr>
      <w:r>
        <w:rPr>
          <w:rFonts w:hint="eastAsia"/>
          <w:color w:val="auto"/>
          <w:highlight w:val="none"/>
        </w:rPr>
        <w:t>(4) 《城市排水工程规划规范》（GB50318-2017）；</w:t>
      </w:r>
    </w:p>
    <w:p>
      <w:pPr>
        <w:widowControl/>
        <w:spacing w:line="360" w:lineRule="auto"/>
        <w:ind w:firstLine="420" w:firstLineChars="200"/>
        <w:jc w:val="left"/>
        <w:rPr>
          <w:color w:val="auto"/>
          <w:highlight w:val="none"/>
        </w:rPr>
      </w:pPr>
      <w:r>
        <w:rPr>
          <w:rFonts w:hint="eastAsia"/>
          <w:color w:val="auto"/>
          <w:highlight w:val="none"/>
        </w:rPr>
        <w:t>(5) 《室外排水设计标准》（GB50014-2021）；</w:t>
      </w:r>
    </w:p>
    <w:p>
      <w:pPr>
        <w:widowControl/>
        <w:spacing w:line="360" w:lineRule="auto"/>
        <w:ind w:firstLine="420" w:firstLineChars="200"/>
        <w:jc w:val="left"/>
        <w:rPr>
          <w:color w:val="auto"/>
          <w:highlight w:val="none"/>
        </w:rPr>
      </w:pPr>
      <w:r>
        <w:rPr>
          <w:rFonts w:hint="eastAsia"/>
          <w:color w:val="auto"/>
          <w:highlight w:val="none"/>
        </w:rPr>
        <w:t>(6) 《海绵城市建设技术指南—低影响开发雨水系统构建》；</w:t>
      </w:r>
    </w:p>
    <w:p>
      <w:pPr>
        <w:widowControl/>
        <w:spacing w:line="360" w:lineRule="auto"/>
        <w:ind w:firstLine="420" w:firstLineChars="200"/>
        <w:jc w:val="left"/>
        <w:rPr>
          <w:color w:val="auto"/>
          <w:highlight w:val="none"/>
        </w:rPr>
      </w:pPr>
      <w:r>
        <w:rPr>
          <w:rFonts w:hint="eastAsia"/>
          <w:color w:val="auto"/>
          <w:highlight w:val="none"/>
        </w:rPr>
        <w:t>(7) 《低影响开发雨水综合利用技术规范》（SZDB/Z145-2015）；</w:t>
      </w:r>
    </w:p>
    <w:p>
      <w:pPr>
        <w:widowControl/>
        <w:spacing w:line="360" w:lineRule="auto"/>
        <w:ind w:firstLine="420" w:firstLineChars="200"/>
        <w:jc w:val="left"/>
        <w:rPr>
          <w:rFonts w:ascii="宋体" w:hAnsi="宋体" w:cs="宋体"/>
          <w:color w:val="auto"/>
          <w:szCs w:val="21"/>
          <w:highlight w:val="none"/>
        </w:rPr>
      </w:pPr>
      <w:r>
        <w:rPr>
          <w:rFonts w:hint="eastAsia"/>
          <w:color w:val="auto"/>
          <w:highlight w:val="none"/>
        </w:rPr>
        <w:t>(8) 《广东省人民政府办公厅关于推进海绵城市建设的实施意见》。</w:t>
      </w:r>
      <w:r>
        <w:rPr>
          <w:rFonts w:hint="eastAsia" w:ascii="宋体" w:hAnsi="宋体" w:cs="宋体"/>
          <w:color w:val="auto"/>
          <w:szCs w:val="21"/>
          <w:highlight w:val="none"/>
        </w:rPr>
        <w:br w:type="page"/>
      </w:r>
    </w:p>
    <w:p>
      <w:pPr>
        <w:pStyle w:val="3"/>
        <w:rPr>
          <w:rFonts w:hint="default" w:cs="宋体"/>
          <w:color w:val="auto"/>
          <w:sz w:val="32"/>
          <w:szCs w:val="20"/>
          <w:highlight w:val="none"/>
        </w:rPr>
      </w:pPr>
      <w:r>
        <w:rPr>
          <w:rFonts w:cs="宋体"/>
          <w:color w:val="auto"/>
          <w:sz w:val="32"/>
          <w:szCs w:val="20"/>
          <w:highlight w:val="none"/>
        </w:rPr>
        <w:t>广州市石门国家森林公园基础设施配套完善建设项目设计</w:t>
      </w:r>
    </w:p>
    <w:p>
      <w:pPr>
        <w:widowControl/>
        <w:spacing w:line="360" w:lineRule="auto"/>
        <w:ind w:firstLine="420"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一、项目概况</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（一）项目名称：广州市石门国家森林公园基础设施配套完善建设项目</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（二）工程建设地点：广东省广州市从化区。</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主要建设内容：对园区内约24km道路进行基础配套升级及路面提升，含防护工程650m、排水工程3.02km、涵洞1处、及防撞工程；在现有1503个停车泊位基础上按10%比例增设绿色交通充电设施，并完善及新增17处接驳点；新增自然教育径7.6km，在提升后的道路上划线强化或在有条件的路段适当新增人行道约12km，共计19.6km，枫林红叶节点新增红叶云道1km，其中18.2km增加路面划线，强化骑行、电瓶车以及机动车行驶路权，并设置9处休憩点；增设或提升总建筑规模约1289㎡的服务设施，含一级服务设施1处及二级服务设施7处；建设一条长约10km的引水工程，并实施外电力工程，包括新建500kVA箱变1台、铺设ZRYJV22-70/2400米电缆及约2400米两孔行车管，并进行现场植被恢复；规划建设共计15处无人机起降点，无人机机库与附属配件15套，其中包含多旋翼无人机自动化机库4套、自动化机库附属配件6套、中型运载无人机机库5套；建设高地植物园，打造包含“四线”“十三园”“一基地”及“三馆”（含樱园科普馆、桃源科普馆、自然中心科普馆）的植物主题体系。共计6个子项，子项用地面积约368.3公顷。具体内容以项目咨询服务前期成果文件为准。</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（四）投资总额：总投资约为25865.41万元。其中，工程费用约为19657.89万元。</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（五）项目批准文件： </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（六）建设背景：为落实《</w:t>
      </w:r>
      <w:r>
        <w:rPr>
          <w:color w:val="auto"/>
          <w:highlight w:val="none"/>
        </w:rPr>
        <w:t>绿美广州五年行动计划（2023—2027年）</w:t>
      </w:r>
      <w:r>
        <w:rPr>
          <w:rFonts w:hint="eastAsia" w:ascii="宋体" w:hAnsi="宋体" w:cs="宋体"/>
          <w:color w:val="auto"/>
          <w:szCs w:val="21"/>
          <w:highlight w:val="none"/>
        </w:rPr>
        <w:t>》</w:t>
      </w:r>
      <w:r>
        <w:rPr>
          <w:rFonts w:hint="eastAsia"/>
          <w:color w:val="auto"/>
          <w:highlight w:val="none"/>
        </w:rPr>
        <w:t>的</w:t>
      </w:r>
      <w:r>
        <w:rPr>
          <w:rFonts w:hint="eastAsia" w:ascii="宋体" w:hAnsi="宋体" w:cs="宋体"/>
          <w:color w:val="auto"/>
          <w:szCs w:val="21"/>
          <w:highlight w:val="none"/>
        </w:rPr>
        <w:t>要求，</w:t>
      </w:r>
      <w:r>
        <w:rPr>
          <w:rFonts w:hint="eastAsia"/>
          <w:color w:val="auto"/>
          <w:highlight w:val="none"/>
        </w:rPr>
        <w:t>通过绿美广州生态建设，统筹山水林田湖海一体化保护和系统治理，强化国土空间规划和用途管控，实施重要生态系统保护和修复重大工程，开展大规模国土绿化行动，推动形成人与自然和谐发展现代化建设新格局</w:t>
      </w:r>
      <w:r>
        <w:rPr>
          <w:rFonts w:hint="eastAsia" w:ascii="宋体" w:hAnsi="宋体" w:cs="宋体"/>
          <w:color w:val="auto"/>
          <w:szCs w:val="21"/>
          <w:highlight w:val="none"/>
        </w:rPr>
        <w:t>，根据《关于推进环南昆山—罗浮山县镇村高质量发展引领区建设的意见》，</w:t>
      </w:r>
      <w:r>
        <w:rPr>
          <w:rFonts w:hint="eastAsia" w:ascii="Times New Roman" w:hAnsi="Times New Roman"/>
          <w:color w:val="auto"/>
          <w:highlight w:val="none"/>
        </w:rPr>
        <w:t>大力推进产业智能化绿色化融合化，推动森林温泉康养特色产业发展，打造一批森林温泉康养特色镇、康养社区，培育世界级森林温泉康养文旅品牌；促进文旅融合深度发展，打造具有“岭南味、乡土气、时尚感、未来范”的多样化、个性化消费场景；推动产业绿色智能转型，布局绿色能源、新型储能、生物医药、仿生智能制造等新兴产业和未来产业。</w:t>
      </w:r>
    </w:p>
    <w:p>
      <w:pPr>
        <w:widowControl/>
        <w:spacing w:line="360" w:lineRule="auto"/>
        <w:ind w:firstLine="420" w:firstLineChars="200"/>
        <w:jc w:val="left"/>
        <w:rPr>
          <w:rFonts w:ascii="宋体" w:hAnsi="宋体" w:cs="宋体"/>
          <w:b/>
          <w:bCs/>
          <w:color w:val="auto"/>
          <w:szCs w:val="21"/>
          <w:highlight w:val="none"/>
        </w:rPr>
      </w:pPr>
      <w:r>
        <w:rPr>
          <w:rFonts w:hint="eastAsia" w:ascii="宋体" w:hAnsi="宋体" w:cs="宋体"/>
          <w:b/>
          <w:bCs/>
          <w:color w:val="auto"/>
          <w:szCs w:val="21"/>
          <w:highlight w:val="none"/>
        </w:rPr>
        <w:t>二、服务要求</w:t>
      </w:r>
    </w:p>
    <w:p>
      <w:pPr>
        <w:widowControl/>
        <w:spacing w:line="360" w:lineRule="auto"/>
        <w:ind w:firstLine="420" w:firstLineChars="200"/>
        <w:jc w:val="left"/>
        <w:rPr>
          <w:color w:val="auto"/>
          <w:highlight w:val="none"/>
        </w:rPr>
      </w:pPr>
      <w:r>
        <w:rPr>
          <w:rFonts w:hint="eastAsia"/>
          <w:color w:val="auto"/>
          <w:highlight w:val="none"/>
        </w:rPr>
        <w:t>完成本项目所有建设内容的设计工作，主要包括：</w:t>
      </w:r>
    </w:p>
    <w:p>
      <w:pPr>
        <w:widowControl/>
        <w:spacing w:line="360" w:lineRule="auto"/>
        <w:ind w:firstLine="420" w:firstLineChars="200"/>
        <w:jc w:val="left"/>
        <w:rPr>
          <w:color w:val="auto"/>
          <w:highlight w:val="none"/>
        </w:rPr>
      </w:pPr>
      <w:r>
        <w:rPr>
          <w:rFonts w:hint="eastAsia"/>
          <w:color w:val="auto"/>
          <w:highlight w:val="none"/>
        </w:rPr>
        <w:t>1.设计主要阶段：方案设计、初步设计、施工图设计、竣工图编制。</w:t>
      </w:r>
    </w:p>
    <w:p>
      <w:pPr>
        <w:widowControl/>
        <w:spacing w:line="360" w:lineRule="auto"/>
        <w:ind w:firstLine="420" w:firstLineChars="200"/>
        <w:jc w:val="left"/>
        <w:rPr>
          <w:color w:val="auto"/>
          <w:highlight w:val="none"/>
        </w:rPr>
      </w:pPr>
      <w:r>
        <w:rPr>
          <w:rFonts w:hint="eastAsia"/>
          <w:color w:val="auto"/>
          <w:highlight w:val="none"/>
        </w:rPr>
        <w:t>2.其他工作：</w:t>
      </w:r>
    </w:p>
    <w:p>
      <w:pPr>
        <w:widowControl/>
        <w:spacing w:line="360" w:lineRule="auto"/>
        <w:ind w:firstLine="420" w:firstLineChars="200"/>
        <w:jc w:val="left"/>
        <w:rPr>
          <w:color w:val="auto"/>
          <w:highlight w:val="none"/>
        </w:rPr>
      </w:pPr>
      <w:r>
        <w:rPr>
          <w:rFonts w:hint="eastAsia"/>
          <w:color w:val="auto"/>
          <w:highlight w:val="none"/>
        </w:rPr>
        <w:t>（1）造价文件编制工作：完成本项目招标范围内工程投资估算、概（预）算、及设计变更及相关配合报审工作，细化设计过程的投资控制工作要求，包括分解、落实、反馈各阶段、各专业技术经济指标、限额设计量化指标；</w:t>
      </w:r>
    </w:p>
    <w:p>
      <w:pPr>
        <w:widowControl/>
        <w:spacing w:line="360" w:lineRule="auto"/>
        <w:ind w:firstLine="420" w:firstLineChars="200"/>
        <w:jc w:val="left"/>
        <w:rPr>
          <w:color w:val="auto"/>
          <w:highlight w:val="none"/>
        </w:rPr>
      </w:pPr>
      <w:r>
        <w:rPr>
          <w:rFonts w:hint="eastAsia"/>
          <w:color w:val="auto"/>
          <w:highlight w:val="none"/>
        </w:rPr>
        <w:t>（2）技术配合工作：招标人后续各类招标工作配合、施工配合、现场服务（设计驻场）、竣工图编制服务等；</w:t>
      </w:r>
    </w:p>
    <w:p>
      <w:pPr>
        <w:widowControl/>
        <w:spacing w:line="360" w:lineRule="auto"/>
        <w:ind w:firstLine="420" w:firstLineChars="200"/>
        <w:jc w:val="left"/>
        <w:rPr>
          <w:color w:val="auto"/>
          <w:highlight w:val="none"/>
        </w:rPr>
      </w:pPr>
      <w:r>
        <w:rPr>
          <w:rFonts w:hint="eastAsia"/>
          <w:color w:val="auto"/>
          <w:highlight w:val="none"/>
        </w:rPr>
        <w:t>（3）设计文件修改、完善工作：中标人应根据政府相关行政主管部门、行业主管部门的审批意见无条件地修改、完善各阶段的设计成果文件，确保其满足相关的审批要求；中标人应根据施工图审查单位的审查、招标人的设计评审、招标人组织的专业人士的意见对设计成果文件进行修改、完善。</w:t>
      </w:r>
      <w:bookmarkEnd w:id="186"/>
      <w:bookmarkEnd w:id="187"/>
    </w:p>
    <w:bookmarkEnd w:id="185"/>
    <w:p>
      <w:pPr>
        <w:widowControl/>
        <w:numPr>
          <w:ilvl w:val="255"/>
          <w:numId w:val="0"/>
        </w:numPr>
        <w:spacing w:line="360" w:lineRule="auto"/>
        <w:ind w:firstLine="420" w:firstLineChars="200"/>
        <w:jc w:val="left"/>
        <w:rPr>
          <w:rFonts w:ascii="宋体" w:hAnsi="宋体" w:cs="宋体"/>
          <w:b/>
          <w:bCs/>
          <w:color w:val="auto"/>
          <w:szCs w:val="21"/>
          <w:highlight w:val="none"/>
        </w:rPr>
      </w:pPr>
      <w:bookmarkStart w:id="188" w:name="_Toc30283"/>
      <w:bookmarkStart w:id="189" w:name="_Toc12002"/>
      <w:r>
        <w:rPr>
          <w:rFonts w:hint="eastAsia" w:ascii="宋体" w:hAnsi="宋体" w:cs="宋体"/>
          <w:b/>
          <w:bCs/>
          <w:color w:val="auto"/>
          <w:szCs w:val="21"/>
          <w:highlight w:val="none"/>
        </w:rPr>
        <w:t>三、设计服务期限</w:t>
      </w:r>
    </w:p>
    <w:p>
      <w:pPr>
        <w:widowControl/>
        <w:numPr>
          <w:ilvl w:val="255"/>
          <w:numId w:val="0"/>
        </w:numPr>
        <w:spacing w:line="360" w:lineRule="auto"/>
        <w:ind w:firstLine="420" w:firstLineChars="200"/>
        <w:jc w:val="left"/>
        <w:rPr>
          <w:color w:val="auto"/>
          <w:highlight w:val="none"/>
        </w:rPr>
      </w:pPr>
      <w:r>
        <w:rPr>
          <w:rFonts w:hint="eastAsia"/>
          <w:color w:val="auto"/>
          <w:highlight w:val="none"/>
        </w:rPr>
        <w:t>自合同签订生效之日起算，至按本合同约定设计人应承担的全部工作内容完成止。</w:t>
      </w:r>
    </w:p>
    <w:p>
      <w:pPr>
        <w:widowControl/>
        <w:numPr>
          <w:ilvl w:val="255"/>
          <w:numId w:val="0"/>
        </w:numPr>
        <w:spacing w:line="360" w:lineRule="auto"/>
        <w:ind w:firstLine="420" w:firstLineChars="200"/>
        <w:jc w:val="left"/>
        <w:rPr>
          <w:rFonts w:ascii="宋体" w:hAnsi="宋体" w:cs="宋体"/>
          <w:b/>
          <w:bCs/>
          <w:color w:val="auto"/>
          <w:szCs w:val="21"/>
          <w:highlight w:val="none"/>
        </w:rPr>
      </w:pPr>
      <w:r>
        <w:rPr>
          <w:rFonts w:hint="eastAsia" w:ascii="宋体" w:hAnsi="宋体" w:cs="宋体"/>
          <w:b/>
          <w:bCs/>
          <w:color w:val="auto"/>
          <w:szCs w:val="21"/>
          <w:highlight w:val="none"/>
        </w:rPr>
        <w:t>四、政策依据</w:t>
      </w:r>
    </w:p>
    <w:p>
      <w:pPr>
        <w:widowControl/>
        <w:spacing w:line="360" w:lineRule="auto"/>
        <w:ind w:firstLine="420" w:firstLineChars="200"/>
        <w:jc w:val="left"/>
        <w:rPr>
          <w:color w:val="auto"/>
          <w:highlight w:val="none"/>
        </w:rPr>
      </w:pPr>
      <w:r>
        <w:rPr>
          <w:rFonts w:hint="eastAsia"/>
          <w:color w:val="auto"/>
          <w:highlight w:val="none"/>
        </w:rPr>
        <w:t>1..国家、省市相关政策（如有更新版政策文件，按更新版政策文件执行）</w:t>
      </w:r>
    </w:p>
    <w:p>
      <w:pPr>
        <w:widowControl/>
        <w:spacing w:line="360" w:lineRule="auto"/>
        <w:ind w:firstLine="420" w:firstLineChars="200"/>
        <w:jc w:val="left"/>
        <w:rPr>
          <w:color w:val="auto"/>
          <w:highlight w:val="none"/>
        </w:rPr>
      </w:pPr>
      <w:r>
        <w:rPr>
          <w:rFonts w:hint="eastAsia"/>
          <w:color w:val="auto"/>
          <w:highlight w:val="none"/>
        </w:rPr>
        <w:t>(1)《习近平生态文明思想学习纲要》；</w:t>
      </w:r>
    </w:p>
    <w:p>
      <w:pPr>
        <w:widowControl/>
        <w:spacing w:line="360" w:lineRule="auto"/>
        <w:ind w:firstLine="420" w:firstLineChars="200"/>
        <w:jc w:val="left"/>
        <w:rPr>
          <w:color w:val="auto"/>
          <w:highlight w:val="none"/>
        </w:rPr>
      </w:pPr>
      <w:r>
        <w:rPr>
          <w:rFonts w:hint="eastAsia"/>
          <w:color w:val="auto"/>
          <w:highlight w:val="none"/>
        </w:rPr>
        <w:t>(2)《中共广东省委关于实施“百县千镇万村高质量发展工程”促进城乡区域协调发展的决定》；</w:t>
      </w:r>
    </w:p>
    <w:p>
      <w:pPr>
        <w:widowControl/>
        <w:spacing w:line="360" w:lineRule="auto"/>
        <w:ind w:firstLine="420" w:firstLineChars="200"/>
        <w:jc w:val="left"/>
        <w:rPr>
          <w:color w:val="auto"/>
          <w:highlight w:val="none"/>
        </w:rPr>
      </w:pPr>
      <w:r>
        <w:rPr>
          <w:rFonts w:hint="eastAsia"/>
          <w:color w:val="auto"/>
          <w:highlight w:val="none"/>
        </w:rPr>
        <w:t>(3)《绿美广州五年行动计划（2023—2027年）》；</w:t>
      </w:r>
    </w:p>
    <w:p>
      <w:pPr>
        <w:widowControl/>
        <w:spacing w:line="360" w:lineRule="auto"/>
        <w:ind w:firstLine="420" w:firstLineChars="200"/>
        <w:jc w:val="left"/>
        <w:rPr>
          <w:color w:val="auto"/>
          <w:highlight w:val="none"/>
        </w:rPr>
      </w:pPr>
      <w:r>
        <w:rPr>
          <w:rFonts w:hint="eastAsia"/>
          <w:color w:val="auto"/>
          <w:highlight w:val="none"/>
        </w:rPr>
        <w:t>(4)《中华人民共和国城乡规划法》（2019年修正）；</w:t>
      </w:r>
    </w:p>
    <w:p>
      <w:pPr>
        <w:widowControl/>
        <w:spacing w:line="360" w:lineRule="auto"/>
        <w:ind w:firstLine="420" w:firstLineChars="200"/>
        <w:jc w:val="left"/>
        <w:rPr>
          <w:color w:val="auto"/>
          <w:highlight w:val="none"/>
        </w:rPr>
      </w:pPr>
      <w:r>
        <w:rPr>
          <w:rFonts w:hint="eastAsia"/>
          <w:color w:val="auto"/>
          <w:highlight w:val="none"/>
        </w:rPr>
        <w:t>(5)《中华人民共和国国民经济和社会发展第十四个五年规划和2035年远景目标纲要》；</w:t>
      </w:r>
    </w:p>
    <w:p>
      <w:pPr>
        <w:widowControl/>
        <w:spacing w:line="360" w:lineRule="auto"/>
        <w:ind w:firstLine="420" w:firstLineChars="200"/>
        <w:jc w:val="left"/>
        <w:rPr>
          <w:color w:val="auto"/>
          <w:highlight w:val="none"/>
        </w:rPr>
      </w:pPr>
      <w:r>
        <w:rPr>
          <w:rFonts w:hint="eastAsia"/>
          <w:color w:val="auto"/>
          <w:highlight w:val="none"/>
        </w:rPr>
        <w:t>(6)《“健康中国2030”规划纲要》；</w:t>
      </w:r>
    </w:p>
    <w:p>
      <w:pPr>
        <w:widowControl/>
        <w:spacing w:line="360" w:lineRule="auto"/>
        <w:ind w:firstLine="420" w:firstLineChars="200"/>
        <w:jc w:val="left"/>
        <w:rPr>
          <w:color w:val="auto"/>
          <w:highlight w:val="none"/>
        </w:rPr>
      </w:pPr>
      <w:r>
        <w:rPr>
          <w:rFonts w:hint="eastAsia"/>
          <w:color w:val="auto"/>
          <w:highlight w:val="none"/>
        </w:rPr>
        <w:t>(7)《关于进一步加强生物多样性保护的意见》；</w:t>
      </w:r>
    </w:p>
    <w:p>
      <w:pPr>
        <w:widowControl/>
        <w:spacing w:line="360" w:lineRule="auto"/>
        <w:ind w:firstLine="420" w:firstLineChars="200"/>
        <w:jc w:val="left"/>
        <w:rPr>
          <w:color w:val="auto"/>
          <w:highlight w:val="none"/>
        </w:rPr>
      </w:pPr>
      <w:r>
        <w:rPr>
          <w:rFonts w:hint="eastAsia"/>
          <w:color w:val="auto"/>
          <w:highlight w:val="none"/>
        </w:rPr>
        <w:t>(8)《关于建设高质量户外运动目的地的指导意见》；</w:t>
      </w:r>
    </w:p>
    <w:p>
      <w:pPr>
        <w:widowControl/>
        <w:spacing w:line="360" w:lineRule="auto"/>
        <w:ind w:firstLine="420" w:firstLineChars="200"/>
        <w:jc w:val="left"/>
        <w:rPr>
          <w:color w:val="auto"/>
          <w:highlight w:val="none"/>
        </w:rPr>
      </w:pPr>
      <w:r>
        <w:rPr>
          <w:rFonts w:hint="eastAsia"/>
          <w:color w:val="auto"/>
          <w:highlight w:val="none"/>
        </w:rPr>
        <w:t>(9)《国务院办公厅关于促进全域旅游发展的指导意见》国办发〔2018〕15号；</w:t>
      </w:r>
    </w:p>
    <w:p>
      <w:pPr>
        <w:widowControl/>
        <w:spacing w:line="360" w:lineRule="auto"/>
        <w:ind w:firstLine="420" w:firstLineChars="200"/>
        <w:jc w:val="left"/>
        <w:rPr>
          <w:color w:val="auto"/>
          <w:highlight w:val="none"/>
        </w:rPr>
      </w:pPr>
      <w:r>
        <w:rPr>
          <w:rFonts w:hint="eastAsia"/>
          <w:color w:val="auto"/>
          <w:highlight w:val="none"/>
        </w:rPr>
        <w:t>(10)《进一步优化供给推动消费平稳增长促进形成强大国内市场的实施方案（2019年）》（发改综合〔2019〕181号）；</w:t>
      </w:r>
    </w:p>
    <w:p>
      <w:pPr>
        <w:widowControl/>
        <w:spacing w:line="360" w:lineRule="auto"/>
        <w:ind w:firstLine="420" w:firstLineChars="200"/>
        <w:jc w:val="left"/>
        <w:rPr>
          <w:color w:val="auto"/>
          <w:highlight w:val="none"/>
        </w:rPr>
      </w:pPr>
      <w:r>
        <w:rPr>
          <w:rFonts w:hint="eastAsia"/>
          <w:color w:val="auto"/>
          <w:highlight w:val="none"/>
        </w:rPr>
        <w:t>(11)《“十四五”文化发展规划》；</w:t>
      </w:r>
    </w:p>
    <w:p>
      <w:pPr>
        <w:widowControl/>
        <w:spacing w:line="360" w:lineRule="auto"/>
        <w:ind w:firstLine="420" w:firstLineChars="200"/>
        <w:jc w:val="left"/>
        <w:rPr>
          <w:color w:val="auto"/>
          <w:highlight w:val="none"/>
        </w:rPr>
      </w:pPr>
      <w:r>
        <w:rPr>
          <w:rFonts w:hint="eastAsia"/>
          <w:color w:val="auto"/>
          <w:highlight w:val="none"/>
        </w:rPr>
        <w:t>(12)《广州市国土空间总体规划（2021-2035年）》；</w:t>
      </w:r>
    </w:p>
    <w:p>
      <w:pPr>
        <w:widowControl/>
        <w:spacing w:line="360" w:lineRule="auto"/>
        <w:ind w:firstLine="420" w:firstLineChars="200"/>
        <w:jc w:val="left"/>
        <w:rPr>
          <w:color w:val="auto"/>
          <w:highlight w:val="none"/>
        </w:rPr>
      </w:pPr>
      <w:r>
        <w:rPr>
          <w:rFonts w:hint="eastAsia"/>
          <w:color w:val="auto"/>
          <w:highlight w:val="none"/>
        </w:rPr>
        <w:t>(13)《广州市从化区国土空间总体规划（2021-2035年）》；</w:t>
      </w:r>
    </w:p>
    <w:p>
      <w:pPr>
        <w:widowControl/>
        <w:spacing w:line="360" w:lineRule="auto"/>
        <w:ind w:firstLine="420" w:firstLineChars="200"/>
        <w:jc w:val="left"/>
        <w:rPr>
          <w:color w:val="auto"/>
          <w:highlight w:val="none"/>
        </w:rPr>
      </w:pPr>
      <w:r>
        <w:rPr>
          <w:rFonts w:hint="eastAsia"/>
          <w:color w:val="auto"/>
          <w:highlight w:val="none"/>
        </w:rPr>
        <w:t>(14)《广州市国民经济和社会发展第十四个五年规划和2035年远景目标纲要》；</w:t>
      </w:r>
    </w:p>
    <w:p>
      <w:pPr>
        <w:widowControl/>
        <w:spacing w:line="360" w:lineRule="auto"/>
        <w:ind w:firstLine="420" w:firstLineChars="200"/>
        <w:jc w:val="left"/>
        <w:rPr>
          <w:color w:val="auto"/>
          <w:highlight w:val="none"/>
        </w:rPr>
      </w:pPr>
      <w:r>
        <w:rPr>
          <w:rFonts w:hint="eastAsia"/>
          <w:color w:val="auto"/>
          <w:highlight w:val="none"/>
        </w:rPr>
        <w:t>(15)《广州市城乡规划技术规定》；</w:t>
      </w:r>
    </w:p>
    <w:p>
      <w:pPr>
        <w:widowControl/>
        <w:spacing w:line="360" w:lineRule="auto"/>
        <w:ind w:firstLine="420" w:firstLineChars="200"/>
        <w:jc w:val="left"/>
        <w:rPr>
          <w:color w:val="auto"/>
          <w:highlight w:val="none"/>
        </w:rPr>
      </w:pPr>
      <w:r>
        <w:rPr>
          <w:rFonts w:hint="eastAsia"/>
          <w:color w:val="auto"/>
          <w:highlight w:val="none"/>
        </w:rPr>
        <w:t>(16)《广州市自然保护地规划（2023-2035年）》；</w:t>
      </w:r>
    </w:p>
    <w:p>
      <w:pPr>
        <w:widowControl/>
        <w:spacing w:line="360" w:lineRule="auto"/>
        <w:ind w:firstLine="420" w:firstLineChars="200"/>
        <w:jc w:val="left"/>
        <w:rPr>
          <w:color w:val="auto"/>
          <w:highlight w:val="none"/>
        </w:rPr>
      </w:pPr>
      <w:r>
        <w:rPr>
          <w:rFonts w:hint="eastAsia"/>
          <w:color w:val="auto"/>
          <w:highlight w:val="none"/>
        </w:rPr>
        <w:t>(17)《广东石门国家森林公园总体规划（修编）（2017-2026年）》；</w:t>
      </w:r>
    </w:p>
    <w:p>
      <w:pPr>
        <w:widowControl/>
        <w:spacing w:line="360" w:lineRule="auto"/>
        <w:ind w:firstLine="420" w:firstLineChars="200"/>
        <w:jc w:val="left"/>
        <w:rPr>
          <w:color w:val="auto"/>
          <w:highlight w:val="none"/>
        </w:rPr>
      </w:pPr>
      <w:r>
        <w:rPr>
          <w:rFonts w:hint="eastAsia"/>
          <w:color w:val="auto"/>
          <w:highlight w:val="none"/>
        </w:rPr>
        <w:t>(18)其他有关的法律法规、规范标准、政策、规划等。</w:t>
      </w:r>
    </w:p>
    <w:p>
      <w:pPr>
        <w:widowControl/>
        <w:spacing w:line="360" w:lineRule="auto"/>
        <w:ind w:firstLine="420" w:firstLineChars="200"/>
        <w:jc w:val="left"/>
        <w:rPr>
          <w:color w:val="auto"/>
          <w:highlight w:val="none"/>
        </w:rPr>
      </w:pPr>
      <w:r>
        <w:rPr>
          <w:rFonts w:hint="eastAsia"/>
          <w:color w:val="auto"/>
          <w:highlight w:val="none"/>
        </w:rPr>
        <w:t>2.设计规范（如有更新版规范文件，按更新版规范文件执行）</w:t>
      </w:r>
    </w:p>
    <w:p>
      <w:pPr>
        <w:widowControl/>
        <w:spacing w:line="360" w:lineRule="auto"/>
        <w:ind w:firstLine="420" w:firstLineChars="200"/>
        <w:jc w:val="left"/>
        <w:rPr>
          <w:color w:val="auto"/>
          <w:highlight w:val="none"/>
        </w:rPr>
      </w:pPr>
      <w:r>
        <w:rPr>
          <w:rFonts w:hint="eastAsia"/>
          <w:color w:val="auto"/>
          <w:highlight w:val="none"/>
        </w:rPr>
        <w:t>(1)《消防给水及消火栓系统技术规范》（GB50974-2014）；</w:t>
      </w:r>
    </w:p>
    <w:p>
      <w:pPr>
        <w:widowControl/>
        <w:spacing w:line="360" w:lineRule="auto"/>
        <w:ind w:firstLine="420" w:firstLineChars="200"/>
        <w:jc w:val="left"/>
        <w:rPr>
          <w:color w:val="auto"/>
          <w:highlight w:val="none"/>
        </w:rPr>
      </w:pPr>
      <w:r>
        <w:rPr>
          <w:rFonts w:hint="eastAsia"/>
          <w:color w:val="auto"/>
          <w:highlight w:val="none"/>
        </w:rPr>
        <w:t>(2)《建筑结构可靠性设计统一标准》（GB50068-2018）；</w:t>
      </w:r>
    </w:p>
    <w:p>
      <w:pPr>
        <w:widowControl/>
        <w:spacing w:line="360" w:lineRule="auto"/>
        <w:ind w:firstLine="420" w:firstLineChars="200"/>
        <w:jc w:val="left"/>
        <w:rPr>
          <w:color w:val="auto"/>
          <w:highlight w:val="none"/>
        </w:rPr>
      </w:pPr>
      <w:r>
        <w:rPr>
          <w:rFonts w:hint="eastAsia"/>
          <w:color w:val="auto"/>
          <w:highlight w:val="none"/>
        </w:rPr>
        <w:t>(3)《城市电力规划规范》（GB50293-2014）；</w:t>
      </w:r>
    </w:p>
    <w:p>
      <w:pPr>
        <w:widowControl/>
        <w:spacing w:line="360" w:lineRule="auto"/>
        <w:ind w:firstLine="420" w:firstLineChars="200"/>
        <w:jc w:val="left"/>
        <w:rPr>
          <w:color w:val="auto"/>
          <w:highlight w:val="none"/>
        </w:rPr>
      </w:pPr>
      <w:r>
        <w:rPr>
          <w:rFonts w:hint="eastAsia"/>
          <w:color w:val="auto"/>
          <w:highlight w:val="none"/>
        </w:rPr>
        <w:t>(4)《城市排水工程规划规范》（GB50318-2017）；</w:t>
      </w:r>
    </w:p>
    <w:p>
      <w:pPr>
        <w:widowControl/>
        <w:spacing w:line="360" w:lineRule="auto"/>
        <w:ind w:firstLine="420" w:firstLineChars="200"/>
        <w:jc w:val="left"/>
        <w:rPr>
          <w:color w:val="auto"/>
          <w:highlight w:val="none"/>
        </w:rPr>
      </w:pPr>
      <w:r>
        <w:rPr>
          <w:rFonts w:hint="eastAsia"/>
          <w:color w:val="auto"/>
          <w:highlight w:val="none"/>
        </w:rPr>
        <w:t>(5)《无障碍设计规范》（GB50763-2022）；</w:t>
      </w:r>
    </w:p>
    <w:p>
      <w:pPr>
        <w:widowControl/>
        <w:spacing w:line="360" w:lineRule="auto"/>
        <w:ind w:firstLine="420" w:firstLineChars="200"/>
        <w:jc w:val="left"/>
        <w:rPr>
          <w:color w:val="auto"/>
          <w:highlight w:val="none"/>
        </w:rPr>
      </w:pPr>
      <w:r>
        <w:rPr>
          <w:rFonts w:hint="eastAsia"/>
          <w:color w:val="auto"/>
          <w:highlight w:val="none"/>
        </w:rPr>
        <w:t>(6)《建筑给排水设计规范》（GB50015-2021）；</w:t>
      </w:r>
    </w:p>
    <w:p>
      <w:pPr>
        <w:widowControl/>
        <w:spacing w:line="360" w:lineRule="auto"/>
        <w:ind w:firstLine="420" w:firstLineChars="200"/>
        <w:jc w:val="left"/>
        <w:rPr>
          <w:color w:val="auto"/>
          <w:highlight w:val="none"/>
        </w:rPr>
      </w:pPr>
      <w:r>
        <w:rPr>
          <w:rFonts w:hint="eastAsia"/>
          <w:color w:val="auto"/>
          <w:highlight w:val="none"/>
        </w:rPr>
        <w:t>(7)《民用建筑设计统一标准》（GB50352-2019）；</w:t>
      </w:r>
    </w:p>
    <w:p>
      <w:pPr>
        <w:widowControl/>
        <w:spacing w:line="360" w:lineRule="auto"/>
        <w:ind w:firstLine="420" w:firstLineChars="200"/>
        <w:jc w:val="left"/>
        <w:rPr>
          <w:color w:val="auto"/>
          <w:highlight w:val="none"/>
        </w:rPr>
      </w:pPr>
      <w:r>
        <w:rPr>
          <w:rFonts w:hint="eastAsia"/>
          <w:color w:val="auto"/>
          <w:highlight w:val="none"/>
        </w:rPr>
        <w:t>(8)《民用建筑绿色设计规范》（JGJ/T229-2010）；</w:t>
      </w:r>
    </w:p>
    <w:p>
      <w:pPr>
        <w:widowControl/>
        <w:spacing w:line="360" w:lineRule="auto"/>
        <w:ind w:firstLine="420" w:firstLineChars="200"/>
        <w:jc w:val="left"/>
        <w:rPr>
          <w:color w:val="auto"/>
          <w:highlight w:val="none"/>
        </w:rPr>
      </w:pPr>
      <w:r>
        <w:rPr>
          <w:rFonts w:hint="eastAsia"/>
          <w:color w:val="auto"/>
          <w:highlight w:val="none"/>
        </w:rPr>
        <w:t>(9)《园林环境提升项目规范》（GB 55014-2021）；</w:t>
      </w:r>
    </w:p>
    <w:p>
      <w:pPr>
        <w:widowControl/>
        <w:spacing w:line="360" w:lineRule="auto"/>
        <w:ind w:firstLine="420" w:firstLineChars="200"/>
        <w:jc w:val="left"/>
        <w:rPr>
          <w:color w:val="auto"/>
          <w:highlight w:val="none"/>
        </w:rPr>
      </w:pPr>
      <w:r>
        <w:rPr>
          <w:rFonts w:hint="eastAsia"/>
          <w:color w:val="auto"/>
          <w:highlight w:val="none"/>
        </w:rPr>
        <w:t>(10)《建筑防火通用规范》（GB 55037-2022）；</w:t>
      </w:r>
    </w:p>
    <w:p>
      <w:pPr>
        <w:widowControl/>
        <w:spacing w:line="360" w:lineRule="auto"/>
        <w:ind w:firstLine="420" w:firstLineChars="200"/>
        <w:jc w:val="left"/>
        <w:rPr>
          <w:color w:val="auto"/>
          <w:highlight w:val="none"/>
        </w:rPr>
      </w:pPr>
      <w:r>
        <w:rPr>
          <w:rFonts w:hint="eastAsia"/>
          <w:color w:val="auto"/>
          <w:highlight w:val="none"/>
        </w:rPr>
        <w:t>(11)《消防设施通用规范》（GB 55036-2022）；</w:t>
      </w:r>
    </w:p>
    <w:p>
      <w:pPr>
        <w:widowControl/>
        <w:spacing w:line="360" w:lineRule="auto"/>
        <w:ind w:firstLine="420" w:firstLineChars="200"/>
        <w:jc w:val="left"/>
        <w:rPr>
          <w:color w:val="auto"/>
          <w:highlight w:val="none"/>
        </w:rPr>
      </w:pPr>
      <w:r>
        <w:rPr>
          <w:rFonts w:hint="eastAsia"/>
          <w:color w:val="auto"/>
          <w:highlight w:val="none"/>
        </w:rPr>
        <w:t>(12)《建筑给水排水与节水通用规范》（GB 55020-2021）；</w:t>
      </w:r>
    </w:p>
    <w:p>
      <w:pPr>
        <w:widowControl/>
        <w:spacing w:line="360" w:lineRule="auto"/>
        <w:ind w:firstLine="420" w:firstLineChars="200"/>
        <w:jc w:val="left"/>
        <w:rPr>
          <w:color w:val="auto"/>
          <w:highlight w:val="none"/>
        </w:rPr>
      </w:pPr>
      <w:r>
        <w:rPr>
          <w:rFonts w:hint="eastAsia"/>
          <w:color w:val="auto"/>
          <w:highlight w:val="none"/>
        </w:rPr>
        <w:t>(13)《建筑照明设计标准》（GB 50034-2024）；</w:t>
      </w:r>
    </w:p>
    <w:p>
      <w:pPr>
        <w:widowControl/>
        <w:spacing w:line="360" w:lineRule="auto"/>
        <w:ind w:firstLine="420" w:firstLineChars="200"/>
        <w:jc w:val="left"/>
        <w:rPr>
          <w:color w:val="auto"/>
          <w:highlight w:val="none"/>
        </w:rPr>
      </w:pPr>
      <w:r>
        <w:rPr>
          <w:rFonts w:hint="eastAsia"/>
          <w:color w:val="auto"/>
          <w:highlight w:val="none"/>
        </w:rPr>
        <w:t>(14)《建筑设计防火规范》（GB 50016-2018）。</w:t>
      </w:r>
    </w:p>
    <w:p>
      <w:pPr>
        <w:widowControl/>
        <w:spacing w:line="360" w:lineRule="auto"/>
        <w:ind w:firstLine="420" w:firstLineChars="200"/>
        <w:jc w:val="left"/>
        <w:rPr>
          <w:color w:val="auto"/>
          <w:highlight w:val="none"/>
        </w:rPr>
      </w:pPr>
      <w:r>
        <w:rPr>
          <w:rFonts w:hint="eastAsia"/>
          <w:color w:val="auto"/>
          <w:highlight w:val="none"/>
        </w:rPr>
        <w:t>(15)《海绵城市建设项目设计、施工和运行维护技术规程》DB4401/T253-2024；</w:t>
      </w:r>
    </w:p>
    <w:p>
      <w:pPr>
        <w:widowControl/>
        <w:spacing w:line="360" w:lineRule="auto"/>
        <w:ind w:firstLine="420" w:firstLineChars="200"/>
        <w:jc w:val="left"/>
        <w:rPr>
          <w:color w:val="auto"/>
          <w:highlight w:val="none"/>
        </w:rPr>
      </w:pPr>
      <w:r>
        <w:rPr>
          <w:rFonts w:hint="eastAsia"/>
          <w:color w:val="auto"/>
          <w:highlight w:val="none"/>
        </w:rPr>
        <w:t>(16)《城市给水工程项目规范》（GB55026-2022）；</w:t>
      </w:r>
    </w:p>
    <w:p>
      <w:pPr>
        <w:widowControl/>
        <w:spacing w:line="360" w:lineRule="auto"/>
        <w:ind w:firstLine="420" w:firstLineChars="200"/>
        <w:jc w:val="left"/>
        <w:rPr>
          <w:color w:val="auto"/>
          <w:highlight w:val="none"/>
        </w:rPr>
      </w:pPr>
      <w:r>
        <w:rPr>
          <w:rFonts w:hint="eastAsia"/>
          <w:color w:val="auto"/>
          <w:highlight w:val="none"/>
        </w:rPr>
        <w:t>(17)《城乡排水工程项目规范》（GB55026-2022）；</w:t>
      </w:r>
    </w:p>
    <w:p>
      <w:pPr>
        <w:widowControl/>
        <w:spacing w:line="360" w:lineRule="auto"/>
        <w:ind w:firstLine="420" w:firstLineChars="200"/>
        <w:jc w:val="left"/>
        <w:rPr>
          <w:color w:val="auto"/>
          <w:highlight w:val="none"/>
        </w:rPr>
      </w:pPr>
      <w:r>
        <w:rPr>
          <w:rFonts w:hint="eastAsia"/>
          <w:color w:val="auto"/>
          <w:highlight w:val="none"/>
        </w:rPr>
        <w:t>(18)《给水排水管道工程施工及验收规范》（GB50268-2008）；</w:t>
      </w:r>
    </w:p>
    <w:p>
      <w:pPr>
        <w:widowControl/>
        <w:spacing w:line="360" w:lineRule="auto"/>
        <w:ind w:firstLine="420" w:firstLineChars="200"/>
        <w:jc w:val="left"/>
        <w:rPr>
          <w:color w:val="auto"/>
          <w:highlight w:val="none"/>
        </w:rPr>
      </w:pPr>
      <w:r>
        <w:rPr>
          <w:rFonts w:hint="eastAsia"/>
          <w:color w:val="auto"/>
          <w:highlight w:val="none"/>
        </w:rPr>
        <w:t>(19)《给水排水工程管道结构设计规范》（GB50332-2022）；</w:t>
      </w:r>
    </w:p>
    <w:p>
      <w:pPr>
        <w:widowControl/>
        <w:spacing w:line="360" w:lineRule="auto"/>
        <w:ind w:firstLine="420" w:firstLineChars="200"/>
        <w:jc w:val="left"/>
        <w:rPr>
          <w:color w:val="auto"/>
          <w:highlight w:val="none"/>
        </w:rPr>
      </w:pPr>
      <w:r>
        <w:rPr>
          <w:rFonts w:hint="eastAsia"/>
          <w:color w:val="auto"/>
          <w:highlight w:val="none"/>
        </w:rPr>
        <w:t>(20)《给水排水工程构筑物结构设计规范》（GB50069-2016）；</w:t>
      </w:r>
    </w:p>
    <w:p>
      <w:pPr>
        <w:widowControl/>
        <w:spacing w:line="360" w:lineRule="auto"/>
        <w:ind w:firstLine="420" w:firstLineChars="200"/>
        <w:jc w:val="left"/>
        <w:rPr>
          <w:color w:val="auto"/>
          <w:highlight w:val="none"/>
        </w:rPr>
      </w:pPr>
      <w:r>
        <w:rPr>
          <w:rFonts w:hint="eastAsia"/>
          <w:color w:val="auto"/>
          <w:highlight w:val="none"/>
        </w:rPr>
        <w:t>(21)《城市给水工程规划规范》（GB50282-2022）；</w:t>
      </w:r>
    </w:p>
    <w:p>
      <w:pPr>
        <w:widowControl/>
        <w:spacing w:line="360" w:lineRule="auto"/>
        <w:ind w:firstLine="420" w:firstLineChars="200"/>
        <w:jc w:val="left"/>
        <w:rPr>
          <w:color w:val="auto"/>
          <w:highlight w:val="none"/>
        </w:rPr>
      </w:pPr>
      <w:r>
        <w:rPr>
          <w:rFonts w:hint="eastAsia"/>
          <w:color w:val="auto"/>
          <w:highlight w:val="none"/>
        </w:rPr>
        <w:t>(22)《城市电力规划规范》（GB/T50293-2019）；</w:t>
      </w:r>
    </w:p>
    <w:p>
      <w:pPr>
        <w:widowControl/>
        <w:spacing w:line="360" w:lineRule="auto"/>
        <w:ind w:firstLine="420" w:firstLineChars="200"/>
        <w:jc w:val="left"/>
        <w:rPr>
          <w:color w:val="auto"/>
          <w:highlight w:val="none"/>
        </w:rPr>
      </w:pPr>
      <w:r>
        <w:rPr>
          <w:rFonts w:hint="eastAsia"/>
          <w:color w:val="auto"/>
          <w:highlight w:val="none"/>
        </w:rPr>
        <w:t>(23)《室外排水设计标准》（GB50014-2021）；</w:t>
      </w:r>
    </w:p>
    <w:p>
      <w:pPr>
        <w:widowControl/>
        <w:spacing w:line="360" w:lineRule="auto"/>
        <w:ind w:firstLine="420" w:firstLineChars="200"/>
        <w:jc w:val="left"/>
        <w:rPr>
          <w:color w:val="auto"/>
          <w:highlight w:val="none"/>
        </w:rPr>
      </w:pPr>
      <w:r>
        <w:rPr>
          <w:rFonts w:hint="eastAsia"/>
          <w:color w:val="auto"/>
          <w:highlight w:val="none"/>
        </w:rPr>
        <w:t>(24)《室外给水设计标准》（GB50013-2018）；</w:t>
      </w:r>
    </w:p>
    <w:p>
      <w:pPr>
        <w:widowControl/>
        <w:spacing w:line="360" w:lineRule="auto"/>
        <w:ind w:firstLine="420" w:firstLineChars="200"/>
        <w:jc w:val="left"/>
        <w:rPr>
          <w:color w:val="auto"/>
          <w:highlight w:val="none"/>
        </w:rPr>
      </w:pPr>
      <w:r>
        <w:rPr>
          <w:rFonts w:hint="eastAsia"/>
          <w:color w:val="auto"/>
          <w:highlight w:val="none"/>
        </w:rPr>
        <w:t>(25)《城市工程管线综合规划规范》（GB50289-2021）；</w:t>
      </w:r>
    </w:p>
    <w:p>
      <w:pPr>
        <w:widowControl/>
        <w:spacing w:line="360" w:lineRule="auto"/>
        <w:ind w:firstLine="420" w:firstLineChars="200"/>
        <w:jc w:val="left"/>
        <w:rPr>
          <w:color w:val="auto"/>
          <w:highlight w:val="none"/>
        </w:rPr>
      </w:pPr>
      <w:r>
        <w:rPr>
          <w:rFonts w:hint="eastAsia"/>
          <w:color w:val="auto"/>
          <w:highlight w:val="none"/>
        </w:rPr>
        <w:t>(26)《城市给水工程项目规范》（GB55026-2022）；</w:t>
      </w:r>
    </w:p>
    <w:p>
      <w:pPr>
        <w:widowControl/>
        <w:spacing w:line="360" w:lineRule="auto"/>
        <w:ind w:firstLine="420" w:firstLineChars="200"/>
        <w:jc w:val="left"/>
        <w:rPr>
          <w:color w:val="auto"/>
          <w:highlight w:val="none"/>
        </w:rPr>
      </w:pPr>
      <w:r>
        <w:rPr>
          <w:rFonts w:hint="eastAsia"/>
          <w:color w:val="auto"/>
          <w:highlight w:val="none"/>
        </w:rPr>
        <w:t>(27)《给水排水标准图集—市政排水管道工程及附属设施》（06MS201）。</w:t>
      </w:r>
    </w:p>
    <w:p>
      <w:pPr>
        <w:widowControl/>
        <w:spacing w:line="360" w:lineRule="auto"/>
        <w:ind w:firstLine="420" w:firstLineChars="200"/>
        <w:jc w:val="left"/>
        <w:rPr>
          <w:color w:val="auto"/>
          <w:highlight w:val="none"/>
        </w:rPr>
      </w:pPr>
      <w:r>
        <w:rPr>
          <w:rFonts w:hint="eastAsia"/>
          <w:color w:val="auto"/>
          <w:highlight w:val="none"/>
        </w:rPr>
        <w:t>(28)《城市道路照明设计标准》（CJJ45-2020）；</w:t>
      </w:r>
    </w:p>
    <w:p>
      <w:pPr>
        <w:widowControl/>
        <w:spacing w:line="360" w:lineRule="auto"/>
        <w:ind w:firstLine="420" w:firstLineChars="200"/>
        <w:jc w:val="left"/>
        <w:rPr>
          <w:color w:val="auto"/>
          <w:highlight w:val="none"/>
        </w:rPr>
      </w:pPr>
      <w:r>
        <w:rPr>
          <w:rFonts w:hint="eastAsia"/>
          <w:color w:val="auto"/>
          <w:highlight w:val="none"/>
        </w:rPr>
        <w:t>(29)《城市道路照明施工及验收规程》（CJJ89-2022）；</w:t>
      </w:r>
    </w:p>
    <w:p>
      <w:pPr>
        <w:widowControl/>
        <w:spacing w:line="360" w:lineRule="auto"/>
        <w:ind w:firstLine="420" w:firstLineChars="200"/>
        <w:jc w:val="left"/>
        <w:rPr>
          <w:color w:val="auto"/>
          <w:highlight w:val="none"/>
        </w:rPr>
      </w:pPr>
      <w:r>
        <w:rPr>
          <w:rFonts w:hint="eastAsia"/>
          <w:color w:val="auto"/>
          <w:highlight w:val="none"/>
        </w:rPr>
        <w:t>(30)《广东省 LED 路灯地方标准》（DB44/T609-2009）；</w:t>
      </w:r>
    </w:p>
    <w:p>
      <w:pPr>
        <w:widowControl/>
        <w:spacing w:line="360" w:lineRule="auto"/>
        <w:ind w:firstLine="420" w:firstLineChars="200"/>
        <w:jc w:val="left"/>
        <w:rPr>
          <w:color w:val="auto"/>
          <w:highlight w:val="none"/>
        </w:rPr>
      </w:pPr>
      <w:r>
        <w:rPr>
          <w:rFonts w:hint="eastAsia"/>
          <w:color w:val="auto"/>
          <w:highlight w:val="none"/>
        </w:rPr>
        <w:t>(31)《电力工程电缆设计规范》（GB50217-2018）；</w:t>
      </w:r>
    </w:p>
    <w:p>
      <w:pPr>
        <w:widowControl/>
        <w:spacing w:line="360" w:lineRule="auto"/>
        <w:ind w:firstLine="420" w:firstLineChars="200"/>
        <w:jc w:val="left"/>
        <w:rPr>
          <w:color w:val="auto"/>
          <w:highlight w:val="none"/>
        </w:rPr>
      </w:pPr>
      <w:r>
        <w:rPr>
          <w:rFonts w:hint="eastAsia"/>
          <w:color w:val="auto"/>
          <w:highlight w:val="none"/>
        </w:rPr>
        <w:t>(32)《城市电力电缆设计行业标准》；</w:t>
      </w:r>
    </w:p>
    <w:p>
      <w:pPr>
        <w:widowControl/>
        <w:spacing w:line="360" w:lineRule="auto"/>
        <w:ind w:firstLine="420" w:firstLineChars="200"/>
        <w:jc w:val="left"/>
        <w:rPr>
          <w:color w:val="auto"/>
          <w:highlight w:val="none"/>
        </w:rPr>
      </w:pPr>
      <w:r>
        <w:rPr>
          <w:rFonts w:hint="eastAsia"/>
          <w:color w:val="auto"/>
          <w:highlight w:val="none"/>
        </w:rPr>
        <w:t>(33)《城市电力规划规范》（GB50293-2018）；</w:t>
      </w:r>
    </w:p>
    <w:p>
      <w:pPr>
        <w:widowControl/>
        <w:spacing w:line="360" w:lineRule="auto"/>
        <w:ind w:firstLine="420" w:firstLineChars="200"/>
        <w:jc w:val="left"/>
        <w:rPr>
          <w:color w:val="auto"/>
          <w:highlight w:val="none"/>
        </w:rPr>
      </w:pPr>
      <w:r>
        <w:rPr>
          <w:rFonts w:hint="eastAsia"/>
          <w:color w:val="auto"/>
          <w:highlight w:val="none"/>
        </w:rPr>
        <w:t>(34)《广东电网规划技术导则》；</w:t>
      </w:r>
    </w:p>
    <w:p>
      <w:pPr>
        <w:widowControl/>
        <w:spacing w:line="360" w:lineRule="auto"/>
        <w:ind w:firstLine="420" w:firstLineChars="200"/>
        <w:jc w:val="left"/>
        <w:rPr>
          <w:color w:val="auto"/>
          <w:highlight w:val="none"/>
        </w:rPr>
      </w:pPr>
      <w:r>
        <w:rPr>
          <w:rFonts w:hint="eastAsia"/>
          <w:color w:val="auto"/>
          <w:highlight w:val="none"/>
        </w:rPr>
        <w:t>(35)《通信管道与通道工程设计标准》（GB50373-2019）；</w:t>
      </w:r>
    </w:p>
    <w:p>
      <w:pPr>
        <w:widowControl/>
        <w:spacing w:line="360" w:lineRule="auto"/>
        <w:ind w:firstLine="420" w:firstLineChars="200"/>
        <w:jc w:val="left"/>
        <w:rPr>
          <w:color w:val="auto"/>
          <w:highlight w:val="none"/>
        </w:rPr>
      </w:pPr>
      <w:r>
        <w:rPr>
          <w:rFonts w:hint="eastAsia"/>
          <w:color w:val="auto"/>
          <w:highlight w:val="none"/>
        </w:rPr>
        <w:t>(36)《通信管道工程施工及验收标准》（GB/T50374-2018）；</w:t>
      </w:r>
    </w:p>
    <w:p>
      <w:pPr>
        <w:widowControl/>
        <w:spacing w:line="360" w:lineRule="auto"/>
        <w:ind w:firstLine="420" w:firstLineChars="200"/>
        <w:jc w:val="left"/>
        <w:rPr>
          <w:color w:val="auto"/>
          <w:highlight w:val="none"/>
        </w:rPr>
      </w:pPr>
      <w:r>
        <w:rPr>
          <w:rFonts w:hint="eastAsia"/>
          <w:color w:val="auto"/>
          <w:highlight w:val="none"/>
        </w:rPr>
        <w:t>(37)《混凝土结构设计规范》（GB50010-2022）；</w:t>
      </w:r>
    </w:p>
    <w:p>
      <w:pPr>
        <w:widowControl/>
        <w:spacing w:line="360" w:lineRule="auto"/>
        <w:ind w:firstLine="420" w:firstLineChars="200"/>
        <w:jc w:val="left"/>
        <w:rPr>
          <w:color w:val="auto"/>
          <w:highlight w:val="none"/>
        </w:rPr>
      </w:pPr>
      <w:r>
        <w:rPr>
          <w:rFonts w:hint="eastAsia"/>
          <w:color w:val="auto"/>
          <w:highlight w:val="none"/>
        </w:rPr>
        <w:t>(38)《混凝土结构工程施工及验收规范》（GB50204-2018）；</w:t>
      </w:r>
    </w:p>
    <w:p>
      <w:pPr>
        <w:widowControl/>
        <w:spacing w:line="360" w:lineRule="auto"/>
        <w:ind w:firstLine="420" w:firstLineChars="200"/>
        <w:jc w:val="left"/>
        <w:rPr>
          <w:color w:val="auto"/>
          <w:highlight w:val="none"/>
        </w:rPr>
      </w:pPr>
      <w:r>
        <w:rPr>
          <w:rFonts w:hint="eastAsia"/>
          <w:color w:val="auto"/>
          <w:highlight w:val="none"/>
        </w:rPr>
        <w:t>(39)《砌体结构设计规范》（GB50003-2019）；</w:t>
      </w:r>
    </w:p>
    <w:p>
      <w:pPr>
        <w:widowControl/>
        <w:spacing w:line="360" w:lineRule="auto"/>
        <w:ind w:firstLine="420" w:firstLineChars="200"/>
        <w:jc w:val="left"/>
        <w:rPr>
          <w:color w:val="auto"/>
          <w:highlight w:val="none"/>
        </w:rPr>
      </w:pPr>
      <w:r>
        <w:rPr>
          <w:rFonts w:hint="eastAsia"/>
          <w:color w:val="auto"/>
          <w:highlight w:val="none"/>
        </w:rPr>
        <w:t>(40)《砌体工程施工质量验收规范》（GB50203-2023）；</w:t>
      </w:r>
    </w:p>
    <w:p>
      <w:pPr>
        <w:widowControl/>
        <w:spacing w:line="360" w:lineRule="auto"/>
        <w:ind w:firstLine="420" w:firstLineChars="200"/>
        <w:jc w:val="left"/>
        <w:rPr>
          <w:color w:val="auto"/>
          <w:highlight w:val="none"/>
        </w:rPr>
      </w:pPr>
      <w:r>
        <w:rPr>
          <w:rFonts w:hint="eastAsia"/>
          <w:color w:val="auto"/>
          <w:highlight w:val="none"/>
        </w:rPr>
        <w:t>(41)《低压配电设计规范》（GB50054-2019）；</w:t>
      </w:r>
    </w:p>
    <w:p>
      <w:pPr>
        <w:widowControl/>
        <w:spacing w:line="360" w:lineRule="auto"/>
        <w:ind w:firstLine="420" w:firstLineChars="200"/>
        <w:jc w:val="left"/>
        <w:rPr>
          <w:color w:val="auto"/>
          <w:highlight w:val="none"/>
        </w:rPr>
      </w:pPr>
      <w:r>
        <w:rPr>
          <w:rFonts w:hint="eastAsia"/>
          <w:color w:val="auto"/>
          <w:highlight w:val="none"/>
        </w:rPr>
        <w:t>(42)《供配电系统设计规范》（GB50054-2020）；</w:t>
      </w:r>
    </w:p>
    <w:p>
      <w:pPr>
        <w:widowControl/>
        <w:spacing w:line="360" w:lineRule="auto"/>
        <w:ind w:firstLine="420" w:firstLineChars="200"/>
        <w:jc w:val="left"/>
        <w:rPr>
          <w:color w:val="auto"/>
          <w:highlight w:val="none"/>
        </w:rPr>
      </w:pPr>
      <w:r>
        <w:rPr>
          <w:rFonts w:hint="eastAsia"/>
          <w:color w:val="auto"/>
          <w:highlight w:val="none"/>
        </w:rPr>
        <w:t>(43)《城市夜景照明设计规范》（JGJ/T163-2019）；</w:t>
      </w:r>
    </w:p>
    <w:p>
      <w:pPr>
        <w:widowControl/>
        <w:spacing w:line="360" w:lineRule="auto"/>
        <w:ind w:firstLine="420" w:firstLineChars="200"/>
        <w:jc w:val="left"/>
        <w:rPr>
          <w:color w:val="auto"/>
          <w:highlight w:val="none"/>
        </w:rPr>
      </w:pPr>
      <w:r>
        <w:rPr>
          <w:rFonts w:hint="eastAsia"/>
          <w:color w:val="auto"/>
          <w:highlight w:val="none"/>
        </w:rPr>
        <w:t>(44)《园林基本术语标准》（CJJ/T91-2017）；</w:t>
      </w:r>
    </w:p>
    <w:p>
      <w:pPr>
        <w:widowControl/>
        <w:spacing w:line="360" w:lineRule="auto"/>
        <w:ind w:firstLine="420" w:firstLineChars="200"/>
        <w:jc w:val="left"/>
        <w:rPr>
          <w:color w:val="auto"/>
          <w:highlight w:val="none"/>
        </w:rPr>
      </w:pPr>
      <w:r>
        <w:rPr>
          <w:rFonts w:hint="eastAsia"/>
          <w:color w:val="auto"/>
          <w:highlight w:val="none"/>
        </w:rPr>
        <w:t>(45)《风景名胜区规划规范》（GB-50298-1999）；</w:t>
      </w:r>
    </w:p>
    <w:p>
      <w:pPr>
        <w:widowControl/>
        <w:spacing w:line="360" w:lineRule="auto"/>
        <w:ind w:firstLine="420" w:firstLineChars="200"/>
        <w:jc w:val="left"/>
        <w:rPr>
          <w:color w:val="auto"/>
          <w:highlight w:val="none"/>
        </w:rPr>
      </w:pPr>
      <w:r>
        <w:rPr>
          <w:rFonts w:hint="eastAsia"/>
          <w:color w:val="auto"/>
          <w:highlight w:val="none"/>
        </w:rPr>
        <w:t>(46)《风景园林图例图示标准》（CJJ67-95）；</w:t>
      </w:r>
    </w:p>
    <w:p>
      <w:pPr>
        <w:widowControl/>
        <w:spacing w:line="360" w:lineRule="auto"/>
        <w:ind w:firstLine="420" w:firstLineChars="200"/>
        <w:jc w:val="left"/>
        <w:rPr>
          <w:color w:val="auto"/>
          <w:highlight w:val="none"/>
        </w:rPr>
      </w:pPr>
      <w:r>
        <w:rPr>
          <w:rFonts w:hint="eastAsia"/>
          <w:color w:val="auto"/>
          <w:highlight w:val="none"/>
        </w:rPr>
        <w:t>(47)《城市绿地分类标准》（CJJ/T85-2022）；</w:t>
      </w:r>
    </w:p>
    <w:p>
      <w:pPr>
        <w:widowControl/>
        <w:spacing w:line="360" w:lineRule="auto"/>
        <w:ind w:firstLine="420" w:firstLineChars="200"/>
        <w:jc w:val="left"/>
        <w:rPr>
          <w:color w:val="auto"/>
          <w:highlight w:val="none"/>
        </w:rPr>
      </w:pPr>
      <w:r>
        <w:rPr>
          <w:rFonts w:hint="eastAsia"/>
          <w:color w:val="auto"/>
          <w:highlight w:val="none"/>
        </w:rPr>
        <w:t>(48)《城市绿植工程施工及验收规范》（CJJ82-2012）；</w:t>
      </w:r>
    </w:p>
    <w:p>
      <w:pPr>
        <w:widowControl/>
        <w:spacing w:line="360" w:lineRule="auto"/>
        <w:ind w:firstLine="420" w:firstLineChars="200"/>
        <w:jc w:val="left"/>
        <w:rPr>
          <w:color w:val="auto"/>
          <w:highlight w:val="none"/>
        </w:rPr>
      </w:pPr>
      <w:r>
        <w:rPr>
          <w:rFonts w:hint="eastAsia"/>
          <w:color w:val="auto"/>
          <w:highlight w:val="none"/>
        </w:rPr>
        <w:t>(49)《公路建设项目环境影响评价规范》（JTGB03-2006）。</w:t>
      </w:r>
    </w:p>
    <w:p>
      <w:pPr>
        <w:widowControl/>
        <w:spacing w:line="360" w:lineRule="auto"/>
        <w:ind w:firstLine="420" w:firstLineChars="200"/>
        <w:jc w:val="left"/>
        <w:rPr>
          <w:color w:val="auto"/>
          <w:highlight w:val="none"/>
        </w:rPr>
      </w:pPr>
      <w:r>
        <w:rPr>
          <w:rFonts w:hint="eastAsia"/>
          <w:color w:val="auto"/>
          <w:highlight w:val="none"/>
        </w:rPr>
        <w:t>3.海绵城市设计依据（如有更新版依据文件，按更新版依据文件执行）</w:t>
      </w:r>
    </w:p>
    <w:p>
      <w:pPr>
        <w:widowControl/>
        <w:spacing w:line="360" w:lineRule="auto"/>
        <w:ind w:firstLine="420" w:firstLineChars="200"/>
        <w:jc w:val="left"/>
        <w:rPr>
          <w:color w:val="auto"/>
          <w:highlight w:val="none"/>
        </w:rPr>
      </w:pPr>
      <w:r>
        <w:rPr>
          <w:rFonts w:hint="eastAsia"/>
          <w:color w:val="auto"/>
          <w:highlight w:val="none"/>
        </w:rPr>
        <w:t>(1)《防洪标准》（GB50201-2014）；</w:t>
      </w:r>
    </w:p>
    <w:p>
      <w:pPr>
        <w:widowControl/>
        <w:spacing w:line="360" w:lineRule="auto"/>
        <w:ind w:firstLine="420" w:firstLineChars="200"/>
        <w:jc w:val="left"/>
        <w:rPr>
          <w:color w:val="auto"/>
          <w:highlight w:val="none"/>
        </w:rPr>
      </w:pPr>
      <w:r>
        <w:rPr>
          <w:rFonts w:hint="eastAsia"/>
          <w:color w:val="auto"/>
          <w:highlight w:val="none"/>
        </w:rPr>
        <w:t>(2)《城市防洪工程设计规范》（GB/T50805-2012）；</w:t>
      </w:r>
    </w:p>
    <w:p>
      <w:pPr>
        <w:widowControl/>
        <w:spacing w:line="360" w:lineRule="auto"/>
        <w:ind w:firstLine="420" w:firstLineChars="200"/>
        <w:jc w:val="left"/>
        <w:rPr>
          <w:color w:val="auto"/>
          <w:highlight w:val="none"/>
        </w:rPr>
      </w:pPr>
      <w:r>
        <w:rPr>
          <w:rFonts w:hint="eastAsia"/>
          <w:color w:val="auto"/>
          <w:highlight w:val="none"/>
        </w:rPr>
        <w:t>(3)《地表水环境质量标准》（GB3838-2002）；</w:t>
      </w:r>
    </w:p>
    <w:p>
      <w:pPr>
        <w:widowControl/>
        <w:spacing w:line="360" w:lineRule="auto"/>
        <w:ind w:firstLine="420" w:firstLineChars="200"/>
        <w:jc w:val="left"/>
        <w:rPr>
          <w:color w:val="auto"/>
          <w:highlight w:val="none"/>
        </w:rPr>
      </w:pPr>
      <w:r>
        <w:rPr>
          <w:rFonts w:hint="eastAsia"/>
          <w:color w:val="auto"/>
          <w:highlight w:val="none"/>
        </w:rPr>
        <w:t>(4)《城市排水工程规划规范》（GB50318-2017）；</w:t>
      </w:r>
    </w:p>
    <w:p>
      <w:pPr>
        <w:widowControl/>
        <w:spacing w:line="360" w:lineRule="auto"/>
        <w:ind w:firstLine="420" w:firstLineChars="200"/>
        <w:jc w:val="left"/>
        <w:rPr>
          <w:color w:val="auto"/>
          <w:highlight w:val="none"/>
        </w:rPr>
      </w:pPr>
      <w:r>
        <w:rPr>
          <w:rFonts w:hint="eastAsia"/>
          <w:color w:val="auto"/>
          <w:highlight w:val="none"/>
        </w:rPr>
        <w:t>(5)《室外排水设计标准》（GB50014-2021）；</w:t>
      </w:r>
    </w:p>
    <w:p>
      <w:pPr>
        <w:widowControl/>
        <w:spacing w:line="360" w:lineRule="auto"/>
        <w:ind w:firstLine="420" w:firstLineChars="200"/>
        <w:jc w:val="left"/>
        <w:rPr>
          <w:color w:val="auto"/>
          <w:highlight w:val="none"/>
        </w:rPr>
      </w:pPr>
      <w:r>
        <w:rPr>
          <w:rFonts w:hint="eastAsia"/>
          <w:color w:val="auto"/>
          <w:highlight w:val="none"/>
        </w:rPr>
        <w:t>(6)《海绵城市建设技术指南—低影响开发雨水系统构建》；</w:t>
      </w:r>
    </w:p>
    <w:p>
      <w:pPr>
        <w:widowControl/>
        <w:spacing w:line="360" w:lineRule="auto"/>
        <w:ind w:firstLine="420" w:firstLineChars="200"/>
        <w:jc w:val="left"/>
        <w:rPr>
          <w:color w:val="auto"/>
          <w:highlight w:val="none"/>
        </w:rPr>
      </w:pPr>
      <w:r>
        <w:rPr>
          <w:rFonts w:hint="eastAsia"/>
          <w:color w:val="auto"/>
          <w:highlight w:val="none"/>
        </w:rPr>
        <w:t>(7)《低影响开发雨水综合利用技术规范》（SZDB/Z145-2015）；</w:t>
      </w:r>
    </w:p>
    <w:p>
      <w:pPr>
        <w:widowControl/>
        <w:spacing w:line="360" w:lineRule="auto"/>
        <w:ind w:firstLine="420" w:firstLineChars="200"/>
        <w:jc w:val="left"/>
        <w:rPr>
          <w:color w:val="auto"/>
          <w:highlight w:val="none"/>
        </w:rPr>
      </w:pPr>
      <w:r>
        <w:rPr>
          <w:rFonts w:hint="eastAsia"/>
          <w:color w:val="auto"/>
          <w:highlight w:val="none"/>
        </w:rPr>
        <w:t>(8)《广东省人民政府办公厅关于推进海绵城市建设的实施意见》。</w:t>
      </w:r>
    </w:p>
    <w:p>
      <w:pPr>
        <w:pStyle w:val="8"/>
        <w:rPr>
          <w:rFonts w:ascii="宋体" w:hAnsi="宋体" w:cs="宋体"/>
          <w:color w:val="auto"/>
          <w:highlight w:val="none"/>
        </w:rPr>
      </w:pPr>
    </w:p>
    <w:p>
      <w:pPr>
        <w:pStyle w:val="44"/>
        <w:rPr>
          <w:rFonts w:hint="default" w:ascii="宋体" w:hAnsi="宋体" w:eastAsia="宋体" w:cs="宋体"/>
          <w:color w:val="auto"/>
          <w:highlight w:val="none"/>
        </w:rPr>
      </w:pPr>
    </w:p>
    <w:p>
      <w:pPr>
        <w:pStyle w:val="44"/>
        <w:rPr>
          <w:rFonts w:hint="default" w:ascii="宋体" w:hAnsi="宋体" w:eastAsia="宋体" w:cs="宋体"/>
          <w:color w:val="auto"/>
          <w:highlight w:val="none"/>
        </w:rPr>
      </w:pPr>
    </w:p>
    <w:p>
      <w:pPr>
        <w:pStyle w:val="44"/>
        <w:rPr>
          <w:rFonts w:hint="default" w:ascii="宋体" w:hAnsi="宋体" w:eastAsia="宋体" w:cs="宋体"/>
          <w:color w:val="auto"/>
          <w:highlight w:val="none"/>
        </w:rPr>
      </w:pPr>
    </w:p>
    <w:p>
      <w:pPr>
        <w:pStyle w:val="44"/>
        <w:rPr>
          <w:rFonts w:hint="default" w:ascii="宋体" w:hAnsi="宋体" w:eastAsia="宋体" w:cs="宋体"/>
          <w:color w:val="auto"/>
          <w:highlight w:val="none"/>
        </w:rPr>
      </w:pPr>
    </w:p>
    <w:p>
      <w:pPr>
        <w:pStyle w:val="44"/>
        <w:rPr>
          <w:rFonts w:hint="default" w:ascii="宋体" w:hAnsi="宋体" w:eastAsia="宋体" w:cs="宋体"/>
          <w:color w:val="auto"/>
          <w:highlight w:val="none"/>
        </w:rPr>
      </w:pPr>
    </w:p>
    <w:p>
      <w:pPr>
        <w:pStyle w:val="44"/>
        <w:rPr>
          <w:rFonts w:hint="default" w:ascii="宋体" w:hAnsi="宋体" w:eastAsia="宋体" w:cs="宋体"/>
          <w:color w:val="auto"/>
          <w:highlight w:val="none"/>
        </w:rPr>
      </w:pPr>
    </w:p>
    <w:p>
      <w:pPr>
        <w:pStyle w:val="44"/>
        <w:rPr>
          <w:rFonts w:hint="default" w:ascii="宋体" w:hAnsi="宋体" w:eastAsia="宋体" w:cs="宋体"/>
          <w:color w:val="auto"/>
          <w:highlight w:val="none"/>
        </w:rPr>
      </w:pPr>
    </w:p>
    <w:p>
      <w:pPr>
        <w:pStyle w:val="44"/>
        <w:rPr>
          <w:rFonts w:hint="default" w:ascii="宋体" w:hAnsi="宋体" w:eastAsia="宋体" w:cs="宋体"/>
          <w:color w:val="auto"/>
          <w:highlight w:val="none"/>
        </w:rPr>
      </w:pPr>
    </w:p>
    <w:p>
      <w:pPr>
        <w:pStyle w:val="44"/>
        <w:rPr>
          <w:rFonts w:hint="default" w:ascii="宋体" w:hAnsi="宋体" w:eastAsia="宋体" w:cs="宋体"/>
          <w:color w:val="auto"/>
          <w:highlight w:val="none"/>
        </w:rPr>
      </w:pPr>
    </w:p>
    <w:p>
      <w:pPr>
        <w:pStyle w:val="44"/>
        <w:rPr>
          <w:rFonts w:hint="default" w:ascii="宋体" w:hAnsi="宋体" w:eastAsia="宋体" w:cs="宋体"/>
          <w:color w:val="auto"/>
          <w:highlight w:val="none"/>
        </w:rPr>
      </w:pPr>
    </w:p>
    <w:p>
      <w:pPr>
        <w:pStyle w:val="44"/>
        <w:rPr>
          <w:rFonts w:hint="default" w:ascii="宋体" w:hAnsi="宋体" w:eastAsia="宋体" w:cs="宋体"/>
          <w:color w:val="auto"/>
          <w:highlight w:val="none"/>
        </w:rPr>
      </w:pPr>
    </w:p>
    <w:p>
      <w:pPr>
        <w:pStyle w:val="44"/>
        <w:rPr>
          <w:rFonts w:hint="default" w:ascii="宋体" w:hAnsi="宋体" w:eastAsia="宋体" w:cs="宋体"/>
          <w:color w:val="auto"/>
          <w:highlight w:val="none"/>
        </w:rPr>
      </w:pPr>
    </w:p>
    <w:p>
      <w:pPr>
        <w:pStyle w:val="44"/>
        <w:rPr>
          <w:rFonts w:hint="default" w:ascii="宋体" w:hAnsi="宋体" w:eastAsia="宋体" w:cs="宋体"/>
          <w:color w:val="auto"/>
          <w:highlight w:val="none"/>
        </w:rPr>
      </w:pPr>
    </w:p>
    <w:p>
      <w:pPr>
        <w:pStyle w:val="3"/>
        <w:rPr>
          <w:rFonts w:hint="default"/>
          <w:color w:val="auto"/>
          <w:highlight w:val="none"/>
        </w:rPr>
      </w:pPr>
      <w:bookmarkStart w:id="190" w:name="_Toc15050"/>
      <w:r>
        <w:rPr>
          <w:color w:val="auto"/>
          <w:highlight w:val="none"/>
        </w:rPr>
        <w:t>第五章  投标文件格式</w:t>
      </w:r>
      <w:bookmarkEnd w:id="188"/>
      <w:bookmarkEnd w:id="189"/>
      <w:bookmarkEnd w:id="190"/>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rFonts w:ascii="宋体" w:hAnsi="宋体"/>
          <w:b/>
          <w:bCs/>
          <w:color w:val="auto"/>
          <w:highlight w:val="none"/>
        </w:rPr>
      </w:pPr>
    </w:p>
    <w:p>
      <w:pPr>
        <w:rPr>
          <w:color w:val="auto"/>
          <w:highlight w:val="none"/>
        </w:rPr>
      </w:pPr>
    </w:p>
    <w:p>
      <w:pPr>
        <w:pStyle w:val="6"/>
        <w:numPr>
          <w:ilvl w:val="0"/>
          <w:numId w:val="0"/>
        </w:numPr>
        <w:spacing w:before="156" w:after="156"/>
        <w:rPr>
          <w:color w:val="auto"/>
          <w:highlight w:val="none"/>
        </w:rPr>
      </w:pPr>
      <w:bookmarkStart w:id="191" w:name="_Toc16054"/>
      <w:bookmarkStart w:id="192" w:name="_Toc10714"/>
      <w:bookmarkStart w:id="193" w:name="_Toc5214"/>
      <w:r>
        <w:rPr>
          <w:rFonts w:hint="eastAsia"/>
          <w:color w:val="auto"/>
          <w:highlight w:val="none"/>
        </w:rPr>
        <w:t xml:space="preserve">附件14 </w:t>
      </w:r>
      <w:r>
        <w:rPr>
          <w:rFonts w:hint="eastAsia"/>
          <w:strike/>
          <w:color w:val="auto"/>
          <w:highlight w:val="none"/>
        </w:rPr>
        <w:t>勘察</w:t>
      </w:r>
      <w:r>
        <w:rPr>
          <w:rFonts w:hint="eastAsia"/>
          <w:color w:val="auto"/>
          <w:highlight w:val="none"/>
        </w:rPr>
        <w:t>设计招标文件编制要求</w:t>
      </w:r>
      <w:bookmarkEnd w:id="191"/>
      <w:bookmarkEnd w:id="192"/>
      <w:bookmarkEnd w:id="193"/>
    </w:p>
    <w:p>
      <w:pPr>
        <w:jc w:val="left"/>
        <w:rPr>
          <w:rFonts w:ascii="宋体" w:hAnsi="宋体"/>
          <w:color w:val="auto"/>
          <w:highlight w:val="none"/>
        </w:rPr>
      </w:pPr>
    </w:p>
    <w:p>
      <w:pPr>
        <w:jc w:val="center"/>
        <w:rPr>
          <w:rFonts w:ascii="宋体" w:hAnsi="宋体"/>
          <w:color w:val="auto"/>
          <w:highlight w:val="none"/>
        </w:rPr>
      </w:pPr>
      <w:r>
        <w:rPr>
          <w:rFonts w:hint="eastAsia" w:ascii="宋体" w:hAnsi="宋体"/>
          <w:b/>
          <w:strike/>
          <w:color w:val="auto"/>
          <w:sz w:val="32"/>
          <w:highlight w:val="none"/>
        </w:rPr>
        <w:t>勘察</w:t>
      </w:r>
      <w:r>
        <w:rPr>
          <w:rFonts w:hint="eastAsia" w:ascii="宋体" w:hAnsi="宋体"/>
          <w:b/>
          <w:color w:val="auto"/>
          <w:sz w:val="32"/>
          <w:highlight w:val="none"/>
        </w:rPr>
        <w:t>设计</w:t>
      </w:r>
      <w:r>
        <w:rPr>
          <w:rFonts w:hint="eastAsia" w:ascii="宋体" w:hAnsi="宋体"/>
          <w:b/>
          <w:bCs/>
          <w:color w:val="auto"/>
          <w:sz w:val="32"/>
          <w:highlight w:val="none"/>
        </w:rPr>
        <w:t>投标文件编制要求</w:t>
      </w:r>
    </w:p>
    <w:p>
      <w:pPr>
        <w:adjustRightInd w:val="0"/>
        <w:snapToGrid w:val="0"/>
        <w:spacing w:line="360" w:lineRule="auto"/>
        <w:rPr>
          <w:rFonts w:ascii="宋体" w:hAnsi="宋体"/>
          <w:b/>
          <w:bCs/>
          <w:color w:val="auto"/>
          <w:szCs w:val="21"/>
          <w:highlight w:val="none"/>
        </w:rPr>
      </w:pPr>
    </w:p>
    <w:p>
      <w:pPr>
        <w:adjustRightInd w:val="0"/>
        <w:snapToGrid w:val="0"/>
        <w:spacing w:line="380" w:lineRule="exact"/>
        <w:outlineLvl w:val="1"/>
        <w:rPr>
          <w:rFonts w:ascii="宋体" w:hAnsi="宋体"/>
          <w:color w:val="auto"/>
          <w:szCs w:val="21"/>
          <w:highlight w:val="none"/>
        </w:rPr>
      </w:pPr>
      <w:bookmarkStart w:id="194" w:name="_Toc18892"/>
      <w:r>
        <w:rPr>
          <w:rFonts w:hint="eastAsia" w:ascii="宋体" w:hAnsi="宋体"/>
          <w:b/>
          <w:bCs/>
          <w:color w:val="auto"/>
          <w:szCs w:val="21"/>
          <w:highlight w:val="none"/>
        </w:rPr>
        <w:t>1     投标文件</w:t>
      </w:r>
      <w:bookmarkEnd w:id="194"/>
    </w:p>
    <w:p>
      <w:pPr>
        <w:adjustRightInd w:val="0"/>
        <w:snapToGrid w:val="0"/>
        <w:spacing w:line="380" w:lineRule="exact"/>
        <w:ind w:left="718" w:hanging="718" w:hangingChars="342"/>
        <w:outlineLvl w:val="2"/>
        <w:rPr>
          <w:rFonts w:ascii="宋体" w:hAnsi="宋体"/>
          <w:color w:val="auto"/>
          <w:szCs w:val="21"/>
          <w:highlight w:val="none"/>
        </w:rPr>
      </w:pPr>
      <w:bookmarkStart w:id="195" w:name="_Toc13552"/>
      <w:r>
        <w:rPr>
          <w:rFonts w:hint="eastAsia" w:ascii="宋体" w:hAnsi="宋体"/>
          <w:color w:val="auto"/>
          <w:szCs w:val="21"/>
          <w:highlight w:val="none"/>
        </w:rPr>
        <w:t>1.1    投标文件由下列资料组成：</w:t>
      </w:r>
      <w:bookmarkEnd w:id="195"/>
    </w:p>
    <w:p>
      <w:pPr>
        <w:adjustRightInd w:val="0"/>
        <w:snapToGrid w:val="0"/>
        <w:spacing w:line="380" w:lineRule="exact"/>
        <w:ind w:firstLine="630" w:firstLineChars="300"/>
        <w:jc w:val="left"/>
        <w:rPr>
          <w:rFonts w:ascii="宋体" w:hAnsi="宋体"/>
          <w:color w:val="auto"/>
          <w:szCs w:val="21"/>
          <w:highlight w:val="none"/>
        </w:rPr>
      </w:pPr>
      <w:r>
        <w:rPr>
          <w:rFonts w:hint="eastAsia" w:ascii="宋体" w:hAnsi="宋体"/>
          <w:color w:val="auto"/>
          <w:szCs w:val="21"/>
          <w:highlight w:val="none"/>
        </w:rPr>
        <w:t xml:space="preserve">（1）开标信封。   </w:t>
      </w:r>
    </w:p>
    <w:p>
      <w:pPr>
        <w:adjustRightInd w:val="0"/>
        <w:snapToGrid w:val="0"/>
        <w:spacing w:line="380" w:lineRule="exact"/>
        <w:jc w:val="left"/>
        <w:rPr>
          <w:rFonts w:ascii="宋体" w:hAnsi="宋体"/>
          <w:color w:val="auto"/>
          <w:szCs w:val="21"/>
          <w:highlight w:val="none"/>
        </w:rPr>
      </w:pPr>
      <w:r>
        <w:rPr>
          <w:rFonts w:hint="eastAsia" w:ascii="宋体" w:hAnsi="宋体"/>
          <w:color w:val="auto"/>
          <w:szCs w:val="21"/>
          <w:highlight w:val="none"/>
        </w:rPr>
        <w:t xml:space="preserve">      （2）资格审查文件。</w:t>
      </w:r>
    </w:p>
    <w:p>
      <w:pPr>
        <w:adjustRightInd w:val="0"/>
        <w:snapToGrid w:val="0"/>
        <w:spacing w:line="380" w:lineRule="exact"/>
        <w:jc w:val="left"/>
        <w:rPr>
          <w:rFonts w:ascii="宋体" w:hAnsi="宋体"/>
          <w:color w:val="auto"/>
          <w:szCs w:val="21"/>
          <w:highlight w:val="none"/>
        </w:rPr>
      </w:pPr>
      <w:r>
        <w:rPr>
          <w:rFonts w:hint="eastAsia" w:ascii="宋体" w:hAnsi="宋体"/>
          <w:color w:val="auto"/>
          <w:szCs w:val="21"/>
          <w:highlight w:val="none"/>
        </w:rPr>
        <w:t xml:space="preserve">      （3）技术文件（设计方案）。</w:t>
      </w:r>
    </w:p>
    <w:p>
      <w:pPr>
        <w:adjustRightInd w:val="0"/>
        <w:snapToGrid w:val="0"/>
        <w:spacing w:line="380" w:lineRule="exact"/>
        <w:jc w:val="left"/>
        <w:rPr>
          <w:rFonts w:ascii="宋体" w:hAnsi="宋体"/>
          <w:color w:val="auto"/>
          <w:szCs w:val="21"/>
          <w:highlight w:val="none"/>
          <w:u w:val="single"/>
        </w:rPr>
      </w:pPr>
      <w:r>
        <w:rPr>
          <w:rFonts w:hint="eastAsia" w:ascii="宋体" w:hAnsi="宋体"/>
          <w:color w:val="auto"/>
          <w:szCs w:val="21"/>
          <w:highlight w:val="none"/>
        </w:rPr>
        <w:t xml:space="preserve">      （4）商务文件</w:t>
      </w:r>
      <w:r>
        <w:rPr>
          <w:rFonts w:hint="eastAsia" w:ascii="宋体" w:hAnsi="宋体"/>
          <w:strike/>
          <w:color w:val="auto"/>
          <w:szCs w:val="21"/>
          <w:highlight w:val="none"/>
        </w:rPr>
        <w:t>（适用于综合评分法）</w:t>
      </w:r>
      <w:r>
        <w:rPr>
          <w:rFonts w:hint="eastAsia" w:ascii="宋体" w:hAnsi="宋体"/>
          <w:color w:val="auto"/>
          <w:szCs w:val="21"/>
          <w:highlight w:val="none"/>
        </w:rPr>
        <w:t>。</w:t>
      </w:r>
    </w:p>
    <w:p>
      <w:pPr>
        <w:adjustRightInd w:val="0"/>
        <w:snapToGrid w:val="0"/>
        <w:spacing w:line="380" w:lineRule="exact"/>
        <w:ind w:firstLine="630" w:firstLineChars="300"/>
        <w:jc w:val="left"/>
        <w:rPr>
          <w:rFonts w:ascii="宋体" w:hAnsi="宋体"/>
          <w:color w:val="auto"/>
          <w:szCs w:val="21"/>
          <w:highlight w:val="none"/>
          <w:u w:val="single"/>
        </w:rPr>
      </w:pPr>
    </w:p>
    <w:p>
      <w:pPr>
        <w:adjustRightInd w:val="0"/>
        <w:snapToGrid w:val="0"/>
        <w:spacing w:line="380" w:lineRule="exact"/>
        <w:outlineLvl w:val="1"/>
        <w:rPr>
          <w:rFonts w:ascii="宋体" w:hAnsi="宋体"/>
          <w:color w:val="auto"/>
          <w:szCs w:val="21"/>
          <w:highlight w:val="none"/>
        </w:rPr>
      </w:pPr>
      <w:bookmarkStart w:id="196" w:name="_Toc7021"/>
      <w:r>
        <w:rPr>
          <w:rFonts w:hint="eastAsia" w:ascii="宋体" w:hAnsi="宋体"/>
          <w:b/>
          <w:bCs/>
          <w:color w:val="auto"/>
          <w:szCs w:val="21"/>
          <w:highlight w:val="none"/>
        </w:rPr>
        <w:t>2      保密要求</w:t>
      </w:r>
      <w:bookmarkEnd w:id="196"/>
    </w:p>
    <w:p>
      <w:pPr>
        <w:adjustRightInd w:val="0"/>
        <w:snapToGrid w:val="0"/>
        <w:spacing w:line="380" w:lineRule="exact"/>
        <w:ind w:left="718" w:hanging="718" w:hangingChars="342"/>
        <w:jc w:val="left"/>
        <w:rPr>
          <w:rFonts w:ascii="宋体" w:hAnsi="宋体"/>
          <w:color w:val="auto"/>
          <w:szCs w:val="21"/>
          <w:highlight w:val="none"/>
        </w:rPr>
      </w:pPr>
      <w:r>
        <w:rPr>
          <w:rFonts w:hint="eastAsia" w:ascii="宋体" w:hAnsi="宋体"/>
          <w:color w:val="auto"/>
          <w:szCs w:val="21"/>
          <w:highlight w:val="none"/>
        </w:rPr>
        <w:t>2.1    技术文件必须隐匿投标人及专业技术人员的名称。投标人不得在技术文件上标注或做任何可以辨认投标人及专业技术人员身份的名称、印章、商标、图形等。</w:t>
      </w:r>
    </w:p>
    <w:p>
      <w:pPr>
        <w:adjustRightInd w:val="0"/>
        <w:snapToGrid w:val="0"/>
        <w:spacing w:line="380" w:lineRule="exact"/>
        <w:ind w:left="360" w:hanging="359" w:hangingChars="171"/>
        <w:rPr>
          <w:rFonts w:ascii="宋体" w:hAnsi="宋体"/>
          <w:b/>
          <w:bCs/>
          <w:color w:val="auto"/>
          <w:szCs w:val="21"/>
          <w:highlight w:val="none"/>
        </w:rPr>
      </w:pPr>
    </w:p>
    <w:p>
      <w:pPr>
        <w:adjustRightInd w:val="0"/>
        <w:snapToGrid w:val="0"/>
        <w:spacing w:line="380" w:lineRule="exact"/>
        <w:ind w:left="721" w:hanging="718" w:hangingChars="342"/>
        <w:jc w:val="left"/>
        <w:outlineLvl w:val="1"/>
        <w:rPr>
          <w:rFonts w:ascii="宋体" w:hAnsi="宋体"/>
          <w:b/>
          <w:bCs/>
          <w:color w:val="auto"/>
          <w:szCs w:val="21"/>
          <w:highlight w:val="none"/>
        </w:rPr>
      </w:pPr>
      <w:bookmarkStart w:id="197" w:name="_Toc20906"/>
      <w:r>
        <w:rPr>
          <w:rFonts w:hint="eastAsia" w:ascii="宋体" w:hAnsi="宋体"/>
          <w:b/>
          <w:bCs/>
          <w:color w:val="auto"/>
          <w:szCs w:val="21"/>
          <w:highlight w:val="none"/>
        </w:rPr>
        <w:t>3      开标信封</w:t>
      </w:r>
      <w:bookmarkEnd w:id="197"/>
    </w:p>
    <w:p>
      <w:pPr>
        <w:adjustRightInd w:val="0"/>
        <w:snapToGrid w:val="0"/>
        <w:spacing w:line="380" w:lineRule="exact"/>
        <w:ind w:left="718" w:hanging="718" w:hangingChars="342"/>
        <w:jc w:val="left"/>
        <w:rPr>
          <w:rFonts w:ascii="宋体" w:hAnsi="宋体"/>
          <w:color w:val="auto"/>
          <w:szCs w:val="21"/>
          <w:highlight w:val="none"/>
        </w:rPr>
      </w:pPr>
      <w:r>
        <w:rPr>
          <w:rFonts w:hint="eastAsia" w:ascii="宋体" w:hAnsi="宋体"/>
          <w:color w:val="auto"/>
          <w:szCs w:val="21"/>
          <w:highlight w:val="none"/>
        </w:rPr>
        <w:t>3.1    开标信封内附填妥并签字盖章的《投标函》《投标人声明》</w:t>
      </w:r>
      <w:r>
        <w:rPr>
          <w:rFonts w:hint="eastAsia" w:ascii="宋体" w:hAnsi="宋体" w:cs="宋体"/>
          <w:color w:val="auto"/>
          <w:szCs w:val="21"/>
          <w:highlight w:val="none"/>
        </w:rPr>
        <w:t>《联合体投标协议》</w:t>
      </w:r>
      <w:r>
        <w:rPr>
          <w:rFonts w:hint="eastAsia" w:ascii="宋体" w:hAnsi="宋体"/>
          <w:color w:val="auto"/>
          <w:szCs w:val="21"/>
          <w:highlight w:val="none"/>
        </w:rPr>
        <w:t>（联合体投标人提供）、法定代表人证明书（如投标文件为委托代理人签署应同时附上法定代表人证明书和法定代表人授权书）、《设计费报价表》。</w:t>
      </w:r>
    </w:p>
    <w:p>
      <w:pPr>
        <w:adjustRightInd w:val="0"/>
        <w:snapToGrid w:val="0"/>
        <w:spacing w:line="380" w:lineRule="exact"/>
        <w:jc w:val="left"/>
        <w:rPr>
          <w:rFonts w:ascii="宋体" w:hAnsi="宋体"/>
          <w:b/>
          <w:bCs/>
          <w:color w:val="auto"/>
          <w:szCs w:val="21"/>
          <w:highlight w:val="none"/>
        </w:rPr>
      </w:pPr>
    </w:p>
    <w:p>
      <w:pPr>
        <w:adjustRightInd w:val="0"/>
        <w:snapToGrid w:val="0"/>
        <w:spacing w:line="380" w:lineRule="exact"/>
        <w:jc w:val="left"/>
        <w:outlineLvl w:val="1"/>
        <w:rPr>
          <w:rFonts w:hAnsi="宋体"/>
          <w:color w:val="auto"/>
          <w:szCs w:val="21"/>
          <w:highlight w:val="none"/>
        </w:rPr>
      </w:pPr>
      <w:bookmarkStart w:id="198" w:name="_Toc3464"/>
      <w:r>
        <w:rPr>
          <w:rFonts w:hint="eastAsia" w:ascii="宋体" w:hAnsi="宋体"/>
          <w:b/>
          <w:bCs/>
          <w:color w:val="auto"/>
          <w:szCs w:val="21"/>
          <w:highlight w:val="none"/>
        </w:rPr>
        <w:t>4     资格审查文件</w:t>
      </w:r>
      <w:bookmarkEnd w:id="198"/>
    </w:p>
    <w:p>
      <w:pPr>
        <w:pStyle w:val="16"/>
        <w:adjustRightInd w:val="0"/>
        <w:snapToGrid w:val="0"/>
        <w:spacing w:line="380" w:lineRule="exact"/>
        <w:ind w:firstLine="0" w:firstLineChars="0"/>
        <w:outlineLvl w:val="2"/>
        <w:rPr>
          <w:rFonts w:hAnsi="宋体"/>
          <w:color w:val="auto"/>
          <w:sz w:val="21"/>
          <w:szCs w:val="21"/>
          <w:highlight w:val="none"/>
        </w:rPr>
      </w:pPr>
      <w:bookmarkStart w:id="199" w:name="_Toc11034"/>
      <w:r>
        <w:rPr>
          <w:rFonts w:hint="eastAsia" w:hAnsi="宋体"/>
          <w:color w:val="auto"/>
          <w:sz w:val="21"/>
          <w:szCs w:val="21"/>
          <w:highlight w:val="none"/>
        </w:rPr>
        <w:t>4.1   资格审查文件内容：</w:t>
      </w:r>
      <w:bookmarkEnd w:id="199"/>
    </w:p>
    <w:p>
      <w:pPr>
        <w:adjustRightInd w:val="0"/>
        <w:snapToGrid w:val="0"/>
        <w:spacing w:line="380" w:lineRule="exact"/>
        <w:ind w:firstLine="420" w:firstLineChars="200"/>
        <w:outlineLvl w:val="3"/>
        <w:rPr>
          <w:rFonts w:ascii="宋体" w:hAnsi="宋体" w:cs="宋体"/>
          <w:color w:val="auto"/>
          <w:szCs w:val="21"/>
          <w:highlight w:val="none"/>
        </w:rPr>
      </w:pPr>
      <w:bookmarkStart w:id="200" w:name="_Toc22544"/>
      <w:r>
        <w:rPr>
          <w:rFonts w:hint="eastAsia" w:ascii="宋体" w:hAnsi="宋体" w:cs="宋体"/>
          <w:color w:val="auto"/>
          <w:szCs w:val="21"/>
          <w:highlight w:val="none"/>
        </w:rPr>
        <w:t>（1）目录；</w:t>
      </w:r>
      <w:bookmarkEnd w:id="200"/>
    </w:p>
    <w:p>
      <w:pPr>
        <w:adjustRightInd w:val="0"/>
        <w:snapToGrid w:val="0"/>
        <w:spacing w:line="380" w:lineRule="exact"/>
        <w:ind w:left="840" w:leftChars="200" w:hanging="420" w:hangingChars="200"/>
        <w:rPr>
          <w:rFonts w:ascii="宋体" w:hAnsi="宋体"/>
          <w:color w:val="auto"/>
          <w:szCs w:val="21"/>
          <w:highlight w:val="none"/>
        </w:rPr>
      </w:pPr>
      <w:r>
        <w:rPr>
          <w:rFonts w:hint="eastAsia" w:ascii="宋体" w:hAnsi="宋体" w:cs="宋体"/>
          <w:color w:val="auto"/>
          <w:szCs w:val="21"/>
          <w:highlight w:val="none"/>
        </w:rPr>
        <w:t>（2）填妥并签字盖章的《投标函》《投标人声明》《联合体投标协议》</w:t>
      </w:r>
      <w:r>
        <w:rPr>
          <w:rFonts w:hint="eastAsia" w:ascii="宋体" w:hAnsi="宋体"/>
          <w:color w:val="auto"/>
          <w:szCs w:val="21"/>
          <w:highlight w:val="none"/>
        </w:rPr>
        <w:t>（联合体投标人提供）、法定代表人证明书（如投标文件为委托代理人签署应同时附上法定代表人证明书和法定代表人授权书）。</w:t>
      </w:r>
    </w:p>
    <w:p>
      <w:pPr>
        <w:adjustRightInd w:val="0"/>
        <w:snapToGrid w:val="0"/>
        <w:spacing w:line="380" w:lineRule="exact"/>
        <w:ind w:left="713" w:leftChars="299" w:hanging="86" w:hangingChars="41"/>
        <w:rPr>
          <w:rFonts w:ascii="宋体" w:hAnsi="宋体" w:cs="宋体"/>
          <w:color w:val="auto"/>
          <w:szCs w:val="21"/>
          <w:highlight w:val="none"/>
        </w:rPr>
      </w:pPr>
      <w:r>
        <w:rPr>
          <w:rFonts w:hint="eastAsia" w:ascii="宋体" w:hAnsi="宋体" w:cs="宋体"/>
          <w:color w:val="auto"/>
          <w:szCs w:val="21"/>
          <w:highlight w:val="none"/>
        </w:rPr>
        <w:t>注：投标人无需提供，评标委员会根据“开标信封”中资料进行评审。投标人再次提供且</w:t>
      </w:r>
      <w:r>
        <w:rPr>
          <w:rFonts w:hint="eastAsia" w:ascii="宋体" w:hAnsi="宋体"/>
          <w:color w:val="auto"/>
          <w:szCs w:val="21"/>
          <w:highlight w:val="none"/>
        </w:rPr>
        <w:t>不一致的，以“开标信封”资料为准。</w:t>
      </w:r>
    </w:p>
    <w:p>
      <w:pPr>
        <w:adjustRightInd w:val="0"/>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（3）填妥并签字盖章的《合作设计协议》（外国或澳门、台湾的设计企业提供）（格式自定）；</w:t>
      </w:r>
    </w:p>
    <w:p>
      <w:pPr>
        <w:adjustRightInd w:val="0"/>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（4）投标人资质证书；</w:t>
      </w:r>
    </w:p>
    <w:p>
      <w:pPr>
        <w:adjustRightInd w:val="0"/>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（5）拟派项目负责人资格证书；</w:t>
      </w:r>
    </w:p>
    <w:p>
      <w:pPr>
        <w:adjustRightInd w:val="0"/>
        <w:snapToGrid w:val="0"/>
        <w:spacing w:line="380" w:lineRule="exact"/>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（6）用于资格审查的业绩（如有）；</w:t>
      </w:r>
    </w:p>
    <w:p>
      <w:pPr>
        <w:adjustRightInd w:val="0"/>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（6）投标人须在广州交易集团有限公司（广州公共资源交易中心）</w:t>
      </w:r>
      <w:r>
        <w:rPr>
          <w:rFonts w:hint="eastAsia" w:ascii="宋体" w:hAnsi="宋体" w:cs="宋体"/>
          <w:color w:val="auto"/>
          <w:szCs w:val="21"/>
          <w:highlight w:val="none"/>
        </w:rPr>
        <w:t>企业库办理企业信息登记，拟担任本工程项目负责人须是本企业信息登记中的在册人员。</w:t>
      </w:r>
    </w:p>
    <w:p>
      <w:pPr>
        <w:adjustRightInd w:val="0"/>
        <w:snapToGrid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（7）满足招标公告（投标人资格要求）评审要求的其他资料。</w:t>
      </w:r>
    </w:p>
    <w:p>
      <w:pPr>
        <w:adjustRightInd w:val="0"/>
        <w:snapToGrid w:val="0"/>
        <w:spacing w:line="38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（8）投标人认为有必要提供的其他资料</w:t>
      </w:r>
      <w:r>
        <w:rPr>
          <w:rFonts w:hint="eastAsia" w:hAnsi="宋体"/>
          <w:color w:val="auto"/>
          <w:szCs w:val="21"/>
          <w:highlight w:val="none"/>
          <w:u w:val="single"/>
        </w:rPr>
        <w:t>，按需提供</w:t>
      </w:r>
      <w:r>
        <w:rPr>
          <w:rFonts w:hint="eastAsia" w:ascii="宋体" w:hAnsi="宋体" w:cs="宋体"/>
          <w:color w:val="auto"/>
          <w:szCs w:val="21"/>
          <w:highlight w:val="none"/>
          <w:u w:val="single"/>
        </w:rPr>
        <w:t>。</w:t>
      </w:r>
    </w:p>
    <w:p>
      <w:pPr>
        <w:adjustRightInd w:val="0"/>
        <w:snapToGrid w:val="0"/>
        <w:spacing w:line="380" w:lineRule="exact"/>
        <w:ind w:firstLine="420" w:firstLineChars="200"/>
        <w:rPr>
          <w:rFonts w:ascii="宋体" w:hAnsi="宋体" w:cs="仿宋_GB2312"/>
          <w:color w:val="auto"/>
          <w:szCs w:val="21"/>
          <w:highlight w:val="none"/>
        </w:rPr>
      </w:pPr>
      <w:r>
        <w:rPr>
          <w:rFonts w:hint="eastAsia" w:ascii="宋体" w:hAnsi="宋体"/>
          <w:color w:val="auto"/>
          <w:szCs w:val="21"/>
          <w:highlight w:val="none"/>
        </w:rPr>
        <w:t>注：资格审查文件中的（4）、（5）、</w:t>
      </w:r>
      <w:r>
        <w:rPr>
          <w:rFonts w:hint="eastAsia" w:ascii="宋体" w:hAnsi="宋体"/>
          <w:color w:val="auto"/>
          <w:szCs w:val="21"/>
          <w:highlight w:val="none"/>
          <w:u w:val="single"/>
        </w:rPr>
        <w:t>（6）</w:t>
      </w:r>
      <w:r>
        <w:rPr>
          <w:rFonts w:hint="eastAsia" w:ascii="宋体" w:hAnsi="宋体"/>
          <w:color w:val="auto"/>
          <w:szCs w:val="21"/>
          <w:highlight w:val="none"/>
        </w:rPr>
        <w:t>取自广州公共资源交易中心企业库，投标人企业库中记录的该部分上传件将被视为投标人递交投标文件的一部分，不需重复提交。评标委员会对该部分资料的审查将以投标截止时间在</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企业库内上传件为依据。若招标人延长投标截止时间的，以上资料的评审时点也相应延长。投标人应及时维护其在</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szCs w:val="21"/>
          <w:highlight w:val="none"/>
        </w:rPr>
        <w:t>企业库登记的信息及上传件，确保各项信息及上传件在有效期内。</w:t>
      </w:r>
    </w:p>
    <w:p>
      <w:pPr>
        <w:adjustRightInd w:val="0"/>
        <w:snapToGrid w:val="0"/>
        <w:spacing w:line="380" w:lineRule="exact"/>
        <w:rPr>
          <w:rFonts w:ascii="宋体" w:hAnsi="宋体" w:cs="宋体"/>
          <w:color w:val="auto"/>
          <w:szCs w:val="21"/>
          <w:highlight w:val="none"/>
        </w:rPr>
      </w:pPr>
    </w:p>
    <w:p>
      <w:pPr>
        <w:adjustRightInd w:val="0"/>
        <w:snapToGrid w:val="0"/>
        <w:spacing w:line="380" w:lineRule="exact"/>
        <w:outlineLvl w:val="1"/>
        <w:rPr>
          <w:rFonts w:hAnsi="宋体"/>
          <w:color w:val="auto"/>
          <w:szCs w:val="21"/>
          <w:highlight w:val="none"/>
        </w:rPr>
      </w:pPr>
      <w:bookmarkStart w:id="201" w:name="_Toc5278"/>
      <w:r>
        <w:rPr>
          <w:rFonts w:hint="eastAsia" w:ascii="宋体" w:hAnsi="宋体"/>
          <w:b/>
          <w:color w:val="auto"/>
          <w:szCs w:val="21"/>
          <w:highlight w:val="none"/>
        </w:rPr>
        <w:t>5      技术文件（设计方案）</w:t>
      </w:r>
      <w:bookmarkEnd w:id="201"/>
    </w:p>
    <w:p>
      <w:pPr>
        <w:pStyle w:val="16"/>
        <w:adjustRightInd w:val="0"/>
        <w:snapToGrid w:val="0"/>
        <w:spacing w:line="380" w:lineRule="exact"/>
        <w:ind w:firstLine="0" w:firstLineChars="0"/>
        <w:outlineLvl w:val="2"/>
        <w:rPr>
          <w:rFonts w:hAnsi="宋体"/>
          <w:color w:val="auto"/>
          <w:sz w:val="21"/>
          <w:szCs w:val="21"/>
          <w:highlight w:val="none"/>
        </w:rPr>
      </w:pPr>
      <w:bookmarkStart w:id="202" w:name="_Toc22354"/>
      <w:r>
        <w:rPr>
          <w:rFonts w:hint="eastAsia" w:hAnsi="宋体"/>
          <w:color w:val="auto"/>
          <w:sz w:val="21"/>
          <w:szCs w:val="21"/>
          <w:highlight w:val="none"/>
        </w:rPr>
        <w:t>5.1    技术文件内容：</w:t>
      </w:r>
      <w:bookmarkEnd w:id="202"/>
    </w:p>
    <w:p>
      <w:pPr>
        <w:pStyle w:val="16"/>
        <w:adjustRightInd w:val="0"/>
        <w:snapToGrid w:val="0"/>
        <w:spacing w:line="380" w:lineRule="exact"/>
        <w:ind w:firstLine="0" w:firstLineChars="0"/>
        <w:rPr>
          <w:rFonts w:hAnsi="宋体"/>
          <w:color w:val="auto"/>
          <w:sz w:val="21"/>
          <w:szCs w:val="21"/>
          <w:highlight w:val="none"/>
        </w:rPr>
      </w:pPr>
      <w:r>
        <w:rPr>
          <w:rFonts w:hint="eastAsia" w:hAnsi="宋体"/>
          <w:color w:val="auto"/>
          <w:sz w:val="21"/>
          <w:szCs w:val="21"/>
          <w:highlight w:val="none"/>
        </w:rPr>
        <w:t xml:space="preserve">    （1）封面：写明项目名称、设计作品主题（不宜超过20个字）、编制年月；</w:t>
      </w:r>
    </w:p>
    <w:p>
      <w:pPr>
        <w:pStyle w:val="16"/>
        <w:adjustRightInd w:val="0"/>
        <w:snapToGrid w:val="0"/>
        <w:spacing w:line="380" w:lineRule="exact"/>
        <w:ind w:firstLine="420"/>
        <w:rPr>
          <w:rFonts w:hAnsi="宋体"/>
          <w:color w:val="auto"/>
          <w:sz w:val="21"/>
          <w:szCs w:val="21"/>
          <w:highlight w:val="none"/>
        </w:rPr>
      </w:pPr>
      <w:r>
        <w:rPr>
          <w:rFonts w:hint="eastAsia" w:hAnsi="宋体"/>
          <w:color w:val="auto"/>
          <w:sz w:val="21"/>
          <w:szCs w:val="21"/>
          <w:highlight w:val="none"/>
        </w:rPr>
        <w:t>（2）目录；</w:t>
      </w:r>
    </w:p>
    <w:p>
      <w:pPr>
        <w:pStyle w:val="16"/>
        <w:adjustRightInd w:val="0"/>
        <w:snapToGrid w:val="0"/>
        <w:spacing w:line="380" w:lineRule="exact"/>
        <w:ind w:firstLine="420"/>
        <w:rPr>
          <w:rFonts w:hAnsi="宋体"/>
          <w:color w:val="auto"/>
          <w:sz w:val="21"/>
          <w:szCs w:val="21"/>
          <w:highlight w:val="none"/>
        </w:rPr>
      </w:pPr>
      <w:r>
        <w:rPr>
          <w:rFonts w:hint="eastAsia" w:hAnsi="宋体"/>
          <w:color w:val="auto"/>
          <w:sz w:val="21"/>
          <w:szCs w:val="21"/>
          <w:highlight w:val="none"/>
        </w:rPr>
        <w:t>（3）设计说明书；</w:t>
      </w:r>
    </w:p>
    <w:p>
      <w:pPr>
        <w:adjustRightInd w:val="0"/>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（4）设计图纸（包括分析图、总平面图、表现图等）；</w:t>
      </w:r>
    </w:p>
    <w:p>
      <w:pPr>
        <w:adjustRightInd w:val="0"/>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（5）《工期计划表》（方案设计、初步设计、施工图设计、竣工图编制的总工时和工期）；</w:t>
      </w:r>
    </w:p>
    <w:p>
      <w:pPr>
        <w:adjustRightInd w:val="0"/>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（6）完成本项目的难点，保障工期、质量的主要措施；</w:t>
      </w:r>
    </w:p>
    <w:p>
      <w:pPr>
        <w:adjustRightInd w:val="0"/>
        <w:snapToGri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（7）投标人认为有必要提供的其他资料。</w:t>
      </w:r>
    </w:p>
    <w:p>
      <w:pPr>
        <w:adjustRightInd w:val="0"/>
        <w:snapToGrid w:val="0"/>
        <w:spacing w:line="380" w:lineRule="exact"/>
        <w:rPr>
          <w:rFonts w:ascii="宋体" w:hAnsi="宋体" w:cs="宋体"/>
          <w:color w:val="auto"/>
          <w:szCs w:val="21"/>
          <w:highlight w:val="none"/>
        </w:rPr>
      </w:pPr>
    </w:p>
    <w:p>
      <w:pPr>
        <w:adjustRightInd w:val="0"/>
        <w:snapToGrid w:val="0"/>
        <w:spacing w:line="380" w:lineRule="exact"/>
        <w:outlineLvl w:val="1"/>
        <w:rPr>
          <w:rFonts w:hAnsi="宋体"/>
          <w:color w:val="auto"/>
          <w:szCs w:val="21"/>
          <w:highlight w:val="none"/>
        </w:rPr>
      </w:pPr>
      <w:bookmarkStart w:id="203" w:name="_Toc7693"/>
      <w:r>
        <w:rPr>
          <w:rFonts w:hint="eastAsia" w:ascii="宋体" w:hAnsi="宋体"/>
          <w:b/>
          <w:color w:val="auto"/>
          <w:szCs w:val="21"/>
          <w:highlight w:val="none"/>
        </w:rPr>
        <w:t>6      商务文件</w:t>
      </w:r>
      <w:r>
        <w:rPr>
          <w:rFonts w:hint="eastAsia" w:ascii="宋体" w:hAnsi="宋体"/>
          <w:b/>
          <w:strike/>
          <w:color w:val="auto"/>
          <w:szCs w:val="21"/>
          <w:highlight w:val="none"/>
        </w:rPr>
        <w:t>（适用于综合评分法）</w:t>
      </w:r>
      <w:bookmarkEnd w:id="203"/>
    </w:p>
    <w:p>
      <w:pPr>
        <w:pStyle w:val="16"/>
        <w:adjustRightInd w:val="0"/>
        <w:snapToGrid w:val="0"/>
        <w:spacing w:line="380" w:lineRule="exact"/>
        <w:ind w:firstLine="0" w:firstLineChars="0"/>
        <w:outlineLvl w:val="2"/>
        <w:rPr>
          <w:rFonts w:hAnsi="宋体"/>
          <w:color w:val="auto"/>
          <w:sz w:val="21"/>
          <w:szCs w:val="21"/>
          <w:highlight w:val="none"/>
        </w:rPr>
      </w:pPr>
      <w:bookmarkStart w:id="204" w:name="_Toc30083"/>
      <w:r>
        <w:rPr>
          <w:rFonts w:hint="eastAsia" w:hAnsi="宋体"/>
          <w:color w:val="auto"/>
          <w:sz w:val="21"/>
          <w:szCs w:val="21"/>
          <w:highlight w:val="none"/>
          <w:u w:val="single"/>
        </w:rPr>
        <w:t>6.1</w:t>
      </w:r>
      <w:r>
        <w:rPr>
          <w:rFonts w:hint="eastAsia" w:hAnsi="宋体"/>
          <w:color w:val="auto"/>
          <w:sz w:val="21"/>
          <w:szCs w:val="21"/>
          <w:highlight w:val="none"/>
        </w:rPr>
        <w:t xml:space="preserve">    商务文件内容：</w:t>
      </w:r>
      <w:bookmarkEnd w:id="204"/>
    </w:p>
    <w:p>
      <w:pPr>
        <w:adjustRightInd w:val="0"/>
        <w:snapToGrid w:val="0"/>
        <w:spacing w:line="380" w:lineRule="exact"/>
        <w:ind w:left="613" w:hanging="613" w:hangingChars="292"/>
        <w:rPr>
          <w:rFonts w:ascii="宋体" w:hAnsi="宋体" w:cs="宋体"/>
          <w:color w:val="auto"/>
          <w:szCs w:val="21"/>
          <w:highlight w:val="none"/>
        </w:rPr>
      </w:pPr>
      <w:r>
        <w:rPr>
          <w:rFonts w:hint="eastAsia" w:ascii="宋体" w:hAnsi="宋体" w:cs="宋体"/>
          <w:color w:val="auto"/>
          <w:szCs w:val="21"/>
          <w:highlight w:val="none"/>
        </w:rPr>
        <w:t xml:space="preserve">    （1）目录；</w:t>
      </w:r>
    </w:p>
    <w:p>
      <w:pPr>
        <w:adjustRightInd w:val="0"/>
        <w:snapToGrid w:val="0"/>
        <w:spacing w:line="380" w:lineRule="exact"/>
        <w:ind w:left="608" w:leftChars="199" w:hanging="191" w:hangingChars="91"/>
        <w:rPr>
          <w:rFonts w:ascii="宋体" w:hAnsi="宋体"/>
          <w:color w:val="auto"/>
          <w:szCs w:val="21"/>
          <w:highlight w:val="none"/>
        </w:rPr>
      </w:pPr>
      <w:r>
        <w:rPr>
          <w:rFonts w:hint="eastAsia" w:ascii="宋体" w:hAnsi="宋体"/>
          <w:color w:val="auto"/>
          <w:szCs w:val="21"/>
          <w:highlight w:val="none"/>
        </w:rPr>
        <w:t>（2）《设计费报价表》；</w:t>
      </w:r>
    </w:p>
    <w:p>
      <w:pPr>
        <w:adjustRightInd w:val="0"/>
        <w:snapToGrid w:val="0"/>
        <w:spacing w:line="380" w:lineRule="exact"/>
        <w:ind w:left="713" w:leftChars="299" w:hanging="86" w:hangingChars="41"/>
        <w:rPr>
          <w:rFonts w:ascii="宋体" w:hAnsi="宋体"/>
          <w:color w:val="auto"/>
          <w:szCs w:val="21"/>
          <w:highlight w:val="none"/>
        </w:rPr>
      </w:pPr>
      <w:r>
        <w:rPr>
          <w:rFonts w:hint="eastAsia" w:ascii="宋体" w:hAnsi="宋体" w:cs="宋体"/>
          <w:color w:val="auto"/>
          <w:szCs w:val="21"/>
          <w:highlight w:val="none"/>
        </w:rPr>
        <w:t>注：投标人无需提供，评标委员会根据“开标信封”中资料进行评审。投标人再次提供且</w:t>
      </w:r>
      <w:r>
        <w:rPr>
          <w:rFonts w:hint="eastAsia" w:hAnsi="宋体"/>
          <w:color w:val="auto"/>
          <w:szCs w:val="21"/>
          <w:highlight w:val="none"/>
        </w:rPr>
        <w:t>不一致的，以“开标信封”的资料为准。</w:t>
      </w:r>
    </w:p>
    <w:p>
      <w:pPr>
        <w:adjustRightInd w:val="0"/>
        <w:snapToGrid w:val="0"/>
        <w:spacing w:line="380" w:lineRule="exact"/>
        <w:ind w:left="608" w:leftChars="199" w:hanging="191" w:hangingChars="91"/>
        <w:rPr>
          <w:rFonts w:hAnsi="宋体"/>
          <w:color w:val="auto"/>
          <w:szCs w:val="21"/>
          <w:highlight w:val="none"/>
        </w:rPr>
      </w:pPr>
      <w:r>
        <w:rPr>
          <w:rFonts w:hint="eastAsia" w:ascii="宋体" w:hAnsi="宋体" w:cs="宋体"/>
          <w:color w:val="auto"/>
          <w:szCs w:val="21"/>
          <w:highlight w:val="none"/>
        </w:rPr>
        <w:t>（3）</w:t>
      </w:r>
      <w:r>
        <w:rPr>
          <w:rFonts w:hint="eastAsia" w:hAnsi="宋体"/>
          <w:color w:val="auto"/>
          <w:szCs w:val="21"/>
          <w:highlight w:val="none"/>
        </w:rPr>
        <w:t>投标人综合实力证明材料（按《商务文件综合评分表》要求提交，</w:t>
      </w:r>
      <w:r>
        <w:rPr>
          <w:rFonts w:hint="eastAsia" w:ascii="宋体" w:hAnsi="宋体" w:cs="宋体"/>
          <w:color w:val="auto"/>
          <w:szCs w:val="21"/>
          <w:highlight w:val="none"/>
          <w:u w:val="single"/>
        </w:rPr>
        <w:t>格式自定</w:t>
      </w:r>
      <w:r>
        <w:rPr>
          <w:rFonts w:hint="eastAsia" w:hAnsi="宋体"/>
          <w:color w:val="auto"/>
          <w:szCs w:val="21"/>
          <w:highlight w:val="none"/>
        </w:rPr>
        <w:t>）；</w:t>
      </w:r>
    </w:p>
    <w:p>
      <w:pPr>
        <w:adjustRightInd w:val="0"/>
        <w:snapToGrid w:val="0"/>
        <w:spacing w:line="380" w:lineRule="exact"/>
        <w:ind w:left="608" w:leftChars="199" w:hanging="191" w:hangingChars="91"/>
        <w:outlineLvl w:val="3"/>
        <w:rPr>
          <w:rFonts w:hAnsi="宋体"/>
          <w:color w:val="auto"/>
          <w:szCs w:val="21"/>
          <w:highlight w:val="none"/>
        </w:rPr>
      </w:pPr>
      <w:bookmarkStart w:id="205" w:name="_Toc9117"/>
      <w:r>
        <w:rPr>
          <w:rFonts w:hint="eastAsia" w:hAnsi="宋体"/>
          <w:color w:val="auto"/>
          <w:szCs w:val="21"/>
          <w:highlight w:val="none"/>
        </w:rPr>
        <w:t>（4）投标人认为有必要提供的其他资料。</w:t>
      </w:r>
      <w:bookmarkEnd w:id="205"/>
    </w:p>
    <w:p>
      <w:pPr>
        <w:adjustRightInd w:val="0"/>
        <w:snapToGrid w:val="0"/>
        <w:spacing w:line="380" w:lineRule="exact"/>
        <w:rPr>
          <w:rFonts w:ascii="宋体" w:hAnsi="宋体"/>
          <w:color w:val="auto"/>
          <w:szCs w:val="21"/>
          <w:highlight w:val="none"/>
        </w:rPr>
      </w:pPr>
    </w:p>
    <w:p>
      <w:pPr>
        <w:adjustRightInd w:val="0"/>
        <w:snapToGrid w:val="0"/>
        <w:spacing w:line="380" w:lineRule="exact"/>
        <w:outlineLvl w:val="1"/>
        <w:rPr>
          <w:rFonts w:ascii="宋体" w:hAnsi="宋体"/>
          <w:color w:val="auto"/>
          <w:szCs w:val="21"/>
          <w:highlight w:val="none"/>
        </w:rPr>
      </w:pPr>
      <w:bookmarkStart w:id="206" w:name="_Toc5520"/>
      <w:r>
        <w:rPr>
          <w:rFonts w:hint="eastAsia" w:ascii="宋体" w:hAnsi="宋体"/>
          <w:b/>
          <w:color w:val="auto"/>
          <w:szCs w:val="21"/>
          <w:highlight w:val="none"/>
        </w:rPr>
        <w:t>7      投标</w:t>
      </w:r>
      <w:r>
        <w:rPr>
          <w:rFonts w:hint="eastAsia" w:ascii="宋体" w:hAnsi="宋体"/>
          <w:b/>
          <w:bCs/>
          <w:color w:val="auto"/>
          <w:szCs w:val="21"/>
          <w:highlight w:val="none"/>
        </w:rPr>
        <w:t>深度要求</w:t>
      </w:r>
      <w:bookmarkEnd w:id="206"/>
    </w:p>
    <w:p>
      <w:pPr>
        <w:adjustRightInd w:val="0"/>
        <w:snapToGrid w:val="0"/>
        <w:spacing w:line="380" w:lineRule="exact"/>
        <w:ind w:left="718" w:hanging="718" w:hangingChars="342"/>
        <w:jc w:val="left"/>
        <w:rPr>
          <w:rFonts w:ascii="宋体" w:hAnsi="宋体" w:cs="宋体"/>
          <w:color w:val="auto"/>
          <w:szCs w:val="21"/>
          <w:highlight w:val="none"/>
        </w:rPr>
      </w:pPr>
      <w:r>
        <w:rPr>
          <w:rFonts w:hint="eastAsia" w:ascii="宋体" w:hAnsi="宋体"/>
          <w:color w:val="auto"/>
          <w:szCs w:val="21"/>
          <w:highlight w:val="none"/>
        </w:rPr>
        <w:t xml:space="preserve">7.1    </w:t>
      </w:r>
      <w:r>
        <w:rPr>
          <w:rFonts w:hint="eastAsia" w:ascii="宋体" w:hAnsi="宋体" w:cs="宋体"/>
          <w:color w:val="auto"/>
          <w:szCs w:val="21"/>
          <w:highlight w:val="none"/>
        </w:rPr>
        <w:t>设计投标文件宜达到建设部《市政公用工程设计文件编制深度规定》（2013年版）相应设计阶段的要求。</w:t>
      </w:r>
    </w:p>
    <w:p>
      <w:pPr>
        <w:pStyle w:val="6"/>
        <w:numPr>
          <w:ilvl w:val="0"/>
          <w:numId w:val="0"/>
        </w:numPr>
        <w:spacing w:before="156" w:after="156"/>
        <w:rPr>
          <w:rFonts w:hAnsi="宋体"/>
          <w:color w:val="auto"/>
          <w:highlight w:val="none"/>
          <w:u w:val="single"/>
        </w:rPr>
      </w:pPr>
      <w:bookmarkStart w:id="207" w:name="_Toc15847"/>
      <w:bookmarkStart w:id="208" w:name="_Toc5944"/>
      <w:r>
        <w:rPr>
          <w:rFonts w:hint="eastAsia"/>
          <w:color w:val="auto"/>
          <w:highlight w:val="none"/>
          <w:u w:val="single"/>
        </w:rPr>
        <w:t>说明：上述文件格式参照第五章投标文件格式，无则</w:t>
      </w:r>
      <w:r>
        <w:rPr>
          <w:rFonts w:hint="eastAsia" w:hAnsi="宋体"/>
          <w:color w:val="auto"/>
          <w:highlight w:val="none"/>
          <w:u w:val="single"/>
        </w:rPr>
        <w:t>格式自拟。</w:t>
      </w:r>
      <w:bookmarkEnd w:id="207"/>
    </w:p>
    <w:p>
      <w:pPr>
        <w:pStyle w:val="6"/>
        <w:numPr>
          <w:ilvl w:val="0"/>
          <w:numId w:val="0"/>
        </w:numPr>
        <w:spacing w:before="156" w:after="156"/>
        <w:rPr>
          <w:color w:val="auto"/>
          <w:highlight w:val="none"/>
        </w:rPr>
      </w:pPr>
      <w:r>
        <w:rPr>
          <w:rFonts w:hint="eastAsia"/>
          <w:color w:val="auto"/>
          <w:highlight w:val="none"/>
        </w:rPr>
        <w:br w:type="page"/>
      </w:r>
      <w:bookmarkStart w:id="209" w:name="_Toc12672"/>
      <w:r>
        <w:rPr>
          <w:rFonts w:hint="eastAsia"/>
          <w:color w:val="auto"/>
          <w:highlight w:val="none"/>
        </w:rPr>
        <w:t>附件15 投标函</w:t>
      </w:r>
      <w:bookmarkEnd w:id="208"/>
      <w:bookmarkEnd w:id="209"/>
    </w:p>
    <w:p>
      <w:pPr>
        <w:adjustRightInd w:val="0"/>
        <w:snapToGrid w:val="0"/>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投标函</w:t>
      </w:r>
    </w:p>
    <w:p>
      <w:pPr>
        <w:adjustRightInd w:val="0"/>
        <w:snapToGrid w:val="0"/>
        <w:spacing w:line="360" w:lineRule="auto"/>
        <w:jc w:val="left"/>
        <w:rPr>
          <w:rFonts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p>
    <w:p>
      <w:pPr>
        <w:adjustRightInd w:val="0"/>
        <w:snapToGrid w:val="0"/>
        <w:spacing w:line="360" w:lineRule="auto"/>
        <w:jc w:val="left"/>
        <w:rPr>
          <w:rFonts w:ascii="宋体" w:hAnsi="宋体"/>
          <w:color w:val="auto"/>
          <w:sz w:val="24"/>
          <w:highlight w:val="none"/>
          <w:u w:val="single"/>
        </w:rPr>
      </w:pPr>
    </w:p>
    <w:p>
      <w:pPr>
        <w:adjustRightInd w:val="0"/>
        <w:snapToGrid w:val="0"/>
        <w:spacing w:line="360" w:lineRule="auto"/>
        <w:rPr>
          <w:rFonts w:ascii="宋体" w:hAnsi="宋体"/>
          <w:color w:val="auto"/>
          <w:sz w:val="24"/>
          <w:highlight w:val="none"/>
          <w:u w:val="single"/>
        </w:rPr>
      </w:pPr>
      <w:r>
        <w:rPr>
          <w:rFonts w:hint="eastAsia" w:ascii="宋体" w:hAnsi="宋体"/>
          <w:color w:val="auto"/>
          <w:sz w:val="24"/>
          <w:highlight w:val="none"/>
        </w:rPr>
        <w:t>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（招标人）</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我方已收到并详细研究了上述项目的招标文件、投标须知、合同条款、</w:t>
      </w:r>
      <w:r>
        <w:rPr>
          <w:rFonts w:hint="eastAsia" w:ascii="宋体" w:hAnsi="宋体"/>
          <w:color w:val="auto"/>
          <w:sz w:val="24"/>
          <w:highlight w:val="none"/>
          <w:u w:val="single"/>
        </w:rPr>
        <w:t>设计</w:t>
      </w:r>
      <w:r>
        <w:rPr>
          <w:rFonts w:hint="eastAsia" w:ascii="宋体" w:hAnsi="宋体"/>
          <w:color w:val="auto"/>
          <w:sz w:val="24"/>
          <w:highlight w:val="none"/>
        </w:rPr>
        <w:t>任务书及前期资料、技术规范等文件。我方</w:t>
      </w:r>
      <w:r>
        <w:rPr>
          <w:rFonts w:ascii="宋体" w:hAnsi="宋体"/>
          <w:color w:val="auto"/>
          <w:sz w:val="24"/>
          <w:highlight w:val="none"/>
        </w:rPr>
        <w:t>愿</w:t>
      </w:r>
      <w:r>
        <w:rPr>
          <w:rFonts w:hint="eastAsia" w:ascii="宋体" w:hAnsi="宋体"/>
          <w:color w:val="auto"/>
          <w:sz w:val="24"/>
          <w:highlight w:val="none"/>
        </w:rPr>
        <w:t>按上述文件的规定，</w:t>
      </w:r>
      <w:r>
        <w:rPr>
          <w:rFonts w:ascii="宋体" w:hAnsi="宋体"/>
          <w:color w:val="auto"/>
          <w:sz w:val="24"/>
          <w:highlight w:val="none"/>
        </w:rPr>
        <w:t>以</w:t>
      </w:r>
      <w:r>
        <w:rPr>
          <w:rFonts w:hint="eastAsia" w:ascii="宋体" w:hAnsi="宋体"/>
          <w:color w:val="auto"/>
          <w:sz w:val="24"/>
          <w:highlight w:val="none"/>
        </w:rPr>
        <w:t>《</w:t>
      </w:r>
      <w:r>
        <w:rPr>
          <w:rFonts w:hint="eastAsia" w:ascii="宋体" w:hAnsi="宋体"/>
          <w:color w:val="auto"/>
          <w:sz w:val="24"/>
          <w:highlight w:val="none"/>
          <w:u w:val="single"/>
        </w:rPr>
        <w:t>设计</w:t>
      </w:r>
      <w:r>
        <w:rPr>
          <w:rFonts w:hint="eastAsia" w:ascii="宋体" w:hAnsi="宋体"/>
          <w:color w:val="auto"/>
          <w:sz w:val="24"/>
          <w:highlight w:val="none"/>
        </w:rPr>
        <w:t>报价表》的投标总报价，承包本次招标所包含的工作，并承担质量缺陷责任。</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我方同意所递交的投标文件在招标文件规定的投标有效期内有效，在此期间内我方的投标有可能中标，我方将受此约束。</w:t>
      </w:r>
      <w:r>
        <w:rPr>
          <w:rFonts w:ascii="宋体" w:hAnsi="宋体"/>
          <w:color w:val="auto"/>
          <w:sz w:val="24"/>
          <w:highlight w:val="none"/>
        </w:rPr>
        <w:t>我方承诺在</w:t>
      </w:r>
      <w:r>
        <w:rPr>
          <w:rFonts w:hint="eastAsia" w:ascii="宋体" w:hAnsi="宋体"/>
          <w:color w:val="auto"/>
          <w:sz w:val="24"/>
          <w:highlight w:val="none"/>
        </w:rPr>
        <w:t>招标文件规定的</w:t>
      </w:r>
      <w:r>
        <w:rPr>
          <w:rFonts w:ascii="宋体" w:hAnsi="宋体"/>
          <w:color w:val="auto"/>
          <w:sz w:val="24"/>
          <w:highlight w:val="none"/>
        </w:rPr>
        <w:t>投标有效期内不修改、撤销投标文件</w:t>
      </w:r>
      <w:r>
        <w:rPr>
          <w:rFonts w:hint="eastAsia" w:ascii="宋体" w:hAnsi="宋体"/>
          <w:color w:val="auto"/>
          <w:sz w:val="24"/>
          <w:highlight w:val="none"/>
        </w:rPr>
        <w:t>。如果在投标有效期内撤销投标或放弃中标资格，给你方造成损失的，你方有权要求我方进行赔偿。</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我方已了解招标文件中载明的评标和定标条款，并接受根据招标文件规定进行评定的中标结果。如我方成为本项目中标候选人，我方同意并授权招标人将我方投标文件商务部分进行公开。如我方中标，我方将按照</w:t>
      </w:r>
      <w:r>
        <w:rPr>
          <w:rFonts w:hint="eastAsia" w:ascii="宋体" w:hAnsi="宋体"/>
          <w:strike/>
          <w:color w:val="auto"/>
          <w:sz w:val="24"/>
          <w:highlight w:val="none"/>
        </w:rPr>
        <w:t>规定递交履约担保，并按</w:t>
      </w:r>
      <w:r>
        <w:rPr>
          <w:rFonts w:hint="eastAsia" w:ascii="宋体" w:hAnsi="宋体"/>
          <w:color w:val="auto"/>
          <w:sz w:val="24"/>
          <w:highlight w:val="none"/>
        </w:rPr>
        <w:t>合同约定工期完成工作，质量标准达到招标文件和合同的要求。</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除非另外达成协议并生效，你方的中标通知书和本投标文件将成为约束双方的合同文件的组成部分。</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方承诺将依法进行异议、投诉，若有捏造事实、伪造材料或者以非法手段取得证明材料进行异议或投诉等行为的，经行政监督部门、公安或者司法机关依法认定后，自愿接受被招标人拒绝规定时期参与后续工程投标的后果（时限为自招标人发出通知之日起计3个月）。</w:t>
      </w:r>
    </w:p>
    <w:p>
      <w:pPr>
        <w:adjustRightInd w:val="0"/>
        <w:snapToGrid w:val="0"/>
        <w:spacing w:line="360" w:lineRule="auto"/>
        <w:rPr>
          <w:rFonts w:ascii="宋体" w:hAnsi="宋体"/>
          <w:color w:val="auto"/>
          <w:sz w:val="24"/>
          <w:highlight w:val="none"/>
        </w:rPr>
      </w:pPr>
    </w:p>
    <w:p>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投标人：（盖章）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法定代表人：（签字</w:t>
      </w:r>
      <w:r>
        <w:rPr>
          <w:rFonts w:hint="eastAsia" w:ascii="宋体" w:hAnsi="宋体"/>
          <w:color w:val="auto"/>
          <w:sz w:val="24"/>
          <w:highlight w:val="none"/>
        </w:rPr>
        <w:t>或盖章</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adjustRightInd w:val="0"/>
        <w:snapToGrid w:val="0"/>
        <w:spacing w:line="360" w:lineRule="auto"/>
        <w:ind w:firstLine="480" w:firstLineChars="200"/>
        <w:rPr>
          <w:rFonts w:ascii="宋体" w:hAnsi="宋体"/>
          <w:color w:val="auto"/>
          <w:sz w:val="24"/>
          <w:highlight w:val="none"/>
        </w:rPr>
      </w:pPr>
    </w:p>
    <w:p>
      <w:pPr>
        <w:adjustRightInd w:val="0"/>
        <w:snapToGrid w:val="0"/>
        <w:spacing w:line="360" w:lineRule="auto"/>
        <w:rPr>
          <w:rFonts w:ascii="宋体" w:hAnsi="宋体"/>
          <w:color w:val="auto"/>
          <w:sz w:val="24"/>
          <w:highlight w:val="none"/>
        </w:rPr>
      </w:pPr>
    </w:p>
    <w:p>
      <w:pPr>
        <w:adjustRightInd w:val="0"/>
        <w:snapToGrid w:val="0"/>
        <w:spacing w:line="360" w:lineRule="auto"/>
        <w:ind w:firstLine="5760" w:firstLineChars="240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pStyle w:val="18"/>
        <w:adjustRightInd w:val="0"/>
        <w:snapToGrid w:val="0"/>
        <w:spacing w:line="360" w:lineRule="auto"/>
        <w:rPr>
          <w:rFonts w:hAnsi="宋体"/>
          <w:b/>
          <w:bCs/>
          <w:color w:val="auto"/>
          <w:sz w:val="24"/>
          <w:szCs w:val="24"/>
          <w:highlight w:val="none"/>
        </w:rPr>
      </w:pPr>
    </w:p>
    <w:p>
      <w:pPr>
        <w:pStyle w:val="18"/>
        <w:adjustRightInd w:val="0"/>
        <w:snapToGrid w:val="0"/>
        <w:spacing w:line="360" w:lineRule="auto"/>
        <w:rPr>
          <w:rFonts w:hAnsi="宋体"/>
          <w:b/>
          <w:bCs/>
          <w:color w:val="auto"/>
          <w:sz w:val="24"/>
          <w:szCs w:val="24"/>
          <w:highlight w:val="none"/>
        </w:rPr>
      </w:pPr>
    </w:p>
    <w:p>
      <w:pPr>
        <w:pStyle w:val="6"/>
        <w:numPr>
          <w:ilvl w:val="0"/>
          <w:numId w:val="0"/>
        </w:numPr>
        <w:spacing w:before="156" w:after="156"/>
        <w:rPr>
          <w:color w:val="auto"/>
          <w:highlight w:val="none"/>
        </w:rPr>
      </w:pPr>
      <w:bookmarkStart w:id="210" w:name="_Toc7985"/>
      <w:bookmarkStart w:id="211" w:name="_Toc6981"/>
      <w:bookmarkStart w:id="212" w:name="_Toc29036"/>
      <w:r>
        <w:rPr>
          <w:rFonts w:hint="eastAsia"/>
          <w:color w:val="auto"/>
          <w:highlight w:val="none"/>
        </w:rPr>
        <w:t>附件16 投标人声明</w:t>
      </w:r>
      <w:bookmarkEnd w:id="210"/>
      <w:bookmarkEnd w:id="211"/>
      <w:bookmarkEnd w:id="212"/>
    </w:p>
    <w:p>
      <w:pPr>
        <w:jc w:val="center"/>
        <w:rPr>
          <w:rFonts w:ascii="宋体" w:hAnsi="宋体"/>
          <w:b/>
          <w:color w:val="auto"/>
          <w:sz w:val="32"/>
          <w:highlight w:val="none"/>
        </w:rPr>
      </w:pPr>
      <w:r>
        <w:rPr>
          <w:rFonts w:hint="eastAsia" w:ascii="宋体" w:hAnsi="宋体"/>
          <w:b/>
          <w:color w:val="auto"/>
          <w:sz w:val="32"/>
          <w:highlight w:val="none"/>
        </w:rPr>
        <w:t>投标人声明</w:t>
      </w:r>
    </w:p>
    <w:p>
      <w:pPr>
        <w:pStyle w:val="58"/>
        <w:adjustRightInd w:val="0"/>
        <w:snapToGrid w:val="0"/>
        <w:ind w:firstLine="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广州市林业和园林局、本招标项目招标人：</w:t>
      </w:r>
    </w:p>
    <w:p>
      <w:pPr>
        <w:pStyle w:val="58"/>
        <w:adjustRightInd w:val="0"/>
        <w:snapToGrid w:val="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本公司就参加</w:t>
      </w:r>
      <w:r>
        <w:rPr>
          <w:rFonts w:hint="eastAsia" w:ascii="宋体" w:hAnsi="宋体" w:eastAsia="宋体"/>
          <w:color w:val="auto"/>
          <w:kern w:val="2"/>
          <w:sz w:val="24"/>
          <w:szCs w:val="24"/>
          <w:highlight w:val="none"/>
          <w:u w:val="single"/>
        </w:rPr>
        <w:t xml:space="preserve">                  </w:t>
      </w:r>
      <w:r>
        <w:rPr>
          <w:rFonts w:hint="eastAsia" w:ascii="宋体" w:hAnsi="宋体" w:eastAsia="宋体"/>
          <w:color w:val="auto"/>
          <w:kern w:val="2"/>
          <w:sz w:val="24"/>
          <w:szCs w:val="24"/>
          <w:highlight w:val="none"/>
        </w:rPr>
        <w:t>投标工作，作出郑重声明：</w:t>
      </w:r>
    </w:p>
    <w:p>
      <w:pPr>
        <w:pStyle w:val="58"/>
        <w:numPr>
          <w:ilvl w:val="0"/>
          <w:numId w:val="5"/>
        </w:numPr>
        <w:adjustRightInd w:val="0"/>
        <w:snapToGrid w:val="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本公司保证本次投标活动所提供的材料都是真实的，在广州公共资源交易平台企业库登记的一切信息都是真实的、在有效期内的。如我司成为本项目中标候选人，我公司同意并授权招标人将我司投标文件商务部分的人员、业绩、奖项等资料进行公开。</w:t>
      </w:r>
    </w:p>
    <w:p>
      <w:pPr>
        <w:pStyle w:val="58"/>
        <w:numPr>
          <w:ilvl w:val="0"/>
          <w:numId w:val="5"/>
        </w:numPr>
        <w:adjustRightInd w:val="0"/>
        <w:snapToGrid w:val="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本公司承诺遵循公平公正、公开、诚实信用原则，如实提交投标资料，真实反映企业实力，公平竞争，不弄虚作假，不以低于企业成本价竞标而降低质量，不与任何建设单位订立违背企业成本及相关规定的“阴阳合同”进行恶性竞争扰乱市场秩序，不与其他单位串通投标或以行贿手段谋取中标，不出借资质、转包或违法分包。</w:t>
      </w:r>
    </w:p>
    <w:p>
      <w:pPr>
        <w:pStyle w:val="58"/>
        <w:adjustRightInd w:val="0"/>
        <w:snapToGrid w:val="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三、本公司不存在</w:t>
      </w:r>
      <w:r>
        <w:rPr>
          <w:rFonts w:hint="eastAsia" w:ascii="宋体" w:hAnsi="宋体" w:eastAsia="宋体"/>
          <w:color w:val="auto"/>
          <w:sz w:val="24"/>
          <w:szCs w:val="24"/>
          <w:highlight w:val="none"/>
        </w:rPr>
        <w:t>《全国失信惩戒措施基础清单》惩戒内容为“在一定期限内依法取消参加依法必须进行招标的项目的投标资格”的情形：串通投标或以行贿的手段谋取中标，且情节严重的投标人；以他人名义投标或者以其他方式弄虚作假，骗取中标，且情节严重的投标人；不按照与招标人订立的合同履行义务，且情节严重的中标人；被列入拖欠农民工工资失信联合惩戒对象名单的主体。</w:t>
      </w:r>
    </w:p>
    <w:p>
      <w:pPr>
        <w:pStyle w:val="58"/>
        <w:adjustRightInd w:val="0"/>
        <w:snapToGrid w:val="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四、本公司不存在第二章《投标须知通用条款》第1.5款规定的任何一种情形：</w:t>
      </w:r>
    </w:p>
    <w:p>
      <w:pPr>
        <w:pStyle w:val="18"/>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1.为招标人不具有独立法人资格的附属机构（单位）；</w:t>
      </w:r>
    </w:p>
    <w:p>
      <w:pPr>
        <w:pStyle w:val="18"/>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2.与招标人存在利害关系且可能影响招标公正性；</w:t>
      </w:r>
    </w:p>
    <w:p>
      <w:pPr>
        <w:pStyle w:val="18"/>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3.与本招标项目的其他投标人为同一个单位负责人；</w:t>
      </w:r>
    </w:p>
    <w:p>
      <w:pPr>
        <w:pStyle w:val="18"/>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4.与本招标项目的其他投标人存在控股、管理关系；</w:t>
      </w:r>
    </w:p>
    <w:p>
      <w:pPr>
        <w:pStyle w:val="18"/>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5.为本招标项目的代建人；</w:t>
      </w:r>
    </w:p>
    <w:p>
      <w:pPr>
        <w:pStyle w:val="18"/>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6.为本招标项目的招标代理机构；</w:t>
      </w:r>
    </w:p>
    <w:p>
      <w:pPr>
        <w:pStyle w:val="18"/>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7.与本招标项目的代建人或招标代理机构同为一个法定代表人；</w:t>
      </w:r>
    </w:p>
    <w:p>
      <w:pPr>
        <w:pStyle w:val="18"/>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8.与本招标项目的代建人或招标代理机构存在控股或参股关系；</w:t>
      </w:r>
    </w:p>
    <w:p>
      <w:pPr>
        <w:pStyle w:val="18"/>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9.被依法暂停或者取消投标资格；</w:t>
      </w:r>
    </w:p>
    <w:p>
      <w:pPr>
        <w:pStyle w:val="18"/>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10.被责令停产停业、暂扣或者吊销许可证、暂扣或者吊销执照；</w:t>
      </w:r>
    </w:p>
    <w:p>
      <w:pPr>
        <w:pStyle w:val="18"/>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11.进入清算程序，或被宣告破产，或其他丧失履约能力的情形；</w:t>
      </w:r>
    </w:p>
    <w:p>
      <w:pPr>
        <w:pStyle w:val="18"/>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12.在最近三年内发生重大设计质量问题（以相关行业主管部门的行政处罚决定或司法机关出具的有关法律文书为准）；</w:t>
      </w:r>
    </w:p>
    <w:p>
      <w:pPr>
        <w:pStyle w:val="18"/>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13.被工商行政管理机关在</w:t>
      </w:r>
      <w:r>
        <w:rPr>
          <w:rFonts w:hint="eastAsia" w:hAnsi="宋体" w:cs="宋体"/>
          <w:color w:val="auto"/>
          <w:sz w:val="24"/>
          <w:szCs w:val="24"/>
          <w:highlight w:val="none"/>
          <w:u w:val="single"/>
        </w:rPr>
        <w:t>国家</w:t>
      </w:r>
      <w:r>
        <w:rPr>
          <w:rFonts w:hint="eastAsia" w:hAnsi="宋体" w:cs="宋体"/>
          <w:color w:val="auto"/>
          <w:sz w:val="24"/>
          <w:szCs w:val="24"/>
          <w:highlight w:val="none"/>
        </w:rPr>
        <w:t>企业信用信息公示系统中列入严重违法失信企业名单；</w:t>
      </w:r>
    </w:p>
    <w:p>
      <w:pPr>
        <w:pStyle w:val="18"/>
        <w:adjustRightInd w:val="0"/>
        <w:snapToGrid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14.被最高人民法院在“信用中国”网站（www.creditchina.gov.cn）或各级信用信息共享平台中列入失信被执行人名单。</w:t>
      </w:r>
    </w:p>
    <w:p>
      <w:pPr>
        <w:pStyle w:val="58"/>
        <w:adjustRightInd w:val="0"/>
        <w:snapToGrid w:val="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本公司违反上述保证，或本声明陈述与事实不符，经行政监督部门查实后，本公司愿意接受公开通报，相关企业或人员承担由此带来的法律后果，并自愿停止参加广州市行政辖区内的招标投标活动三个月。</w:t>
      </w:r>
    </w:p>
    <w:p>
      <w:pPr>
        <w:pStyle w:val="58"/>
        <w:adjustRightInd w:val="0"/>
        <w:snapToGrid w:val="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特此声明。</w:t>
      </w:r>
    </w:p>
    <w:p>
      <w:pPr>
        <w:pStyle w:val="58"/>
        <w:adjustRightInd w:val="0"/>
        <w:snapToGrid w:val="0"/>
        <w:ind w:firstLine="0"/>
        <w:rPr>
          <w:rFonts w:ascii="宋体" w:hAnsi="宋体" w:eastAsia="宋体"/>
          <w:color w:val="auto"/>
          <w:kern w:val="2"/>
          <w:sz w:val="24"/>
          <w:szCs w:val="24"/>
          <w:highlight w:val="none"/>
        </w:rPr>
      </w:pPr>
    </w:p>
    <w:p>
      <w:pPr>
        <w:pStyle w:val="58"/>
        <w:adjustRightInd w:val="0"/>
        <w:snapToGrid w:val="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 xml:space="preserve">                     </w:t>
      </w:r>
    </w:p>
    <w:p>
      <w:pPr>
        <w:pStyle w:val="58"/>
        <w:adjustRightInd w:val="0"/>
        <w:snapToGrid w:val="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投标人：(盖章)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 法定代表人：</w:t>
      </w:r>
      <w:r>
        <w:rPr>
          <w:rFonts w:ascii="宋体" w:hAnsi="宋体"/>
          <w:color w:val="auto"/>
          <w:sz w:val="24"/>
          <w:highlight w:val="none"/>
        </w:rPr>
        <w:t>（签字</w:t>
      </w:r>
      <w:r>
        <w:rPr>
          <w:rFonts w:hint="eastAsia" w:ascii="宋体" w:hAnsi="宋体"/>
          <w:color w:val="auto"/>
          <w:sz w:val="24"/>
          <w:highlight w:val="none"/>
        </w:rPr>
        <w:t>或盖章</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pStyle w:val="58"/>
        <w:adjustRightInd w:val="0"/>
        <w:snapToGrid w:val="0"/>
        <w:ind w:firstLine="0"/>
        <w:rPr>
          <w:rFonts w:ascii="宋体" w:hAnsi="宋体" w:eastAsia="宋体"/>
          <w:color w:val="auto"/>
          <w:kern w:val="2"/>
          <w:sz w:val="24"/>
          <w:szCs w:val="24"/>
          <w:highlight w:val="none"/>
        </w:rPr>
      </w:pPr>
    </w:p>
    <w:p>
      <w:pPr>
        <w:pStyle w:val="58"/>
        <w:adjustRightInd w:val="0"/>
        <w:snapToGrid w:val="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 xml:space="preserve">                       </w:t>
      </w:r>
    </w:p>
    <w:p>
      <w:pPr>
        <w:pStyle w:val="58"/>
        <w:adjustRightInd w:val="0"/>
        <w:snapToGrid w:val="0"/>
        <w:rPr>
          <w:rFonts w:ascii="宋体" w:hAnsi="宋体" w:eastAsia="宋体"/>
          <w:color w:val="auto"/>
          <w:kern w:val="2"/>
          <w:sz w:val="24"/>
          <w:szCs w:val="24"/>
          <w:highlight w:val="none"/>
        </w:rPr>
      </w:pPr>
      <w:r>
        <w:rPr>
          <w:rFonts w:hint="eastAsia" w:ascii="宋体" w:hAnsi="宋体" w:eastAsia="宋体"/>
          <w:color w:val="auto"/>
          <w:kern w:val="2"/>
          <w:sz w:val="24"/>
          <w:szCs w:val="24"/>
          <w:highlight w:val="none"/>
        </w:rPr>
        <w:t xml:space="preserve">                                       </w:t>
      </w:r>
      <w:r>
        <w:rPr>
          <w:rFonts w:hint="eastAsia" w:ascii="宋体" w:hAnsi="宋体" w:eastAsia="宋体" w:cs="宋体"/>
          <w:color w:val="auto"/>
          <w:kern w:val="2"/>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58"/>
        <w:adjustRightInd w:val="0"/>
        <w:snapToGrid w:val="0"/>
        <w:rPr>
          <w:rFonts w:ascii="宋体" w:hAnsi="宋体" w:eastAsia="宋体"/>
          <w:color w:val="auto"/>
          <w:kern w:val="2"/>
          <w:sz w:val="24"/>
          <w:szCs w:val="24"/>
          <w:highlight w:val="none"/>
        </w:rPr>
      </w:pPr>
    </w:p>
    <w:p>
      <w:pPr>
        <w:pStyle w:val="58"/>
        <w:adjustRightInd w:val="0"/>
        <w:snapToGrid w:val="0"/>
        <w:rPr>
          <w:rFonts w:ascii="宋体" w:hAnsi="宋体" w:eastAsia="宋体"/>
          <w:color w:val="auto"/>
          <w:kern w:val="2"/>
          <w:sz w:val="24"/>
          <w:szCs w:val="24"/>
          <w:highlight w:val="none"/>
        </w:rPr>
      </w:pPr>
    </w:p>
    <w:p>
      <w:pPr>
        <w:pStyle w:val="18"/>
        <w:adjustRightInd w:val="0"/>
        <w:snapToGrid w:val="0"/>
        <w:spacing w:line="360" w:lineRule="auto"/>
        <w:jc w:val="center"/>
        <w:rPr>
          <w:rFonts w:hAnsi="宋体"/>
          <w:color w:val="auto"/>
          <w:sz w:val="24"/>
          <w:szCs w:val="24"/>
          <w:highlight w:val="none"/>
        </w:rPr>
      </w:pPr>
    </w:p>
    <w:p>
      <w:pPr>
        <w:pStyle w:val="18"/>
        <w:adjustRightInd w:val="0"/>
        <w:snapToGrid w:val="0"/>
        <w:spacing w:line="360" w:lineRule="auto"/>
        <w:jc w:val="center"/>
        <w:rPr>
          <w:rFonts w:hAnsi="宋体"/>
          <w:color w:val="auto"/>
          <w:sz w:val="24"/>
          <w:szCs w:val="24"/>
          <w:highlight w:val="none"/>
        </w:rPr>
      </w:pPr>
    </w:p>
    <w:p>
      <w:pPr>
        <w:pStyle w:val="18"/>
        <w:adjustRightInd w:val="0"/>
        <w:snapToGrid w:val="0"/>
        <w:spacing w:line="360" w:lineRule="auto"/>
        <w:jc w:val="center"/>
        <w:rPr>
          <w:rFonts w:hAnsi="宋体"/>
          <w:color w:val="auto"/>
          <w:sz w:val="24"/>
          <w:szCs w:val="24"/>
          <w:highlight w:val="none"/>
        </w:rPr>
      </w:pPr>
    </w:p>
    <w:p>
      <w:pPr>
        <w:pStyle w:val="6"/>
        <w:numPr>
          <w:ilvl w:val="0"/>
          <w:numId w:val="0"/>
        </w:numPr>
        <w:spacing w:before="156" w:after="156"/>
        <w:rPr>
          <w:color w:val="auto"/>
          <w:highlight w:val="none"/>
        </w:rPr>
      </w:pPr>
      <w:bookmarkStart w:id="213" w:name="_Toc18484"/>
      <w:bookmarkStart w:id="214" w:name="_Toc3226"/>
      <w:r>
        <w:rPr>
          <w:rFonts w:hint="eastAsia"/>
          <w:color w:val="auto"/>
          <w:highlight w:val="none"/>
        </w:rPr>
        <w:br w:type="page"/>
      </w:r>
      <w:bookmarkStart w:id="215" w:name="_Toc12533"/>
      <w:r>
        <w:rPr>
          <w:rFonts w:hint="eastAsia"/>
          <w:color w:val="auto"/>
          <w:highlight w:val="none"/>
        </w:rPr>
        <w:t>附件17 法定代表人证明书及法定代表人授权书</w:t>
      </w:r>
      <w:bookmarkEnd w:id="213"/>
      <w:bookmarkEnd w:id="214"/>
      <w:bookmarkEnd w:id="215"/>
    </w:p>
    <w:p>
      <w:pPr>
        <w:rPr>
          <w:rStyle w:val="39"/>
          <w:color w:val="auto"/>
          <w:highlight w:val="none"/>
        </w:rPr>
      </w:pPr>
    </w:p>
    <w:p>
      <w:pPr>
        <w:rPr>
          <w:rStyle w:val="39"/>
          <w:color w:val="auto"/>
          <w:highlight w:val="none"/>
        </w:rPr>
      </w:pPr>
    </w:p>
    <w:p>
      <w:pPr>
        <w:rPr>
          <w:rStyle w:val="39"/>
          <w:color w:val="auto"/>
          <w:highlight w:val="none"/>
        </w:rPr>
      </w:pPr>
    </w:p>
    <w:p>
      <w:pPr>
        <w:adjustRightInd w:val="0"/>
        <w:snapToGrid w:val="0"/>
        <w:spacing w:line="360" w:lineRule="auto"/>
        <w:jc w:val="center"/>
        <w:rPr>
          <w:rFonts w:ascii="宋体" w:hAnsi="宋体"/>
          <w:b/>
          <w:color w:val="auto"/>
          <w:sz w:val="32"/>
          <w:highlight w:val="none"/>
        </w:rPr>
      </w:pPr>
      <w:bookmarkStart w:id="216" w:name="_Toc300835213"/>
      <w:bookmarkStart w:id="217" w:name="_Toc247527831"/>
      <w:bookmarkStart w:id="218" w:name="_Toc247514283"/>
      <w:bookmarkStart w:id="219" w:name="_Toc507162845"/>
      <w:bookmarkStart w:id="220" w:name="_Toc152042580"/>
      <w:bookmarkStart w:id="221" w:name="_Toc144974860"/>
      <w:bookmarkStart w:id="222" w:name="_Toc152045791"/>
      <w:bookmarkStart w:id="223" w:name="_Toc507590785"/>
      <w:r>
        <w:rPr>
          <w:rFonts w:hint="eastAsia" w:ascii="宋体" w:hAnsi="宋体"/>
          <w:b/>
          <w:color w:val="auto"/>
          <w:sz w:val="32"/>
          <w:highlight w:val="none"/>
        </w:rPr>
        <w:t>法定代表人证明</w:t>
      </w:r>
      <w:bookmarkEnd w:id="216"/>
      <w:bookmarkEnd w:id="217"/>
      <w:bookmarkEnd w:id="218"/>
      <w:bookmarkEnd w:id="219"/>
      <w:bookmarkEnd w:id="220"/>
      <w:bookmarkEnd w:id="221"/>
      <w:bookmarkEnd w:id="222"/>
      <w:bookmarkEnd w:id="223"/>
      <w:r>
        <w:rPr>
          <w:rFonts w:hint="eastAsia" w:ascii="宋体" w:hAnsi="宋体"/>
          <w:b/>
          <w:color w:val="auto"/>
          <w:sz w:val="32"/>
          <w:highlight w:val="none"/>
        </w:rPr>
        <w:t>书</w:t>
      </w:r>
    </w:p>
    <w:p>
      <w:pPr>
        <w:adjustRightInd w:val="0"/>
        <w:snapToGrid w:val="0"/>
        <w:spacing w:line="360" w:lineRule="auto"/>
        <w:ind w:firstLine="400" w:firstLineChars="200"/>
        <w:rPr>
          <w:color w:val="auto"/>
          <w:sz w:val="20"/>
          <w:szCs w:val="20"/>
          <w:highlight w:val="none"/>
        </w:rPr>
      </w:pPr>
    </w:p>
    <w:p>
      <w:pPr>
        <w:adjustRightInd w:val="0"/>
        <w:snapToGrid w:val="0"/>
        <w:spacing w:line="360" w:lineRule="auto"/>
        <w:ind w:firstLine="480" w:firstLineChars="200"/>
        <w:rPr>
          <w:color w:val="auto"/>
          <w:sz w:val="24"/>
          <w:highlight w:val="none"/>
        </w:rPr>
      </w:pPr>
    </w:p>
    <w:p>
      <w:pPr>
        <w:adjustRightInd w:val="0"/>
        <w:snapToGrid w:val="0"/>
        <w:spacing w:line="360" w:lineRule="auto"/>
        <w:ind w:firstLine="480" w:firstLineChars="200"/>
        <w:rPr>
          <w:color w:val="auto"/>
          <w:sz w:val="24"/>
          <w:highlight w:val="none"/>
          <w:u w:val="single"/>
        </w:rPr>
      </w:pPr>
      <w:r>
        <w:rPr>
          <w:rFonts w:hint="eastAsia" w:ascii="宋体" w:hAnsi="宋体"/>
          <w:color w:val="auto"/>
          <w:sz w:val="24"/>
          <w:highlight w:val="none"/>
          <w:u w:val="single"/>
        </w:rPr>
        <w:t xml:space="preserve">          </w:t>
      </w:r>
      <w:r>
        <w:rPr>
          <w:rFonts w:hint="eastAsia"/>
          <w:color w:val="auto"/>
          <w:sz w:val="24"/>
          <w:highlight w:val="none"/>
        </w:rPr>
        <w:t>（姓名）现任我单位</w:t>
      </w:r>
      <w:r>
        <w:rPr>
          <w:rFonts w:hint="eastAsia" w:ascii="宋体" w:hAnsi="宋体"/>
          <w:color w:val="auto"/>
          <w:sz w:val="24"/>
          <w:highlight w:val="none"/>
          <w:u w:val="single"/>
        </w:rPr>
        <w:t xml:space="preserve">          </w:t>
      </w:r>
      <w:r>
        <w:rPr>
          <w:rFonts w:hint="eastAsia"/>
          <w:color w:val="auto"/>
          <w:sz w:val="24"/>
          <w:highlight w:val="none"/>
        </w:rPr>
        <w:t>职务，为我单位法定代表人，特此证明。</w:t>
      </w:r>
    </w:p>
    <w:p>
      <w:pPr>
        <w:adjustRightInd w:val="0"/>
        <w:snapToGrid w:val="0"/>
        <w:spacing w:line="360" w:lineRule="auto"/>
        <w:ind w:firstLine="480" w:firstLineChars="200"/>
        <w:rPr>
          <w:color w:val="auto"/>
          <w:sz w:val="24"/>
          <w:highlight w:val="none"/>
          <w:u w:val="single"/>
        </w:rPr>
      </w:pPr>
      <w:r>
        <w:rPr>
          <w:rFonts w:hint="eastAsia"/>
          <w:color w:val="auto"/>
          <w:sz w:val="24"/>
          <w:highlight w:val="none"/>
        </w:rPr>
        <w:t>有效期限：</w:t>
      </w:r>
      <w:r>
        <w:rPr>
          <w:rFonts w:hint="eastAsia" w:ascii="宋体" w:hAnsi="宋体"/>
          <w:color w:val="auto"/>
          <w:sz w:val="24"/>
          <w:highlight w:val="none"/>
          <w:u w:val="single"/>
        </w:rPr>
        <w:t xml:space="preserve">                                     </w:t>
      </w:r>
      <w:r>
        <w:rPr>
          <w:rFonts w:hint="eastAsia"/>
          <w:color w:val="auto"/>
          <w:sz w:val="24"/>
          <w:highlight w:val="none"/>
        </w:rPr>
        <w:t>。</w:t>
      </w:r>
    </w:p>
    <w:p>
      <w:pPr>
        <w:adjustRightInd w:val="0"/>
        <w:snapToGrid w:val="0"/>
        <w:spacing w:line="360" w:lineRule="auto"/>
        <w:ind w:firstLine="480" w:firstLineChars="200"/>
        <w:rPr>
          <w:color w:val="auto"/>
          <w:sz w:val="24"/>
          <w:highlight w:val="none"/>
        </w:rPr>
      </w:pPr>
    </w:p>
    <w:p>
      <w:pPr>
        <w:adjustRightInd w:val="0"/>
        <w:snapToGrid w:val="0"/>
        <w:spacing w:line="360" w:lineRule="auto"/>
        <w:ind w:firstLine="480" w:firstLineChars="200"/>
        <w:rPr>
          <w:color w:val="auto"/>
          <w:sz w:val="24"/>
          <w:highlight w:val="none"/>
        </w:rPr>
      </w:pPr>
      <w:r>
        <w:rPr>
          <w:rFonts w:hint="eastAsia"/>
          <w:color w:val="auto"/>
          <w:sz w:val="24"/>
          <w:highlight w:val="none"/>
        </w:rPr>
        <w:t>法定代表人性别：</w:t>
      </w:r>
      <w:r>
        <w:rPr>
          <w:rFonts w:hint="eastAsia" w:ascii="宋体" w:hAnsi="宋体"/>
          <w:color w:val="auto"/>
          <w:sz w:val="24"/>
          <w:highlight w:val="none"/>
          <w:u w:val="single"/>
        </w:rPr>
        <w:t xml:space="preserve">      </w:t>
      </w:r>
      <w:r>
        <w:rPr>
          <w:rFonts w:hint="eastAsia"/>
          <w:color w:val="auto"/>
          <w:sz w:val="24"/>
          <w:highlight w:val="none"/>
        </w:rPr>
        <w:t>，年龄：</w:t>
      </w:r>
      <w:r>
        <w:rPr>
          <w:rFonts w:hint="eastAsia" w:ascii="宋体" w:hAnsi="宋体"/>
          <w:color w:val="auto"/>
          <w:sz w:val="24"/>
          <w:highlight w:val="none"/>
          <w:u w:val="single"/>
        </w:rPr>
        <w:t xml:space="preserve">     </w:t>
      </w:r>
      <w:r>
        <w:rPr>
          <w:rFonts w:hint="eastAsia"/>
          <w:color w:val="auto"/>
          <w:sz w:val="24"/>
          <w:highlight w:val="none"/>
        </w:rPr>
        <w:t>，身份证号码：</w:t>
      </w:r>
      <w:r>
        <w:rPr>
          <w:rFonts w:hint="eastAsia" w:ascii="宋体" w:hAnsi="宋体"/>
          <w:color w:val="auto"/>
          <w:sz w:val="24"/>
          <w:highlight w:val="none"/>
          <w:u w:val="single"/>
        </w:rPr>
        <w:t xml:space="preserve">            </w:t>
      </w:r>
      <w:r>
        <w:rPr>
          <w:rFonts w:hint="eastAsia"/>
          <w:color w:val="auto"/>
          <w:sz w:val="24"/>
          <w:highlight w:val="none"/>
        </w:rPr>
        <w:t xml:space="preserve">。 </w:t>
      </w:r>
    </w:p>
    <w:p>
      <w:pPr>
        <w:adjustRightInd w:val="0"/>
        <w:snapToGrid w:val="0"/>
        <w:spacing w:line="360" w:lineRule="auto"/>
        <w:ind w:firstLine="480" w:firstLineChars="200"/>
        <w:rPr>
          <w:color w:val="auto"/>
          <w:sz w:val="24"/>
          <w:highlight w:val="none"/>
          <w:u w:val="single"/>
        </w:rPr>
      </w:pPr>
      <w:r>
        <w:rPr>
          <w:rFonts w:hint="eastAsia"/>
          <w:color w:val="auto"/>
          <w:sz w:val="24"/>
          <w:highlight w:val="none"/>
        </w:rPr>
        <w:t>企业统一社会信用代码：</w:t>
      </w:r>
      <w:r>
        <w:rPr>
          <w:rFonts w:hint="eastAsia" w:ascii="宋体" w:hAnsi="宋体"/>
          <w:color w:val="auto"/>
          <w:sz w:val="24"/>
          <w:highlight w:val="none"/>
          <w:u w:val="single"/>
        </w:rPr>
        <w:t xml:space="preserve">             </w:t>
      </w:r>
      <w:r>
        <w:rPr>
          <w:rFonts w:hint="eastAsia"/>
          <w:color w:val="auto"/>
          <w:sz w:val="24"/>
          <w:highlight w:val="none"/>
        </w:rPr>
        <w:t>，企业类型：</w:t>
      </w:r>
      <w:r>
        <w:rPr>
          <w:rFonts w:hint="eastAsia" w:ascii="宋体" w:hAnsi="宋体"/>
          <w:color w:val="auto"/>
          <w:sz w:val="24"/>
          <w:highlight w:val="none"/>
          <w:u w:val="single"/>
        </w:rPr>
        <w:t xml:space="preserve">              </w:t>
      </w:r>
      <w:r>
        <w:rPr>
          <w:rFonts w:hint="eastAsia"/>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hint="eastAsia"/>
          <w:color w:val="auto"/>
          <w:sz w:val="24"/>
          <w:highlight w:val="none"/>
        </w:rPr>
        <w:t>经营范围：</w:t>
      </w:r>
      <w:r>
        <w:rPr>
          <w:rFonts w:hint="eastAsia" w:ascii="宋体" w:hAnsi="宋体"/>
          <w:color w:val="auto"/>
          <w:sz w:val="24"/>
          <w:highlight w:val="none"/>
          <w:u w:val="single"/>
        </w:rPr>
        <w:t xml:space="preserve">                                                   </w:t>
      </w:r>
      <w:r>
        <w:rPr>
          <w:rFonts w:hint="eastAsia"/>
          <w:color w:val="auto"/>
          <w:sz w:val="24"/>
          <w:highlight w:val="none"/>
        </w:rPr>
        <w:t>。</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附：法定代表人身份证复印件</w:t>
      </w:r>
    </w:p>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rPr>
          <w:rFonts w:ascii="宋体" w:hAnsi="宋体" w:cs="宋体"/>
          <w:color w:val="auto"/>
          <w:sz w:val="24"/>
          <w:highlight w:val="none"/>
        </w:rPr>
      </w:pPr>
    </w:p>
    <w:p>
      <w:pPr>
        <w:adjustRightInd w:val="0"/>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投标人：（盖章）</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adjustRightInd w:val="0"/>
        <w:snapToGrid w:val="0"/>
        <w:spacing w:line="360" w:lineRule="auto"/>
        <w:ind w:firstLine="480" w:firstLineChars="200"/>
        <w:rPr>
          <w:color w:val="auto"/>
          <w:sz w:val="24"/>
          <w:highlight w:val="none"/>
        </w:rPr>
      </w:pPr>
      <w:r>
        <w:rPr>
          <w:color w:val="auto"/>
          <w:sz w:val="24"/>
          <w:highlight w:val="none"/>
        </w:rPr>
        <w:t>法定代表人：（签字</w:t>
      </w:r>
      <w:r>
        <w:rPr>
          <w:rFonts w:hint="eastAsia"/>
          <w:color w:val="auto"/>
          <w:sz w:val="24"/>
          <w:highlight w:val="none"/>
        </w:rPr>
        <w:t>或盖章</w:t>
      </w:r>
      <w:r>
        <w:rPr>
          <w:color w:val="auto"/>
          <w:sz w:val="24"/>
          <w:highlight w:val="none"/>
        </w:rPr>
        <w:t>）</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adjustRightInd w:val="0"/>
        <w:snapToGrid w:val="0"/>
        <w:spacing w:line="360" w:lineRule="auto"/>
        <w:ind w:firstLine="480" w:firstLineChars="200"/>
        <w:rPr>
          <w:rFonts w:ascii="宋体" w:hAnsi="宋体" w:cs="宋体"/>
          <w:color w:val="auto"/>
          <w:sz w:val="24"/>
          <w:highlight w:val="none"/>
          <w:u w:val="single"/>
        </w:rPr>
      </w:pP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p>
    <w:p>
      <w:pPr>
        <w:adjustRightInd w:val="0"/>
        <w:snapToGrid w:val="0"/>
        <w:spacing w:line="360" w:lineRule="auto"/>
        <w:ind w:firstLine="480" w:firstLineChars="200"/>
        <w:rPr>
          <w:rFonts w:ascii="宋体" w:hAnsi="宋体" w:cs="宋体"/>
          <w:color w:val="auto"/>
          <w:sz w:val="24"/>
          <w:highlight w:val="none"/>
        </w:rPr>
      </w:pPr>
    </w:p>
    <w:p>
      <w:pPr>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日           </w:t>
      </w:r>
    </w:p>
    <w:p>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br w:type="page"/>
      </w:r>
    </w:p>
    <w:p>
      <w:pPr>
        <w:adjustRightInd w:val="0"/>
        <w:snapToGrid w:val="0"/>
        <w:spacing w:line="360" w:lineRule="auto"/>
        <w:jc w:val="center"/>
        <w:rPr>
          <w:rFonts w:ascii="宋体" w:hAnsi="宋体"/>
          <w:b/>
          <w:color w:val="auto"/>
          <w:sz w:val="32"/>
          <w:highlight w:val="none"/>
        </w:rPr>
      </w:pPr>
      <w:bookmarkStart w:id="224" w:name="_Toc144974861"/>
      <w:bookmarkStart w:id="225" w:name="_Toc152042581"/>
      <w:bookmarkStart w:id="226" w:name="_Toc300835214"/>
      <w:bookmarkStart w:id="227" w:name="_Toc247514284"/>
      <w:bookmarkStart w:id="228" w:name="_Toc507590786"/>
      <w:bookmarkStart w:id="229" w:name="_Toc152045792"/>
      <w:bookmarkStart w:id="230" w:name="_Toc247527832"/>
      <w:bookmarkStart w:id="231" w:name="_Toc507162846"/>
      <w:r>
        <w:rPr>
          <w:rFonts w:hint="eastAsia" w:ascii="宋体" w:hAnsi="宋体"/>
          <w:b/>
          <w:color w:val="auto"/>
          <w:sz w:val="32"/>
          <w:highlight w:val="none"/>
        </w:rPr>
        <w:t>法定代表人授权书</w:t>
      </w:r>
      <w:bookmarkEnd w:id="224"/>
      <w:bookmarkEnd w:id="225"/>
      <w:bookmarkEnd w:id="226"/>
      <w:bookmarkEnd w:id="227"/>
      <w:bookmarkEnd w:id="228"/>
      <w:bookmarkEnd w:id="229"/>
      <w:bookmarkEnd w:id="230"/>
      <w:bookmarkEnd w:id="231"/>
    </w:p>
    <w:p>
      <w:pPr>
        <w:adjustRightInd w:val="0"/>
        <w:snapToGrid w:val="0"/>
        <w:spacing w:line="360" w:lineRule="auto"/>
        <w:ind w:firstLine="480" w:firstLineChars="200"/>
        <w:rPr>
          <w:rFonts w:eastAsia="黑体"/>
          <w:color w:val="auto"/>
          <w:sz w:val="24"/>
          <w:highlight w:val="none"/>
        </w:rPr>
      </w:pPr>
    </w:p>
    <w:p>
      <w:pPr>
        <w:topLinePunct/>
        <w:adjustRightInd w:val="0"/>
        <w:snapToGrid w:val="0"/>
        <w:spacing w:line="360" w:lineRule="auto"/>
        <w:ind w:firstLine="480" w:firstLineChars="200"/>
        <w:rPr>
          <w:color w:val="auto"/>
          <w:sz w:val="24"/>
          <w:highlight w:val="none"/>
        </w:rPr>
      </w:pPr>
    </w:p>
    <w:p>
      <w:pPr>
        <w:topLinePunct/>
        <w:adjustRightInd w:val="0"/>
        <w:snapToGrid w:val="0"/>
        <w:spacing w:line="360" w:lineRule="auto"/>
        <w:ind w:firstLine="480" w:firstLineChars="200"/>
        <w:rPr>
          <w:color w:val="auto"/>
          <w:sz w:val="24"/>
          <w:highlight w:val="none"/>
        </w:rPr>
      </w:pPr>
      <w:r>
        <w:rPr>
          <w:rFonts w:hint="eastAsia"/>
          <w:color w:val="auto"/>
          <w:sz w:val="24"/>
          <w:highlight w:val="none"/>
        </w:rPr>
        <w:t>本人</w:t>
      </w:r>
      <w:r>
        <w:rPr>
          <w:rFonts w:hint="eastAsia" w:ascii="宋体" w:hAnsi="宋体"/>
          <w:color w:val="auto"/>
          <w:sz w:val="24"/>
          <w:highlight w:val="none"/>
          <w:u w:val="single"/>
        </w:rPr>
        <w:t xml:space="preserve">        </w:t>
      </w:r>
      <w:r>
        <w:rPr>
          <w:color w:val="auto"/>
          <w:sz w:val="24"/>
          <w:highlight w:val="none"/>
        </w:rPr>
        <w:t>（姓名）</w:t>
      </w:r>
      <w:r>
        <w:rPr>
          <w:rFonts w:hint="eastAsia"/>
          <w:color w:val="auto"/>
          <w:sz w:val="24"/>
          <w:highlight w:val="none"/>
        </w:rPr>
        <w:t>为</w:t>
      </w:r>
      <w:r>
        <w:rPr>
          <w:rFonts w:hint="eastAsia" w:ascii="宋体" w:hAnsi="宋体"/>
          <w:color w:val="auto"/>
          <w:sz w:val="24"/>
          <w:highlight w:val="none"/>
          <w:u w:val="single"/>
        </w:rPr>
        <w:t xml:space="preserve">                </w:t>
      </w:r>
      <w:r>
        <w:rPr>
          <w:color w:val="auto"/>
          <w:sz w:val="24"/>
          <w:highlight w:val="none"/>
        </w:rPr>
        <w:t>（投标人名称）的法定代表人，现</w:t>
      </w:r>
      <w:r>
        <w:rPr>
          <w:rFonts w:hint="eastAsia"/>
          <w:color w:val="auto"/>
          <w:sz w:val="24"/>
          <w:highlight w:val="none"/>
        </w:rPr>
        <w:t>授</w:t>
      </w:r>
    </w:p>
    <w:p>
      <w:pPr>
        <w:adjustRightInd w:val="0"/>
        <w:snapToGrid w:val="0"/>
        <w:spacing w:line="360" w:lineRule="auto"/>
        <w:rPr>
          <w:color w:val="auto"/>
          <w:sz w:val="24"/>
          <w:highlight w:val="none"/>
        </w:rPr>
      </w:pPr>
      <w:r>
        <w:rPr>
          <w:rFonts w:hint="eastAsia"/>
          <w:color w:val="auto"/>
          <w:sz w:val="24"/>
          <w:highlight w:val="none"/>
        </w:rPr>
        <w:t>权</w:t>
      </w:r>
      <w:r>
        <w:rPr>
          <w:color w:val="auto"/>
          <w:sz w:val="24"/>
          <w:highlight w:val="none"/>
          <w:u w:val="single"/>
        </w:rPr>
        <w:t xml:space="preserve">        </w:t>
      </w:r>
      <w:r>
        <w:rPr>
          <w:color w:val="auto"/>
          <w:sz w:val="24"/>
          <w:highlight w:val="none"/>
        </w:rPr>
        <w:t>（姓名）为我方</w:t>
      </w:r>
      <w:r>
        <w:rPr>
          <w:rFonts w:hint="eastAsia"/>
          <w:color w:val="auto"/>
          <w:sz w:val="24"/>
          <w:highlight w:val="none"/>
        </w:rPr>
        <w:t>委托</w:t>
      </w:r>
      <w:r>
        <w:rPr>
          <w:color w:val="auto"/>
          <w:sz w:val="24"/>
          <w:highlight w:val="none"/>
        </w:rPr>
        <w:t>代理人。</w:t>
      </w:r>
      <w:r>
        <w:rPr>
          <w:rFonts w:hint="eastAsia"/>
          <w:color w:val="auto"/>
          <w:sz w:val="24"/>
          <w:highlight w:val="none"/>
        </w:rPr>
        <w:t>委托</w:t>
      </w:r>
      <w:r>
        <w:rPr>
          <w:color w:val="auto"/>
          <w:sz w:val="24"/>
          <w:highlight w:val="none"/>
        </w:rPr>
        <w:t>代理人根据授权，以我方名义签署、澄清</w:t>
      </w:r>
      <w:r>
        <w:rPr>
          <w:rFonts w:hint="eastAsia"/>
          <w:color w:val="auto"/>
          <w:sz w:val="24"/>
          <w:highlight w:val="none"/>
        </w:rPr>
        <w:t>、说明、补正</w:t>
      </w:r>
      <w:r>
        <w:rPr>
          <w:color w:val="auto"/>
          <w:sz w:val="24"/>
          <w:highlight w:val="none"/>
        </w:rPr>
        <w:t>、递交、撤回、修改</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（项目名称）</w:t>
      </w:r>
      <w:r>
        <w:rPr>
          <w:color w:val="auto"/>
          <w:sz w:val="24"/>
          <w:highlight w:val="none"/>
        </w:rPr>
        <w:t>投标文件</w:t>
      </w:r>
      <w:r>
        <w:rPr>
          <w:rFonts w:hint="eastAsia"/>
          <w:color w:val="auto"/>
          <w:sz w:val="24"/>
          <w:highlight w:val="none"/>
        </w:rPr>
        <w:t>，并</w:t>
      </w:r>
      <w:r>
        <w:rPr>
          <w:color w:val="auto"/>
          <w:sz w:val="24"/>
          <w:highlight w:val="none"/>
        </w:rPr>
        <w:t>处理有关事宜，其法律后果由我方承担。</w:t>
      </w:r>
      <w:r>
        <w:rPr>
          <w:rFonts w:hint="eastAsia"/>
          <w:color w:val="auto"/>
          <w:sz w:val="24"/>
          <w:highlight w:val="none"/>
        </w:rPr>
        <w:t>委托</w:t>
      </w:r>
      <w:r>
        <w:rPr>
          <w:color w:val="auto"/>
          <w:sz w:val="24"/>
          <w:highlight w:val="none"/>
        </w:rPr>
        <w:t>代理人无转委托权。</w:t>
      </w:r>
    </w:p>
    <w:p>
      <w:pPr>
        <w:adjustRightInd w:val="0"/>
        <w:snapToGrid w:val="0"/>
        <w:spacing w:line="360" w:lineRule="auto"/>
        <w:ind w:firstLine="480" w:firstLineChars="200"/>
        <w:rPr>
          <w:color w:val="auto"/>
          <w:sz w:val="24"/>
          <w:highlight w:val="none"/>
        </w:rPr>
      </w:pPr>
      <w:r>
        <w:rPr>
          <w:rFonts w:hint="eastAsia"/>
          <w:color w:val="auto"/>
          <w:sz w:val="24"/>
          <w:highlight w:val="none"/>
        </w:rPr>
        <w:t>有效</w:t>
      </w:r>
      <w:r>
        <w:rPr>
          <w:color w:val="auto"/>
          <w:sz w:val="24"/>
          <w:highlight w:val="none"/>
        </w:rPr>
        <w:t>期限：</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rFonts w:hint="eastAsia"/>
          <w:color w:val="auto"/>
          <w:sz w:val="24"/>
          <w:highlight w:val="none"/>
        </w:rPr>
        <w:t>。</w:t>
      </w:r>
    </w:p>
    <w:p>
      <w:pPr>
        <w:adjustRightInd w:val="0"/>
        <w:snapToGrid w:val="0"/>
        <w:spacing w:line="360" w:lineRule="auto"/>
        <w:rPr>
          <w:color w:val="auto"/>
          <w:sz w:val="24"/>
          <w:highlight w:val="none"/>
        </w:rPr>
      </w:pPr>
    </w:p>
    <w:p>
      <w:pPr>
        <w:adjustRightInd w:val="0"/>
        <w:snapToGrid w:val="0"/>
        <w:spacing w:line="360" w:lineRule="auto"/>
        <w:ind w:firstLine="480" w:firstLineChars="200"/>
        <w:rPr>
          <w:color w:val="auto"/>
          <w:sz w:val="24"/>
          <w:highlight w:val="none"/>
        </w:rPr>
      </w:pPr>
      <w:r>
        <w:rPr>
          <w:rFonts w:hint="eastAsia"/>
          <w:color w:val="auto"/>
          <w:sz w:val="24"/>
          <w:highlight w:val="none"/>
        </w:rPr>
        <w:t>委托代理人性别：</w:t>
      </w:r>
      <w:r>
        <w:rPr>
          <w:rFonts w:hint="eastAsia"/>
          <w:color w:val="auto"/>
          <w:sz w:val="24"/>
          <w:highlight w:val="none"/>
          <w:u w:val="single"/>
        </w:rPr>
        <w:t xml:space="preserve">　   </w:t>
      </w:r>
      <w:r>
        <w:rPr>
          <w:rFonts w:hint="eastAsia"/>
          <w:color w:val="auto"/>
          <w:sz w:val="24"/>
          <w:highlight w:val="none"/>
        </w:rPr>
        <w:t>，年龄：</w:t>
      </w:r>
      <w:r>
        <w:rPr>
          <w:rFonts w:hint="eastAsia"/>
          <w:color w:val="auto"/>
          <w:sz w:val="24"/>
          <w:highlight w:val="none"/>
          <w:u w:val="single"/>
        </w:rPr>
        <w:t xml:space="preserve">　  </w:t>
      </w:r>
      <w:r>
        <w:rPr>
          <w:rFonts w:hint="eastAsia"/>
          <w:color w:val="auto"/>
          <w:sz w:val="24"/>
          <w:highlight w:val="none"/>
        </w:rPr>
        <w:t>，身份证号码：</w:t>
      </w:r>
      <w:r>
        <w:rPr>
          <w:rFonts w:hint="eastAsia"/>
          <w:color w:val="auto"/>
          <w:sz w:val="24"/>
          <w:highlight w:val="none"/>
          <w:u w:val="single"/>
        </w:rPr>
        <w:t xml:space="preserve">        </w:t>
      </w:r>
      <w:r>
        <w:rPr>
          <w:rFonts w:hint="eastAsia"/>
          <w:color w:val="auto"/>
          <w:sz w:val="24"/>
          <w:highlight w:val="none"/>
        </w:rPr>
        <w:t xml:space="preserve">。 </w:t>
      </w:r>
    </w:p>
    <w:p>
      <w:pPr>
        <w:adjustRightInd w:val="0"/>
        <w:snapToGrid w:val="0"/>
        <w:spacing w:line="360" w:lineRule="auto"/>
        <w:ind w:firstLine="480" w:firstLineChars="200"/>
        <w:rPr>
          <w:color w:val="auto"/>
          <w:sz w:val="24"/>
          <w:highlight w:val="none"/>
        </w:rPr>
      </w:pPr>
      <w:r>
        <w:rPr>
          <w:rFonts w:hint="eastAsia"/>
          <w:color w:val="auto"/>
          <w:sz w:val="24"/>
          <w:highlight w:val="none"/>
        </w:rPr>
        <w:t>附：委托代理人身份证复印件</w:t>
      </w:r>
    </w:p>
    <w:p>
      <w:pPr>
        <w:adjustRightInd w:val="0"/>
        <w:snapToGrid w:val="0"/>
        <w:spacing w:line="360" w:lineRule="auto"/>
        <w:rPr>
          <w:color w:val="auto"/>
          <w:sz w:val="24"/>
          <w:highlight w:val="none"/>
        </w:rPr>
      </w:pPr>
    </w:p>
    <w:p>
      <w:pPr>
        <w:adjustRightInd w:val="0"/>
        <w:snapToGrid w:val="0"/>
        <w:spacing w:line="360" w:lineRule="auto"/>
        <w:rPr>
          <w:color w:val="auto"/>
          <w:sz w:val="24"/>
          <w:highlight w:val="none"/>
        </w:rPr>
      </w:pPr>
    </w:p>
    <w:p>
      <w:pPr>
        <w:adjustRightInd w:val="0"/>
        <w:snapToGrid w:val="0"/>
        <w:spacing w:line="360" w:lineRule="auto"/>
        <w:rPr>
          <w:color w:val="auto"/>
          <w:sz w:val="24"/>
          <w:highlight w:val="none"/>
        </w:rPr>
      </w:pPr>
    </w:p>
    <w:p>
      <w:pPr>
        <w:adjustRightInd w:val="0"/>
        <w:snapToGrid w:val="0"/>
        <w:spacing w:line="360" w:lineRule="auto"/>
        <w:rPr>
          <w:color w:val="auto"/>
          <w:sz w:val="24"/>
          <w:highlight w:val="none"/>
        </w:rPr>
      </w:pPr>
    </w:p>
    <w:p>
      <w:pPr>
        <w:adjustRightInd w:val="0"/>
        <w:snapToGrid w:val="0"/>
        <w:spacing w:line="360" w:lineRule="auto"/>
        <w:rPr>
          <w:color w:val="auto"/>
          <w:sz w:val="24"/>
          <w:highlight w:val="none"/>
        </w:rPr>
      </w:pPr>
    </w:p>
    <w:p>
      <w:pPr>
        <w:adjustRightInd w:val="0"/>
        <w:snapToGrid w:val="0"/>
        <w:spacing w:line="360" w:lineRule="auto"/>
        <w:ind w:firstLine="480" w:firstLineChars="200"/>
        <w:rPr>
          <w:color w:val="auto"/>
          <w:sz w:val="24"/>
          <w:highlight w:val="none"/>
        </w:rPr>
      </w:pPr>
      <w:r>
        <w:rPr>
          <w:color w:val="auto"/>
          <w:sz w:val="24"/>
          <w:highlight w:val="none"/>
        </w:rPr>
        <w:t>投标人：（盖章）</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p>
      <w:pPr>
        <w:adjustRightInd w:val="0"/>
        <w:snapToGrid w:val="0"/>
        <w:spacing w:line="360" w:lineRule="auto"/>
        <w:ind w:firstLine="480" w:firstLineChars="200"/>
        <w:rPr>
          <w:color w:val="auto"/>
          <w:sz w:val="24"/>
          <w:highlight w:val="none"/>
        </w:rPr>
      </w:pPr>
      <w:r>
        <w:rPr>
          <w:color w:val="auto"/>
          <w:sz w:val="24"/>
          <w:highlight w:val="none"/>
        </w:rPr>
        <w:t>法定代表人：（签字</w:t>
      </w:r>
      <w:r>
        <w:rPr>
          <w:rFonts w:hint="eastAsia"/>
          <w:color w:val="auto"/>
          <w:sz w:val="24"/>
          <w:highlight w:val="none"/>
        </w:rPr>
        <w:t>或盖章</w:t>
      </w:r>
      <w:r>
        <w:rPr>
          <w:color w:val="auto"/>
          <w:sz w:val="24"/>
          <w:highlight w:val="none"/>
        </w:rPr>
        <w:t>）</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p>
      <w:pPr>
        <w:adjustRightInd w:val="0"/>
        <w:snapToGrid w:val="0"/>
        <w:spacing w:line="360" w:lineRule="auto"/>
        <w:ind w:firstLine="480" w:firstLineChars="200"/>
        <w:rPr>
          <w:color w:val="auto"/>
          <w:sz w:val="24"/>
          <w:highlight w:val="none"/>
        </w:rPr>
      </w:pPr>
      <w:r>
        <w:rPr>
          <w:color w:val="auto"/>
          <w:sz w:val="24"/>
          <w:highlight w:val="none"/>
        </w:rPr>
        <w:t>委托代理人：</w:t>
      </w:r>
      <w:r>
        <w:rPr>
          <w:rFonts w:hint="eastAsia"/>
          <w:color w:val="auto"/>
          <w:sz w:val="24"/>
          <w:highlight w:val="none"/>
        </w:rPr>
        <w:t>（签字或盖章）</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p>
    <w:p>
      <w:pPr>
        <w:adjustRightInd w:val="0"/>
        <w:snapToGrid w:val="0"/>
        <w:spacing w:line="360" w:lineRule="auto"/>
        <w:ind w:firstLine="480" w:firstLineChars="200"/>
        <w:rPr>
          <w:color w:val="auto"/>
          <w:sz w:val="24"/>
          <w:highlight w:val="none"/>
        </w:rPr>
      </w:pPr>
    </w:p>
    <w:p>
      <w:pPr>
        <w:adjustRightInd w:val="0"/>
        <w:snapToGrid w:val="0"/>
        <w:spacing w:line="360" w:lineRule="auto"/>
        <w:ind w:firstLine="480" w:firstLineChars="200"/>
        <w:rPr>
          <w:color w:val="auto"/>
          <w:sz w:val="24"/>
          <w:highlight w:val="none"/>
        </w:rPr>
      </w:pPr>
    </w:p>
    <w:p>
      <w:pPr>
        <w:adjustRightInd w:val="0"/>
        <w:snapToGrid w:val="0"/>
        <w:spacing w:line="360" w:lineRule="auto"/>
        <w:ind w:firstLine="480" w:firstLineChars="200"/>
        <w:rPr>
          <w:color w:val="auto"/>
          <w:sz w:val="24"/>
          <w:highlight w:val="none"/>
        </w:rPr>
      </w:pPr>
    </w:p>
    <w:p>
      <w:pPr>
        <w:adjustRightInd w:val="0"/>
        <w:snapToGrid w:val="0"/>
        <w:spacing w:line="360" w:lineRule="auto"/>
        <w:ind w:firstLine="4320" w:firstLineChars="1800"/>
        <w:jc w:val="right"/>
        <w:rPr>
          <w:rFonts w:eastAsia="黑体"/>
          <w:color w:val="auto"/>
          <w:sz w:val="24"/>
          <w:highlight w:val="none"/>
        </w:rPr>
      </w:pPr>
      <w:r>
        <w:rPr>
          <w:color w:val="auto"/>
          <w:sz w:val="24"/>
          <w:highlight w:val="none"/>
          <w:u w:val="single"/>
        </w:rPr>
        <w:t xml:space="preserve">       </w:t>
      </w:r>
      <w:r>
        <w:rPr>
          <w:color w:val="auto"/>
          <w:sz w:val="24"/>
          <w:highlight w:val="none"/>
        </w:rPr>
        <w:t>年</w:t>
      </w:r>
      <w:r>
        <w:rPr>
          <w:color w:val="auto"/>
          <w:sz w:val="24"/>
          <w:highlight w:val="none"/>
          <w:u w:val="single"/>
        </w:rPr>
        <w:t xml:space="preserve">    </w:t>
      </w:r>
      <w:r>
        <w:rPr>
          <w:color w:val="auto"/>
          <w:sz w:val="24"/>
          <w:highlight w:val="none"/>
        </w:rPr>
        <w:t>月</w:t>
      </w:r>
      <w:r>
        <w:rPr>
          <w:color w:val="auto"/>
          <w:sz w:val="24"/>
          <w:highlight w:val="none"/>
          <w:u w:val="single"/>
        </w:rPr>
        <w:t xml:space="preserve">    </w:t>
      </w:r>
      <w:r>
        <w:rPr>
          <w:color w:val="auto"/>
          <w:sz w:val="24"/>
          <w:highlight w:val="none"/>
        </w:rPr>
        <w:t>日</w:t>
      </w:r>
    </w:p>
    <w:p>
      <w:pPr>
        <w:adjustRightInd w:val="0"/>
        <w:snapToGrid w:val="0"/>
        <w:spacing w:line="360" w:lineRule="auto"/>
        <w:rPr>
          <w:rStyle w:val="39"/>
          <w:color w:val="auto"/>
          <w:highlight w:val="none"/>
        </w:rPr>
      </w:pPr>
    </w:p>
    <w:p>
      <w:pPr>
        <w:adjustRightInd w:val="0"/>
        <w:snapToGrid w:val="0"/>
        <w:spacing w:line="360" w:lineRule="auto"/>
        <w:rPr>
          <w:rStyle w:val="39"/>
          <w:color w:val="auto"/>
          <w:highlight w:val="none"/>
        </w:rPr>
      </w:pPr>
    </w:p>
    <w:p>
      <w:pPr>
        <w:rPr>
          <w:rStyle w:val="39"/>
          <w:color w:val="auto"/>
          <w:highlight w:val="none"/>
        </w:rPr>
      </w:pPr>
    </w:p>
    <w:p>
      <w:pPr>
        <w:rPr>
          <w:rStyle w:val="39"/>
          <w:color w:val="auto"/>
          <w:highlight w:val="none"/>
        </w:rPr>
      </w:pPr>
    </w:p>
    <w:p>
      <w:pPr>
        <w:rPr>
          <w:rStyle w:val="39"/>
          <w:color w:val="auto"/>
          <w:highlight w:val="none"/>
        </w:rPr>
      </w:pPr>
    </w:p>
    <w:p>
      <w:pPr>
        <w:rPr>
          <w:rStyle w:val="39"/>
          <w:color w:val="auto"/>
          <w:highlight w:val="none"/>
        </w:rPr>
      </w:pPr>
    </w:p>
    <w:p>
      <w:pPr>
        <w:rPr>
          <w:rStyle w:val="39"/>
          <w:color w:val="auto"/>
          <w:highlight w:val="none"/>
        </w:rPr>
      </w:pPr>
      <w:bookmarkStart w:id="232" w:name="_Toc27175"/>
    </w:p>
    <w:p>
      <w:pPr>
        <w:rPr>
          <w:rStyle w:val="39"/>
          <w:color w:val="auto"/>
          <w:highlight w:val="none"/>
        </w:rPr>
      </w:pPr>
    </w:p>
    <w:p>
      <w:pPr>
        <w:spacing w:before="156" w:after="156"/>
        <w:rPr>
          <w:color w:val="auto"/>
          <w:highlight w:val="none"/>
        </w:rPr>
      </w:pPr>
      <w:bookmarkStart w:id="233" w:name="_Toc19359"/>
      <w:r>
        <w:rPr>
          <w:rFonts w:hint="eastAsia"/>
          <w:color w:val="auto"/>
          <w:highlight w:val="none"/>
        </w:rPr>
        <w:br w:type="page"/>
      </w:r>
    </w:p>
    <w:p>
      <w:pPr>
        <w:pStyle w:val="6"/>
        <w:numPr>
          <w:ilvl w:val="0"/>
          <w:numId w:val="0"/>
        </w:numPr>
        <w:spacing w:before="156" w:after="156"/>
        <w:rPr>
          <w:color w:val="auto"/>
          <w:highlight w:val="none"/>
        </w:rPr>
      </w:pPr>
      <w:bookmarkStart w:id="234" w:name="_Toc21721"/>
      <w:r>
        <w:rPr>
          <w:rFonts w:hint="eastAsia"/>
          <w:color w:val="auto"/>
          <w:highlight w:val="none"/>
        </w:rPr>
        <w:t>附件18 联合体投标协议</w:t>
      </w:r>
      <w:bookmarkEnd w:id="232"/>
      <w:bookmarkEnd w:id="233"/>
      <w:bookmarkEnd w:id="234"/>
    </w:p>
    <w:p>
      <w:pPr>
        <w:jc w:val="center"/>
        <w:rPr>
          <w:rFonts w:ascii="宋体" w:hAnsi="宋体"/>
          <w:color w:val="auto"/>
          <w:sz w:val="24"/>
          <w:highlight w:val="none"/>
        </w:rPr>
      </w:pPr>
      <w:r>
        <w:rPr>
          <w:rFonts w:hint="eastAsia" w:ascii="宋体" w:hAnsi="宋体"/>
          <w:b/>
          <w:bCs/>
          <w:color w:val="auto"/>
          <w:sz w:val="32"/>
          <w:highlight w:val="none"/>
        </w:rPr>
        <w:t>联合体投标协议</w:t>
      </w:r>
    </w:p>
    <w:p>
      <w:pPr>
        <w:topLinePunct/>
        <w:adjustRightInd w:val="0"/>
        <w:snapToGrid w:val="0"/>
        <w:spacing w:line="360" w:lineRule="auto"/>
        <w:rPr>
          <w:rFonts w:ascii="宋体" w:hAnsi="宋体"/>
          <w:color w:val="auto"/>
          <w:sz w:val="24"/>
          <w:highlight w:val="none"/>
        </w:rPr>
      </w:pPr>
      <w:r>
        <w:rPr>
          <w:rFonts w:hint="eastAsia" w:ascii="宋体" w:hAnsi="宋体"/>
          <w:color w:val="auto"/>
          <w:sz w:val="24"/>
          <w:highlight w:val="none"/>
        </w:rPr>
        <w:t xml:space="preserve">    </w:t>
      </w:r>
      <w:r>
        <w:rPr>
          <w:rFonts w:hint="eastAsia" w:hAnsi="宋体"/>
          <w:color w:val="auto"/>
          <w:sz w:val="24"/>
          <w:highlight w:val="none"/>
        </w:rPr>
        <w:t>我方自愿组成联合体共同参加</w:t>
      </w:r>
      <w:r>
        <w:rPr>
          <w:rFonts w:hint="eastAsia" w:hAnsi="宋体"/>
          <w:color w:val="auto"/>
          <w:sz w:val="24"/>
          <w:highlight w:val="none"/>
          <w:u w:val="single"/>
        </w:rPr>
        <w:t xml:space="preserve">          </w:t>
      </w:r>
      <w:r>
        <w:rPr>
          <w:rFonts w:hint="eastAsia" w:hAnsi="宋体"/>
          <w:color w:val="auto"/>
          <w:sz w:val="24"/>
          <w:highlight w:val="none"/>
        </w:rPr>
        <w:t>项目的投标，</w:t>
      </w:r>
      <w:r>
        <w:rPr>
          <w:rFonts w:ascii="宋体" w:hAnsi="宋体"/>
          <w:color w:val="auto"/>
          <w:sz w:val="24"/>
          <w:highlight w:val="none"/>
        </w:rPr>
        <w:t>现就联合体投标事宜订立如下协议。</w:t>
      </w:r>
    </w:p>
    <w:p>
      <w:pPr>
        <w:topLinePunct/>
        <w:adjustRightInd w:val="0"/>
        <w:snapToGrid w:val="0"/>
        <w:spacing w:line="360" w:lineRule="auto"/>
        <w:ind w:firstLine="480" w:firstLineChars="200"/>
        <w:outlineLvl w:val="1"/>
        <w:rPr>
          <w:rFonts w:ascii="宋体" w:hAnsi="宋体"/>
          <w:color w:val="auto"/>
          <w:sz w:val="24"/>
          <w:highlight w:val="none"/>
        </w:rPr>
      </w:pPr>
      <w:bookmarkStart w:id="235" w:name="_Toc24708"/>
      <w:r>
        <w:rPr>
          <w:rFonts w:ascii="宋体" w:hAnsi="宋体"/>
          <w:color w:val="auto"/>
          <w:sz w:val="24"/>
          <w:highlight w:val="none"/>
        </w:rPr>
        <w:t>1</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为</w:t>
      </w:r>
      <w:r>
        <w:rPr>
          <w:rFonts w:hint="eastAsia" w:ascii="宋体" w:hAnsi="宋体"/>
          <w:color w:val="auto"/>
          <w:sz w:val="24"/>
          <w:highlight w:val="none"/>
        </w:rPr>
        <w:t>联合体主办方</w:t>
      </w:r>
      <w:r>
        <w:rPr>
          <w:rFonts w:ascii="宋体" w:hAnsi="宋体"/>
          <w:color w:val="auto"/>
          <w:sz w:val="24"/>
          <w:highlight w:val="none"/>
        </w:rPr>
        <w:t>。</w:t>
      </w:r>
      <w:bookmarkEnd w:id="235"/>
    </w:p>
    <w:p>
      <w:pPr>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联合体</w:t>
      </w:r>
      <w:r>
        <w:rPr>
          <w:rFonts w:hint="eastAsia" w:ascii="宋体" w:hAnsi="宋体"/>
          <w:color w:val="auto"/>
          <w:sz w:val="24"/>
          <w:highlight w:val="none"/>
        </w:rPr>
        <w:t>主办方合法代表联合体各成员负责本招标项目投标文件编制和合同谈判活动，并代表联合体提交和接收相关的资料、信息及指示，并处理与之有关的一切事务，</w:t>
      </w:r>
      <w:r>
        <w:rPr>
          <w:rFonts w:ascii="宋体" w:hAnsi="宋体"/>
          <w:color w:val="auto"/>
          <w:sz w:val="24"/>
          <w:highlight w:val="none"/>
        </w:rPr>
        <w:t>负责合同实施阶段的主办、组织和协调工作。</w:t>
      </w:r>
    </w:p>
    <w:p>
      <w:pPr>
        <w:topLinePunct/>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联合体将严格按照招标文件的各项要求，递交投标文件，履行合同，并对外承担连带责任。</w:t>
      </w:r>
    </w:p>
    <w:p>
      <w:pPr>
        <w:topLinePunct/>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 xml:space="preserve">本协议书自签署之日起生效，合同履行完毕后自动失效。 </w:t>
      </w:r>
    </w:p>
    <w:p>
      <w:pPr>
        <w:topLinePunct/>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本协议书一式</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份，联合体</w:t>
      </w:r>
      <w:r>
        <w:rPr>
          <w:rFonts w:hint="eastAsia" w:ascii="宋体" w:hAnsi="宋体"/>
          <w:color w:val="auto"/>
          <w:sz w:val="24"/>
          <w:highlight w:val="none"/>
        </w:rPr>
        <w:t>各</w:t>
      </w:r>
      <w:r>
        <w:rPr>
          <w:rFonts w:ascii="宋体" w:hAnsi="宋体"/>
          <w:color w:val="auto"/>
          <w:sz w:val="24"/>
          <w:highlight w:val="none"/>
        </w:rPr>
        <w:t>成员和招标人各执一份。</w:t>
      </w:r>
    </w:p>
    <w:p>
      <w:pPr>
        <w:topLinePunct/>
        <w:adjustRightInd w:val="0"/>
        <w:snapToGrid w:val="0"/>
        <w:spacing w:line="360" w:lineRule="auto"/>
        <w:rPr>
          <w:rFonts w:ascii="宋体" w:hAnsi="宋体"/>
          <w:color w:val="auto"/>
          <w:sz w:val="24"/>
          <w:highlight w:val="none"/>
        </w:rPr>
      </w:pPr>
    </w:p>
    <w:p>
      <w:pPr>
        <w:topLinePunct/>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主办方</w:t>
      </w:r>
      <w:r>
        <w:rPr>
          <w:rFonts w:ascii="宋体" w:hAnsi="宋体"/>
          <w:color w:val="auto"/>
          <w:sz w:val="24"/>
          <w:highlight w:val="none"/>
        </w:rPr>
        <w:t>名称：（盖章）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法定代表人：（签字</w:t>
      </w:r>
      <w:r>
        <w:rPr>
          <w:rFonts w:hint="eastAsia" w:ascii="宋体" w:hAnsi="宋体"/>
          <w:color w:val="auto"/>
          <w:sz w:val="24"/>
          <w:highlight w:val="none"/>
        </w:rPr>
        <w:t>或盖章</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pStyle w:val="18"/>
        <w:adjustRightInd w:val="0"/>
        <w:snapToGrid w:val="0"/>
        <w:spacing w:line="360" w:lineRule="auto"/>
        <w:rPr>
          <w:rFonts w:hAnsi="宋体"/>
          <w:color w:val="auto"/>
          <w:sz w:val="24"/>
          <w:szCs w:val="24"/>
          <w:highlight w:val="none"/>
        </w:rPr>
      </w:pPr>
      <w:r>
        <w:rPr>
          <w:rFonts w:hint="eastAsia" w:hAnsi="宋体"/>
          <w:color w:val="auto"/>
          <w:sz w:val="24"/>
          <w:szCs w:val="24"/>
          <w:highlight w:val="none"/>
        </w:rPr>
        <w:t xml:space="preserve">    分工内容：</w:t>
      </w:r>
      <w:r>
        <w:rPr>
          <w:rFonts w:hint="eastAsia" w:hAnsi="宋体"/>
          <w:color w:val="auto"/>
          <w:sz w:val="24"/>
          <w:szCs w:val="24"/>
          <w:highlight w:val="none"/>
          <w:u w:val="single"/>
        </w:rPr>
        <w:t xml:space="preserve">                                                </w:t>
      </w:r>
    </w:p>
    <w:p>
      <w:pPr>
        <w:topLinePunct/>
        <w:adjustRightInd w:val="0"/>
        <w:snapToGrid w:val="0"/>
        <w:spacing w:line="360" w:lineRule="auto"/>
        <w:ind w:firstLine="480" w:firstLineChars="200"/>
        <w:rPr>
          <w:rFonts w:ascii="宋体" w:hAnsi="宋体"/>
          <w:color w:val="auto"/>
          <w:sz w:val="24"/>
          <w:highlight w:val="none"/>
        </w:rPr>
      </w:pPr>
      <w:r>
        <w:rPr>
          <w:rFonts w:hint="eastAsia" w:hAnsi="宋体"/>
          <w:color w:val="auto"/>
          <w:sz w:val="24"/>
          <w:highlight w:val="none"/>
        </w:rPr>
        <w:t>占合同总金额/份额：</w:t>
      </w:r>
      <w:r>
        <w:rPr>
          <w:rFonts w:hint="eastAsia" w:hAnsi="宋体"/>
          <w:color w:val="auto"/>
          <w:sz w:val="24"/>
          <w:highlight w:val="none"/>
          <w:u w:val="single"/>
        </w:rPr>
        <w:t xml:space="preserve">                                       </w:t>
      </w:r>
    </w:p>
    <w:p>
      <w:pPr>
        <w:topLinePunct/>
        <w:adjustRightInd w:val="0"/>
        <w:snapToGrid w:val="0"/>
        <w:spacing w:line="360" w:lineRule="auto"/>
        <w:ind w:firstLine="480" w:firstLineChars="200"/>
        <w:rPr>
          <w:rFonts w:ascii="宋体" w:hAnsi="宋体"/>
          <w:color w:val="auto"/>
          <w:sz w:val="24"/>
          <w:highlight w:val="none"/>
        </w:rPr>
      </w:pPr>
    </w:p>
    <w:p>
      <w:pPr>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成员名称：（盖章）</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topLinePunct/>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rPr>
        <w:t>法定代表人：（签字</w:t>
      </w:r>
      <w:r>
        <w:rPr>
          <w:rFonts w:hint="eastAsia" w:ascii="宋体" w:hAnsi="宋体"/>
          <w:color w:val="auto"/>
          <w:sz w:val="24"/>
          <w:highlight w:val="none"/>
        </w:rPr>
        <w:t>或盖章</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pPr>
        <w:pStyle w:val="18"/>
        <w:adjustRightInd w:val="0"/>
        <w:snapToGrid w:val="0"/>
        <w:spacing w:line="360" w:lineRule="auto"/>
        <w:ind w:firstLine="405"/>
        <w:rPr>
          <w:rFonts w:hAnsi="宋体"/>
          <w:color w:val="auto"/>
          <w:sz w:val="24"/>
          <w:szCs w:val="24"/>
          <w:highlight w:val="none"/>
        </w:rPr>
      </w:pPr>
      <w:r>
        <w:rPr>
          <w:rFonts w:hint="eastAsia" w:hAnsi="宋体"/>
          <w:color w:val="auto"/>
          <w:sz w:val="24"/>
          <w:szCs w:val="24"/>
          <w:highlight w:val="none"/>
        </w:rPr>
        <w:t xml:space="preserve"> 分工内容：</w:t>
      </w:r>
      <w:r>
        <w:rPr>
          <w:rFonts w:hint="eastAsia" w:hAnsi="宋体"/>
          <w:color w:val="auto"/>
          <w:sz w:val="24"/>
          <w:szCs w:val="24"/>
          <w:highlight w:val="none"/>
          <w:u w:val="single"/>
        </w:rPr>
        <w:t xml:space="preserve">                                                 </w:t>
      </w:r>
    </w:p>
    <w:p>
      <w:pPr>
        <w:topLinePunct/>
        <w:adjustRightInd w:val="0"/>
        <w:snapToGrid w:val="0"/>
        <w:spacing w:line="360" w:lineRule="auto"/>
        <w:ind w:firstLine="480" w:firstLineChars="200"/>
        <w:rPr>
          <w:rFonts w:ascii="宋体" w:hAnsi="宋体"/>
          <w:color w:val="auto"/>
          <w:sz w:val="24"/>
          <w:highlight w:val="none"/>
        </w:rPr>
      </w:pPr>
      <w:r>
        <w:rPr>
          <w:rFonts w:hint="eastAsia" w:hAnsi="宋体"/>
          <w:color w:val="auto"/>
          <w:sz w:val="24"/>
          <w:highlight w:val="none"/>
        </w:rPr>
        <w:t>占合同总金额/份额：</w:t>
      </w:r>
      <w:r>
        <w:rPr>
          <w:rFonts w:hint="eastAsia" w:hAnsi="宋体"/>
          <w:color w:val="auto"/>
          <w:sz w:val="24"/>
          <w:highlight w:val="none"/>
          <w:u w:val="single"/>
        </w:rPr>
        <w:t xml:space="preserve">                                       </w:t>
      </w:r>
    </w:p>
    <w:p>
      <w:pPr>
        <w:topLinePunct/>
        <w:adjustRightInd w:val="0"/>
        <w:snapToGrid w:val="0"/>
        <w:spacing w:line="360" w:lineRule="auto"/>
        <w:ind w:firstLine="480" w:firstLineChars="200"/>
        <w:rPr>
          <w:rFonts w:ascii="宋体" w:hAnsi="宋体"/>
          <w:color w:val="auto"/>
          <w:sz w:val="24"/>
          <w:highlight w:val="none"/>
        </w:rPr>
      </w:pPr>
    </w:p>
    <w:p>
      <w:pPr>
        <w:topLinePunct/>
        <w:adjustRightInd w:val="0"/>
        <w:snapToGrid w:val="0"/>
        <w:spacing w:line="360" w:lineRule="auto"/>
        <w:ind w:firstLine="480" w:firstLineChars="200"/>
        <w:rPr>
          <w:rFonts w:ascii="宋体" w:hAnsi="宋体"/>
          <w:color w:val="auto"/>
          <w:sz w:val="24"/>
          <w:highlight w:val="none"/>
        </w:rPr>
      </w:pPr>
      <w:r>
        <w:rPr>
          <w:rFonts w:ascii="Arial" w:hAnsi="Arial" w:cs="Arial"/>
          <w:color w:val="auto"/>
          <w:sz w:val="24"/>
          <w:highlight w:val="none"/>
        </w:rPr>
        <w:t>……</w:t>
      </w:r>
    </w:p>
    <w:p>
      <w:pPr>
        <w:adjustRightInd w:val="0"/>
        <w:snapToGrid w:val="0"/>
        <w:spacing w:line="360" w:lineRule="auto"/>
        <w:ind w:firstLine="5160" w:firstLineChars="2150"/>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ascii="宋体" w:hAnsi="宋体"/>
          <w:color w:val="auto"/>
          <w:sz w:val="24"/>
          <w:highlight w:val="none"/>
        </w:rPr>
        <w:t>日</w:t>
      </w:r>
    </w:p>
    <w:p>
      <w:pPr>
        <w:pStyle w:val="6"/>
        <w:numPr>
          <w:ilvl w:val="3"/>
          <w:numId w:val="0"/>
        </w:numPr>
        <w:spacing w:before="156" w:after="156"/>
        <w:rPr>
          <w:color w:val="auto"/>
          <w:highlight w:val="none"/>
        </w:rPr>
      </w:pPr>
      <w:bookmarkStart w:id="236" w:name="_Toc29458"/>
      <w:bookmarkStart w:id="237" w:name="_Toc840"/>
      <w:r>
        <w:rPr>
          <w:rFonts w:hint="eastAsia"/>
          <w:color w:val="auto"/>
          <w:highlight w:val="none"/>
        </w:rPr>
        <w:br w:type="page"/>
      </w:r>
      <w:bookmarkStart w:id="238" w:name="_Toc9461"/>
      <w:r>
        <w:rPr>
          <w:rFonts w:hint="eastAsia"/>
          <w:color w:val="auto"/>
          <w:highlight w:val="none"/>
        </w:rPr>
        <w:t>附件19 设计费报价表</w:t>
      </w:r>
      <w:bookmarkEnd w:id="236"/>
      <w:bookmarkEnd w:id="238"/>
    </w:p>
    <w:p>
      <w:pPr>
        <w:spacing w:line="360" w:lineRule="auto"/>
        <w:ind w:left="280" w:right="430" w:firstLine="437"/>
        <w:jc w:val="center"/>
        <w:rPr>
          <w:rFonts w:ascii="宋体" w:hAnsi="宋体" w:cs="宋体"/>
          <w:b/>
          <w:color w:val="auto"/>
          <w:spacing w:val="2"/>
          <w:sz w:val="32"/>
          <w:szCs w:val="32"/>
          <w:highlight w:val="none"/>
        </w:rPr>
      </w:pPr>
      <w:r>
        <w:rPr>
          <w:rFonts w:hint="eastAsia" w:ascii="宋体" w:hAnsi="宋体" w:cs="宋体"/>
          <w:b/>
          <w:color w:val="auto"/>
          <w:spacing w:val="2"/>
          <w:sz w:val="32"/>
          <w:szCs w:val="32"/>
          <w:highlight w:val="none"/>
        </w:rPr>
        <w:t>设计</w:t>
      </w:r>
      <w:r>
        <w:rPr>
          <w:rFonts w:ascii="宋体" w:hAnsi="宋体" w:cs="宋体"/>
          <w:b/>
          <w:color w:val="auto"/>
          <w:spacing w:val="2"/>
          <w:sz w:val="32"/>
          <w:szCs w:val="32"/>
          <w:highlight w:val="none"/>
        </w:rPr>
        <w:t>费报价表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748"/>
        <w:gridCol w:w="1582"/>
        <w:gridCol w:w="3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spacing w:line="288" w:lineRule="auto"/>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3748" w:type="dxa"/>
            <w:vAlign w:val="center"/>
          </w:tcPr>
          <w:p>
            <w:pPr>
              <w:spacing w:line="288" w:lineRule="auto"/>
              <w:jc w:val="center"/>
              <w:rPr>
                <w:rFonts w:ascii="宋体" w:hAnsi="宋体" w:cs="宋体"/>
                <w:b/>
                <w:color w:val="auto"/>
                <w:szCs w:val="21"/>
                <w:highlight w:val="none"/>
              </w:rPr>
            </w:pPr>
            <w:r>
              <w:rPr>
                <w:rFonts w:hint="eastAsia" w:ascii="宋体" w:hAnsi="宋体" w:cs="宋体"/>
                <w:b/>
                <w:color w:val="auto"/>
                <w:szCs w:val="21"/>
                <w:highlight w:val="none"/>
              </w:rPr>
              <w:t>计费项目</w:t>
            </w:r>
          </w:p>
        </w:tc>
        <w:tc>
          <w:tcPr>
            <w:tcW w:w="1582" w:type="dxa"/>
            <w:vAlign w:val="center"/>
          </w:tcPr>
          <w:p>
            <w:pPr>
              <w:spacing w:line="288" w:lineRule="auto"/>
              <w:jc w:val="center"/>
              <w:rPr>
                <w:rFonts w:ascii="宋体" w:hAnsi="宋体" w:cs="宋体"/>
                <w:b/>
                <w:color w:val="auto"/>
                <w:szCs w:val="21"/>
                <w:highlight w:val="none"/>
              </w:rPr>
            </w:pPr>
            <w:r>
              <w:rPr>
                <w:rFonts w:hint="eastAsia" w:ascii="宋体" w:hAnsi="宋体" w:cs="宋体"/>
                <w:b/>
                <w:color w:val="auto"/>
                <w:szCs w:val="21"/>
                <w:highlight w:val="none"/>
              </w:rPr>
              <w:t>实际值</w:t>
            </w:r>
          </w:p>
        </w:tc>
        <w:tc>
          <w:tcPr>
            <w:tcW w:w="3312" w:type="dxa"/>
            <w:vAlign w:val="center"/>
          </w:tcPr>
          <w:p>
            <w:pPr>
              <w:spacing w:line="288" w:lineRule="auto"/>
              <w:jc w:val="center"/>
              <w:rPr>
                <w:rFonts w:ascii="宋体" w:hAnsi="宋体" w:cs="宋体"/>
                <w:b/>
                <w:color w:val="auto"/>
                <w:szCs w:val="21"/>
                <w:highlight w:val="none"/>
              </w:rPr>
            </w:pPr>
            <w:r>
              <w:rPr>
                <w:rFonts w:hint="eastAsia" w:ascii="宋体" w:hAnsi="宋体" w:cs="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3748" w:type="dxa"/>
            <w:vAlign w:val="center"/>
          </w:tcPr>
          <w:p>
            <w:pPr>
              <w:spacing w:line="288" w:lineRule="auto"/>
              <w:rPr>
                <w:rFonts w:ascii="宋体" w:hAnsi="宋体" w:cs="宋体"/>
                <w:color w:val="auto"/>
                <w:szCs w:val="21"/>
                <w:highlight w:val="none"/>
              </w:rPr>
            </w:pPr>
            <w:r>
              <w:rPr>
                <w:rFonts w:hint="eastAsia" w:ascii="宋体" w:hAnsi="宋体" w:cs="宋体"/>
                <w:color w:val="auto"/>
                <w:szCs w:val="21"/>
                <w:highlight w:val="none"/>
              </w:rPr>
              <w:t>广州市流溪河国家森林公园基础设施配套完善建设项目设计投标报价（万元）</w:t>
            </w:r>
          </w:p>
        </w:tc>
        <w:tc>
          <w:tcPr>
            <w:tcW w:w="1582" w:type="dxa"/>
            <w:vAlign w:val="center"/>
          </w:tcPr>
          <w:p>
            <w:pPr>
              <w:spacing w:line="288" w:lineRule="auto"/>
              <w:rPr>
                <w:rFonts w:ascii="宋体" w:hAnsi="宋体" w:cs="宋体"/>
                <w:color w:val="auto"/>
                <w:szCs w:val="21"/>
                <w:highlight w:val="none"/>
              </w:rPr>
            </w:pPr>
          </w:p>
        </w:tc>
        <w:tc>
          <w:tcPr>
            <w:tcW w:w="3312" w:type="dxa"/>
            <w:vAlign w:val="center"/>
          </w:tcPr>
          <w:p>
            <w:pPr>
              <w:spacing w:line="288" w:lineRule="auto"/>
              <w:rPr>
                <w:rFonts w:ascii="宋体" w:hAnsi="宋体" w:cs="宋体"/>
                <w:bCs/>
                <w:color w:val="auto"/>
                <w:szCs w:val="21"/>
                <w:highlight w:val="none"/>
              </w:rPr>
            </w:pPr>
            <w:r>
              <w:rPr>
                <w:rFonts w:hint="eastAsia" w:ascii="宋体" w:hAnsi="宋体" w:cs="宋体"/>
                <w:bCs/>
                <w:color w:val="auto"/>
                <w:szCs w:val="21"/>
                <w:highlight w:val="none"/>
              </w:rPr>
              <w:t>1=1.1+1.2</w:t>
            </w:r>
          </w:p>
          <w:p>
            <w:pPr>
              <w:spacing w:line="288" w:lineRule="auto"/>
              <w:rPr>
                <w:rFonts w:ascii="宋体" w:hAnsi="宋体" w:cs="宋体"/>
                <w:b/>
                <w:color w:val="auto"/>
                <w:szCs w:val="21"/>
                <w:highlight w:val="none"/>
              </w:rPr>
            </w:pPr>
            <w:r>
              <w:rPr>
                <w:rFonts w:hint="eastAsia" w:ascii="宋体" w:hAnsi="宋体" w:cs="宋体"/>
                <w:bCs/>
                <w:color w:val="auto"/>
                <w:szCs w:val="21"/>
                <w:highlight w:val="none"/>
              </w:rPr>
              <w:t>报价金额不得超过最高投标限价。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spacing w:line="288" w:lineRule="auto"/>
              <w:jc w:val="center"/>
              <w:rPr>
                <w:rFonts w:ascii="宋体" w:hAnsi="宋体" w:cs="宋体"/>
                <w:color w:val="auto"/>
                <w:szCs w:val="21"/>
                <w:highlight w:val="none"/>
              </w:rPr>
            </w:pPr>
          </w:p>
        </w:tc>
        <w:tc>
          <w:tcPr>
            <w:tcW w:w="3748" w:type="dxa"/>
            <w:vAlign w:val="center"/>
          </w:tcPr>
          <w:p>
            <w:pPr>
              <w:spacing w:line="288" w:lineRule="auto"/>
              <w:rPr>
                <w:rFonts w:ascii="宋体" w:hAnsi="宋体" w:cs="宋体"/>
                <w:color w:val="auto"/>
                <w:szCs w:val="21"/>
                <w:highlight w:val="none"/>
              </w:rPr>
            </w:pPr>
            <w:r>
              <w:rPr>
                <w:rFonts w:hint="eastAsia" w:ascii="宋体" w:hAnsi="宋体" w:cs="宋体"/>
                <w:color w:val="auto"/>
                <w:szCs w:val="21"/>
                <w:highlight w:val="none"/>
              </w:rPr>
              <w:t>单项工程的设计投标报价较其最高投标限价的下浮率</w:t>
            </w:r>
          </w:p>
        </w:tc>
        <w:tc>
          <w:tcPr>
            <w:tcW w:w="1582" w:type="dxa"/>
            <w:vAlign w:val="center"/>
          </w:tcPr>
          <w:p>
            <w:pPr>
              <w:spacing w:line="288" w:lineRule="auto"/>
              <w:rPr>
                <w:rFonts w:ascii="宋体" w:hAnsi="宋体" w:cs="宋体"/>
                <w:color w:val="auto"/>
                <w:szCs w:val="21"/>
                <w:highlight w:val="none"/>
              </w:rPr>
            </w:pPr>
          </w:p>
        </w:tc>
        <w:tc>
          <w:tcPr>
            <w:tcW w:w="3312" w:type="dxa"/>
            <w:vAlign w:val="center"/>
          </w:tcPr>
          <w:p>
            <w:pPr>
              <w:spacing w:line="288" w:lineRule="auto"/>
              <w:rPr>
                <w:rFonts w:ascii="宋体" w:hAnsi="宋体" w:cs="宋体"/>
                <w:bCs/>
                <w:color w:val="auto"/>
                <w:szCs w:val="21"/>
                <w:highlight w:val="none"/>
              </w:rPr>
            </w:pPr>
            <w:r>
              <w:rPr>
                <w:rFonts w:hint="eastAsia" w:ascii="宋体" w:hAnsi="宋体" w:cs="宋体"/>
                <w:color w:val="auto"/>
                <w:szCs w:val="21"/>
                <w:highlight w:val="none"/>
              </w:rPr>
              <w:t>（单项工程设计最高投标限价-单项工程设计投标报价）/单项工程设计最高投标限价*100%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3748" w:type="dxa"/>
            <w:vAlign w:val="center"/>
          </w:tcPr>
          <w:p>
            <w:pPr>
              <w:pStyle w:val="13"/>
              <w:rPr>
                <w:rFonts w:ascii="宋体" w:hAnsi="宋体" w:cs="宋体"/>
                <w:color w:val="auto"/>
                <w:szCs w:val="21"/>
                <w:highlight w:val="none"/>
              </w:rPr>
            </w:pPr>
            <w:r>
              <w:rPr>
                <w:rFonts w:hint="eastAsia" w:ascii="宋体" w:hAnsi="宋体" w:cs="宋体"/>
                <w:color w:val="auto"/>
                <w:szCs w:val="21"/>
                <w:highlight w:val="none"/>
              </w:rPr>
              <w:t>基本设计收费（万元）</w:t>
            </w:r>
          </w:p>
        </w:tc>
        <w:tc>
          <w:tcPr>
            <w:tcW w:w="1582" w:type="dxa"/>
            <w:vAlign w:val="center"/>
          </w:tcPr>
          <w:p>
            <w:pPr>
              <w:spacing w:line="288" w:lineRule="auto"/>
              <w:rPr>
                <w:rFonts w:ascii="宋体" w:hAnsi="宋体" w:cs="宋体"/>
                <w:color w:val="auto"/>
                <w:szCs w:val="21"/>
                <w:highlight w:val="none"/>
              </w:rPr>
            </w:pPr>
          </w:p>
        </w:tc>
        <w:tc>
          <w:tcPr>
            <w:tcW w:w="3312" w:type="dxa"/>
            <w:vAlign w:val="center"/>
          </w:tcPr>
          <w:p>
            <w:pPr>
              <w:spacing w:line="288" w:lineRule="auto"/>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1.2</w:t>
            </w:r>
          </w:p>
        </w:tc>
        <w:tc>
          <w:tcPr>
            <w:tcW w:w="3748" w:type="dxa"/>
            <w:vAlign w:val="center"/>
          </w:tcPr>
          <w:p>
            <w:pPr>
              <w:pStyle w:val="13"/>
              <w:rPr>
                <w:rFonts w:ascii="宋体" w:hAnsi="宋体" w:cs="宋体"/>
                <w:color w:val="auto"/>
                <w:szCs w:val="21"/>
                <w:highlight w:val="none"/>
              </w:rPr>
            </w:pPr>
            <w:r>
              <w:rPr>
                <w:rFonts w:hint="eastAsia" w:ascii="宋体" w:hAnsi="宋体" w:cs="宋体"/>
                <w:color w:val="auto"/>
                <w:szCs w:val="21"/>
                <w:highlight w:val="none"/>
              </w:rPr>
              <w:t>竣工图编制费（万元）</w:t>
            </w:r>
          </w:p>
        </w:tc>
        <w:tc>
          <w:tcPr>
            <w:tcW w:w="1582" w:type="dxa"/>
            <w:vAlign w:val="center"/>
          </w:tcPr>
          <w:p>
            <w:pPr>
              <w:spacing w:line="288" w:lineRule="auto"/>
              <w:rPr>
                <w:rFonts w:ascii="宋体" w:hAnsi="宋体" w:cs="宋体"/>
                <w:color w:val="auto"/>
                <w:szCs w:val="21"/>
                <w:highlight w:val="none"/>
              </w:rPr>
            </w:pPr>
          </w:p>
        </w:tc>
        <w:tc>
          <w:tcPr>
            <w:tcW w:w="3312" w:type="dxa"/>
            <w:vAlign w:val="center"/>
          </w:tcPr>
          <w:p>
            <w:pPr>
              <w:spacing w:line="288" w:lineRule="auto"/>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3748" w:type="dxa"/>
            <w:shd w:val="clear" w:color="auto" w:fill="auto"/>
            <w:vAlign w:val="center"/>
          </w:tcPr>
          <w:p>
            <w:pPr>
              <w:spacing w:line="288" w:lineRule="auto"/>
              <w:rPr>
                <w:rFonts w:ascii="宋体" w:hAnsi="宋体" w:cs="宋体"/>
                <w:color w:val="auto"/>
                <w:szCs w:val="21"/>
                <w:highlight w:val="none"/>
              </w:rPr>
            </w:pPr>
            <w:r>
              <w:rPr>
                <w:rFonts w:hint="eastAsia" w:ascii="宋体" w:hAnsi="宋体" w:cs="宋体"/>
                <w:color w:val="auto"/>
                <w:szCs w:val="21"/>
                <w:highlight w:val="none"/>
              </w:rPr>
              <w:t>广州市石门国家森林公园基础设施配套完善建设项目设计投标报价（万元）</w:t>
            </w:r>
          </w:p>
        </w:tc>
        <w:tc>
          <w:tcPr>
            <w:tcW w:w="1582" w:type="dxa"/>
            <w:shd w:val="clear" w:color="auto" w:fill="auto"/>
            <w:vAlign w:val="center"/>
          </w:tcPr>
          <w:p>
            <w:pPr>
              <w:spacing w:line="288" w:lineRule="auto"/>
              <w:rPr>
                <w:rFonts w:ascii="宋体" w:hAnsi="宋体" w:cs="宋体"/>
                <w:color w:val="auto"/>
                <w:szCs w:val="21"/>
                <w:highlight w:val="none"/>
              </w:rPr>
            </w:pPr>
          </w:p>
        </w:tc>
        <w:tc>
          <w:tcPr>
            <w:tcW w:w="3312" w:type="dxa"/>
            <w:shd w:val="clear" w:color="auto" w:fill="auto"/>
            <w:vAlign w:val="center"/>
          </w:tcPr>
          <w:p>
            <w:pPr>
              <w:spacing w:line="288" w:lineRule="auto"/>
              <w:rPr>
                <w:rFonts w:ascii="宋体" w:hAnsi="宋体" w:cs="宋体"/>
                <w:bCs/>
                <w:color w:val="auto"/>
                <w:szCs w:val="21"/>
                <w:highlight w:val="none"/>
              </w:rPr>
            </w:pPr>
            <w:r>
              <w:rPr>
                <w:rFonts w:hint="eastAsia" w:ascii="宋体" w:hAnsi="宋体" w:cs="宋体"/>
                <w:bCs/>
                <w:color w:val="auto"/>
                <w:szCs w:val="21"/>
                <w:highlight w:val="none"/>
              </w:rPr>
              <w:t>2=2.1+2.2</w:t>
            </w:r>
          </w:p>
          <w:p>
            <w:pPr>
              <w:spacing w:line="288" w:lineRule="auto"/>
              <w:rPr>
                <w:rFonts w:ascii="宋体" w:hAnsi="宋体" w:cs="宋体"/>
                <w:b/>
                <w:color w:val="auto"/>
                <w:szCs w:val="21"/>
                <w:highlight w:val="none"/>
              </w:rPr>
            </w:pPr>
            <w:r>
              <w:rPr>
                <w:rFonts w:hint="eastAsia" w:ascii="宋体" w:hAnsi="宋体" w:cs="宋体"/>
                <w:bCs/>
                <w:color w:val="auto"/>
                <w:szCs w:val="21"/>
                <w:highlight w:val="none"/>
              </w:rPr>
              <w:t>报价金额不得超过最高投标限价。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spacing w:line="288" w:lineRule="auto"/>
              <w:jc w:val="center"/>
              <w:rPr>
                <w:rFonts w:ascii="宋体" w:hAnsi="宋体" w:cs="宋体"/>
                <w:color w:val="auto"/>
                <w:szCs w:val="21"/>
                <w:highlight w:val="none"/>
              </w:rPr>
            </w:pPr>
          </w:p>
        </w:tc>
        <w:tc>
          <w:tcPr>
            <w:tcW w:w="3748" w:type="dxa"/>
            <w:shd w:val="clear" w:color="auto" w:fill="auto"/>
            <w:vAlign w:val="center"/>
          </w:tcPr>
          <w:p>
            <w:pPr>
              <w:spacing w:line="288" w:lineRule="auto"/>
              <w:rPr>
                <w:rFonts w:ascii="宋体" w:hAnsi="宋体" w:cs="宋体"/>
                <w:color w:val="auto"/>
                <w:szCs w:val="21"/>
                <w:highlight w:val="none"/>
              </w:rPr>
            </w:pPr>
            <w:r>
              <w:rPr>
                <w:rFonts w:hint="eastAsia" w:ascii="宋体" w:hAnsi="宋体" w:cs="宋体"/>
                <w:color w:val="auto"/>
                <w:szCs w:val="21"/>
                <w:highlight w:val="none"/>
              </w:rPr>
              <w:t>单项工程的设计投标报价较其最高投标限价的下浮率</w:t>
            </w:r>
          </w:p>
        </w:tc>
        <w:tc>
          <w:tcPr>
            <w:tcW w:w="1582" w:type="dxa"/>
            <w:shd w:val="clear" w:color="auto" w:fill="auto"/>
            <w:vAlign w:val="center"/>
          </w:tcPr>
          <w:p>
            <w:pPr>
              <w:spacing w:line="288" w:lineRule="auto"/>
              <w:rPr>
                <w:rFonts w:ascii="宋体" w:hAnsi="宋体" w:cs="宋体"/>
                <w:color w:val="auto"/>
                <w:szCs w:val="21"/>
                <w:highlight w:val="none"/>
              </w:rPr>
            </w:pPr>
          </w:p>
        </w:tc>
        <w:tc>
          <w:tcPr>
            <w:tcW w:w="3312" w:type="dxa"/>
            <w:shd w:val="clear" w:color="auto" w:fill="auto"/>
            <w:vAlign w:val="center"/>
          </w:tcPr>
          <w:p>
            <w:pPr>
              <w:spacing w:line="288" w:lineRule="auto"/>
              <w:rPr>
                <w:rFonts w:ascii="宋体" w:hAnsi="宋体" w:cs="宋体"/>
                <w:bCs/>
                <w:color w:val="auto"/>
                <w:szCs w:val="21"/>
                <w:highlight w:val="none"/>
              </w:rPr>
            </w:pPr>
            <w:r>
              <w:rPr>
                <w:rFonts w:hint="eastAsia" w:ascii="宋体" w:hAnsi="宋体" w:cs="宋体"/>
                <w:color w:val="auto"/>
                <w:szCs w:val="21"/>
                <w:highlight w:val="none"/>
              </w:rPr>
              <w:t>（单项工程设计最高投标限价-单项工程设计投标报价）/单项工程设计最高投标限价*100%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3748" w:type="dxa"/>
            <w:shd w:val="clear" w:color="auto" w:fill="auto"/>
            <w:vAlign w:val="center"/>
          </w:tcPr>
          <w:p>
            <w:pPr>
              <w:pStyle w:val="13"/>
              <w:rPr>
                <w:rFonts w:ascii="宋体" w:hAnsi="宋体" w:cs="宋体"/>
                <w:color w:val="auto"/>
                <w:szCs w:val="21"/>
                <w:highlight w:val="none"/>
              </w:rPr>
            </w:pPr>
            <w:r>
              <w:rPr>
                <w:rFonts w:hint="eastAsia" w:ascii="宋体" w:hAnsi="宋体" w:cs="宋体"/>
                <w:color w:val="auto"/>
                <w:szCs w:val="21"/>
                <w:highlight w:val="none"/>
              </w:rPr>
              <w:t>基本设计收费（万元）</w:t>
            </w:r>
          </w:p>
        </w:tc>
        <w:tc>
          <w:tcPr>
            <w:tcW w:w="1582" w:type="dxa"/>
            <w:shd w:val="clear" w:color="auto" w:fill="auto"/>
            <w:vAlign w:val="center"/>
          </w:tcPr>
          <w:p>
            <w:pPr>
              <w:spacing w:line="288" w:lineRule="auto"/>
              <w:rPr>
                <w:rFonts w:ascii="宋体" w:hAnsi="宋体" w:cs="宋体"/>
                <w:color w:val="auto"/>
                <w:szCs w:val="21"/>
                <w:highlight w:val="none"/>
              </w:rPr>
            </w:pPr>
          </w:p>
        </w:tc>
        <w:tc>
          <w:tcPr>
            <w:tcW w:w="3312" w:type="dxa"/>
            <w:shd w:val="clear" w:color="auto" w:fill="auto"/>
            <w:vAlign w:val="center"/>
          </w:tcPr>
          <w:p>
            <w:pPr>
              <w:spacing w:line="288" w:lineRule="auto"/>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2.2</w:t>
            </w:r>
          </w:p>
        </w:tc>
        <w:tc>
          <w:tcPr>
            <w:tcW w:w="3748" w:type="dxa"/>
            <w:shd w:val="clear" w:color="auto" w:fill="auto"/>
            <w:vAlign w:val="center"/>
          </w:tcPr>
          <w:p>
            <w:pPr>
              <w:pStyle w:val="13"/>
              <w:rPr>
                <w:rFonts w:ascii="宋体" w:hAnsi="宋体" w:cs="宋体"/>
                <w:color w:val="auto"/>
                <w:szCs w:val="21"/>
                <w:highlight w:val="none"/>
              </w:rPr>
            </w:pPr>
            <w:r>
              <w:rPr>
                <w:rFonts w:hint="eastAsia" w:ascii="宋体" w:hAnsi="宋体" w:cs="宋体"/>
                <w:color w:val="auto"/>
                <w:szCs w:val="21"/>
                <w:highlight w:val="none"/>
              </w:rPr>
              <w:t>竣工图编制费（万元）</w:t>
            </w:r>
          </w:p>
        </w:tc>
        <w:tc>
          <w:tcPr>
            <w:tcW w:w="1582" w:type="dxa"/>
            <w:shd w:val="clear" w:color="auto" w:fill="auto"/>
            <w:vAlign w:val="center"/>
          </w:tcPr>
          <w:p>
            <w:pPr>
              <w:spacing w:line="288" w:lineRule="auto"/>
              <w:rPr>
                <w:rFonts w:ascii="宋体" w:hAnsi="宋体" w:cs="宋体"/>
                <w:color w:val="auto"/>
                <w:szCs w:val="21"/>
                <w:highlight w:val="none"/>
              </w:rPr>
            </w:pPr>
          </w:p>
        </w:tc>
        <w:tc>
          <w:tcPr>
            <w:tcW w:w="3312" w:type="dxa"/>
            <w:shd w:val="clear" w:color="auto" w:fill="auto"/>
            <w:vAlign w:val="center"/>
          </w:tcPr>
          <w:p>
            <w:pPr>
              <w:spacing w:line="288" w:lineRule="auto"/>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24" w:type="dxa"/>
            <w:vAlign w:val="center"/>
          </w:tcPr>
          <w:p>
            <w:pPr>
              <w:spacing w:line="288"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3748" w:type="dxa"/>
            <w:vAlign w:val="center"/>
          </w:tcPr>
          <w:p>
            <w:pPr>
              <w:pStyle w:val="13"/>
              <w:rPr>
                <w:rFonts w:ascii="宋体" w:hAnsi="宋体" w:cs="宋体"/>
                <w:color w:val="auto"/>
                <w:szCs w:val="21"/>
                <w:highlight w:val="none"/>
              </w:rPr>
            </w:pPr>
            <w:r>
              <w:rPr>
                <w:rFonts w:hint="eastAsia" w:ascii="宋体" w:hAnsi="宋体" w:cs="宋体"/>
                <w:color w:val="auto"/>
                <w:szCs w:val="21"/>
                <w:highlight w:val="none"/>
              </w:rPr>
              <w:t>设计投标总报价（万元）</w:t>
            </w:r>
          </w:p>
        </w:tc>
        <w:tc>
          <w:tcPr>
            <w:tcW w:w="1582" w:type="dxa"/>
            <w:vAlign w:val="center"/>
          </w:tcPr>
          <w:p>
            <w:pPr>
              <w:spacing w:line="288" w:lineRule="auto"/>
              <w:rPr>
                <w:rFonts w:ascii="宋体" w:hAnsi="宋体" w:cs="宋体"/>
                <w:color w:val="auto"/>
                <w:szCs w:val="21"/>
                <w:highlight w:val="none"/>
              </w:rPr>
            </w:pPr>
          </w:p>
        </w:tc>
        <w:tc>
          <w:tcPr>
            <w:tcW w:w="3312" w:type="dxa"/>
            <w:vAlign w:val="center"/>
          </w:tcPr>
          <w:p>
            <w:pPr>
              <w:spacing w:line="288" w:lineRule="auto"/>
              <w:rPr>
                <w:rFonts w:ascii="宋体" w:hAnsi="宋体" w:cs="宋体"/>
                <w:bCs/>
                <w:color w:val="auto"/>
                <w:szCs w:val="21"/>
                <w:highlight w:val="none"/>
              </w:rPr>
            </w:pPr>
            <w:r>
              <w:rPr>
                <w:rFonts w:hint="eastAsia" w:ascii="宋体" w:hAnsi="宋体" w:cs="宋体"/>
                <w:bCs/>
                <w:color w:val="auto"/>
                <w:szCs w:val="21"/>
                <w:highlight w:val="none"/>
              </w:rPr>
              <w:t>3=1+2</w:t>
            </w:r>
          </w:p>
        </w:tc>
      </w:tr>
    </w:tbl>
    <w:p>
      <w:pPr>
        <w:rPr>
          <w:rFonts w:ascii="宋体" w:hAnsi="宋体" w:cs="宋体"/>
          <w:color w:val="auto"/>
          <w:szCs w:val="21"/>
          <w:highlight w:val="none"/>
        </w:rPr>
      </w:pPr>
      <w:r>
        <w:rPr>
          <w:rFonts w:hint="eastAsia" w:ascii="宋体" w:hAnsi="宋体" w:cs="宋体"/>
          <w:color w:val="auto"/>
          <w:szCs w:val="21"/>
          <w:highlight w:val="none"/>
        </w:rPr>
        <w:t>注：1.设计投标总报价不得超过人民币1869.67万元。单项工程的设计投标报价不得超过（1）广州市流溪河国家森林公园基础设施配套完善建设项目设计最高投标限价人民币955.13万元；或（2）广州市石门国家森林公园基础设施配套完善建设项目设计最高投标限价人民币914.54万元，否则由评标委员会作废标处理。</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2.报价金额和报价下浮率出现小数，只保留小数点后二位，小数点后第三位及第三位数后做舍弃。</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3.经算术复核的投标人报价与其投标报价不一致时，按就低不就高原则确定其最终报价。如修正后的投标报价超出相应的最高投标限价，则由评标委员作废标处理。</w:t>
      </w:r>
    </w:p>
    <w:p>
      <w:pPr>
        <w:adjustRightInd w:val="0"/>
        <w:snapToGrid w:val="0"/>
        <w:ind w:firstLine="420" w:firstLineChars="200"/>
        <w:rPr>
          <w:rFonts w:ascii="宋体" w:hAnsi="宋体" w:cs="宋体"/>
          <w:color w:val="auto"/>
          <w:szCs w:val="21"/>
          <w:highlight w:val="none"/>
        </w:rPr>
      </w:pPr>
      <w:r>
        <w:rPr>
          <w:rFonts w:hint="eastAsia" w:ascii="宋体" w:hAnsi="宋体" w:cs="宋体"/>
          <w:color w:val="auto"/>
          <w:szCs w:val="21"/>
          <w:highlight w:val="none"/>
        </w:rPr>
        <w:t>4.按上述修正错误的原则及方法调整或修正投标文件的投标报价，调整后的投标报价对投标人起约束作用。如果投标人不接受修正后的报价，则取消其中标资格。</w:t>
      </w:r>
    </w:p>
    <w:p>
      <w:pPr>
        <w:pStyle w:val="2"/>
        <w:rPr>
          <w:rFonts w:ascii="宋体" w:hAnsi="宋体" w:cs="宋体"/>
          <w:color w:val="auto"/>
          <w:szCs w:val="21"/>
          <w:highlight w:val="none"/>
        </w:rPr>
      </w:pPr>
    </w:p>
    <w:p>
      <w:pPr>
        <w:ind w:right="-134"/>
        <w:outlineLvl w:val="3"/>
        <w:rPr>
          <w:color w:val="auto"/>
          <w:highlight w:val="none"/>
        </w:rPr>
      </w:pPr>
      <w:r>
        <w:rPr>
          <w:rFonts w:hint="eastAsia" w:ascii="Arial" w:hAnsi="Arial"/>
          <w:b/>
          <w:bCs/>
          <w:color w:val="auto"/>
          <w:highlight w:val="none"/>
        </w:rPr>
        <w:br w:type="page"/>
      </w:r>
      <w:bookmarkEnd w:id="237"/>
      <w:bookmarkStart w:id="239" w:name="_Toc6044"/>
      <w:bookmarkStart w:id="240" w:name="_Toc30971"/>
      <w:r>
        <w:rPr>
          <w:rFonts w:hint="eastAsia" w:ascii="Arial" w:hAnsi="Arial"/>
          <w:b/>
          <w:bCs/>
          <w:color w:val="auto"/>
          <w:sz w:val="24"/>
          <w:highlight w:val="none"/>
        </w:rPr>
        <w:t>附件20  本项目拟投入的人员基本情况表</w:t>
      </w:r>
      <w:bookmarkEnd w:id="239"/>
      <w:bookmarkEnd w:id="240"/>
    </w:p>
    <w:p>
      <w:pPr>
        <w:jc w:val="center"/>
        <w:rPr>
          <w:rFonts w:ascii="宋体" w:hAnsi="宋体"/>
          <w:b/>
          <w:color w:val="auto"/>
          <w:sz w:val="32"/>
          <w:szCs w:val="32"/>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t>本项目拟投入的人员基本情况表</w:t>
      </w:r>
    </w:p>
    <w:tbl>
      <w:tblPr>
        <w:tblStyle w:val="29"/>
        <w:tblW w:w="9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3"/>
        <w:gridCol w:w="1455"/>
        <w:gridCol w:w="850"/>
        <w:gridCol w:w="917"/>
        <w:gridCol w:w="760"/>
        <w:gridCol w:w="1028"/>
        <w:gridCol w:w="1187"/>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163" w:type="dxa"/>
            <w:vAlign w:val="center"/>
          </w:tcPr>
          <w:p>
            <w:pPr>
              <w:wordWrap w:val="0"/>
              <w:topLinePunct/>
              <w:jc w:val="center"/>
              <w:rPr>
                <w:rFonts w:ascii="宋体" w:hAnsi="宋体"/>
                <w:color w:val="auto"/>
                <w:highlight w:val="none"/>
              </w:rPr>
            </w:pPr>
            <w:r>
              <w:rPr>
                <w:rFonts w:hint="eastAsia" w:ascii="宋体" w:hAnsi="宋体"/>
                <w:color w:val="auto"/>
                <w:highlight w:val="none"/>
              </w:rPr>
              <w:t>人员安排</w:t>
            </w:r>
          </w:p>
        </w:tc>
        <w:tc>
          <w:tcPr>
            <w:tcW w:w="1455" w:type="dxa"/>
            <w:vAlign w:val="center"/>
          </w:tcPr>
          <w:p>
            <w:pPr>
              <w:wordWrap w:val="0"/>
              <w:topLinePunct/>
              <w:jc w:val="center"/>
              <w:rPr>
                <w:rFonts w:ascii="宋体" w:hAnsi="宋体"/>
                <w:color w:val="auto"/>
                <w:highlight w:val="none"/>
              </w:rPr>
            </w:pPr>
            <w:r>
              <w:rPr>
                <w:rFonts w:hint="eastAsia" w:ascii="宋体" w:hAnsi="宋体"/>
                <w:color w:val="auto"/>
                <w:highlight w:val="none"/>
              </w:rPr>
              <w:t>姓 名</w:t>
            </w:r>
          </w:p>
        </w:tc>
        <w:tc>
          <w:tcPr>
            <w:tcW w:w="850" w:type="dxa"/>
            <w:vAlign w:val="center"/>
          </w:tcPr>
          <w:p>
            <w:pPr>
              <w:wordWrap w:val="0"/>
              <w:topLinePunct/>
              <w:jc w:val="center"/>
              <w:rPr>
                <w:rFonts w:ascii="宋体" w:hAnsi="宋体"/>
                <w:color w:val="auto"/>
                <w:highlight w:val="none"/>
              </w:rPr>
            </w:pPr>
            <w:r>
              <w:rPr>
                <w:rFonts w:hint="eastAsia" w:ascii="宋体" w:hAnsi="宋体"/>
                <w:color w:val="auto"/>
                <w:highlight w:val="none"/>
              </w:rPr>
              <w:t>年龄</w:t>
            </w:r>
          </w:p>
        </w:tc>
        <w:tc>
          <w:tcPr>
            <w:tcW w:w="917" w:type="dxa"/>
            <w:vAlign w:val="center"/>
          </w:tcPr>
          <w:p>
            <w:pPr>
              <w:wordWrap w:val="0"/>
              <w:topLinePunct/>
              <w:jc w:val="center"/>
              <w:rPr>
                <w:rFonts w:ascii="宋体" w:hAnsi="宋体"/>
                <w:color w:val="auto"/>
                <w:highlight w:val="none"/>
              </w:rPr>
            </w:pPr>
            <w:r>
              <w:rPr>
                <w:rFonts w:hint="eastAsia" w:ascii="宋体" w:hAnsi="宋体"/>
                <w:color w:val="auto"/>
                <w:highlight w:val="none"/>
              </w:rPr>
              <w:t>所学专业</w:t>
            </w:r>
          </w:p>
        </w:tc>
        <w:tc>
          <w:tcPr>
            <w:tcW w:w="760" w:type="dxa"/>
            <w:vAlign w:val="center"/>
          </w:tcPr>
          <w:p>
            <w:pPr>
              <w:jc w:val="center"/>
              <w:rPr>
                <w:rFonts w:ascii="宋体" w:hAnsi="宋体"/>
                <w:color w:val="auto"/>
                <w:highlight w:val="none"/>
              </w:rPr>
            </w:pPr>
            <w:r>
              <w:rPr>
                <w:rFonts w:hint="eastAsia" w:ascii="宋体" w:hAnsi="宋体"/>
                <w:color w:val="auto"/>
                <w:highlight w:val="none"/>
              </w:rPr>
              <w:t xml:space="preserve">资格情况    </w:t>
            </w:r>
          </w:p>
        </w:tc>
        <w:tc>
          <w:tcPr>
            <w:tcW w:w="1028" w:type="dxa"/>
            <w:vAlign w:val="center"/>
          </w:tcPr>
          <w:p>
            <w:pPr>
              <w:jc w:val="center"/>
              <w:rPr>
                <w:rFonts w:ascii="宋体" w:hAnsi="宋体"/>
                <w:color w:val="auto"/>
                <w:highlight w:val="none"/>
              </w:rPr>
            </w:pPr>
            <w:r>
              <w:rPr>
                <w:rFonts w:hint="eastAsia" w:ascii="宋体" w:hAnsi="宋体"/>
                <w:color w:val="auto"/>
                <w:highlight w:val="none"/>
              </w:rPr>
              <w:t>从业年限</w:t>
            </w:r>
          </w:p>
        </w:tc>
        <w:tc>
          <w:tcPr>
            <w:tcW w:w="1187" w:type="dxa"/>
            <w:vAlign w:val="center"/>
          </w:tcPr>
          <w:p>
            <w:pPr>
              <w:jc w:val="center"/>
              <w:rPr>
                <w:rFonts w:ascii="宋体" w:hAnsi="宋体"/>
                <w:color w:val="auto"/>
                <w:highlight w:val="none"/>
              </w:rPr>
            </w:pPr>
            <w:r>
              <w:rPr>
                <w:rFonts w:hint="eastAsia" w:ascii="宋体" w:hAnsi="宋体"/>
                <w:color w:val="auto"/>
                <w:highlight w:val="none"/>
              </w:rPr>
              <w:t>获奖情况</w:t>
            </w:r>
          </w:p>
        </w:tc>
        <w:tc>
          <w:tcPr>
            <w:tcW w:w="1187" w:type="dxa"/>
            <w:vAlign w:val="center"/>
          </w:tcPr>
          <w:p>
            <w:pPr>
              <w:jc w:val="center"/>
              <w:rPr>
                <w:rFonts w:ascii="宋体" w:hAnsi="宋体"/>
                <w:color w:val="auto"/>
                <w:highlight w:val="none"/>
              </w:rPr>
            </w:pPr>
            <w:r>
              <w:rPr>
                <w:rFonts w:hint="eastAsia" w:ascii="宋体" w:hAnsi="宋体"/>
                <w:color w:val="auto"/>
                <w:highlight w:val="none"/>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ascii="宋体" w:hAnsi="宋体"/>
                <w:b/>
                <w:color w:val="auto"/>
                <w:highlight w:val="none"/>
              </w:rPr>
            </w:pPr>
            <w:r>
              <w:rPr>
                <w:rFonts w:hint="eastAsia" w:ascii="宋体" w:hAnsi="宋体"/>
                <w:b/>
                <w:color w:val="auto"/>
                <w:highlight w:val="none"/>
              </w:rPr>
              <w:t>项目负责人</w:t>
            </w:r>
          </w:p>
        </w:tc>
        <w:tc>
          <w:tcPr>
            <w:tcW w:w="1455" w:type="dxa"/>
            <w:vAlign w:val="center"/>
          </w:tcPr>
          <w:p>
            <w:pPr>
              <w:wordWrap w:val="0"/>
              <w:topLinePunct/>
              <w:rPr>
                <w:rFonts w:ascii="宋体" w:hAnsi="宋体"/>
                <w:color w:val="auto"/>
                <w:highlight w:val="none"/>
              </w:rPr>
            </w:pPr>
          </w:p>
        </w:tc>
        <w:tc>
          <w:tcPr>
            <w:tcW w:w="850" w:type="dxa"/>
          </w:tcPr>
          <w:p>
            <w:pPr>
              <w:wordWrap w:val="0"/>
              <w:topLinePunct/>
              <w:rPr>
                <w:rFonts w:ascii="宋体" w:hAnsi="宋体"/>
                <w:color w:val="auto"/>
                <w:highlight w:val="none"/>
              </w:rPr>
            </w:pPr>
          </w:p>
        </w:tc>
        <w:tc>
          <w:tcPr>
            <w:tcW w:w="917" w:type="dxa"/>
            <w:vAlign w:val="center"/>
          </w:tcPr>
          <w:p>
            <w:pPr>
              <w:wordWrap w:val="0"/>
              <w:topLinePunct/>
              <w:rPr>
                <w:rFonts w:ascii="宋体" w:hAnsi="宋体"/>
                <w:color w:val="auto"/>
                <w:highlight w:val="none"/>
              </w:rPr>
            </w:pPr>
          </w:p>
        </w:tc>
        <w:tc>
          <w:tcPr>
            <w:tcW w:w="760" w:type="dxa"/>
            <w:vAlign w:val="center"/>
          </w:tcPr>
          <w:p>
            <w:pPr>
              <w:wordWrap w:val="0"/>
              <w:topLinePunct/>
              <w:rPr>
                <w:rFonts w:ascii="宋体" w:hAnsi="宋体"/>
                <w:color w:val="auto"/>
                <w:highlight w:val="none"/>
              </w:rPr>
            </w:pPr>
          </w:p>
        </w:tc>
        <w:tc>
          <w:tcPr>
            <w:tcW w:w="1028" w:type="dxa"/>
            <w:vAlign w:val="center"/>
          </w:tcPr>
          <w:p>
            <w:pPr>
              <w:wordWrap w:val="0"/>
              <w:topLinePunct/>
              <w:rPr>
                <w:rFonts w:ascii="宋体" w:hAnsi="宋体"/>
                <w:color w:val="auto"/>
                <w:highlight w:val="none"/>
              </w:rPr>
            </w:pPr>
          </w:p>
        </w:tc>
        <w:tc>
          <w:tcPr>
            <w:tcW w:w="1187" w:type="dxa"/>
            <w:vAlign w:val="center"/>
          </w:tcPr>
          <w:p>
            <w:pPr>
              <w:wordWrap w:val="0"/>
              <w:topLinePunct/>
              <w:rPr>
                <w:rFonts w:ascii="宋体" w:hAnsi="宋体"/>
                <w:color w:val="auto"/>
                <w:highlight w:val="none"/>
              </w:rPr>
            </w:pPr>
          </w:p>
        </w:tc>
        <w:tc>
          <w:tcPr>
            <w:tcW w:w="1187" w:type="dxa"/>
          </w:tcPr>
          <w:p>
            <w:pPr>
              <w:wordWrap w:val="0"/>
              <w:topLinePun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ascii="宋体" w:hAnsi="宋体"/>
                <w:b/>
                <w:color w:val="auto"/>
                <w:highlight w:val="none"/>
              </w:rPr>
            </w:pPr>
            <w:r>
              <w:rPr>
                <w:rFonts w:hint="eastAsia" w:ascii="宋体" w:hAnsi="宋体"/>
                <w:b/>
                <w:color w:val="auto"/>
                <w:highlight w:val="none"/>
              </w:rPr>
              <w:t>园林专业负责人</w:t>
            </w:r>
          </w:p>
        </w:tc>
        <w:tc>
          <w:tcPr>
            <w:tcW w:w="1455" w:type="dxa"/>
            <w:vAlign w:val="center"/>
          </w:tcPr>
          <w:p>
            <w:pPr>
              <w:wordWrap w:val="0"/>
              <w:topLinePunct/>
              <w:rPr>
                <w:rFonts w:ascii="宋体" w:hAnsi="宋体"/>
                <w:color w:val="auto"/>
                <w:highlight w:val="none"/>
              </w:rPr>
            </w:pPr>
          </w:p>
        </w:tc>
        <w:tc>
          <w:tcPr>
            <w:tcW w:w="850" w:type="dxa"/>
          </w:tcPr>
          <w:p>
            <w:pPr>
              <w:wordWrap w:val="0"/>
              <w:topLinePunct/>
              <w:rPr>
                <w:rFonts w:ascii="宋体" w:hAnsi="宋体"/>
                <w:color w:val="auto"/>
                <w:highlight w:val="none"/>
              </w:rPr>
            </w:pPr>
          </w:p>
        </w:tc>
        <w:tc>
          <w:tcPr>
            <w:tcW w:w="917" w:type="dxa"/>
            <w:vAlign w:val="center"/>
          </w:tcPr>
          <w:p>
            <w:pPr>
              <w:wordWrap w:val="0"/>
              <w:topLinePunct/>
              <w:rPr>
                <w:rFonts w:ascii="宋体" w:hAnsi="宋体"/>
                <w:color w:val="auto"/>
                <w:highlight w:val="none"/>
              </w:rPr>
            </w:pPr>
          </w:p>
        </w:tc>
        <w:tc>
          <w:tcPr>
            <w:tcW w:w="760" w:type="dxa"/>
            <w:vAlign w:val="center"/>
          </w:tcPr>
          <w:p>
            <w:pPr>
              <w:wordWrap w:val="0"/>
              <w:topLinePunct/>
              <w:rPr>
                <w:rFonts w:ascii="宋体" w:hAnsi="宋体"/>
                <w:color w:val="auto"/>
                <w:highlight w:val="none"/>
              </w:rPr>
            </w:pPr>
          </w:p>
        </w:tc>
        <w:tc>
          <w:tcPr>
            <w:tcW w:w="1028" w:type="dxa"/>
            <w:vAlign w:val="center"/>
          </w:tcPr>
          <w:p>
            <w:pPr>
              <w:wordWrap w:val="0"/>
              <w:topLinePunct/>
              <w:rPr>
                <w:rFonts w:ascii="宋体" w:hAnsi="宋体"/>
                <w:color w:val="auto"/>
                <w:highlight w:val="none"/>
              </w:rPr>
            </w:pPr>
          </w:p>
        </w:tc>
        <w:tc>
          <w:tcPr>
            <w:tcW w:w="1187" w:type="dxa"/>
            <w:vAlign w:val="center"/>
          </w:tcPr>
          <w:p>
            <w:pPr>
              <w:wordWrap w:val="0"/>
              <w:topLinePunct/>
              <w:rPr>
                <w:rFonts w:ascii="宋体" w:hAnsi="宋体"/>
                <w:color w:val="auto"/>
                <w:highlight w:val="none"/>
              </w:rPr>
            </w:pPr>
          </w:p>
        </w:tc>
        <w:tc>
          <w:tcPr>
            <w:tcW w:w="1187" w:type="dxa"/>
          </w:tcPr>
          <w:p>
            <w:pPr>
              <w:wordWrap w:val="0"/>
              <w:topLinePun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ascii="宋体" w:hAnsi="宋体"/>
                <w:b/>
                <w:color w:val="auto"/>
                <w:highlight w:val="none"/>
              </w:rPr>
            </w:pPr>
            <w:r>
              <w:rPr>
                <w:rFonts w:hint="eastAsia" w:ascii="宋体" w:hAnsi="宋体"/>
                <w:b/>
                <w:color w:val="auto"/>
                <w:highlight w:val="none"/>
              </w:rPr>
              <w:t>建筑专业负责人</w:t>
            </w:r>
          </w:p>
        </w:tc>
        <w:tc>
          <w:tcPr>
            <w:tcW w:w="1455" w:type="dxa"/>
            <w:vAlign w:val="center"/>
          </w:tcPr>
          <w:p>
            <w:pPr>
              <w:wordWrap w:val="0"/>
              <w:topLinePunct/>
              <w:rPr>
                <w:rFonts w:ascii="宋体" w:hAnsi="宋体"/>
                <w:color w:val="auto"/>
                <w:highlight w:val="none"/>
              </w:rPr>
            </w:pPr>
          </w:p>
        </w:tc>
        <w:tc>
          <w:tcPr>
            <w:tcW w:w="850" w:type="dxa"/>
          </w:tcPr>
          <w:p>
            <w:pPr>
              <w:wordWrap w:val="0"/>
              <w:topLinePunct/>
              <w:rPr>
                <w:rFonts w:ascii="宋体" w:hAnsi="宋体"/>
                <w:color w:val="auto"/>
                <w:highlight w:val="none"/>
              </w:rPr>
            </w:pPr>
          </w:p>
        </w:tc>
        <w:tc>
          <w:tcPr>
            <w:tcW w:w="917" w:type="dxa"/>
            <w:vAlign w:val="center"/>
          </w:tcPr>
          <w:p>
            <w:pPr>
              <w:wordWrap w:val="0"/>
              <w:topLinePunct/>
              <w:rPr>
                <w:rFonts w:ascii="宋体" w:hAnsi="宋体"/>
                <w:color w:val="auto"/>
                <w:highlight w:val="none"/>
              </w:rPr>
            </w:pPr>
          </w:p>
        </w:tc>
        <w:tc>
          <w:tcPr>
            <w:tcW w:w="760" w:type="dxa"/>
            <w:vAlign w:val="center"/>
          </w:tcPr>
          <w:p>
            <w:pPr>
              <w:wordWrap w:val="0"/>
              <w:topLinePunct/>
              <w:rPr>
                <w:rFonts w:ascii="宋体" w:hAnsi="宋体"/>
                <w:color w:val="auto"/>
                <w:highlight w:val="none"/>
              </w:rPr>
            </w:pPr>
          </w:p>
        </w:tc>
        <w:tc>
          <w:tcPr>
            <w:tcW w:w="1028" w:type="dxa"/>
            <w:vAlign w:val="center"/>
          </w:tcPr>
          <w:p>
            <w:pPr>
              <w:wordWrap w:val="0"/>
              <w:topLinePunct/>
              <w:rPr>
                <w:rFonts w:ascii="宋体" w:hAnsi="宋体"/>
                <w:color w:val="auto"/>
                <w:highlight w:val="none"/>
              </w:rPr>
            </w:pPr>
          </w:p>
        </w:tc>
        <w:tc>
          <w:tcPr>
            <w:tcW w:w="1187" w:type="dxa"/>
            <w:vAlign w:val="center"/>
          </w:tcPr>
          <w:p>
            <w:pPr>
              <w:wordWrap w:val="0"/>
              <w:topLinePunct/>
              <w:rPr>
                <w:rFonts w:ascii="宋体" w:hAnsi="宋体"/>
                <w:color w:val="auto"/>
                <w:highlight w:val="none"/>
              </w:rPr>
            </w:pPr>
          </w:p>
        </w:tc>
        <w:tc>
          <w:tcPr>
            <w:tcW w:w="1187" w:type="dxa"/>
          </w:tcPr>
          <w:p>
            <w:pPr>
              <w:wordWrap w:val="0"/>
              <w:topLinePun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ascii="宋体" w:hAnsi="宋体"/>
                <w:b/>
                <w:color w:val="auto"/>
                <w:highlight w:val="none"/>
              </w:rPr>
            </w:pPr>
            <w:r>
              <w:rPr>
                <w:rFonts w:hint="eastAsia" w:ascii="宋体" w:hAnsi="宋体"/>
                <w:b/>
                <w:color w:val="auto"/>
                <w:highlight w:val="none"/>
              </w:rPr>
              <w:t>结构专业负责人</w:t>
            </w:r>
          </w:p>
        </w:tc>
        <w:tc>
          <w:tcPr>
            <w:tcW w:w="1455" w:type="dxa"/>
            <w:vAlign w:val="center"/>
          </w:tcPr>
          <w:p>
            <w:pPr>
              <w:wordWrap w:val="0"/>
              <w:topLinePunct/>
              <w:rPr>
                <w:rFonts w:ascii="宋体" w:hAnsi="宋体"/>
                <w:color w:val="auto"/>
                <w:highlight w:val="none"/>
              </w:rPr>
            </w:pPr>
          </w:p>
        </w:tc>
        <w:tc>
          <w:tcPr>
            <w:tcW w:w="850" w:type="dxa"/>
          </w:tcPr>
          <w:p>
            <w:pPr>
              <w:wordWrap w:val="0"/>
              <w:topLinePunct/>
              <w:rPr>
                <w:rFonts w:ascii="宋体" w:hAnsi="宋体"/>
                <w:color w:val="auto"/>
                <w:highlight w:val="none"/>
              </w:rPr>
            </w:pPr>
          </w:p>
        </w:tc>
        <w:tc>
          <w:tcPr>
            <w:tcW w:w="917" w:type="dxa"/>
            <w:vAlign w:val="center"/>
          </w:tcPr>
          <w:p>
            <w:pPr>
              <w:wordWrap w:val="0"/>
              <w:topLinePunct/>
              <w:rPr>
                <w:rFonts w:ascii="宋体" w:hAnsi="宋体"/>
                <w:color w:val="auto"/>
                <w:highlight w:val="none"/>
              </w:rPr>
            </w:pPr>
          </w:p>
        </w:tc>
        <w:tc>
          <w:tcPr>
            <w:tcW w:w="760" w:type="dxa"/>
            <w:vAlign w:val="center"/>
          </w:tcPr>
          <w:p>
            <w:pPr>
              <w:wordWrap w:val="0"/>
              <w:topLinePunct/>
              <w:rPr>
                <w:rFonts w:ascii="宋体" w:hAnsi="宋体"/>
                <w:color w:val="auto"/>
                <w:highlight w:val="none"/>
              </w:rPr>
            </w:pPr>
          </w:p>
        </w:tc>
        <w:tc>
          <w:tcPr>
            <w:tcW w:w="1028" w:type="dxa"/>
            <w:vAlign w:val="center"/>
          </w:tcPr>
          <w:p>
            <w:pPr>
              <w:wordWrap w:val="0"/>
              <w:topLinePunct/>
              <w:rPr>
                <w:rFonts w:ascii="宋体" w:hAnsi="宋体"/>
                <w:color w:val="auto"/>
                <w:highlight w:val="none"/>
              </w:rPr>
            </w:pPr>
          </w:p>
        </w:tc>
        <w:tc>
          <w:tcPr>
            <w:tcW w:w="1187" w:type="dxa"/>
            <w:vAlign w:val="center"/>
          </w:tcPr>
          <w:p>
            <w:pPr>
              <w:wordWrap w:val="0"/>
              <w:topLinePunct/>
              <w:rPr>
                <w:rFonts w:ascii="宋体" w:hAnsi="宋体"/>
                <w:color w:val="auto"/>
                <w:highlight w:val="none"/>
              </w:rPr>
            </w:pPr>
          </w:p>
        </w:tc>
        <w:tc>
          <w:tcPr>
            <w:tcW w:w="1187" w:type="dxa"/>
          </w:tcPr>
          <w:p>
            <w:pPr>
              <w:wordWrap w:val="0"/>
              <w:topLinePun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ascii="宋体" w:hAnsi="宋体"/>
                <w:b/>
                <w:color w:val="auto"/>
                <w:highlight w:val="none"/>
              </w:rPr>
            </w:pPr>
            <w:r>
              <w:rPr>
                <w:rFonts w:hint="eastAsia" w:ascii="宋体" w:hAnsi="宋体"/>
                <w:b/>
                <w:color w:val="auto"/>
                <w:highlight w:val="none"/>
              </w:rPr>
              <w:t>电气专业负责人</w:t>
            </w:r>
          </w:p>
        </w:tc>
        <w:tc>
          <w:tcPr>
            <w:tcW w:w="1455" w:type="dxa"/>
            <w:vAlign w:val="center"/>
          </w:tcPr>
          <w:p>
            <w:pPr>
              <w:wordWrap w:val="0"/>
              <w:topLinePunct/>
              <w:rPr>
                <w:rFonts w:ascii="宋体" w:hAnsi="宋体"/>
                <w:color w:val="auto"/>
                <w:highlight w:val="none"/>
              </w:rPr>
            </w:pPr>
          </w:p>
        </w:tc>
        <w:tc>
          <w:tcPr>
            <w:tcW w:w="850" w:type="dxa"/>
          </w:tcPr>
          <w:p>
            <w:pPr>
              <w:wordWrap w:val="0"/>
              <w:topLinePunct/>
              <w:rPr>
                <w:rFonts w:ascii="宋体" w:hAnsi="宋体"/>
                <w:color w:val="auto"/>
                <w:highlight w:val="none"/>
              </w:rPr>
            </w:pPr>
          </w:p>
        </w:tc>
        <w:tc>
          <w:tcPr>
            <w:tcW w:w="917" w:type="dxa"/>
            <w:vAlign w:val="center"/>
          </w:tcPr>
          <w:p>
            <w:pPr>
              <w:wordWrap w:val="0"/>
              <w:topLinePunct/>
              <w:rPr>
                <w:rFonts w:ascii="宋体" w:hAnsi="宋体"/>
                <w:color w:val="auto"/>
                <w:highlight w:val="none"/>
              </w:rPr>
            </w:pPr>
          </w:p>
        </w:tc>
        <w:tc>
          <w:tcPr>
            <w:tcW w:w="760" w:type="dxa"/>
            <w:vAlign w:val="center"/>
          </w:tcPr>
          <w:p>
            <w:pPr>
              <w:wordWrap w:val="0"/>
              <w:topLinePunct/>
              <w:rPr>
                <w:rFonts w:ascii="宋体" w:hAnsi="宋体"/>
                <w:color w:val="auto"/>
                <w:highlight w:val="none"/>
              </w:rPr>
            </w:pPr>
          </w:p>
        </w:tc>
        <w:tc>
          <w:tcPr>
            <w:tcW w:w="1028" w:type="dxa"/>
            <w:vAlign w:val="center"/>
          </w:tcPr>
          <w:p>
            <w:pPr>
              <w:wordWrap w:val="0"/>
              <w:topLinePunct/>
              <w:rPr>
                <w:rFonts w:ascii="宋体" w:hAnsi="宋体"/>
                <w:color w:val="auto"/>
                <w:highlight w:val="none"/>
              </w:rPr>
            </w:pPr>
          </w:p>
        </w:tc>
        <w:tc>
          <w:tcPr>
            <w:tcW w:w="1187" w:type="dxa"/>
            <w:vAlign w:val="center"/>
          </w:tcPr>
          <w:p>
            <w:pPr>
              <w:wordWrap w:val="0"/>
              <w:topLinePunct/>
              <w:rPr>
                <w:rFonts w:ascii="宋体" w:hAnsi="宋体"/>
                <w:color w:val="auto"/>
                <w:highlight w:val="none"/>
              </w:rPr>
            </w:pPr>
          </w:p>
        </w:tc>
        <w:tc>
          <w:tcPr>
            <w:tcW w:w="1187" w:type="dxa"/>
          </w:tcPr>
          <w:p>
            <w:pPr>
              <w:wordWrap w:val="0"/>
              <w:topLinePun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ascii="宋体" w:hAnsi="宋体"/>
                <w:b/>
                <w:color w:val="auto"/>
                <w:highlight w:val="none"/>
              </w:rPr>
            </w:pPr>
            <w:r>
              <w:rPr>
                <w:rFonts w:hint="eastAsia" w:ascii="宋体" w:hAnsi="宋体"/>
                <w:b/>
                <w:color w:val="auto"/>
                <w:highlight w:val="none"/>
              </w:rPr>
              <w:t>给排水专业负责人</w:t>
            </w:r>
          </w:p>
        </w:tc>
        <w:tc>
          <w:tcPr>
            <w:tcW w:w="1455" w:type="dxa"/>
            <w:vAlign w:val="center"/>
          </w:tcPr>
          <w:p>
            <w:pPr>
              <w:wordWrap w:val="0"/>
              <w:topLinePunct/>
              <w:rPr>
                <w:rFonts w:ascii="宋体" w:hAnsi="宋体"/>
                <w:color w:val="auto"/>
                <w:highlight w:val="none"/>
              </w:rPr>
            </w:pPr>
          </w:p>
        </w:tc>
        <w:tc>
          <w:tcPr>
            <w:tcW w:w="850" w:type="dxa"/>
          </w:tcPr>
          <w:p>
            <w:pPr>
              <w:wordWrap w:val="0"/>
              <w:topLinePunct/>
              <w:rPr>
                <w:rFonts w:ascii="宋体" w:hAnsi="宋体"/>
                <w:color w:val="auto"/>
                <w:highlight w:val="none"/>
              </w:rPr>
            </w:pPr>
          </w:p>
        </w:tc>
        <w:tc>
          <w:tcPr>
            <w:tcW w:w="917" w:type="dxa"/>
            <w:vAlign w:val="center"/>
          </w:tcPr>
          <w:p>
            <w:pPr>
              <w:wordWrap w:val="0"/>
              <w:topLinePunct/>
              <w:rPr>
                <w:rFonts w:ascii="宋体" w:hAnsi="宋体"/>
                <w:color w:val="auto"/>
                <w:highlight w:val="none"/>
              </w:rPr>
            </w:pPr>
          </w:p>
        </w:tc>
        <w:tc>
          <w:tcPr>
            <w:tcW w:w="760" w:type="dxa"/>
            <w:vAlign w:val="center"/>
          </w:tcPr>
          <w:p>
            <w:pPr>
              <w:wordWrap w:val="0"/>
              <w:topLinePunct/>
              <w:rPr>
                <w:rFonts w:ascii="宋体" w:hAnsi="宋体"/>
                <w:color w:val="auto"/>
                <w:highlight w:val="none"/>
              </w:rPr>
            </w:pPr>
          </w:p>
        </w:tc>
        <w:tc>
          <w:tcPr>
            <w:tcW w:w="1028" w:type="dxa"/>
            <w:vAlign w:val="center"/>
          </w:tcPr>
          <w:p>
            <w:pPr>
              <w:wordWrap w:val="0"/>
              <w:topLinePunct/>
              <w:rPr>
                <w:rFonts w:ascii="宋体" w:hAnsi="宋体"/>
                <w:color w:val="auto"/>
                <w:highlight w:val="none"/>
              </w:rPr>
            </w:pPr>
          </w:p>
        </w:tc>
        <w:tc>
          <w:tcPr>
            <w:tcW w:w="1187" w:type="dxa"/>
            <w:vAlign w:val="center"/>
          </w:tcPr>
          <w:p>
            <w:pPr>
              <w:wordWrap w:val="0"/>
              <w:topLinePunct/>
              <w:rPr>
                <w:rFonts w:ascii="宋体" w:hAnsi="宋体"/>
                <w:color w:val="auto"/>
                <w:highlight w:val="none"/>
              </w:rPr>
            </w:pPr>
          </w:p>
        </w:tc>
        <w:tc>
          <w:tcPr>
            <w:tcW w:w="1187" w:type="dxa"/>
          </w:tcPr>
          <w:p>
            <w:pPr>
              <w:wordWrap w:val="0"/>
              <w:topLinePun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ascii="宋体" w:hAnsi="宋体"/>
                <w:b/>
                <w:color w:val="auto"/>
                <w:highlight w:val="none"/>
              </w:rPr>
            </w:pPr>
            <w:r>
              <w:rPr>
                <w:rFonts w:hint="eastAsia" w:ascii="宋体" w:hAnsi="宋体"/>
                <w:b/>
                <w:color w:val="auto"/>
                <w:highlight w:val="none"/>
              </w:rPr>
              <w:t>造价专业负责人</w:t>
            </w:r>
          </w:p>
        </w:tc>
        <w:tc>
          <w:tcPr>
            <w:tcW w:w="1455" w:type="dxa"/>
            <w:vAlign w:val="center"/>
          </w:tcPr>
          <w:p>
            <w:pPr>
              <w:wordWrap w:val="0"/>
              <w:topLinePunct/>
              <w:rPr>
                <w:rFonts w:ascii="宋体" w:hAnsi="宋体"/>
                <w:color w:val="auto"/>
                <w:highlight w:val="none"/>
              </w:rPr>
            </w:pPr>
          </w:p>
        </w:tc>
        <w:tc>
          <w:tcPr>
            <w:tcW w:w="850" w:type="dxa"/>
          </w:tcPr>
          <w:p>
            <w:pPr>
              <w:wordWrap w:val="0"/>
              <w:topLinePunct/>
              <w:rPr>
                <w:rFonts w:ascii="宋体" w:hAnsi="宋体"/>
                <w:color w:val="auto"/>
                <w:highlight w:val="none"/>
              </w:rPr>
            </w:pPr>
          </w:p>
        </w:tc>
        <w:tc>
          <w:tcPr>
            <w:tcW w:w="917" w:type="dxa"/>
            <w:vAlign w:val="center"/>
          </w:tcPr>
          <w:p>
            <w:pPr>
              <w:wordWrap w:val="0"/>
              <w:topLinePunct/>
              <w:rPr>
                <w:rFonts w:ascii="宋体" w:hAnsi="宋体"/>
                <w:color w:val="auto"/>
                <w:highlight w:val="none"/>
              </w:rPr>
            </w:pPr>
          </w:p>
        </w:tc>
        <w:tc>
          <w:tcPr>
            <w:tcW w:w="760" w:type="dxa"/>
            <w:vAlign w:val="center"/>
          </w:tcPr>
          <w:p>
            <w:pPr>
              <w:wordWrap w:val="0"/>
              <w:topLinePunct/>
              <w:rPr>
                <w:rFonts w:ascii="宋体" w:hAnsi="宋体"/>
                <w:color w:val="auto"/>
                <w:highlight w:val="none"/>
              </w:rPr>
            </w:pPr>
          </w:p>
        </w:tc>
        <w:tc>
          <w:tcPr>
            <w:tcW w:w="1028" w:type="dxa"/>
            <w:vAlign w:val="center"/>
          </w:tcPr>
          <w:p>
            <w:pPr>
              <w:wordWrap w:val="0"/>
              <w:topLinePunct/>
              <w:rPr>
                <w:rFonts w:ascii="宋体" w:hAnsi="宋体"/>
                <w:color w:val="auto"/>
                <w:highlight w:val="none"/>
              </w:rPr>
            </w:pPr>
          </w:p>
        </w:tc>
        <w:tc>
          <w:tcPr>
            <w:tcW w:w="1187" w:type="dxa"/>
            <w:vAlign w:val="center"/>
          </w:tcPr>
          <w:p>
            <w:pPr>
              <w:wordWrap w:val="0"/>
              <w:topLinePunct/>
              <w:rPr>
                <w:rFonts w:ascii="宋体" w:hAnsi="宋体"/>
                <w:color w:val="auto"/>
                <w:highlight w:val="none"/>
              </w:rPr>
            </w:pPr>
          </w:p>
        </w:tc>
        <w:tc>
          <w:tcPr>
            <w:tcW w:w="1187" w:type="dxa"/>
          </w:tcPr>
          <w:p>
            <w:pPr>
              <w:wordWrap w:val="0"/>
              <w:topLinePunct/>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2163" w:type="dxa"/>
            <w:vAlign w:val="center"/>
          </w:tcPr>
          <w:p>
            <w:pPr>
              <w:rPr>
                <w:rFonts w:ascii="宋体" w:hAnsi="宋体"/>
                <w:color w:val="auto"/>
                <w:highlight w:val="none"/>
              </w:rPr>
            </w:pPr>
            <w:r>
              <w:rPr>
                <w:rFonts w:hint="eastAsia" w:ascii="宋体" w:hAnsi="宋体"/>
                <w:color w:val="auto"/>
                <w:highlight w:val="none"/>
              </w:rPr>
              <w:t>…</w:t>
            </w:r>
          </w:p>
        </w:tc>
        <w:tc>
          <w:tcPr>
            <w:tcW w:w="1455" w:type="dxa"/>
            <w:vAlign w:val="center"/>
          </w:tcPr>
          <w:p>
            <w:pPr>
              <w:wordWrap w:val="0"/>
              <w:topLinePunct/>
              <w:rPr>
                <w:rFonts w:ascii="宋体" w:hAnsi="宋体"/>
                <w:color w:val="auto"/>
                <w:highlight w:val="none"/>
              </w:rPr>
            </w:pPr>
          </w:p>
        </w:tc>
        <w:tc>
          <w:tcPr>
            <w:tcW w:w="850" w:type="dxa"/>
          </w:tcPr>
          <w:p>
            <w:pPr>
              <w:wordWrap w:val="0"/>
              <w:topLinePunct/>
              <w:rPr>
                <w:rFonts w:ascii="宋体" w:hAnsi="宋体"/>
                <w:color w:val="auto"/>
                <w:highlight w:val="none"/>
              </w:rPr>
            </w:pPr>
          </w:p>
        </w:tc>
        <w:tc>
          <w:tcPr>
            <w:tcW w:w="917" w:type="dxa"/>
            <w:vAlign w:val="center"/>
          </w:tcPr>
          <w:p>
            <w:pPr>
              <w:wordWrap w:val="0"/>
              <w:topLinePunct/>
              <w:rPr>
                <w:rFonts w:ascii="宋体" w:hAnsi="宋体"/>
                <w:color w:val="auto"/>
                <w:highlight w:val="none"/>
              </w:rPr>
            </w:pPr>
          </w:p>
        </w:tc>
        <w:tc>
          <w:tcPr>
            <w:tcW w:w="760" w:type="dxa"/>
            <w:vAlign w:val="center"/>
          </w:tcPr>
          <w:p>
            <w:pPr>
              <w:wordWrap w:val="0"/>
              <w:topLinePunct/>
              <w:rPr>
                <w:rFonts w:ascii="宋体" w:hAnsi="宋体"/>
                <w:color w:val="auto"/>
                <w:highlight w:val="none"/>
              </w:rPr>
            </w:pPr>
          </w:p>
        </w:tc>
        <w:tc>
          <w:tcPr>
            <w:tcW w:w="1028" w:type="dxa"/>
            <w:vAlign w:val="center"/>
          </w:tcPr>
          <w:p>
            <w:pPr>
              <w:wordWrap w:val="0"/>
              <w:topLinePunct/>
              <w:rPr>
                <w:rFonts w:ascii="宋体" w:hAnsi="宋体"/>
                <w:color w:val="auto"/>
                <w:highlight w:val="none"/>
              </w:rPr>
            </w:pPr>
          </w:p>
        </w:tc>
        <w:tc>
          <w:tcPr>
            <w:tcW w:w="1187" w:type="dxa"/>
            <w:vAlign w:val="center"/>
          </w:tcPr>
          <w:p>
            <w:pPr>
              <w:wordWrap w:val="0"/>
              <w:topLinePunct/>
              <w:rPr>
                <w:rFonts w:ascii="宋体" w:hAnsi="宋体"/>
                <w:color w:val="auto"/>
                <w:highlight w:val="none"/>
              </w:rPr>
            </w:pPr>
          </w:p>
        </w:tc>
        <w:tc>
          <w:tcPr>
            <w:tcW w:w="1187" w:type="dxa"/>
          </w:tcPr>
          <w:p>
            <w:pPr>
              <w:wordWrap w:val="0"/>
              <w:topLinePunct/>
              <w:rPr>
                <w:rFonts w:ascii="宋体" w:hAnsi="宋体"/>
                <w:color w:val="auto"/>
                <w:highlight w:val="none"/>
              </w:rPr>
            </w:pPr>
          </w:p>
        </w:tc>
      </w:tr>
    </w:tbl>
    <w:p>
      <w:pPr>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注：①投标人应根据招标文件要求和招标项目的实际需要，列出项目负责人及各专业负责人。</w:t>
      </w:r>
    </w:p>
    <w:p>
      <w:pPr>
        <w:spacing w:line="360" w:lineRule="auto"/>
        <w:ind w:firstLine="480" w:firstLineChars="200"/>
        <w:rPr>
          <w:rFonts w:ascii="宋体" w:hAnsi="宋体" w:cs="宋体"/>
          <w:b/>
          <w:bCs/>
          <w:color w:val="auto"/>
          <w:sz w:val="24"/>
          <w:highlight w:val="none"/>
        </w:rPr>
      </w:pPr>
      <w:r>
        <w:rPr>
          <w:rFonts w:hint="eastAsia" w:ascii="宋体" w:hAnsi="宋体" w:cs="宋体"/>
          <w:b/>
          <w:bCs/>
          <w:color w:val="auto"/>
          <w:sz w:val="24"/>
          <w:highlight w:val="none"/>
        </w:rPr>
        <w:t>②投标人应按本表所列的项目负责人和专业负责人填写资历表（格式自拟）。</w:t>
      </w:r>
    </w:p>
    <w:p>
      <w:pPr>
        <w:rPr>
          <w:color w:val="auto"/>
          <w:highlight w:val="none"/>
        </w:rPr>
      </w:pPr>
    </w:p>
    <w:sectPr>
      <w:headerReference r:id="rId12" w:type="default"/>
      <w:footerReference r:id="rId13" w:type="default"/>
      <w:footerReference r:id="rId14" w:type="even"/>
      <w:type w:val="nextColumn"/>
      <w:pgSz w:w="11906" w:h="16838"/>
      <w:pgMar w:top="1440" w:right="1080" w:bottom="1440" w:left="108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86"/>
    <w:family w:val="script"/>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pFtcIBAACO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xcA8KbY8LCpZ+MOkJNxXBMhdG0UnkP/ryXrI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saRbXCAQAAjgMAAA4AAAAAAAAAAQAgAAAAHgEAAGRycy9lMm9Eb2MueG1sUEsF&#10;BgAAAAAGAAYAWQEAAFI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rPr>
                              <w:rStyle w:val="32"/>
                            </w:rPr>
                          </w:pPr>
                          <w:r>
                            <w:rPr>
                              <w:rStyle w:val="32"/>
                            </w:rPr>
                            <w:fldChar w:fldCharType="begin"/>
                          </w:r>
                          <w:r>
                            <w:rPr>
                              <w:rStyle w:val="32"/>
                            </w:rPr>
                            <w:instrText xml:space="preserve"> PAGE  \* MERGEFORMAT </w:instrText>
                          </w:r>
                          <w:r>
                            <w:rPr>
                              <w:rStyle w:val="32"/>
                            </w:rPr>
                            <w:fldChar w:fldCharType="separate"/>
                          </w:r>
                          <w:r>
                            <w:rPr>
                              <w:rStyle w:val="32"/>
                            </w:rPr>
                            <w:t>29</w:t>
                          </w:r>
                          <w:r>
                            <w:rPr>
                              <w:rStyle w:val="32"/>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dMJdcBAACyAwAADgAAAGRycy9lMm9Eb2MueG1srVPBjtMwEL0j8Q+W&#10;7zTZroS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UXTCXXAQAAsgMAAA4AAAAAAAAAAQAgAAAA&#10;HgEAAGRycy9lMm9Eb2MueG1sUEsFBgAAAAAGAAYAWQEAAGcFAAAAAA==&#10;">
              <v:fill on="f" focussize="0,0"/>
              <v:stroke on="f"/>
              <v:imagedata o:title=""/>
              <o:lock v:ext="edit" aspectratio="f"/>
              <v:textbox inset="0mm,0mm,0mm,0mm" style="mso-fit-shape-to-text:t;">
                <w:txbxContent>
                  <w:p>
                    <w:pPr>
                      <w:pStyle w:val="21"/>
                      <w:rPr>
                        <w:rStyle w:val="32"/>
                      </w:rPr>
                    </w:pPr>
                    <w:r>
                      <w:rPr>
                        <w:rStyle w:val="32"/>
                      </w:rPr>
                      <w:fldChar w:fldCharType="begin"/>
                    </w:r>
                    <w:r>
                      <w:rPr>
                        <w:rStyle w:val="32"/>
                      </w:rPr>
                      <w:instrText xml:space="preserve"> PAGE  \* MERGEFORMAT </w:instrText>
                    </w:r>
                    <w:r>
                      <w:rPr>
                        <w:rStyle w:val="32"/>
                      </w:rPr>
                      <w:fldChar w:fldCharType="separate"/>
                    </w:r>
                    <w:r>
                      <w:rPr>
                        <w:rStyle w:val="32"/>
                      </w:rPr>
                      <w:t>29</w:t>
                    </w:r>
                    <w:r>
                      <w:rPr>
                        <w:rStyle w:val="32"/>
                      </w:rPr>
                      <w:fldChar w:fldCharType="end"/>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rPr>
                              <w:rStyle w:val="32"/>
                            </w:rPr>
                          </w:pPr>
                          <w:r>
                            <w:rPr>
                              <w:rStyle w:val="32"/>
                            </w:rPr>
                            <w:fldChar w:fldCharType="begin"/>
                          </w:r>
                          <w:r>
                            <w:rPr>
                              <w:rStyle w:val="32"/>
                            </w:rPr>
                            <w:instrText xml:space="preserve"> PAGE  \* MERGEFORMAT </w:instrText>
                          </w:r>
                          <w:r>
                            <w:rPr>
                              <w:rStyle w:val="32"/>
                            </w:rPr>
                            <w:fldChar w:fldCharType="separate"/>
                          </w:r>
                          <w:r>
                            <w:rPr>
                              <w:rStyle w:val="32"/>
                            </w:rPr>
                            <w:t>40</w:t>
                          </w:r>
                          <w:r>
                            <w:rPr>
                              <w:rStyle w:val="32"/>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Gh19cBAACyAwAADgAAAGRycy9lMm9Eb2MueG1srVPBjtMwEL0j8Q+W&#10;7zTZaoWqqOkKqBYhIUBa9gNcx2ks2R7LnjYpHwB/wIkLd76r38HYSbqwXPbAJRnPjN+8NzNe3wzW&#10;sKMKUYOr+dWi5Ew5CY12+5rff759seIsonCNMOBUzU8q8pvN82fr3ldqCR2YRgVGIC5Wva95h+ir&#10;ooiyU1bEBXjlKNhCsALpGPZFE0RP6NYUy7J8WfQQGh9AqhjJux2DfEIMTwGEttVSbUEerHI4ogZl&#10;BJKk2Gkf+SazbVsl8WPbRoXM1JyUYv5SEbJ36Vts1qLaB+E7LScK4ikUHmmyQjsqeoHaChTsEPQ/&#10;UFbLABFaXEiwxSgkd4RUXJWPenPXCa+yFmp19Jemx/8HKz8cPwWmm5pfc+aEpYGfv387//h1/vmV&#10;Xaf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GqhodfXAQAAsgMAAA4AAAAAAAAAAQAgAAAA&#10;HgEAAGRycy9lMm9Eb2MueG1sUEsFBgAAAAAGAAYAWQEAAGcFAAAAAA==&#10;">
              <v:fill on="f" focussize="0,0"/>
              <v:stroke on="f"/>
              <v:imagedata o:title=""/>
              <o:lock v:ext="edit" aspectratio="f"/>
              <v:textbox inset="0mm,0mm,0mm,0mm" style="mso-fit-shape-to-text:t;">
                <w:txbxContent>
                  <w:p>
                    <w:pPr>
                      <w:pStyle w:val="21"/>
                      <w:rPr>
                        <w:rStyle w:val="32"/>
                      </w:rPr>
                    </w:pPr>
                    <w:r>
                      <w:rPr>
                        <w:rStyle w:val="32"/>
                      </w:rPr>
                      <w:fldChar w:fldCharType="begin"/>
                    </w:r>
                    <w:r>
                      <w:rPr>
                        <w:rStyle w:val="32"/>
                      </w:rPr>
                      <w:instrText xml:space="preserve"> PAGE  \* MERGEFORMAT </w:instrText>
                    </w:r>
                    <w:r>
                      <w:rPr>
                        <w:rStyle w:val="32"/>
                      </w:rPr>
                      <w:fldChar w:fldCharType="separate"/>
                    </w:r>
                    <w:r>
                      <w:rPr>
                        <w:rStyle w:val="32"/>
                      </w:rPr>
                      <w:t>40</w:t>
                    </w:r>
                    <w:r>
                      <w:rPr>
                        <w:rStyle w:val="32"/>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19g2NYBAACyAwAADgAAAGRycy9lMm9Eb2MueG1srVPNjtMwEL4j8Q6W&#10;7zRpD6iKmq6AahESAqSFB3Adp7HkP3mmTcoDwBtw4sKd5+pzMHaS7rJc9sAlGc+Mv/m+mfHmZrCG&#10;nVQE7V3Nl4uSM+Wkb7Q71PzL59sXa84AhWuE8U7V/KyA32yfP9v0oVIr33nTqMgIxEHVh5p3iKEq&#10;CpCdsgIWPihHwdZHK5CO8VA0UfSEbk2xKsuXRe9jE6KXCoC8uzHIJ8T4FEDftlqqnZdHqxyOqFEZ&#10;gSQJOh2AbzPbtlUSP7YtKGSm5qQU85eKkL1P32K7EdUhitBpOVEQT6HwSJMV2lHRK9ROoGDHqP+B&#10;slpGD77FhfS2GIXkjpCKZfmoN3edCCproVZDuDYd/h+s/HD6FJluar7izAlLA7/8+H75+fvy6xtb&#10;pvb0ASrKuguUh8NrP9DSzH4gZ1I9tNGmP+lhFKfmnq/NVQMymS6tV+t1SSFJsflA+MX99RAB3ypv&#10;WTJqHml6uani9B5wTJ1TUjXnb7UxeYLG/eUgzOQpEveRY7Jw2A+ToL1vzqSHngHV6Xz8yllPS1Bz&#10;RzvPmXnnqMdpX2YjzsZ+NoSTdLHmyNlovsG8V4kIhFdHJHaZdCo91psY0Siz7Gnt0q48POes+6e2&#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719g2NYBAACyAwAADgAAAAAAAAABACAAAAAe&#10;AQAAZHJzL2Uyb0RvYy54bWxQSwUGAAAAAAYABgBZAQAAZgUAAAAA&#10;">
              <v:fill on="f" focussize="0,0"/>
              <v:stroke on="f"/>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2"/>
      </w:rPr>
    </w:pPr>
    <w:r>
      <w:fldChar w:fldCharType="begin"/>
    </w:r>
    <w:r>
      <w:rPr>
        <w:rStyle w:val="32"/>
      </w:rPr>
      <w:instrText xml:space="preserve">PAGE  </w:instrText>
    </w:r>
    <w:r>
      <w:fldChar w:fldCharType="separate"/>
    </w:r>
    <w:r>
      <w:rPr>
        <w:rStyle w:val="32"/>
      </w:rPr>
      <w:t>21</w:t>
    </w:r>
    <w: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74977"/>
    <w:multiLevelType w:val="singleLevel"/>
    <w:tmpl w:val="A6E74977"/>
    <w:lvl w:ilvl="0" w:tentative="0">
      <w:start w:val="1"/>
      <w:numFmt w:val="chineseCounting"/>
      <w:suff w:val="nothing"/>
      <w:lvlText w:val="%1、"/>
      <w:lvlJc w:val="left"/>
      <w:rPr>
        <w:rFonts w:hint="eastAsia"/>
      </w:rPr>
    </w:lvl>
  </w:abstractNum>
  <w:abstractNum w:abstractNumId="1">
    <w:nsid w:val="B3865C4C"/>
    <w:multiLevelType w:val="singleLevel"/>
    <w:tmpl w:val="B3865C4C"/>
    <w:lvl w:ilvl="0" w:tentative="0">
      <w:start w:val="2"/>
      <w:numFmt w:val="chineseCounting"/>
      <w:suff w:val="space"/>
      <w:lvlText w:val="（%1）"/>
      <w:lvlJc w:val="left"/>
      <w:rPr>
        <w:rFonts w:hint="eastAsia"/>
      </w:rPr>
    </w:lvl>
  </w:abstractNum>
  <w:abstractNum w:abstractNumId="2">
    <w:nsid w:val="0E574A54"/>
    <w:multiLevelType w:val="multilevel"/>
    <w:tmpl w:val="0E574A54"/>
    <w:lvl w:ilvl="0" w:tentative="0">
      <w:start w:val="1"/>
      <w:numFmt w:val="japaneseCounting"/>
      <w:pStyle w:val="56"/>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3">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4">
    <w:nsid w:val="5A76B49B"/>
    <w:multiLevelType w:val="singleLevel"/>
    <w:tmpl w:val="5A76B49B"/>
    <w:lvl w:ilvl="0" w:tentative="0">
      <w:start w:val="1"/>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N2QwNGVmMTI3ZDA2YzQyNzM4NTIxODk4OGNlNjIifQ=="/>
  </w:docVars>
  <w:rsids>
    <w:rsidRoot w:val="00172A27"/>
    <w:rsid w:val="00000C7A"/>
    <w:rsid w:val="00001C7D"/>
    <w:rsid w:val="00002C21"/>
    <w:rsid w:val="00005E9C"/>
    <w:rsid w:val="00006FAF"/>
    <w:rsid w:val="00007144"/>
    <w:rsid w:val="00007708"/>
    <w:rsid w:val="0001241C"/>
    <w:rsid w:val="00012933"/>
    <w:rsid w:val="00012B76"/>
    <w:rsid w:val="000152A3"/>
    <w:rsid w:val="00016265"/>
    <w:rsid w:val="00017F85"/>
    <w:rsid w:val="000227AF"/>
    <w:rsid w:val="0002474C"/>
    <w:rsid w:val="000248D7"/>
    <w:rsid w:val="0002593A"/>
    <w:rsid w:val="00027ACA"/>
    <w:rsid w:val="00027B0D"/>
    <w:rsid w:val="00030DA2"/>
    <w:rsid w:val="00032E96"/>
    <w:rsid w:val="0003378A"/>
    <w:rsid w:val="0004417C"/>
    <w:rsid w:val="000456B3"/>
    <w:rsid w:val="00046749"/>
    <w:rsid w:val="000467D4"/>
    <w:rsid w:val="000467EC"/>
    <w:rsid w:val="00046D7D"/>
    <w:rsid w:val="0004719B"/>
    <w:rsid w:val="000471C8"/>
    <w:rsid w:val="00050330"/>
    <w:rsid w:val="00050722"/>
    <w:rsid w:val="00052573"/>
    <w:rsid w:val="00052C12"/>
    <w:rsid w:val="00054A02"/>
    <w:rsid w:val="00055DC1"/>
    <w:rsid w:val="00061302"/>
    <w:rsid w:val="00061E98"/>
    <w:rsid w:val="000635ED"/>
    <w:rsid w:val="000645DC"/>
    <w:rsid w:val="00065094"/>
    <w:rsid w:val="000652F6"/>
    <w:rsid w:val="0006594B"/>
    <w:rsid w:val="00066EFB"/>
    <w:rsid w:val="00067600"/>
    <w:rsid w:val="00070428"/>
    <w:rsid w:val="0007122F"/>
    <w:rsid w:val="00071670"/>
    <w:rsid w:val="00071D26"/>
    <w:rsid w:val="000730E7"/>
    <w:rsid w:val="000738E1"/>
    <w:rsid w:val="0007648D"/>
    <w:rsid w:val="000774B1"/>
    <w:rsid w:val="00081742"/>
    <w:rsid w:val="00081F76"/>
    <w:rsid w:val="00085CF7"/>
    <w:rsid w:val="00086621"/>
    <w:rsid w:val="000879B3"/>
    <w:rsid w:val="00095B2F"/>
    <w:rsid w:val="00096BD7"/>
    <w:rsid w:val="00096DC1"/>
    <w:rsid w:val="00096EA3"/>
    <w:rsid w:val="000A1475"/>
    <w:rsid w:val="000A1A88"/>
    <w:rsid w:val="000A2DB3"/>
    <w:rsid w:val="000A4529"/>
    <w:rsid w:val="000A50F5"/>
    <w:rsid w:val="000A5692"/>
    <w:rsid w:val="000A6415"/>
    <w:rsid w:val="000A668A"/>
    <w:rsid w:val="000A69D2"/>
    <w:rsid w:val="000B0CD7"/>
    <w:rsid w:val="000B1242"/>
    <w:rsid w:val="000B2207"/>
    <w:rsid w:val="000B256E"/>
    <w:rsid w:val="000B3DDA"/>
    <w:rsid w:val="000B46A1"/>
    <w:rsid w:val="000B48D1"/>
    <w:rsid w:val="000B5436"/>
    <w:rsid w:val="000C0191"/>
    <w:rsid w:val="000C0F4C"/>
    <w:rsid w:val="000C206C"/>
    <w:rsid w:val="000C28B1"/>
    <w:rsid w:val="000C527C"/>
    <w:rsid w:val="000C5F6F"/>
    <w:rsid w:val="000C616F"/>
    <w:rsid w:val="000C6348"/>
    <w:rsid w:val="000C6895"/>
    <w:rsid w:val="000C6D1B"/>
    <w:rsid w:val="000C74F0"/>
    <w:rsid w:val="000C7ACE"/>
    <w:rsid w:val="000D2E34"/>
    <w:rsid w:val="000D2EE3"/>
    <w:rsid w:val="000D40B0"/>
    <w:rsid w:val="000D4202"/>
    <w:rsid w:val="000D692A"/>
    <w:rsid w:val="000D790C"/>
    <w:rsid w:val="000E000C"/>
    <w:rsid w:val="000E0281"/>
    <w:rsid w:val="000E1154"/>
    <w:rsid w:val="000E16BE"/>
    <w:rsid w:val="000E2AD9"/>
    <w:rsid w:val="000E302F"/>
    <w:rsid w:val="000E3A14"/>
    <w:rsid w:val="000E49E8"/>
    <w:rsid w:val="000E4BB6"/>
    <w:rsid w:val="000E63B0"/>
    <w:rsid w:val="000E799D"/>
    <w:rsid w:val="000F3D14"/>
    <w:rsid w:val="001010FC"/>
    <w:rsid w:val="0010284C"/>
    <w:rsid w:val="001029D3"/>
    <w:rsid w:val="00104752"/>
    <w:rsid w:val="00104926"/>
    <w:rsid w:val="00104C5D"/>
    <w:rsid w:val="00104D4F"/>
    <w:rsid w:val="00105C65"/>
    <w:rsid w:val="001064D9"/>
    <w:rsid w:val="0011042D"/>
    <w:rsid w:val="001108CB"/>
    <w:rsid w:val="0011206B"/>
    <w:rsid w:val="001121A0"/>
    <w:rsid w:val="00112382"/>
    <w:rsid w:val="00117258"/>
    <w:rsid w:val="00121EF9"/>
    <w:rsid w:val="0012446B"/>
    <w:rsid w:val="001245DF"/>
    <w:rsid w:val="00126434"/>
    <w:rsid w:val="00126755"/>
    <w:rsid w:val="0012726E"/>
    <w:rsid w:val="00130BE1"/>
    <w:rsid w:val="00131C47"/>
    <w:rsid w:val="00132C0E"/>
    <w:rsid w:val="00133F61"/>
    <w:rsid w:val="00134AB4"/>
    <w:rsid w:val="00137B28"/>
    <w:rsid w:val="001413F7"/>
    <w:rsid w:val="001415FB"/>
    <w:rsid w:val="00142F49"/>
    <w:rsid w:val="0014597E"/>
    <w:rsid w:val="00150375"/>
    <w:rsid w:val="00152690"/>
    <w:rsid w:val="00153DC9"/>
    <w:rsid w:val="00155638"/>
    <w:rsid w:val="001557DE"/>
    <w:rsid w:val="00156092"/>
    <w:rsid w:val="00156979"/>
    <w:rsid w:val="001621A4"/>
    <w:rsid w:val="00163784"/>
    <w:rsid w:val="00165409"/>
    <w:rsid w:val="00166C22"/>
    <w:rsid w:val="00167952"/>
    <w:rsid w:val="001721F8"/>
    <w:rsid w:val="00172A27"/>
    <w:rsid w:val="0017377C"/>
    <w:rsid w:val="00175914"/>
    <w:rsid w:val="00175A1B"/>
    <w:rsid w:val="001760D7"/>
    <w:rsid w:val="001768F1"/>
    <w:rsid w:val="001809AA"/>
    <w:rsid w:val="00180F0E"/>
    <w:rsid w:val="00181BFF"/>
    <w:rsid w:val="00181E2D"/>
    <w:rsid w:val="00182C28"/>
    <w:rsid w:val="00182ED7"/>
    <w:rsid w:val="001861C1"/>
    <w:rsid w:val="001863C2"/>
    <w:rsid w:val="00187551"/>
    <w:rsid w:val="001908F4"/>
    <w:rsid w:val="001923F2"/>
    <w:rsid w:val="00193E96"/>
    <w:rsid w:val="0019453D"/>
    <w:rsid w:val="00194BE6"/>
    <w:rsid w:val="001975B7"/>
    <w:rsid w:val="00197CAC"/>
    <w:rsid w:val="001A1496"/>
    <w:rsid w:val="001A1870"/>
    <w:rsid w:val="001A44F5"/>
    <w:rsid w:val="001A6353"/>
    <w:rsid w:val="001A64B1"/>
    <w:rsid w:val="001A698B"/>
    <w:rsid w:val="001A6DEF"/>
    <w:rsid w:val="001A6DFA"/>
    <w:rsid w:val="001B0F54"/>
    <w:rsid w:val="001B24EE"/>
    <w:rsid w:val="001B290B"/>
    <w:rsid w:val="001B327D"/>
    <w:rsid w:val="001B5206"/>
    <w:rsid w:val="001B6181"/>
    <w:rsid w:val="001B6D40"/>
    <w:rsid w:val="001C2322"/>
    <w:rsid w:val="001C23CF"/>
    <w:rsid w:val="001C2473"/>
    <w:rsid w:val="001C32F9"/>
    <w:rsid w:val="001C38C8"/>
    <w:rsid w:val="001D0B15"/>
    <w:rsid w:val="001E0695"/>
    <w:rsid w:val="001E0EF3"/>
    <w:rsid w:val="001E3210"/>
    <w:rsid w:val="001E3539"/>
    <w:rsid w:val="001E355A"/>
    <w:rsid w:val="001E366C"/>
    <w:rsid w:val="001E49D3"/>
    <w:rsid w:val="001E5654"/>
    <w:rsid w:val="001E5877"/>
    <w:rsid w:val="001E6561"/>
    <w:rsid w:val="001E7173"/>
    <w:rsid w:val="001F3189"/>
    <w:rsid w:val="001F3D03"/>
    <w:rsid w:val="001F4606"/>
    <w:rsid w:val="001F66EE"/>
    <w:rsid w:val="001F7601"/>
    <w:rsid w:val="001F7A53"/>
    <w:rsid w:val="00202333"/>
    <w:rsid w:val="0020568F"/>
    <w:rsid w:val="002062D5"/>
    <w:rsid w:val="00206887"/>
    <w:rsid w:val="0020720E"/>
    <w:rsid w:val="00207F7F"/>
    <w:rsid w:val="002109BF"/>
    <w:rsid w:val="00210B13"/>
    <w:rsid w:val="0021134E"/>
    <w:rsid w:val="00215694"/>
    <w:rsid w:val="0021639F"/>
    <w:rsid w:val="00217F82"/>
    <w:rsid w:val="0022042B"/>
    <w:rsid w:val="00221249"/>
    <w:rsid w:val="00223311"/>
    <w:rsid w:val="00224D01"/>
    <w:rsid w:val="00225383"/>
    <w:rsid w:val="00225CD3"/>
    <w:rsid w:val="00225DFC"/>
    <w:rsid w:val="002268B4"/>
    <w:rsid w:val="00227157"/>
    <w:rsid w:val="0022723E"/>
    <w:rsid w:val="00227F3F"/>
    <w:rsid w:val="00230114"/>
    <w:rsid w:val="00230360"/>
    <w:rsid w:val="002316E9"/>
    <w:rsid w:val="00233C71"/>
    <w:rsid w:val="002345D3"/>
    <w:rsid w:val="0023590C"/>
    <w:rsid w:val="002379D0"/>
    <w:rsid w:val="00237EF9"/>
    <w:rsid w:val="00241934"/>
    <w:rsid w:val="00241A6C"/>
    <w:rsid w:val="00243F41"/>
    <w:rsid w:val="00245796"/>
    <w:rsid w:val="00245DDE"/>
    <w:rsid w:val="002461E0"/>
    <w:rsid w:val="00246582"/>
    <w:rsid w:val="00246DE0"/>
    <w:rsid w:val="0024767D"/>
    <w:rsid w:val="00250944"/>
    <w:rsid w:val="00251AA2"/>
    <w:rsid w:val="00251CF2"/>
    <w:rsid w:val="00255DC6"/>
    <w:rsid w:val="0025691B"/>
    <w:rsid w:val="00257541"/>
    <w:rsid w:val="0025765D"/>
    <w:rsid w:val="00260461"/>
    <w:rsid w:val="00262E1E"/>
    <w:rsid w:val="00264759"/>
    <w:rsid w:val="002714AD"/>
    <w:rsid w:val="00271EE0"/>
    <w:rsid w:val="0027248B"/>
    <w:rsid w:val="00274434"/>
    <w:rsid w:val="002759AE"/>
    <w:rsid w:val="00276A0F"/>
    <w:rsid w:val="00277D94"/>
    <w:rsid w:val="00281889"/>
    <w:rsid w:val="00281B0C"/>
    <w:rsid w:val="002820D3"/>
    <w:rsid w:val="00282EBD"/>
    <w:rsid w:val="00283180"/>
    <w:rsid w:val="00283497"/>
    <w:rsid w:val="002842E2"/>
    <w:rsid w:val="00284D43"/>
    <w:rsid w:val="002860AD"/>
    <w:rsid w:val="0028670E"/>
    <w:rsid w:val="00286F1D"/>
    <w:rsid w:val="00287A0E"/>
    <w:rsid w:val="00290A9F"/>
    <w:rsid w:val="0029233B"/>
    <w:rsid w:val="0029243D"/>
    <w:rsid w:val="00293DA3"/>
    <w:rsid w:val="002941FA"/>
    <w:rsid w:val="0029494B"/>
    <w:rsid w:val="00295C7A"/>
    <w:rsid w:val="002A0748"/>
    <w:rsid w:val="002A0D1E"/>
    <w:rsid w:val="002A3372"/>
    <w:rsid w:val="002A3A42"/>
    <w:rsid w:val="002B01C7"/>
    <w:rsid w:val="002B19BE"/>
    <w:rsid w:val="002B2F4D"/>
    <w:rsid w:val="002B5727"/>
    <w:rsid w:val="002B608C"/>
    <w:rsid w:val="002B65B3"/>
    <w:rsid w:val="002B69AF"/>
    <w:rsid w:val="002B6C43"/>
    <w:rsid w:val="002C04FA"/>
    <w:rsid w:val="002C34BB"/>
    <w:rsid w:val="002C388B"/>
    <w:rsid w:val="002C52C1"/>
    <w:rsid w:val="002D1267"/>
    <w:rsid w:val="002D1976"/>
    <w:rsid w:val="002D26E4"/>
    <w:rsid w:val="002D45D7"/>
    <w:rsid w:val="002D463E"/>
    <w:rsid w:val="002D49CD"/>
    <w:rsid w:val="002D5ADD"/>
    <w:rsid w:val="002D7216"/>
    <w:rsid w:val="002D7B4E"/>
    <w:rsid w:val="002E2E9E"/>
    <w:rsid w:val="002E3CC8"/>
    <w:rsid w:val="002E48A3"/>
    <w:rsid w:val="002E4B72"/>
    <w:rsid w:val="002E54F2"/>
    <w:rsid w:val="002E61A6"/>
    <w:rsid w:val="002E66A1"/>
    <w:rsid w:val="002E71CA"/>
    <w:rsid w:val="002E7C73"/>
    <w:rsid w:val="002E7E87"/>
    <w:rsid w:val="002F2133"/>
    <w:rsid w:val="002F2E3F"/>
    <w:rsid w:val="002F340E"/>
    <w:rsid w:val="002F4896"/>
    <w:rsid w:val="003001A7"/>
    <w:rsid w:val="00300996"/>
    <w:rsid w:val="00302694"/>
    <w:rsid w:val="00302B5D"/>
    <w:rsid w:val="00310314"/>
    <w:rsid w:val="00311C0D"/>
    <w:rsid w:val="0031405B"/>
    <w:rsid w:val="00320ACE"/>
    <w:rsid w:val="00320AD1"/>
    <w:rsid w:val="00320EA4"/>
    <w:rsid w:val="0032112C"/>
    <w:rsid w:val="003220F3"/>
    <w:rsid w:val="003242A0"/>
    <w:rsid w:val="00325F63"/>
    <w:rsid w:val="00326330"/>
    <w:rsid w:val="00326919"/>
    <w:rsid w:val="003312DE"/>
    <w:rsid w:val="00331E48"/>
    <w:rsid w:val="003345B2"/>
    <w:rsid w:val="00335E61"/>
    <w:rsid w:val="0033652E"/>
    <w:rsid w:val="00337A6B"/>
    <w:rsid w:val="00337D7F"/>
    <w:rsid w:val="00342724"/>
    <w:rsid w:val="003439BA"/>
    <w:rsid w:val="00344937"/>
    <w:rsid w:val="00344BC3"/>
    <w:rsid w:val="003454AC"/>
    <w:rsid w:val="00345A80"/>
    <w:rsid w:val="003464F8"/>
    <w:rsid w:val="003513D9"/>
    <w:rsid w:val="00351779"/>
    <w:rsid w:val="00352D7C"/>
    <w:rsid w:val="00353048"/>
    <w:rsid w:val="00354C5F"/>
    <w:rsid w:val="00355AB5"/>
    <w:rsid w:val="00355B10"/>
    <w:rsid w:val="00357E29"/>
    <w:rsid w:val="00360542"/>
    <w:rsid w:val="003609C9"/>
    <w:rsid w:val="00363377"/>
    <w:rsid w:val="00363DA3"/>
    <w:rsid w:val="00363DA4"/>
    <w:rsid w:val="003647FF"/>
    <w:rsid w:val="0036583C"/>
    <w:rsid w:val="003710F8"/>
    <w:rsid w:val="00371767"/>
    <w:rsid w:val="003725AB"/>
    <w:rsid w:val="00373CE6"/>
    <w:rsid w:val="00376015"/>
    <w:rsid w:val="00376A74"/>
    <w:rsid w:val="00380B2F"/>
    <w:rsid w:val="0038397B"/>
    <w:rsid w:val="0038480B"/>
    <w:rsid w:val="00385928"/>
    <w:rsid w:val="00385A55"/>
    <w:rsid w:val="00387C09"/>
    <w:rsid w:val="003908C4"/>
    <w:rsid w:val="003910F5"/>
    <w:rsid w:val="00391E7B"/>
    <w:rsid w:val="00392D5B"/>
    <w:rsid w:val="0039389B"/>
    <w:rsid w:val="00393FE4"/>
    <w:rsid w:val="00394034"/>
    <w:rsid w:val="00394BB0"/>
    <w:rsid w:val="00395416"/>
    <w:rsid w:val="0039564F"/>
    <w:rsid w:val="00396F1D"/>
    <w:rsid w:val="003977EF"/>
    <w:rsid w:val="003A0939"/>
    <w:rsid w:val="003A2036"/>
    <w:rsid w:val="003A4358"/>
    <w:rsid w:val="003A4731"/>
    <w:rsid w:val="003A4D55"/>
    <w:rsid w:val="003A5E5D"/>
    <w:rsid w:val="003A62B6"/>
    <w:rsid w:val="003A6CD6"/>
    <w:rsid w:val="003B07AB"/>
    <w:rsid w:val="003B65E6"/>
    <w:rsid w:val="003C27CF"/>
    <w:rsid w:val="003C4FA4"/>
    <w:rsid w:val="003C5DFE"/>
    <w:rsid w:val="003C6E6F"/>
    <w:rsid w:val="003D03BA"/>
    <w:rsid w:val="003D0F8B"/>
    <w:rsid w:val="003D1534"/>
    <w:rsid w:val="003D1CD4"/>
    <w:rsid w:val="003D2C16"/>
    <w:rsid w:val="003D318A"/>
    <w:rsid w:val="003D3E68"/>
    <w:rsid w:val="003D435A"/>
    <w:rsid w:val="003D5BFC"/>
    <w:rsid w:val="003D66DF"/>
    <w:rsid w:val="003D75A1"/>
    <w:rsid w:val="003E0C22"/>
    <w:rsid w:val="003E41CD"/>
    <w:rsid w:val="003E5466"/>
    <w:rsid w:val="003E74AD"/>
    <w:rsid w:val="003E7E5D"/>
    <w:rsid w:val="003F12E6"/>
    <w:rsid w:val="003F2B52"/>
    <w:rsid w:val="003F328B"/>
    <w:rsid w:val="003F45D6"/>
    <w:rsid w:val="003F7DF9"/>
    <w:rsid w:val="00400223"/>
    <w:rsid w:val="00400E2F"/>
    <w:rsid w:val="004029E9"/>
    <w:rsid w:val="0040501A"/>
    <w:rsid w:val="00405BE0"/>
    <w:rsid w:val="0041202D"/>
    <w:rsid w:val="00412297"/>
    <w:rsid w:val="00412834"/>
    <w:rsid w:val="0041310D"/>
    <w:rsid w:val="004131B8"/>
    <w:rsid w:val="004131BE"/>
    <w:rsid w:val="004141B0"/>
    <w:rsid w:val="00415D7A"/>
    <w:rsid w:val="004235EF"/>
    <w:rsid w:val="004239F3"/>
    <w:rsid w:val="00423A5C"/>
    <w:rsid w:val="00425501"/>
    <w:rsid w:val="004256A1"/>
    <w:rsid w:val="00426DAC"/>
    <w:rsid w:val="00430CC6"/>
    <w:rsid w:val="00431B59"/>
    <w:rsid w:val="004323CD"/>
    <w:rsid w:val="00432499"/>
    <w:rsid w:val="00432CF3"/>
    <w:rsid w:val="0043365D"/>
    <w:rsid w:val="00434819"/>
    <w:rsid w:val="004351E1"/>
    <w:rsid w:val="00435523"/>
    <w:rsid w:val="00435956"/>
    <w:rsid w:val="00435FC7"/>
    <w:rsid w:val="004369B8"/>
    <w:rsid w:val="00436D17"/>
    <w:rsid w:val="00440751"/>
    <w:rsid w:val="0044119C"/>
    <w:rsid w:val="004422D0"/>
    <w:rsid w:val="00442D51"/>
    <w:rsid w:val="00446285"/>
    <w:rsid w:val="00447504"/>
    <w:rsid w:val="0045016A"/>
    <w:rsid w:val="00454568"/>
    <w:rsid w:val="004558A4"/>
    <w:rsid w:val="0045641C"/>
    <w:rsid w:val="004569DD"/>
    <w:rsid w:val="00456A45"/>
    <w:rsid w:val="00456E6E"/>
    <w:rsid w:val="0045783D"/>
    <w:rsid w:val="00460A42"/>
    <w:rsid w:val="004644F8"/>
    <w:rsid w:val="004649BF"/>
    <w:rsid w:val="00464A84"/>
    <w:rsid w:val="00464D14"/>
    <w:rsid w:val="004655CD"/>
    <w:rsid w:val="00466D87"/>
    <w:rsid w:val="004714E5"/>
    <w:rsid w:val="00471CE8"/>
    <w:rsid w:val="00473254"/>
    <w:rsid w:val="00473765"/>
    <w:rsid w:val="00473A31"/>
    <w:rsid w:val="00473B6A"/>
    <w:rsid w:val="0047430C"/>
    <w:rsid w:val="00476920"/>
    <w:rsid w:val="004769C9"/>
    <w:rsid w:val="00476AAD"/>
    <w:rsid w:val="004807F6"/>
    <w:rsid w:val="0048167C"/>
    <w:rsid w:val="00483935"/>
    <w:rsid w:val="004839B1"/>
    <w:rsid w:val="00483BE7"/>
    <w:rsid w:val="00484D4B"/>
    <w:rsid w:val="0048653D"/>
    <w:rsid w:val="00486842"/>
    <w:rsid w:val="00486F9F"/>
    <w:rsid w:val="00487D7A"/>
    <w:rsid w:val="00495A86"/>
    <w:rsid w:val="004966F9"/>
    <w:rsid w:val="00497392"/>
    <w:rsid w:val="00497C96"/>
    <w:rsid w:val="004A09C5"/>
    <w:rsid w:val="004A1588"/>
    <w:rsid w:val="004A4340"/>
    <w:rsid w:val="004A50F1"/>
    <w:rsid w:val="004A5A5D"/>
    <w:rsid w:val="004A7A79"/>
    <w:rsid w:val="004B0338"/>
    <w:rsid w:val="004B2A8C"/>
    <w:rsid w:val="004B381A"/>
    <w:rsid w:val="004B4363"/>
    <w:rsid w:val="004B4F87"/>
    <w:rsid w:val="004B54B9"/>
    <w:rsid w:val="004B747A"/>
    <w:rsid w:val="004B79F9"/>
    <w:rsid w:val="004B7C29"/>
    <w:rsid w:val="004C0AD1"/>
    <w:rsid w:val="004C1FA9"/>
    <w:rsid w:val="004C2709"/>
    <w:rsid w:val="004C36A6"/>
    <w:rsid w:val="004C3A06"/>
    <w:rsid w:val="004C4A0E"/>
    <w:rsid w:val="004C611C"/>
    <w:rsid w:val="004C6CD8"/>
    <w:rsid w:val="004C6FBD"/>
    <w:rsid w:val="004C7F23"/>
    <w:rsid w:val="004D07E4"/>
    <w:rsid w:val="004D13DC"/>
    <w:rsid w:val="004D1ECF"/>
    <w:rsid w:val="004D2BF5"/>
    <w:rsid w:val="004D4DB8"/>
    <w:rsid w:val="004D6AD1"/>
    <w:rsid w:val="004D6F2D"/>
    <w:rsid w:val="004D7037"/>
    <w:rsid w:val="004E1761"/>
    <w:rsid w:val="004E2237"/>
    <w:rsid w:val="004E270C"/>
    <w:rsid w:val="004E4EBD"/>
    <w:rsid w:val="004E50C3"/>
    <w:rsid w:val="004E5EB3"/>
    <w:rsid w:val="004E6327"/>
    <w:rsid w:val="004E6392"/>
    <w:rsid w:val="004E7DDE"/>
    <w:rsid w:val="004E7E86"/>
    <w:rsid w:val="004F0230"/>
    <w:rsid w:val="004F1883"/>
    <w:rsid w:val="004F2435"/>
    <w:rsid w:val="004F302B"/>
    <w:rsid w:val="004F76B0"/>
    <w:rsid w:val="00500FED"/>
    <w:rsid w:val="00504A15"/>
    <w:rsid w:val="00504AFD"/>
    <w:rsid w:val="00506BE1"/>
    <w:rsid w:val="00510F5E"/>
    <w:rsid w:val="00512617"/>
    <w:rsid w:val="00512EEF"/>
    <w:rsid w:val="005151FE"/>
    <w:rsid w:val="00516D63"/>
    <w:rsid w:val="00516F56"/>
    <w:rsid w:val="00517181"/>
    <w:rsid w:val="00517E78"/>
    <w:rsid w:val="00521395"/>
    <w:rsid w:val="00521AA7"/>
    <w:rsid w:val="00524360"/>
    <w:rsid w:val="00524DEB"/>
    <w:rsid w:val="005252DA"/>
    <w:rsid w:val="00525311"/>
    <w:rsid w:val="005264F0"/>
    <w:rsid w:val="005270A5"/>
    <w:rsid w:val="0053112C"/>
    <w:rsid w:val="005339B1"/>
    <w:rsid w:val="0053406E"/>
    <w:rsid w:val="00534519"/>
    <w:rsid w:val="0053461A"/>
    <w:rsid w:val="00535004"/>
    <w:rsid w:val="00536095"/>
    <w:rsid w:val="00536629"/>
    <w:rsid w:val="00536684"/>
    <w:rsid w:val="00541327"/>
    <w:rsid w:val="005418B6"/>
    <w:rsid w:val="005451BD"/>
    <w:rsid w:val="00547052"/>
    <w:rsid w:val="005479A3"/>
    <w:rsid w:val="00550393"/>
    <w:rsid w:val="00550408"/>
    <w:rsid w:val="00553ABD"/>
    <w:rsid w:val="00554772"/>
    <w:rsid w:val="00554823"/>
    <w:rsid w:val="00555B7D"/>
    <w:rsid w:val="005602B4"/>
    <w:rsid w:val="00560509"/>
    <w:rsid w:val="00560A48"/>
    <w:rsid w:val="00563AAC"/>
    <w:rsid w:val="00570815"/>
    <w:rsid w:val="00571EC2"/>
    <w:rsid w:val="0057264C"/>
    <w:rsid w:val="00572D2B"/>
    <w:rsid w:val="0057312F"/>
    <w:rsid w:val="005766E9"/>
    <w:rsid w:val="00576903"/>
    <w:rsid w:val="00576AFB"/>
    <w:rsid w:val="00577ACA"/>
    <w:rsid w:val="00580407"/>
    <w:rsid w:val="00580E47"/>
    <w:rsid w:val="00581FC3"/>
    <w:rsid w:val="0058449B"/>
    <w:rsid w:val="00584607"/>
    <w:rsid w:val="00584B7C"/>
    <w:rsid w:val="0058554F"/>
    <w:rsid w:val="005861BE"/>
    <w:rsid w:val="00587144"/>
    <w:rsid w:val="005871C3"/>
    <w:rsid w:val="00587A82"/>
    <w:rsid w:val="00587B41"/>
    <w:rsid w:val="00590B24"/>
    <w:rsid w:val="00590B85"/>
    <w:rsid w:val="00591707"/>
    <w:rsid w:val="0059199D"/>
    <w:rsid w:val="00591C35"/>
    <w:rsid w:val="00593110"/>
    <w:rsid w:val="00593F5A"/>
    <w:rsid w:val="005941EC"/>
    <w:rsid w:val="0059584A"/>
    <w:rsid w:val="00596DED"/>
    <w:rsid w:val="00597358"/>
    <w:rsid w:val="005A213F"/>
    <w:rsid w:val="005A26E5"/>
    <w:rsid w:val="005A3A30"/>
    <w:rsid w:val="005B0EAA"/>
    <w:rsid w:val="005B150F"/>
    <w:rsid w:val="005B1E46"/>
    <w:rsid w:val="005B22DF"/>
    <w:rsid w:val="005B2A4D"/>
    <w:rsid w:val="005B7315"/>
    <w:rsid w:val="005B7989"/>
    <w:rsid w:val="005C0269"/>
    <w:rsid w:val="005C0FC9"/>
    <w:rsid w:val="005C2910"/>
    <w:rsid w:val="005C2EF0"/>
    <w:rsid w:val="005C417F"/>
    <w:rsid w:val="005C60CA"/>
    <w:rsid w:val="005C6703"/>
    <w:rsid w:val="005D09CB"/>
    <w:rsid w:val="005D2FF2"/>
    <w:rsid w:val="005D462F"/>
    <w:rsid w:val="005D5B71"/>
    <w:rsid w:val="005E019F"/>
    <w:rsid w:val="005E0912"/>
    <w:rsid w:val="005E096B"/>
    <w:rsid w:val="005E3C88"/>
    <w:rsid w:val="005E6435"/>
    <w:rsid w:val="005E6577"/>
    <w:rsid w:val="005E7972"/>
    <w:rsid w:val="005F00C9"/>
    <w:rsid w:val="005F0DBB"/>
    <w:rsid w:val="005F2F95"/>
    <w:rsid w:val="005F3D5E"/>
    <w:rsid w:val="005F5A2C"/>
    <w:rsid w:val="005F6455"/>
    <w:rsid w:val="005F6A06"/>
    <w:rsid w:val="00602737"/>
    <w:rsid w:val="00607917"/>
    <w:rsid w:val="00607DA7"/>
    <w:rsid w:val="006123AA"/>
    <w:rsid w:val="00615064"/>
    <w:rsid w:val="00615862"/>
    <w:rsid w:val="00616038"/>
    <w:rsid w:val="00616E55"/>
    <w:rsid w:val="006236D7"/>
    <w:rsid w:val="00624E96"/>
    <w:rsid w:val="00625048"/>
    <w:rsid w:val="006269B5"/>
    <w:rsid w:val="00631089"/>
    <w:rsid w:val="00632EC7"/>
    <w:rsid w:val="00635506"/>
    <w:rsid w:val="00635C9D"/>
    <w:rsid w:val="00637791"/>
    <w:rsid w:val="00641D46"/>
    <w:rsid w:val="00642997"/>
    <w:rsid w:val="0064410B"/>
    <w:rsid w:val="00644CAF"/>
    <w:rsid w:val="006454BB"/>
    <w:rsid w:val="00645971"/>
    <w:rsid w:val="00647D05"/>
    <w:rsid w:val="00651F09"/>
    <w:rsid w:val="00657349"/>
    <w:rsid w:val="00657D24"/>
    <w:rsid w:val="006602A0"/>
    <w:rsid w:val="00663491"/>
    <w:rsid w:val="00663EA9"/>
    <w:rsid w:val="0066667D"/>
    <w:rsid w:val="006675BC"/>
    <w:rsid w:val="00667C98"/>
    <w:rsid w:val="0067131A"/>
    <w:rsid w:val="006732B3"/>
    <w:rsid w:val="00673A7E"/>
    <w:rsid w:val="00673E76"/>
    <w:rsid w:val="006740EB"/>
    <w:rsid w:val="0067666F"/>
    <w:rsid w:val="00676C36"/>
    <w:rsid w:val="0067777F"/>
    <w:rsid w:val="00680379"/>
    <w:rsid w:val="006808DB"/>
    <w:rsid w:val="00680A30"/>
    <w:rsid w:val="00681B43"/>
    <w:rsid w:val="006821C8"/>
    <w:rsid w:val="006826BB"/>
    <w:rsid w:val="00682A44"/>
    <w:rsid w:val="006901CE"/>
    <w:rsid w:val="00690AD2"/>
    <w:rsid w:val="00690D4B"/>
    <w:rsid w:val="00692345"/>
    <w:rsid w:val="00694C0A"/>
    <w:rsid w:val="00695F6C"/>
    <w:rsid w:val="006961DF"/>
    <w:rsid w:val="0069660F"/>
    <w:rsid w:val="00697773"/>
    <w:rsid w:val="00697A97"/>
    <w:rsid w:val="006A0C34"/>
    <w:rsid w:val="006A5078"/>
    <w:rsid w:val="006A79E5"/>
    <w:rsid w:val="006B0231"/>
    <w:rsid w:val="006B078D"/>
    <w:rsid w:val="006B1A1B"/>
    <w:rsid w:val="006B3825"/>
    <w:rsid w:val="006B5240"/>
    <w:rsid w:val="006B5484"/>
    <w:rsid w:val="006B6CBF"/>
    <w:rsid w:val="006B7683"/>
    <w:rsid w:val="006C0DAD"/>
    <w:rsid w:val="006C6EC3"/>
    <w:rsid w:val="006C79FA"/>
    <w:rsid w:val="006D34CA"/>
    <w:rsid w:val="006D45F1"/>
    <w:rsid w:val="006D4DEB"/>
    <w:rsid w:val="006D6D50"/>
    <w:rsid w:val="006D7F1B"/>
    <w:rsid w:val="006D7FA4"/>
    <w:rsid w:val="006E0E1B"/>
    <w:rsid w:val="006E1B11"/>
    <w:rsid w:val="006E2837"/>
    <w:rsid w:val="006E3538"/>
    <w:rsid w:val="006E3DF9"/>
    <w:rsid w:val="006E61BB"/>
    <w:rsid w:val="006E6D82"/>
    <w:rsid w:val="006F04C2"/>
    <w:rsid w:val="006F0834"/>
    <w:rsid w:val="006F2CF0"/>
    <w:rsid w:val="006F4044"/>
    <w:rsid w:val="006F641E"/>
    <w:rsid w:val="006F6FCA"/>
    <w:rsid w:val="006F7E33"/>
    <w:rsid w:val="00700EB7"/>
    <w:rsid w:val="007018E6"/>
    <w:rsid w:val="007020F0"/>
    <w:rsid w:val="007061DF"/>
    <w:rsid w:val="00707ADE"/>
    <w:rsid w:val="00707F12"/>
    <w:rsid w:val="00707F71"/>
    <w:rsid w:val="00710C05"/>
    <w:rsid w:val="00712E77"/>
    <w:rsid w:val="0071465C"/>
    <w:rsid w:val="007177D1"/>
    <w:rsid w:val="0072385F"/>
    <w:rsid w:val="00725B5D"/>
    <w:rsid w:val="00727184"/>
    <w:rsid w:val="007278FC"/>
    <w:rsid w:val="0073035D"/>
    <w:rsid w:val="00730EC8"/>
    <w:rsid w:val="00731F15"/>
    <w:rsid w:val="007321F1"/>
    <w:rsid w:val="00732BA9"/>
    <w:rsid w:val="00733ABE"/>
    <w:rsid w:val="00737014"/>
    <w:rsid w:val="007409B0"/>
    <w:rsid w:val="007420F2"/>
    <w:rsid w:val="007428D2"/>
    <w:rsid w:val="00742B04"/>
    <w:rsid w:val="00742F38"/>
    <w:rsid w:val="0074359C"/>
    <w:rsid w:val="007435CB"/>
    <w:rsid w:val="00744BD0"/>
    <w:rsid w:val="00746167"/>
    <w:rsid w:val="00747DD6"/>
    <w:rsid w:val="00751F85"/>
    <w:rsid w:val="007522E7"/>
    <w:rsid w:val="0075252A"/>
    <w:rsid w:val="007528A5"/>
    <w:rsid w:val="00752BCD"/>
    <w:rsid w:val="00754A0F"/>
    <w:rsid w:val="00755106"/>
    <w:rsid w:val="00755A37"/>
    <w:rsid w:val="00760047"/>
    <w:rsid w:val="00761138"/>
    <w:rsid w:val="007614DC"/>
    <w:rsid w:val="007618A4"/>
    <w:rsid w:val="00761EAE"/>
    <w:rsid w:val="00763569"/>
    <w:rsid w:val="00763F15"/>
    <w:rsid w:val="00764AA2"/>
    <w:rsid w:val="00765C40"/>
    <w:rsid w:val="007663FB"/>
    <w:rsid w:val="00766868"/>
    <w:rsid w:val="00772C31"/>
    <w:rsid w:val="00773880"/>
    <w:rsid w:val="007760CF"/>
    <w:rsid w:val="00777DEA"/>
    <w:rsid w:val="00782A76"/>
    <w:rsid w:val="00783123"/>
    <w:rsid w:val="0078568E"/>
    <w:rsid w:val="00786DCD"/>
    <w:rsid w:val="00787A3A"/>
    <w:rsid w:val="00787BAA"/>
    <w:rsid w:val="00791DA5"/>
    <w:rsid w:val="00792AC4"/>
    <w:rsid w:val="00793384"/>
    <w:rsid w:val="00794329"/>
    <w:rsid w:val="0079466F"/>
    <w:rsid w:val="0079509C"/>
    <w:rsid w:val="00795748"/>
    <w:rsid w:val="00795E89"/>
    <w:rsid w:val="00796ED8"/>
    <w:rsid w:val="00797333"/>
    <w:rsid w:val="00797AAC"/>
    <w:rsid w:val="007A17BE"/>
    <w:rsid w:val="007A1BBE"/>
    <w:rsid w:val="007A23EE"/>
    <w:rsid w:val="007A2514"/>
    <w:rsid w:val="007A2538"/>
    <w:rsid w:val="007A2FD8"/>
    <w:rsid w:val="007A6824"/>
    <w:rsid w:val="007B02B3"/>
    <w:rsid w:val="007B0400"/>
    <w:rsid w:val="007B2209"/>
    <w:rsid w:val="007B5595"/>
    <w:rsid w:val="007B6FD9"/>
    <w:rsid w:val="007C1B66"/>
    <w:rsid w:val="007C3133"/>
    <w:rsid w:val="007C4425"/>
    <w:rsid w:val="007C5F69"/>
    <w:rsid w:val="007C60FA"/>
    <w:rsid w:val="007C73BD"/>
    <w:rsid w:val="007D113F"/>
    <w:rsid w:val="007D2695"/>
    <w:rsid w:val="007D337F"/>
    <w:rsid w:val="007D481D"/>
    <w:rsid w:val="007D5020"/>
    <w:rsid w:val="007E0B42"/>
    <w:rsid w:val="007E1233"/>
    <w:rsid w:val="007E16D3"/>
    <w:rsid w:val="007E1EF3"/>
    <w:rsid w:val="007E37A9"/>
    <w:rsid w:val="007E39A0"/>
    <w:rsid w:val="007E4565"/>
    <w:rsid w:val="007E5381"/>
    <w:rsid w:val="007E7BA9"/>
    <w:rsid w:val="007F1891"/>
    <w:rsid w:val="007F450D"/>
    <w:rsid w:val="007F4BC5"/>
    <w:rsid w:val="007F69FB"/>
    <w:rsid w:val="007F784E"/>
    <w:rsid w:val="00800499"/>
    <w:rsid w:val="008004D3"/>
    <w:rsid w:val="00800F75"/>
    <w:rsid w:val="00800FCE"/>
    <w:rsid w:val="00800FD0"/>
    <w:rsid w:val="00801F87"/>
    <w:rsid w:val="008029C7"/>
    <w:rsid w:val="00804EE1"/>
    <w:rsid w:val="00805B5C"/>
    <w:rsid w:val="00807620"/>
    <w:rsid w:val="00807965"/>
    <w:rsid w:val="00810876"/>
    <w:rsid w:val="00811B58"/>
    <w:rsid w:val="00812835"/>
    <w:rsid w:val="008153F8"/>
    <w:rsid w:val="00816AC8"/>
    <w:rsid w:val="008173B0"/>
    <w:rsid w:val="008200FB"/>
    <w:rsid w:val="00821141"/>
    <w:rsid w:val="00822571"/>
    <w:rsid w:val="008232DD"/>
    <w:rsid w:val="00823902"/>
    <w:rsid w:val="008263E2"/>
    <w:rsid w:val="0082700D"/>
    <w:rsid w:val="00827F91"/>
    <w:rsid w:val="00831651"/>
    <w:rsid w:val="008319C8"/>
    <w:rsid w:val="00833C92"/>
    <w:rsid w:val="00840394"/>
    <w:rsid w:val="008419BB"/>
    <w:rsid w:val="008431B0"/>
    <w:rsid w:val="00844642"/>
    <w:rsid w:val="00846665"/>
    <w:rsid w:val="00846717"/>
    <w:rsid w:val="008506A5"/>
    <w:rsid w:val="0085093B"/>
    <w:rsid w:val="00850BB2"/>
    <w:rsid w:val="00851813"/>
    <w:rsid w:val="00852D5A"/>
    <w:rsid w:val="00853949"/>
    <w:rsid w:val="00853F77"/>
    <w:rsid w:val="00860FEB"/>
    <w:rsid w:val="00861A20"/>
    <w:rsid w:val="00864E48"/>
    <w:rsid w:val="0086597B"/>
    <w:rsid w:val="00870956"/>
    <w:rsid w:val="00871995"/>
    <w:rsid w:val="00871A63"/>
    <w:rsid w:val="00875001"/>
    <w:rsid w:val="00875BFF"/>
    <w:rsid w:val="00875C42"/>
    <w:rsid w:val="008760E7"/>
    <w:rsid w:val="0087734D"/>
    <w:rsid w:val="00877C4E"/>
    <w:rsid w:val="008804CE"/>
    <w:rsid w:val="008805BC"/>
    <w:rsid w:val="00880697"/>
    <w:rsid w:val="00880CB9"/>
    <w:rsid w:val="00882B00"/>
    <w:rsid w:val="0088457B"/>
    <w:rsid w:val="008845B8"/>
    <w:rsid w:val="0089064B"/>
    <w:rsid w:val="00891B64"/>
    <w:rsid w:val="00891B66"/>
    <w:rsid w:val="00893394"/>
    <w:rsid w:val="00894CDB"/>
    <w:rsid w:val="00894CFA"/>
    <w:rsid w:val="00894D1B"/>
    <w:rsid w:val="00896DC0"/>
    <w:rsid w:val="0089759F"/>
    <w:rsid w:val="008A4CCD"/>
    <w:rsid w:val="008A52CE"/>
    <w:rsid w:val="008A6481"/>
    <w:rsid w:val="008A7234"/>
    <w:rsid w:val="008B013D"/>
    <w:rsid w:val="008B049B"/>
    <w:rsid w:val="008B0DF3"/>
    <w:rsid w:val="008B2966"/>
    <w:rsid w:val="008B3DB7"/>
    <w:rsid w:val="008B4052"/>
    <w:rsid w:val="008B5178"/>
    <w:rsid w:val="008B7536"/>
    <w:rsid w:val="008B7BE7"/>
    <w:rsid w:val="008C0AA6"/>
    <w:rsid w:val="008C2018"/>
    <w:rsid w:val="008C536E"/>
    <w:rsid w:val="008C6850"/>
    <w:rsid w:val="008C7DEB"/>
    <w:rsid w:val="008D1B2B"/>
    <w:rsid w:val="008D40A5"/>
    <w:rsid w:val="008D5FFA"/>
    <w:rsid w:val="008D7329"/>
    <w:rsid w:val="008D7C97"/>
    <w:rsid w:val="008E086C"/>
    <w:rsid w:val="008E36BE"/>
    <w:rsid w:val="008E6C4E"/>
    <w:rsid w:val="008E70F5"/>
    <w:rsid w:val="008F00DB"/>
    <w:rsid w:val="008F1EF0"/>
    <w:rsid w:val="008F63AA"/>
    <w:rsid w:val="008F64B9"/>
    <w:rsid w:val="008F6C91"/>
    <w:rsid w:val="009004F1"/>
    <w:rsid w:val="00901EFC"/>
    <w:rsid w:val="00902750"/>
    <w:rsid w:val="00903D57"/>
    <w:rsid w:val="0090532B"/>
    <w:rsid w:val="0090668B"/>
    <w:rsid w:val="00907EAC"/>
    <w:rsid w:val="00910B98"/>
    <w:rsid w:val="00912B43"/>
    <w:rsid w:val="009140B5"/>
    <w:rsid w:val="0091412B"/>
    <w:rsid w:val="00914424"/>
    <w:rsid w:val="0091521E"/>
    <w:rsid w:val="009160EE"/>
    <w:rsid w:val="00917D22"/>
    <w:rsid w:val="00926317"/>
    <w:rsid w:val="0092725B"/>
    <w:rsid w:val="00930A01"/>
    <w:rsid w:val="009311BD"/>
    <w:rsid w:val="00933C0F"/>
    <w:rsid w:val="00935849"/>
    <w:rsid w:val="00937E63"/>
    <w:rsid w:val="009417E2"/>
    <w:rsid w:val="00941D79"/>
    <w:rsid w:val="0094207E"/>
    <w:rsid w:val="00942CFB"/>
    <w:rsid w:val="00943EC2"/>
    <w:rsid w:val="00945EBC"/>
    <w:rsid w:val="00946E79"/>
    <w:rsid w:val="009525F8"/>
    <w:rsid w:val="0095386C"/>
    <w:rsid w:val="00954301"/>
    <w:rsid w:val="00955996"/>
    <w:rsid w:val="00956245"/>
    <w:rsid w:val="0095722E"/>
    <w:rsid w:val="009579E9"/>
    <w:rsid w:val="00957CFB"/>
    <w:rsid w:val="00960403"/>
    <w:rsid w:val="00961C1A"/>
    <w:rsid w:val="009638B6"/>
    <w:rsid w:val="009702BE"/>
    <w:rsid w:val="0097230C"/>
    <w:rsid w:val="0097396C"/>
    <w:rsid w:val="00975CD5"/>
    <w:rsid w:val="00980480"/>
    <w:rsid w:val="00980A77"/>
    <w:rsid w:val="00981659"/>
    <w:rsid w:val="00981FB2"/>
    <w:rsid w:val="00982997"/>
    <w:rsid w:val="00986BBE"/>
    <w:rsid w:val="00987075"/>
    <w:rsid w:val="009879F8"/>
    <w:rsid w:val="00987C44"/>
    <w:rsid w:val="00990BE1"/>
    <w:rsid w:val="009915D1"/>
    <w:rsid w:val="00995AB1"/>
    <w:rsid w:val="00995E88"/>
    <w:rsid w:val="00996769"/>
    <w:rsid w:val="00996982"/>
    <w:rsid w:val="009A0F99"/>
    <w:rsid w:val="009A172D"/>
    <w:rsid w:val="009A22B9"/>
    <w:rsid w:val="009A29E8"/>
    <w:rsid w:val="009A2C77"/>
    <w:rsid w:val="009A437C"/>
    <w:rsid w:val="009A49C5"/>
    <w:rsid w:val="009A645C"/>
    <w:rsid w:val="009A69C5"/>
    <w:rsid w:val="009B067D"/>
    <w:rsid w:val="009B0E16"/>
    <w:rsid w:val="009B2337"/>
    <w:rsid w:val="009B2C7C"/>
    <w:rsid w:val="009B2D98"/>
    <w:rsid w:val="009B4BBB"/>
    <w:rsid w:val="009B5851"/>
    <w:rsid w:val="009B6669"/>
    <w:rsid w:val="009B6BB3"/>
    <w:rsid w:val="009C02B6"/>
    <w:rsid w:val="009C1DDF"/>
    <w:rsid w:val="009C5E02"/>
    <w:rsid w:val="009C640F"/>
    <w:rsid w:val="009C71C9"/>
    <w:rsid w:val="009C76D2"/>
    <w:rsid w:val="009D0DF2"/>
    <w:rsid w:val="009D201F"/>
    <w:rsid w:val="009D257E"/>
    <w:rsid w:val="009D40C2"/>
    <w:rsid w:val="009D48D6"/>
    <w:rsid w:val="009D5417"/>
    <w:rsid w:val="009D623A"/>
    <w:rsid w:val="009D6B16"/>
    <w:rsid w:val="009D6C87"/>
    <w:rsid w:val="009D6CBC"/>
    <w:rsid w:val="009E0614"/>
    <w:rsid w:val="009E1D82"/>
    <w:rsid w:val="009E341E"/>
    <w:rsid w:val="009E4283"/>
    <w:rsid w:val="009E4FF0"/>
    <w:rsid w:val="009E68A9"/>
    <w:rsid w:val="009E79C2"/>
    <w:rsid w:val="009F25F4"/>
    <w:rsid w:val="009F2857"/>
    <w:rsid w:val="009F45AD"/>
    <w:rsid w:val="009F4E8E"/>
    <w:rsid w:val="009F62C9"/>
    <w:rsid w:val="009F6808"/>
    <w:rsid w:val="00A031BD"/>
    <w:rsid w:val="00A051A0"/>
    <w:rsid w:val="00A11F68"/>
    <w:rsid w:val="00A15A98"/>
    <w:rsid w:val="00A174A0"/>
    <w:rsid w:val="00A21EB8"/>
    <w:rsid w:val="00A22896"/>
    <w:rsid w:val="00A22CCA"/>
    <w:rsid w:val="00A234A7"/>
    <w:rsid w:val="00A24390"/>
    <w:rsid w:val="00A24610"/>
    <w:rsid w:val="00A262C5"/>
    <w:rsid w:val="00A27007"/>
    <w:rsid w:val="00A27A49"/>
    <w:rsid w:val="00A27FDA"/>
    <w:rsid w:val="00A309DA"/>
    <w:rsid w:val="00A3142F"/>
    <w:rsid w:val="00A320C0"/>
    <w:rsid w:val="00A34F94"/>
    <w:rsid w:val="00A353C4"/>
    <w:rsid w:val="00A35735"/>
    <w:rsid w:val="00A373BC"/>
    <w:rsid w:val="00A37E5F"/>
    <w:rsid w:val="00A404AC"/>
    <w:rsid w:val="00A41814"/>
    <w:rsid w:val="00A42C6D"/>
    <w:rsid w:val="00A42CEC"/>
    <w:rsid w:val="00A43465"/>
    <w:rsid w:val="00A46154"/>
    <w:rsid w:val="00A477DB"/>
    <w:rsid w:val="00A5064A"/>
    <w:rsid w:val="00A53E0E"/>
    <w:rsid w:val="00A552CB"/>
    <w:rsid w:val="00A558C5"/>
    <w:rsid w:val="00A56C79"/>
    <w:rsid w:val="00A5722D"/>
    <w:rsid w:val="00A5741E"/>
    <w:rsid w:val="00A57679"/>
    <w:rsid w:val="00A60A24"/>
    <w:rsid w:val="00A62903"/>
    <w:rsid w:val="00A63AB7"/>
    <w:rsid w:val="00A63DF8"/>
    <w:rsid w:val="00A647C1"/>
    <w:rsid w:val="00A6589C"/>
    <w:rsid w:val="00A667A7"/>
    <w:rsid w:val="00A66BB9"/>
    <w:rsid w:val="00A70503"/>
    <w:rsid w:val="00A71F95"/>
    <w:rsid w:val="00A7265C"/>
    <w:rsid w:val="00A74DB7"/>
    <w:rsid w:val="00A76196"/>
    <w:rsid w:val="00A8001E"/>
    <w:rsid w:val="00A8211E"/>
    <w:rsid w:val="00A83186"/>
    <w:rsid w:val="00A852DC"/>
    <w:rsid w:val="00A86979"/>
    <w:rsid w:val="00A90D97"/>
    <w:rsid w:val="00A91F75"/>
    <w:rsid w:val="00A95A8D"/>
    <w:rsid w:val="00A95C10"/>
    <w:rsid w:val="00A973B6"/>
    <w:rsid w:val="00A973F5"/>
    <w:rsid w:val="00A97FCC"/>
    <w:rsid w:val="00AA0B0F"/>
    <w:rsid w:val="00AA1AAA"/>
    <w:rsid w:val="00AA410B"/>
    <w:rsid w:val="00AA5B9D"/>
    <w:rsid w:val="00AA5F5A"/>
    <w:rsid w:val="00AB2A75"/>
    <w:rsid w:val="00AB2DFE"/>
    <w:rsid w:val="00AB3195"/>
    <w:rsid w:val="00AB46DD"/>
    <w:rsid w:val="00AB621B"/>
    <w:rsid w:val="00AB6F3D"/>
    <w:rsid w:val="00AB7346"/>
    <w:rsid w:val="00AC1508"/>
    <w:rsid w:val="00AC2EB9"/>
    <w:rsid w:val="00AC5625"/>
    <w:rsid w:val="00AC5FE8"/>
    <w:rsid w:val="00AC741F"/>
    <w:rsid w:val="00AD086D"/>
    <w:rsid w:val="00AD1257"/>
    <w:rsid w:val="00AD14D4"/>
    <w:rsid w:val="00AD18CF"/>
    <w:rsid w:val="00AD19F7"/>
    <w:rsid w:val="00AD35E5"/>
    <w:rsid w:val="00AD360F"/>
    <w:rsid w:val="00AD3C6C"/>
    <w:rsid w:val="00AD4C97"/>
    <w:rsid w:val="00AD70EF"/>
    <w:rsid w:val="00AD7A8A"/>
    <w:rsid w:val="00AD7D68"/>
    <w:rsid w:val="00AE3BB9"/>
    <w:rsid w:val="00AE5C97"/>
    <w:rsid w:val="00AE798B"/>
    <w:rsid w:val="00AF0BEB"/>
    <w:rsid w:val="00AF0F4E"/>
    <w:rsid w:val="00AF19AD"/>
    <w:rsid w:val="00AF511D"/>
    <w:rsid w:val="00B02DD6"/>
    <w:rsid w:val="00B02FD6"/>
    <w:rsid w:val="00B047D8"/>
    <w:rsid w:val="00B048E0"/>
    <w:rsid w:val="00B04E77"/>
    <w:rsid w:val="00B053E7"/>
    <w:rsid w:val="00B05C4F"/>
    <w:rsid w:val="00B05CAA"/>
    <w:rsid w:val="00B06B20"/>
    <w:rsid w:val="00B07571"/>
    <w:rsid w:val="00B07632"/>
    <w:rsid w:val="00B102D9"/>
    <w:rsid w:val="00B109CE"/>
    <w:rsid w:val="00B10A23"/>
    <w:rsid w:val="00B111B6"/>
    <w:rsid w:val="00B11E1B"/>
    <w:rsid w:val="00B13EA8"/>
    <w:rsid w:val="00B1707E"/>
    <w:rsid w:val="00B17554"/>
    <w:rsid w:val="00B20450"/>
    <w:rsid w:val="00B20B78"/>
    <w:rsid w:val="00B20FC8"/>
    <w:rsid w:val="00B223AD"/>
    <w:rsid w:val="00B23AEE"/>
    <w:rsid w:val="00B25B82"/>
    <w:rsid w:val="00B26465"/>
    <w:rsid w:val="00B27156"/>
    <w:rsid w:val="00B27288"/>
    <w:rsid w:val="00B27588"/>
    <w:rsid w:val="00B33396"/>
    <w:rsid w:val="00B3375D"/>
    <w:rsid w:val="00B362D1"/>
    <w:rsid w:val="00B37CE4"/>
    <w:rsid w:val="00B37E88"/>
    <w:rsid w:val="00B40AD2"/>
    <w:rsid w:val="00B40C1A"/>
    <w:rsid w:val="00B40D82"/>
    <w:rsid w:val="00B4167E"/>
    <w:rsid w:val="00B41A41"/>
    <w:rsid w:val="00B42BDB"/>
    <w:rsid w:val="00B43BC5"/>
    <w:rsid w:val="00B44BC0"/>
    <w:rsid w:val="00B450A5"/>
    <w:rsid w:val="00B454BB"/>
    <w:rsid w:val="00B5122A"/>
    <w:rsid w:val="00B515CE"/>
    <w:rsid w:val="00B52BFB"/>
    <w:rsid w:val="00B54AC0"/>
    <w:rsid w:val="00B54E96"/>
    <w:rsid w:val="00B55E2B"/>
    <w:rsid w:val="00B5750D"/>
    <w:rsid w:val="00B6229E"/>
    <w:rsid w:val="00B63099"/>
    <w:rsid w:val="00B631A1"/>
    <w:rsid w:val="00B6436F"/>
    <w:rsid w:val="00B65769"/>
    <w:rsid w:val="00B6592B"/>
    <w:rsid w:val="00B67AEF"/>
    <w:rsid w:val="00B70D8D"/>
    <w:rsid w:val="00B716CC"/>
    <w:rsid w:val="00B722EE"/>
    <w:rsid w:val="00B738D2"/>
    <w:rsid w:val="00B74556"/>
    <w:rsid w:val="00B75F46"/>
    <w:rsid w:val="00B8018F"/>
    <w:rsid w:val="00B80423"/>
    <w:rsid w:val="00B80D4C"/>
    <w:rsid w:val="00B81614"/>
    <w:rsid w:val="00B82499"/>
    <w:rsid w:val="00B82937"/>
    <w:rsid w:val="00B859CD"/>
    <w:rsid w:val="00B9075C"/>
    <w:rsid w:val="00B91A42"/>
    <w:rsid w:val="00B91AF4"/>
    <w:rsid w:val="00B93ADD"/>
    <w:rsid w:val="00B9558B"/>
    <w:rsid w:val="00B95DE8"/>
    <w:rsid w:val="00B965D2"/>
    <w:rsid w:val="00B97327"/>
    <w:rsid w:val="00BA0C02"/>
    <w:rsid w:val="00BA17D4"/>
    <w:rsid w:val="00BA27D3"/>
    <w:rsid w:val="00BA2FFF"/>
    <w:rsid w:val="00BA5374"/>
    <w:rsid w:val="00BA64A1"/>
    <w:rsid w:val="00BB1E72"/>
    <w:rsid w:val="00BB33E9"/>
    <w:rsid w:val="00BB381B"/>
    <w:rsid w:val="00BB70F8"/>
    <w:rsid w:val="00BC0DEF"/>
    <w:rsid w:val="00BC3B47"/>
    <w:rsid w:val="00BC414E"/>
    <w:rsid w:val="00BC4B0C"/>
    <w:rsid w:val="00BC5559"/>
    <w:rsid w:val="00BC6943"/>
    <w:rsid w:val="00BD01FB"/>
    <w:rsid w:val="00BD6C1E"/>
    <w:rsid w:val="00BD6D7F"/>
    <w:rsid w:val="00BD7E16"/>
    <w:rsid w:val="00BE07E2"/>
    <w:rsid w:val="00BE0B24"/>
    <w:rsid w:val="00BE1092"/>
    <w:rsid w:val="00BE1A8E"/>
    <w:rsid w:val="00BE5113"/>
    <w:rsid w:val="00BE61E9"/>
    <w:rsid w:val="00BE656C"/>
    <w:rsid w:val="00BE6EDB"/>
    <w:rsid w:val="00BF58FB"/>
    <w:rsid w:val="00BF64A3"/>
    <w:rsid w:val="00C00263"/>
    <w:rsid w:val="00C0313C"/>
    <w:rsid w:val="00C05730"/>
    <w:rsid w:val="00C057E6"/>
    <w:rsid w:val="00C05DB1"/>
    <w:rsid w:val="00C06189"/>
    <w:rsid w:val="00C108BA"/>
    <w:rsid w:val="00C12876"/>
    <w:rsid w:val="00C156C4"/>
    <w:rsid w:val="00C1677B"/>
    <w:rsid w:val="00C1795E"/>
    <w:rsid w:val="00C22A6C"/>
    <w:rsid w:val="00C23AC6"/>
    <w:rsid w:val="00C2500F"/>
    <w:rsid w:val="00C25D97"/>
    <w:rsid w:val="00C2625B"/>
    <w:rsid w:val="00C269FF"/>
    <w:rsid w:val="00C275E0"/>
    <w:rsid w:val="00C326B0"/>
    <w:rsid w:val="00C35DC4"/>
    <w:rsid w:val="00C36357"/>
    <w:rsid w:val="00C40C99"/>
    <w:rsid w:val="00C4101A"/>
    <w:rsid w:val="00C43A76"/>
    <w:rsid w:val="00C5118F"/>
    <w:rsid w:val="00C51D97"/>
    <w:rsid w:val="00C52745"/>
    <w:rsid w:val="00C52DB1"/>
    <w:rsid w:val="00C53B45"/>
    <w:rsid w:val="00C56DAC"/>
    <w:rsid w:val="00C61126"/>
    <w:rsid w:val="00C616FB"/>
    <w:rsid w:val="00C636D8"/>
    <w:rsid w:val="00C662B6"/>
    <w:rsid w:val="00C66B35"/>
    <w:rsid w:val="00C67DAC"/>
    <w:rsid w:val="00C70BDD"/>
    <w:rsid w:val="00C70BEB"/>
    <w:rsid w:val="00C71972"/>
    <w:rsid w:val="00C71CE5"/>
    <w:rsid w:val="00C732AB"/>
    <w:rsid w:val="00C73B2A"/>
    <w:rsid w:val="00C74B02"/>
    <w:rsid w:val="00C771E8"/>
    <w:rsid w:val="00C77C28"/>
    <w:rsid w:val="00C863C0"/>
    <w:rsid w:val="00C87BE2"/>
    <w:rsid w:val="00C9027D"/>
    <w:rsid w:val="00C90E7A"/>
    <w:rsid w:val="00C91097"/>
    <w:rsid w:val="00C91E54"/>
    <w:rsid w:val="00C922C1"/>
    <w:rsid w:val="00C92F5C"/>
    <w:rsid w:val="00C956C2"/>
    <w:rsid w:val="00C95D3F"/>
    <w:rsid w:val="00C95F17"/>
    <w:rsid w:val="00C975AC"/>
    <w:rsid w:val="00CA1288"/>
    <w:rsid w:val="00CA2750"/>
    <w:rsid w:val="00CA320E"/>
    <w:rsid w:val="00CA5B26"/>
    <w:rsid w:val="00CA71B1"/>
    <w:rsid w:val="00CA7BC8"/>
    <w:rsid w:val="00CB05FF"/>
    <w:rsid w:val="00CB28A8"/>
    <w:rsid w:val="00CB3A46"/>
    <w:rsid w:val="00CB5BD9"/>
    <w:rsid w:val="00CB5EE6"/>
    <w:rsid w:val="00CB616A"/>
    <w:rsid w:val="00CB717C"/>
    <w:rsid w:val="00CC064A"/>
    <w:rsid w:val="00CC134C"/>
    <w:rsid w:val="00CC1B6B"/>
    <w:rsid w:val="00CC38E4"/>
    <w:rsid w:val="00CC3D35"/>
    <w:rsid w:val="00CC4229"/>
    <w:rsid w:val="00CC4654"/>
    <w:rsid w:val="00CC4AEC"/>
    <w:rsid w:val="00CC5853"/>
    <w:rsid w:val="00CC5AD2"/>
    <w:rsid w:val="00CC67E6"/>
    <w:rsid w:val="00CC6D32"/>
    <w:rsid w:val="00CD014A"/>
    <w:rsid w:val="00CD4858"/>
    <w:rsid w:val="00CD6293"/>
    <w:rsid w:val="00CD6575"/>
    <w:rsid w:val="00CE011B"/>
    <w:rsid w:val="00CE02B4"/>
    <w:rsid w:val="00CE1892"/>
    <w:rsid w:val="00CE1B29"/>
    <w:rsid w:val="00CE1C71"/>
    <w:rsid w:val="00CE2407"/>
    <w:rsid w:val="00CF0182"/>
    <w:rsid w:val="00CF1E82"/>
    <w:rsid w:val="00CF4275"/>
    <w:rsid w:val="00CF4E50"/>
    <w:rsid w:val="00CF54D5"/>
    <w:rsid w:val="00CF7741"/>
    <w:rsid w:val="00CF7AE3"/>
    <w:rsid w:val="00D00A7B"/>
    <w:rsid w:val="00D00CC9"/>
    <w:rsid w:val="00D013D6"/>
    <w:rsid w:val="00D01494"/>
    <w:rsid w:val="00D0212A"/>
    <w:rsid w:val="00D02E14"/>
    <w:rsid w:val="00D02F94"/>
    <w:rsid w:val="00D030A7"/>
    <w:rsid w:val="00D031C6"/>
    <w:rsid w:val="00D04CC7"/>
    <w:rsid w:val="00D060C0"/>
    <w:rsid w:val="00D064C6"/>
    <w:rsid w:val="00D06D37"/>
    <w:rsid w:val="00D07728"/>
    <w:rsid w:val="00D11FD5"/>
    <w:rsid w:val="00D16854"/>
    <w:rsid w:val="00D16905"/>
    <w:rsid w:val="00D16B4B"/>
    <w:rsid w:val="00D16C1A"/>
    <w:rsid w:val="00D2084B"/>
    <w:rsid w:val="00D22D95"/>
    <w:rsid w:val="00D247BA"/>
    <w:rsid w:val="00D263B5"/>
    <w:rsid w:val="00D2668E"/>
    <w:rsid w:val="00D26E1B"/>
    <w:rsid w:val="00D3214A"/>
    <w:rsid w:val="00D3250A"/>
    <w:rsid w:val="00D33114"/>
    <w:rsid w:val="00D33325"/>
    <w:rsid w:val="00D3454C"/>
    <w:rsid w:val="00D34E5A"/>
    <w:rsid w:val="00D37741"/>
    <w:rsid w:val="00D37FD5"/>
    <w:rsid w:val="00D46E96"/>
    <w:rsid w:val="00D50C89"/>
    <w:rsid w:val="00D527AA"/>
    <w:rsid w:val="00D5289E"/>
    <w:rsid w:val="00D53067"/>
    <w:rsid w:val="00D54737"/>
    <w:rsid w:val="00D5496C"/>
    <w:rsid w:val="00D55256"/>
    <w:rsid w:val="00D56A1A"/>
    <w:rsid w:val="00D56AA6"/>
    <w:rsid w:val="00D56F2E"/>
    <w:rsid w:val="00D60468"/>
    <w:rsid w:val="00D604BE"/>
    <w:rsid w:val="00D60BE1"/>
    <w:rsid w:val="00D61E06"/>
    <w:rsid w:val="00D63C93"/>
    <w:rsid w:val="00D64602"/>
    <w:rsid w:val="00D64D83"/>
    <w:rsid w:val="00D64E55"/>
    <w:rsid w:val="00D66E2F"/>
    <w:rsid w:val="00D70E04"/>
    <w:rsid w:val="00D70F82"/>
    <w:rsid w:val="00D724B6"/>
    <w:rsid w:val="00D75BBC"/>
    <w:rsid w:val="00D77F80"/>
    <w:rsid w:val="00D80387"/>
    <w:rsid w:val="00D80FDF"/>
    <w:rsid w:val="00D81174"/>
    <w:rsid w:val="00D812CC"/>
    <w:rsid w:val="00D815CB"/>
    <w:rsid w:val="00D84F2B"/>
    <w:rsid w:val="00D86FDA"/>
    <w:rsid w:val="00D87EB0"/>
    <w:rsid w:val="00D90B10"/>
    <w:rsid w:val="00D91F9B"/>
    <w:rsid w:val="00D926BE"/>
    <w:rsid w:val="00D949D7"/>
    <w:rsid w:val="00D94A5D"/>
    <w:rsid w:val="00D96C73"/>
    <w:rsid w:val="00DA2F20"/>
    <w:rsid w:val="00DA38F3"/>
    <w:rsid w:val="00DA4A77"/>
    <w:rsid w:val="00DA77D0"/>
    <w:rsid w:val="00DA7DCA"/>
    <w:rsid w:val="00DB00F5"/>
    <w:rsid w:val="00DB0163"/>
    <w:rsid w:val="00DB164D"/>
    <w:rsid w:val="00DB1E54"/>
    <w:rsid w:val="00DB44BD"/>
    <w:rsid w:val="00DB46A0"/>
    <w:rsid w:val="00DB5CC2"/>
    <w:rsid w:val="00DB6B23"/>
    <w:rsid w:val="00DB75C4"/>
    <w:rsid w:val="00DC1D8D"/>
    <w:rsid w:val="00DC6F8A"/>
    <w:rsid w:val="00DD04E3"/>
    <w:rsid w:val="00DD0F70"/>
    <w:rsid w:val="00DD32BB"/>
    <w:rsid w:val="00DD35C4"/>
    <w:rsid w:val="00DD46E2"/>
    <w:rsid w:val="00DD4873"/>
    <w:rsid w:val="00DD5923"/>
    <w:rsid w:val="00DE08E0"/>
    <w:rsid w:val="00DE23E6"/>
    <w:rsid w:val="00DE2A34"/>
    <w:rsid w:val="00DE3A3F"/>
    <w:rsid w:val="00DE402F"/>
    <w:rsid w:val="00DE4B22"/>
    <w:rsid w:val="00DE50F9"/>
    <w:rsid w:val="00DE7E6C"/>
    <w:rsid w:val="00DF054F"/>
    <w:rsid w:val="00DF0F4D"/>
    <w:rsid w:val="00DF2555"/>
    <w:rsid w:val="00DF51E4"/>
    <w:rsid w:val="00DF5201"/>
    <w:rsid w:val="00DF7564"/>
    <w:rsid w:val="00DF77FA"/>
    <w:rsid w:val="00E01D21"/>
    <w:rsid w:val="00E03A73"/>
    <w:rsid w:val="00E07571"/>
    <w:rsid w:val="00E105A2"/>
    <w:rsid w:val="00E10DF5"/>
    <w:rsid w:val="00E11DEC"/>
    <w:rsid w:val="00E123AF"/>
    <w:rsid w:val="00E123E8"/>
    <w:rsid w:val="00E131F5"/>
    <w:rsid w:val="00E13798"/>
    <w:rsid w:val="00E140F9"/>
    <w:rsid w:val="00E153F5"/>
    <w:rsid w:val="00E16183"/>
    <w:rsid w:val="00E21128"/>
    <w:rsid w:val="00E23900"/>
    <w:rsid w:val="00E25048"/>
    <w:rsid w:val="00E25687"/>
    <w:rsid w:val="00E26238"/>
    <w:rsid w:val="00E26560"/>
    <w:rsid w:val="00E26C8A"/>
    <w:rsid w:val="00E30763"/>
    <w:rsid w:val="00E31B41"/>
    <w:rsid w:val="00E32CA9"/>
    <w:rsid w:val="00E32D91"/>
    <w:rsid w:val="00E32D9E"/>
    <w:rsid w:val="00E33978"/>
    <w:rsid w:val="00E35C90"/>
    <w:rsid w:val="00E36ED0"/>
    <w:rsid w:val="00E37BE6"/>
    <w:rsid w:val="00E4191A"/>
    <w:rsid w:val="00E44F8F"/>
    <w:rsid w:val="00E4574D"/>
    <w:rsid w:val="00E47411"/>
    <w:rsid w:val="00E522CC"/>
    <w:rsid w:val="00E5276A"/>
    <w:rsid w:val="00E52BF3"/>
    <w:rsid w:val="00E5399A"/>
    <w:rsid w:val="00E53A68"/>
    <w:rsid w:val="00E5498D"/>
    <w:rsid w:val="00E56192"/>
    <w:rsid w:val="00E56A54"/>
    <w:rsid w:val="00E56BEC"/>
    <w:rsid w:val="00E600C1"/>
    <w:rsid w:val="00E60D31"/>
    <w:rsid w:val="00E61A15"/>
    <w:rsid w:val="00E622D1"/>
    <w:rsid w:val="00E624E0"/>
    <w:rsid w:val="00E633D2"/>
    <w:rsid w:val="00E64E92"/>
    <w:rsid w:val="00E650D1"/>
    <w:rsid w:val="00E6554D"/>
    <w:rsid w:val="00E666FB"/>
    <w:rsid w:val="00E706B0"/>
    <w:rsid w:val="00E7222B"/>
    <w:rsid w:val="00E72D34"/>
    <w:rsid w:val="00E7331C"/>
    <w:rsid w:val="00E73991"/>
    <w:rsid w:val="00E7405D"/>
    <w:rsid w:val="00E748CF"/>
    <w:rsid w:val="00E75680"/>
    <w:rsid w:val="00E75E33"/>
    <w:rsid w:val="00E76416"/>
    <w:rsid w:val="00E76601"/>
    <w:rsid w:val="00E77341"/>
    <w:rsid w:val="00E77BD6"/>
    <w:rsid w:val="00E806FA"/>
    <w:rsid w:val="00E81E3D"/>
    <w:rsid w:val="00E82542"/>
    <w:rsid w:val="00E82648"/>
    <w:rsid w:val="00E82C54"/>
    <w:rsid w:val="00E83BD4"/>
    <w:rsid w:val="00E84365"/>
    <w:rsid w:val="00E85CB7"/>
    <w:rsid w:val="00E9217D"/>
    <w:rsid w:val="00E92E61"/>
    <w:rsid w:val="00E94140"/>
    <w:rsid w:val="00E957F9"/>
    <w:rsid w:val="00E9750C"/>
    <w:rsid w:val="00EA19EF"/>
    <w:rsid w:val="00EA1AFB"/>
    <w:rsid w:val="00EA1C4D"/>
    <w:rsid w:val="00EA2822"/>
    <w:rsid w:val="00EA35FF"/>
    <w:rsid w:val="00EA3F1C"/>
    <w:rsid w:val="00EA5AFE"/>
    <w:rsid w:val="00EB1318"/>
    <w:rsid w:val="00EB27E3"/>
    <w:rsid w:val="00EB3E96"/>
    <w:rsid w:val="00EB590D"/>
    <w:rsid w:val="00EB5D35"/>
    <w:rsid w:val="00EB6379"/>
    <w:rsid w:val="00EB743C"/>
    <w:rsid w:val="00EC44E7"/>
    <w:rsid w:val="00EC4E0B"/>
    <w:rsid w:val="00EC4EEA"/>
    <w:rsid w:val="00EC601D"/>
    <w:rsid w:val="00EC7F1C"/>
    <w:rsid w:val="00ED074F"/>
    <w:rsid w:val="00ED0ACE"/>
    <w:rsid w:val="00ED0B9D"/>
    <w:rsid w:val="00ED1D54"/>
    <w:rsid w:val="00ED28EC"/>
    <w:rsid w:val="00ED2F25"/>
    <w:rsid w:val="00ED41CE"/>
    <w:rsid w:val="00ED4402"/>
    <w:rsid w:val="00ED467F"/>
    <w:rsid w:val="00ED68A4"/>
    <w:rsid w:val="00ED7F00"/>
    <w:rsid w:val="00EE350B"/>
    <w:rsid w:val="00EE3598"/>
    <w:rsid w:val="00EE76CA"/>
    <w:rsid w:val="00EF0EFA"/>
    <w:rsid w:val="00EF0FF7"/>
    <w:rsid w:val="00EF25FB"/>
    <w:rsid w:val="00EF4B82"/>
    <w:rsid w:val="00EF5907"/>
    <w:rsid w:val="00F00879"/>
    <w:rsid w:val="00F018FB"/>
    <w:rsid w:val="00F02360"/>
    <w:rsid w:val="00F02F10"/>
    <w:rsid w:val="00F056E0"/>
    <w:rsid w:val="00F05E32"/>
    <w:rsid w:val="00F07175"/>
    <w:rsid w:val="00F12B0F"/>
    <w:rsid w:val="00F132A9"/>
    <w:rsid w:val="00F15177"/>
    <w:rsid w:val="00F166CE"/>
    <w:rsid w:val="00F1766D"/>
    <w:rsid w:val="00F20D8C"/>
    <w:rsid w:val="00F21F34"/>
    <w:rsid w:val="00F223C3"/>
    <w:rsid w:val="00F26539"/>
    <w:rsid w:val="00F27A1E"/>
    <w:rsid w:val="00F312FC"/>
    <w:rsid w:val="00F32274"/>
    <w:rsid w:val="00F33244"/>
    <w:rsid w:val="00F33F71"/>
    <w:rsid w:val="00F35EFD"/>
    <w:rsid w:val="00F363C4"/>
    <w:rsid w:val="00F367CF"/>
    <w:rsid w:val="00F37F6A"/>
    <w:rsid w:val="00F408C2"/>
    <w:rsid w:val="00F42B94"/>
    <w:rsid w:val="00F45347"/>
    <w:rsid w:val="00F45F22"/>
    <w:rsid w:val="00F51E40"/>
    <w:rsid w:val="00F528E5"/>
    <w:rsid w:val="00F52F36"/>
    <w:rsid w:val="00F53DC9"/>
    <w:rsid w:val="00F54296"/>
    <w:rsid w:val="00F55007"/>
    <w:rsid w:val="00F60073"/>
    <w:rsid w:val="00F6054E"/>
    <w:rsid w:val="00F63AE7"/>
    <w:rsid w:val="00F66B82"/>
    <w:rsid w:val="00F677BD"/>
    <w:rsid w:val="00F70EF2"/>
    <w:rsid w:val="00F72568"/>
    <w:rsid w:val="00F7288D"/>
    <w:rsid w:val="00F73F34"/>
    <w:rsid w:val="00F745E0"/>
    <w:rsid w:val="00F749DB"/>
    <w:rsid w:val="00F74BF9"/>
    <w:rsid w:val="00F7781D"/>
    <w:rsid w:val="00F81656"/>
    <w:rsid w:val="00F828D6"/>
    <w:rsid w:val="00F83137"/>
    <w:rsid w:val="00F8324E"/>
    <w:rsid w:val="00F832FB"/>
    <w:rsid w:val="00F83AF1"/>
    <w:rsid w:val="00F83F7D"/>
    <w:rsid w:val="00F8470C"/>
    <w:rsid w:val="00F8483C"/>
    <w:rsid w:val="00F85226"/>
    <w:rsid w:val="00F85268"/>
    <w:rsid w:val="00F85301"/>
    <w:rsid w:val="00F8534C"/>
    <w:rsid w:val="00F90283"/>
    <w:rsid w:val="00F917A9"/>
    <w:rsid w:val="00F92F07"/>
    <w:rsid w:val="00F93241"/>
    <w:rsid w:val="00F95AAA"/>
    <w:rsid w:val="00F96402"/>
    <w:rsid w:val="00F965E8"/>
    <w:rsid w:val="00FA1CE8"/>
    <w:rsid w:val="00FA603C"/>
    <w:rsid w:val="00FA6924"/>
    <w:rsid w:val="00FA7AA6"/>
    <w:rsid w:val="00FB0BF3"/>
    <w:rsid w:val="00FB18A1"/>
    <w:rsid w:val="00FB1EB9"/>
    <w:rsid w:val="00FB3A58"/>
    <w:rsid w:val="00FB59E0"/>
    <w:rsid w:val="00FC02AF"/>
    <w:rsid w:val="00FC0A6E"/>
    <w:rsid w:val="00FC0A96"/>
    <w:rsid w:val="00FC1C6B"/>
    <w:rsid w:val="00FC330A"/>
    <w:rsid w:val="00FC3441"/>
    <w:rsid w:val="00FC520B"/>
    <w:rsid w:val="00FC59E6"/>
    <w:rsid w:val="00FC5F46"/>
    <w:rsid w:val="00FC6809"/>
    <w:rsid w:val="00FC7801"/>
    <w:rsid w:val="00FD04EE"/>
    <w:rsid w:val="00FD173A"/>
    <w:rsid w:val="00FD3DF8"/>
    <w:rsid w:val="00FD4EBA"/>
    <w:rsid w:val="00FD5328"/>
    <w:rsid w:val="00FD5430"/>
    <w:rsid w:val="00FD5659"/>
    <w:rsid w:val="00FD5D21"/>
    <w:rsid w:val="00FD6AE4"/>
    <w:rsid w:val="00FD6B3A"/>
    <w:rsid w:val="00FE2256"/>
    <w:rsid w:val="00FE2E40"/>
    <w:rsid w:val="00FE4F77"/>
    <w:rsid w:val="00FE6299"/>
    <w:rsid w:val="00FE68BD"/>
    <w:rsid w:val="00FE6C02"/>
    <w:rsid w:val="00FF0955"/>
    <w:rsid w:val="00FF1CF2"/>
    <w:rsid w:val="00FF313C"/>
    <w:rsid w:val="00FF41F7"/>
    <w:rsid w:val="00FF48ED"/>
    <w:rsid w:val="00FF4AE0"/>
    <w:rsid w:val="00FF752A"/>
    <w:rsid w:val="010D35DC"/>
    <w:rsid w:val="0116344A"/>
    <w:rsid w:val="011F489C"/>
    <w:rsid w:val="013C690E"/>
    <w:rsid w:val="013F384D"/>
    <w:rsid w:val="013F7633"/>
    <w:rsid w:val="014F2180"/>
    <w:rsid w:val="0159711C"/>
    <w:rsid w:val="015A4EC4"/>
    <w:rsid w:val="015A77D2"/>
    <w:rsid w:val="015B4D96"/>
    <w:rsid w:val="017444B6"/>
    <w:rsid w:val="01816A22"/>
    <w:rsid w:val="01BB3B89"/>
    <w:rsid w:val="01C54B55"/>
    <w:rsid w:val="01E81ECA"/>
    <w:rsid w:val="01E97C97"/>
    <w:rsid w:val="01EC7019"/>
    <w:rsid w:val="0206212E"/>
    <w:rsid w:val="020C46CD"/>
    <w:rsid w:val="0213141D"/>
    <w:rsid w:val="02150639"/>
    <w:rsid w:val="02161A99"/>
    <w:rsid w:val="021E2025"/>
    <w:rsid w:val="02224B89"/>
    <w:rsid w:val="02261B8E"/>
    <w:rsid w:val="02297530"/>
    <w:rsid w:val="022F5994"/>
    <w:rsid w:val="023E7C53"/>
    <w:rsid w:val="02442DCD"/>
    <w:rsid w:val="02477A4C"/>
    <w:rsid w:val="02541D7F"/>
    <w:rsid w:val="026C7C61"/>
    <w:rsid w:val="02931A1B"/>
    <w:rsid w:val="029A086E"/>
    <w:rsid w:val="02B34934"/>
    <w:rsid w:val="02D15FD5"/>
    <w:rsid w:val="02E5641E"/>
    <w:rsid w:val="02F042C6"/>
    <w:rsid w:val="02F870B4"/>
    <w:rsid w:val="0305093B"/>
    <w:rsid w:val="03072607"/>
    <w:rsid w:val="03083433"/>
    <w:rsid w:val="03283023"/>
    <w:rsid w:val="033F0240"/>
    <w:rsid w:val="0341020B"/>
    <w:rsid w:val="03456F2B"/>
    <w:rsid w:val="034758E1"/>
    <w:rsid w:val="03476497"/>
    <w:rsid w:val="03576A7D"/>
    <w:rsid w:val="035C71F0"/>
    <w:rsid w:val="035F32F6"/>
    <w:rsid w:val="03741228"/>
    <w:rsid w:val="037575AA"/>
    <w:rsid w:val="037E4BD5"/>
    <w:rsid w:val="03833C88"/>
    <w:rsid w:val="0387141F"/>
    <w:rsid w:val="038C30BA"/>
    <w:rsid w:val="038D7E22"/>
    <w:rsid w:val="039157C4"/>
    <w:rsid w:val="03987A8C"/>
    <w:rsid w:val="03C4743B"/>
    <w:rsid w:val="03DE215A"/>
    <w:rsid w:val="03EC4643"/>
    <w:rsid w:val="03F417A2"/>
    <w:rsid w:val="03F514C7"/>
    <w:rsid w:val="040942C4"/>
    <w:rsid w:val="041A602A"/>
    <w:rsid w:val="04216EB0"/>
    <w:rsid w:val="04341E7A"/>
    <w:rsid w:val="043D731B"/>
    <w:rsid w:val="04462C95"/>
    <w:rsid w:val="045A6BB7"/>
    <w:rsid w:val="045B0566"/>
    <w:rsid w:val="045F6AA3"/>
    <w:rsid w:val="046824F7"/>
    <w:rsid w:val="048349A3"/>
    <w:rsid w:val="048F24A6"/>
    <w:rsid w:val="049C1179"/>
    <w:rsid w:val="049E3BEA"/>
    <w:rsid w:val="04D534D9"/>
    <w:rsid w:val="04DD0B20"/>
    <w:rsid w:val="04DF17CC"/>
    <w:rsid w:val="04EF0764"/>
    <w:rsid w:val="04F33FAE"/>
    <w:rsid w:val="04F853C7"/>
    <w:rsid w:val="04FF6D71"/>
    <w:rsid w:val="0506530C"/>
    <w:rsid w:val="05136968"/>
    <w:rsid w:val="05216171"/>
    <w:rsid w:val="052E7AA7"/>
    <w:rsid w:val="05502EC1"/>
    <w:rsid w:val="05504736"/>
    <w:rsid w:val="055B28AB"/>
    <w:rsid w:val="05657CA4"/>
    <w:rsid w:val="05681C67"/>
    <w:rsid w:val="05843A1B"/>
    <w:rsid w:val="05986BCA"/>
    <w:rsid w:val="059A5935"/>
    <w:rsid w:val="05A201A5"/>
    <w:rsid w:val="05C60FCC"/>
    <w:rsid w:val="05D657BE"/>
    <w:rsid w:val="05EE6C2A"/>
    <w:rsid w:val="05F40986"/>
    <w:rsid w:val="05F77C99"/>
    <w:rsid w:val="06084345"/>
    <w:rsid w:val="060C66F4"/>
    <w:rsid w:val="06150735"/>
    <w:rsid w:val="06232125"/>
    <w:rsid w:val="062E26AD"/>
    <w:rsid w:val="06385D44"/>
    <w:rsid w:val="063950BA"/>
    <w:rsid w:val="06424BAA"/>
    <w:rsid w:val="06512AEE"/>
    <w:rsid w:val="065F130F"/>
    <w:rsid w:val="06720127"/>
    <w:rsid w:val="06826622"/>
    <w:rsid w:val="068E3BC3"/>
    <w:rsid w:val="069E5B13"/>
    <w:rsid w:val="06DE46EF"/>
    <w:rsid w:val="06ED38D6"/>
    <w:rsid w:val="070E763E"/>
    <w:rsid w:val="07191D46"/>
    <w:rsid w:val="07227A64"/>
    <w:rsid w:val="072344E1"/>
    <w:rsid w:val="07261857"/>
    <w:rsid w:val="07347FD8"/>
    <w:rsid w:val="07351A77"/>
    <w:rsid w:val="073904F6"/>
    <w:rsid w:val="07412A29"/>
    <w:rsid w:val="07597573"/>
    <w:rsid w:val="076C2C3C"/>
    <w:rsid w:val="076F5251"/>
    <w:rsid w:val="077842E5"/>
    <w:rsid w:val="07857D25"/>
    <w:rsid w:val="078C0CF0"/>
    <w:rsid w:val="07A07FBE"/>
    <w:rsid w:val="07AA637F"/>
    <w:rsid w:val="07B0403D"/>
    <w:rsid w:val="07B90213"/>
    <w:rsid w:val="07BE314B"/>
    <w:rsid w:val="07D179BE"/>
    <w:rsid w:val="07D42CF5"/>
    <w:rsid w:val="07F14281"/>
    <w:rsid w:val="07F177D3"/>
    <w:rsid w:val="07FF6CAF"/>
    <w:rsid w:val="07FF7DA4"/>
    <w:rsid w:val="08037705"/>
    <w:rsid w:val="08120FEF"/>
    <w:rsid w:val="08205BE0"/>
    <w:rsid w:val="08277CEC"/>
    <w:rsid w:val="083F68A9"/>
    <w:rsid w:val="0867177C"/>
    <w:rsid w:val="086A2875"/>
    <w:rsid w:val="087A7375"/>
    <w:rsid w:val="0883569E"/>
    <w:rsid w:val="08836193"/>
    <w:rsid w:val="08852948"/>
    <w:rsid w:val="08874FBB"/>
    <w:rsid w:val="088D65C4"/>
    <w:rsid w:val="08932206"/>
    <w:rsid w:val="089471F9"/>
    <w:rsid w:val="08963894"/>
    <w:rsid w:val="08A30C69"/>
    <w:rsid w:val="08A431A0"/>
    <w:rsid w:val="08BC04B6"/>
    <w:rsid w:val="08BC722F"/>
    <w:rsid w:val="08BD1809"/>
    <w:rsid w:val="08CD5377"/>
    <w:rsid w:val="08D1117E"/>
    <w:rsid w:val="08DC440E"/>
    <w:rsid w:val="09300B9F"/>
    <w:rsid w:val="09354D6D"/>
    <w:rsid w:val="093716A3"/>
    <w:rsid w:val="09392E72"/>
    <w:rsid w:val="094D74A4"/>
    <w:rsid w:val="09545916"/>
    <w:rsid w:val="09651E40"/>
    <w:rsid w:val="096C4663"/>
    <w:rsid w:val="09765925"/>
    <w:rsid w:val="09774D0C"/>
    <w:rsid w:val="097B64F5"/>
    <w:rsid w:val="098D28DB"/>
    <w:rsid w:val="09956EC8"/>
    <w:rsid w:val="09A90DB5"/>
    <w:rsid w:val="09B4184C"/>
    <w:rsid w:val="09B910EF"/>
    <w:rsid w:val="09C923A7"/>
    <w:rsid w:val="09CD6A6A"/>
    <w:rsid w:val="09D01144"/>
    <w:rsid w:val="09E87DA7"/>
    <w:rsid w:val="09EC0A3E"/>
    <w:rsid w:val="0A086597"/>
    <w:rsid w:val="0A0A66F3"/>
    <w:rsid w:val="0A160B5B"/>
    <w:rsid w:val="0A1E007C"/>
    <w:rsid w:val="0A5A185D"/>
    <w:rsid w:val="0A600E73"/>
    <w:rsid w:val="0A6C0677"/>
    <w:rsid w:val="0A765497"/>
    <w:rsid w:val="0A777518"/>
    <w:rsid w:val="0A7D6BA6"/>
    <w:rsid w:val="0A817297"/>
    <w:rsid w:val="0AA55E5A"/>
    <w:rsid w:val="0AA81391"/>
    <w:rsid w:val="0AA83FD1"/>
    <w:rsid w:val="0AC7081F"/>
    <w:rsid w:val="0AC7795C"/>
    <w:rsid w:val="0AC82737"/>
    <w:rsid w:val="0AD83197"/>
    <w:rsid w:val="0ADA240B"/>
    <w:rsid w:val="0ADE4C47"/>
    <w:rsid w:val="0AE43588"/>
    <w:rsid w:val="0AED4B8A"/>
    <w:rsid w:val="0AF26DAC"/>
    <w:rsid w:val="0B04251C"/>
    <w:rsid w:val="0B0A5AEB"/>
    <w:rsid w:val="0B0C7E7D"/>
    <w:rsid w:val="0B16361E"/>
    <w:rsid w:val="0B187D40"/>
    <w:rsid w:val="0B4018D9"/>
    <w:rsid w:val="0B467EB0"/>
    <w:rsid w:val="0B52745A"/>
    <w:rsid w:val="0B530B4C"/>
    <w:rsid w:val="0B611D18"/>
    <w:rsid w:val="0B651F79"/>
    <w:rsid w:val="0B6C511A"/>
    <w:rsid w:val="0BA21BB0"/>
    <w:rsid w:val="0BA57B45"/>
    <w:rsid w:val="0BC22902"/>
    <w:rsid w:val="0BC45EAD"/>
    <w:rsid w:val="0BC64922"/>
    <w:rsid w:val="0BCD7356"/>
    <w:rsid w:val="0BD82677"/>
    <w:rsid w:val="0BDA7E52"/>
    <w:rsid w:val="0BF20E71"/>
    <w:rsid w:val="0C071AA3"/>
    <w:rsid w:val="0C0A2874"/>
    <w:rsid w:val="0C12398C"/>
    <w:rsid w:val="0C272382"/>
    <w:rsid w:val="0C383503"/>
    <w:rsid w:val="0C4237E6"/>
    <w:rsid w:val="0C4261DB"/>
    <w:rsid w:val="0C4C2589"/>
    <w:rsid w:val="0C6130E9"/>
    <w:rsid w:val="0C6F6B49"/>
    <w:rsid w:val="0C733EB7"/>
    <w:rsid w:val="0C7521AE"/>
    <w:rsid w:val="0C7A4B00"/>
    <w:rsid w:val="0C7B7026"/>
    <w:rsid w:val="0C8236CB"/>
    <w:rsid w:val="0C93211F"/>
    <w:rsid w:val="0C9C4945"/>
    <w:rsid w:val="0CA6467A"/>
    <w:rsid w:val="0CA73ED8"/>
    <w:rsid w:val="0CA93D36"/>
    <w:rsid w:val="0CD0326B"/>
    <w:rsid w:val="0CD81D5A"/>
    <w:rsid w:val="0CE80819"/>
    <w:rsid w:val="0CEA0C2A"/>
    <w:rsid w:val="0CF21ECE"/>
    <w:rsid w:val="0CF91174"/>
    <w:rsid w:val="0CFE23D1"/>
    <w:rsid w:val="0CFE31D3"/>
    <w:rsid w:val="0D0B6E5A"/>
    <w:rsid w:val="0D1240CA"/>
    <w:rsid w:val="0D1718D0"/>
    <w:rsid w:val="0D2E28C4"/>
    <w:rsid w:val="0D37337A"/>
    <w:rsid w:val="0D4378A7"/>
    <w:rsid w:val="0D544DF8"/>
    <w:rsid w:val="0D612D6F"/>
    <w:rsid w:val="0D7041B7"/>
    <w:rsid w:val="0D7434D8"/>
    <w:rsid w:val="0D7C4727"/>
    <w:rsid w:val="0D7D2359"/>
    <w:rsid w:val="0D7E5681"/>
    <w:rsid w:val="0D954824"/>
    <w:rsid w:val="0D9E215E"/>
    <w:rsid w:val="0DA9591E"/>
    <w:rsid w:val="0DAE3F8D"/>
    <w:rsid w:val="0DB238A3"/>
    <w:rsid w:val="0DBB439E"/>
    <w:rsid w:val="0DBC3938"/>
    <w:rsid w:val="0DBD1A63"/>
    <w:rsid w:val="0DC62E9B"/>
    <w:rsid w:val="0DD95340"/>
    <w:rsid w:val="0DDB50F6"/>
    <w:rsid w:val="0DE2043C"/>
    <w:rsid w:val="0DF27629"/>
    <w:rsid w:val="0DF43B65"/>
    <w:rsid w:val="0E0735D0"/>
    <w:rsid w:val="0E1C68F4"/>
    <w:rsid w:val="0E240F4E"/>
    <w:rsid w:val="0E323572"/>
    <w:rsid w:val="0E4C792F"/>
    <w:rsid w:val="0E750FB6"/>
    <w:rsid w:val="0E7C57B3"/>
    <w:rsid w:val="0E8D78AA"/>
    <w:rsid w:val="0EA303A9"/>
    <w:rsid w:val="0EB53261"/>
    <w:rsid w:val="0EB65ABB"/>
    <w:rsid w:val="0EBC1F94"/>
    <w:rsid w:val="0EC051A0"/>
    <w:rsid w:val="0EC15E13"/>
    <w:rsid w:val="0EC9275C"/>
    <w:rsid w:val="0ED83CC4"/>
    <w:rsid w:val="0EE75307"/>
    <w:rsid w:val="0EFC205D"/>
    <w:rsid w:val="0F0D180C"/>
    <w:rsid w:val="0F0E11F3"/>
    <w:rsid w:val="0F0F0D9C"/>
    <w:rsid w:val="0F1D3424"/>
    <w:rsid w:val="0F3522AA"/>
    <w:rsid w:val="0F3874E9"/>
    <w:rsid w:val="0F3E5300"/>
    <w:rsid w:val="0F5F036A"/>
    <w:rsid w:val="0F71655C"/>
    <w:rsid w:val="0F856A93"/>
    <w:rsid w:val="0F8B5560"/>
    <w:rsid w:val="0F953DB9"/>
    <w:rsid w:val="0FAA681C"/>
    <w:rsid w:val="0FB038AC"/>
    <w:rsid w:val="0FBD5575"/>
    <w:rsid w:val="0FD36BEB"/>
    <w:rsid w:val="0FD53E86"/>
    <w:rsid w:val="0FE37019"/>
    <w:rsid w:val="0FE52B98"/>
    <w:rsid w:val="0FF24E51"/>
    <w:rsid w:val="0FF42010"/>
    <w:rsid w:val="0FF96772"/>
    <w:rsid w:val="0FFC5F9B"/>
    <w:rsid w:val="100940A1"/>
    <w:rsid w:val="101C2BBB"/>
    <w:rsid w:val="10211DFA"/>
    <w:rsid w:val="10423C18"/>
    <w:rsid w:val="10442524"/>
    <w:rsid w:val="104566C6"/>
    <w:rsid w:val="104E6DE0"/>
    <w:rsid w:val="105D41BB"/>
    <w:rsid w:val="1062311E"/>
    <w:rsid w:val="10741C87"/>
    <w:rsid w:val="10886067"/>
    <w:rsid w:val="10AB74D0"/>
    <w:rsid w:val="10B1111C"/>
    <w:rsid w:val="10B34C4D"/>
    <w:rsid w:val="10C343C0"/>
    <w:rsid w:val="10C667C0"/>
    <w:rsid w:val="10C95EFC"/>
    <w:rsid w:val="10CD1E1B"/>
    <w:rsid w:val="10D25D7B"/>
    <w:rsid w:val="10E356A6"/>
    <w:rsid w:val="11015460"/>
    <w:rsid w:val="110636A8"/>
    <w:rsid w:val="11333ABD"/>
    <w:rsid w:val="11351258"/>
    <w:rsid w:val="113A250B"/>
    <w:rsid w:val="1162621E"/>
    <w:rsid w:val="116E5421"/>
    <w:rsid w:val="117A48B0"/>
    <w:rsid w:val="11810752"/>
    <w:rsid w:val="118D4F0C"/>
    <w:rsid w:val="11991213"/>
    <w:rsid w:val="119D5E8A"/>
    <w:rsid w:val="119E7BC5"/>
    <w:rsid w:val="11A774C2"/>
    <w:rsid w:val="11C403C0"/>
    <w:rsid w:val="11CE0E2B"/>
    <w:rsid w:val="11D37F61"/>
    <w:rsid w:val="11DC2C42"/>
    <w:rsid w:val="11E018BC"/>
    <w:rsid w:val="12165546"/>
    <w:rsid w:val="121E7C56"/>
    <w:rsid w:val="12302F19"/>
    <w:rsid w:val="123A4473"/>
    <w:rsid w:val="123B77F4"/>
    <w:rsid w:val="12444B73"/>
    <w:rsid w:val="124B5F5D"/>
    <w:rsid w:val="125E7B09"/>
    <w:rsid w:val="12725BE3"/>
    <w:rsid w:val="127B27A1"/>
    <w:rsid w:val="12812451"/>
    <w:rsid w:val="128B263D"/>
    <w:rsid w:val="12940C85"/>
    <w:rsid w:val="129B5A08"/>
    <w:rsid w:val="12A32D1F"/>
    <w:rsid w:val="12A62374"/>
    <w:rsid w:val="12AA7C46"/>
    <w:rsid w:val="12B45655"/>
    <w:rsid w:val="12B55926"/>
    <w:rsid w:val="12DE7437"/>
    <w:rsid w:val="12DF0916"/>
    <w:rsid w:val="12EE0BB8"/>
    <w:rsid w:val="12FB50BD"/>
    <w:rsid w:val="13030C81"/>
    <w:rsid w:val="131C433E"/>
    <w:rsid w:val="132739B8"/>
    <w:rsid w:val="132E6781"/>
    <w:rsid w:val="13404933"/>
    <w:rsid w:val="13565AD6"/>
    <w:rsid w:val="1364477F"/>
    <w:rsid w:val="13657904"/>
    <w:rsid w:val="13920429"/>
    <w:rsid w:val="13960835"/>
    <w:rsid w:val="13DD1A6E"/>
    <w:rsid w:val="13E55281"/>
    <w:rsid w:val="13E77C6B"/>
    <w:rsid w:val="13FC0DA8"/>
    <w:rsid w:val="14024F5C"/>
    <w:rsid w:val="142323D2"/>
    <w:rsid w:val="14335595"/>
    <w:rsid w:val="143462B3"/>
    <w:rsid w:val="14607FC4"/>
    <w:rsid w:val="147070D6"/>
    <w:rsid w:val="147E381D"/>
    <w:rsid w:val="148924AB"/>
    <w:rsid w:val="14994553"/>
    <w:rsid w:val="14A71656"/>
    <w:rsid w:val="14AE306C"/>
    <w:rsid w:val="14BA5EF6"/>
    <w:rsid w:val="14BD7BFB"/>
    <w:rsid w:val="14CD6F95"/>
    <w:rsid w:val="14CE3319"/>
    <w:rsid w:val="14D22336"/>
    <w:rsid w:val="14DC4208"/>
    <w:rsid w:val="14E11AC3"/>
    <w:rsid w:val="14E20227"/>
    <w:rsid w:val="14F56481"/>
    <w:rsid w:val="14F679A0"/>
    <w:rsid w:val="14FB665D"/>
    <w:rsid w:val="150714A1"/>
    <w:rsid w:val="151B522B"/>
    <w:rsid w:val="151B6817"/>
    <w:rsid w:val="151C00A5"/>
    <w:rsid w:val="153951E6"/>
    <w:rsid w:val="154C6CC8"/>
    <w:rsid w:val="154C7934"/>
    <w:rsid w:val="155C6C8A"/>
    <w:rsid w:val="155C7686"/>
    <w:rsid w:val="15625869"/>
    <w:rsid w:val="158E0022"/>
    <w:rsid w:val="15A54A3B"/>
    <w:rsid w:val="15AD5397"/>
    <w:rsid w:val="15B0574A"/>
    <w:rsid w:val="15CA344B"/>
    <w:rsid w:val="15E32C48"/>
    <w:rsid w:val="15EA31CD"/>
    <w:rsid w:val="15FD4679"/>
    <w:rsid w:val="161A572C"/>
    <w:rsid w:val="162240E2"/>
    <w:rsid w:val="162D786B"/>
    <w:rsid w:val="164C57BB"/>
    <w:rsid w:val="164E6553"/>
    <w:rsid w:val="164F6017"/>
    <w:rsid w:val="16552C4F"/>
    <w:rsid w:val="1682713B"/>
    <w:rsid w:val="16832E74"/>
    <w:rsid w:val="168828F9"/>
    <w:rsid w:val="168D120F"/>
    <w:rsid w:val="16A05C14"/>
    <w:rsid w:val="16A06A59"/>
    <w:rsid w:val="16A55CC1"/>
    <w:rsid w:val="16AD1E91"/>
    <w:rsid w:val="16B93A76"/>
    <w:rsid w:val="16C91620"/>
    <w:rsid w:val="16CA3D4D"/>
    <w:rsid w:val="16D1539E"/>
    <w:rsid w:val="16F01B34"/>
    <w:rsid w:val="16F7364B"/>
    <w:rsid w:val="16FE22AA"/>
    <w:rsid w:val="1704314D"/>
    <w:rsid w:val="1706754F"/>
    <w:rsid w:val="170A00B7"/>
    <w:rsid w:val="170B631F"/>
    <w:rsid w:val="170C0A14"/>
    <w:rsid w:val="170F7833"/>
    <w:rsid w:val="17290124"/>
    <w:rsid w:val="172E1005"/>
    <w:rsid w:val="172F5151"/>
    <w:rsid w:val="174F74BF"/>
    <w:rsid w:val="1753461A"/>
    <w:rsid w:val="175610F3"/>
    <w:rsid w:val="175F5EFB"/>
    <w:rsid w:val="17785DB8"/>
    <w:rsid w:val="178B51C5"/>
    <w:rsid w:val="17B07A26"/>
    <w:rsid w:val="17BB7D72"/>
    <w:rsid w:val="17BC1B6B"/>
    <w:rsid w:val="17C02FD4"/>
    <w:rsid w:val="17CE075E"/>
    <w:rsid w:val="17D73282"/>
    <w:rsid w:val="17E946CE"/>
    <w:rsid w:val="17F92FC3"/>
    <w:rsid w:val="18126BD6"/>
    <w:rsid w:val="181E5966"/>
    <w:rsid w:val="18215A5B"/>
    <w:rsid w:val="182201B4"/>
    <w:rsid w:val="18230CBA"/>
    <w:rsid w:val="18251DE9"/>
    <w:rsid w:val="182E5CEF"/>
    <w:rsid w:val="183529EC"/>
    <w:rsid w:val="183A30A2"/>
    <w:rsid w:val="18500614"/>
    <w:rsid w:val="18507733"/>
    <w:rsid w:val="185542BD"/>
    <w:rsid w:val="185A4A8F"/>
    <w:rsid w:val="18636371"/>
    <w:rsid w:val="186F359F"/>
    <w:rsid w:val="1872454A"/>
    <w:rsid w:val="18777C35"/>
    <w:rsid w:val="18890297"/>
    <w:rsid w:val="18A43395"/>
    <w:rsid w:val="18A65C68"/>
    <w:rsid w:val="18AE2637"/>
    <w:rsid w:val="18AE783E"/>
    <w:rsid w:val="18B87239"/>
    <w:rsid w:val="18D91DFD"/>
    <w:rsid w:val="18DA0A8E"/>
    <w:rsid w:val="191342B4"/>
    <w:rsid w:val="193C2B6B"/>
    <w:rsid w:val="194D03AE"/>
    <w:rsid w:val="195C1583"/>
    <w:rsid w:val="196A29E3"/>
    <w:rsid w:val="196B27E7"/>
    <w:rsid w:val="198435D0"/>
    <w:rsid w:val="198D2909"/>
    <w:rsid w:val="198E56F6"/>
    <w:rsid w:val="199159FF"/>
    <w:rsid w:val="19941667"/>
    <w:rsid w:val="19A43CC3"/>
    <w:rsid w:val="19B6767E"/>
    <w:rsid w:val="19B703E9"/>
    <w:rsid w:val="19BD0050"/>
    <w:rsid w:val="19BE585F"/>
    <w:rsid w:val="19C66865"/>
    <w:rsid w:val="19CE1F47"/>
    <w:rsid w:val="19D61895"/>
    <w:rsid w:val="19EE0386"/>
    <w:rsid w:val="19EF1AE5"/>
    <w:rsid w:val="19F83BC1"/>
    <w:rsid w:val="1A030B50"/>
    <w:rsid w:val="1A1D45B2"/>
    <w:rsid w:val="1A222768"/>
    <w:rsid w:val="1A484105"/>
    <w:rsid w:val="1A777FBC"/>
    <w:rsid w:val="1A7E7025"/>
    <w:rsid w:val="1A811BC7"/>
    <w:rsid w:val="1A832B9E"/>
    <w:rsid w:val="1A890FF8"/>
    <w:rsid w:val="1A8A3A1B"/>
    <w:rsid w:val="1A90637A"/>
    <w:rsid w:val="1A925858"/>
    <w:rsid w:val="1AA562D2"/>
    <w:rsid w:val="1AAA0DD0"/>
    <w:rsid w:val="1AAF0531"/>
    <w:rsid w:val="1AC52392"/>
    <w:rsid w:val="1ACB6AAA"/>
    <w:rsid w:val="1ADD1713"/>
    <w:rsid w:val="1ADD52BF"/>
    <w:rsid w:val="1AE05C32"/>
    <w:rsid w:val="1AE25373"/>
    <w:rsid w:val="1AE315F8"/>
    <w:rsid w:val="1AE7679B"/>
    <w:rsid w:val="1AF17968"/>
    <w:rsid w:val="1AF5175E"/>
    <w:rsid w:val="1B1675FA"/>
    <w:rsid w:val="1B1F6DAB"/>
    <w:rsid w:val="1B2273EA"/>
    <w:rsid w:val="1B2603E2"/>
    <w:rsid w:val="1B2F65F5"/>
    <w:rsid w:val="1B383876"/>
    <w:rsid w:val="1B526B8C"/>
    <w:rsid w:val="1B776D54"/>
    <w:rsid w:val="1B81269E"/>
    <w:rsid w:val="1B850413"/>
    <w:rsid w:val="1B994DB3"/>
    <w:rsid w:val="1B9E4C36"/>
    <w:rsid w:val="1BAD3334"/>
    <w:rsid w:val="1BC67911"/>
    <w:rsid w:val="1BC82B04"/>
    <w:rsid w:val="1BDB6A8E"/>
    <w:rsid w:val="1C006C4C"/>
    <w:rsid w:val="1C0603ED"/>
    <w:rsid w:val="1C072A05"/>
    <w:rsid w:val="1C0A3436"/>
    <w:rsid w:val="1C0B715C"/>
    <w:rsid w:val="1C1A10DB"/>
    <w:rsid w:val="1C3D05FC"/>
    <w:rsid w:val="1C563582"/>
    <w:rsid w:val="1C5652E8"/>
    <w:rsid w:val="1C5A654D"/>
    <w:rsid w:val="1C6430D6"/>
    <w:rsid w:val="1C646507"/>
    <w:rsid w:val="1C666B9D"/>
    <w:rsid w:val="1C6C2E0D"/>
    <w:rsid w:val="1C712CE7"/>
    <w:rsid w:val="1C7A2139"/>
    <w:rsid w:val="1C7D7FE4"/>
    <w:rsid w:val="1C8567C7"/>
    <w:rsid w:val="1C8E5B3E"/>
    <w:rsid w:val="1C9207DF"/>
    <w:rsid w:val="1C9B4A78"/>
    <w:rsid w:val="1CB279C3"/>
    <w:rsid w:val="1CB735C0"/>
    <w:rsid w:val="1CE41A7A"/>
    <w:rsid w:val="1CEB71A3"/>
    <w:rsid w:val="1CF00951"/>
    <w:rsid w:val="1CF0509F"/>
    <w:rsid w:val="1D065A30"/>
    <w:rsid w:val="1D08270C"/>
    <w:rsid w:val="1D0A20F5"/>
    <w:rsid w:val="1D0C76BA"/>
    <w:rsid w:val="1D147A5A"/>
    <w:rsid w:val="1D1E0530"/>
    <w:rsid w:val="1D1E1270"/>
    <w:rsid w:val="1D2317AD"/>
    <w:rsid w:val="1D27079C"/>
    <w:rsid w:val="1D2D1301"/>
    <w:rsid w:val="1D2E35B2"/>
    <w:rsid w:val="1D2F509E"/>
    <w:rsid w:val="1D3366B4"/>
    <w:rsid w:val="1D5417DF"/>
    <w:rsid w:val="1D554DA0"/>
    <w:rsid w:val="1D5A35F1"/>
    <w:rsid w:val="1D5B7088"/>
    <w:rsid w:val="1D604647"/>
    <w:rsid w:val="1D633306"/>
    <w:rsid w:val="1D7D00E8"/>
    <w:rsid w:val="1D892FE8"/>
    <w:rsid w:val="1D8F68FB"/>
    <w:rsid w:val="1D9B058E"/>
    <w:rsid w:val="1DB12AA3"/>
    <w:rsid w:val="1DB45D52"/>
    <w:rsid w:val="1DB573D4"/>
    <w:rsid w:val="1DC808D4"/>
    <w:rsid w:val="1DDC399E"/>
    <w:rsid w:val="1DE502C9"/>
    <w:rsid w:val="1DFD46F4"/>
    <w:rsid w:val="1E0B17D8"/>
    <w:rsid w:val="1E10475E"/>
    <w:rsid w:val="1E161E79"/>
    <w:rsid w:val="1E192AEB"/>
    <w:rsid w:val="1E3438B4"/>
    <w:rsid w:val="1E347F24"/>
    <w:rsid w:val="1E3C1267"/>
    <w:rsid w:val="1E3C6B9F"/>
    <w:rsid w:val="1E477828"/>
    <w:rsid w:val="1E594141"/>
    <w:rsid w:val="1E5F3407"/>
    <w:rsid w:val="1E6D2242"/>
    <w:rsid w:val="1E70688C"/>
    <w:rsid w:val="1E71066B"/>
    <w:rsid w:val="1E7203B0"/>
    <w:rsid w:val="1E790756"/>
    <w:rsid w:val="1E7B4808"/>
    <w:rsid w:val="1E826F6C"/>
    <w:rsid w:val="1E8A2FE7"/>
    <w:rsid w:val="1E8C27FC"/>
    <w:rsid w:val="1EA32F83"/>
    <w:rsid w:val="1EAD18F1"/>
    <w:rsid w:val="1EDB3B06"/>
    <w:rsid w:val="1EE76B71"/>
    <w:rsid w:val="1EF55945"/>
    <w:rsid w:val="1EF60B4A"/>
    <w:rsid w:val="1EFF5FB9"/>
    <w:rsid w:val="1F03592B"/>
    <w:rsid w:val="1F1021B0"/>
    <w:rsid w:val="1F1F71FB"/>
    <w:rsid w:val="1F230764"/>
    <w:rsid w:val="1F333EAE"/>
    <w:rsid w:val="1F3A3460"/>
    <w:rsid w:val="1F491554"/>
    <w:rsid w:val="1F4E243A"/>
    <w:rsid w:val="1F582B1D"/>
    <w:rsid w:val="1F6044FA"/>
    <w:rsid w:val="1F6B0692"/>
    <w:rsid w:val="1F6C6364"/>
    <w:rsid w:val="1F7B38E8"/>
    <w:rsid w:val="1F8012D0"/>
    <w:rsid w:val="1F8B0C9D"/>
    <w:rsid w:val="1FB66ED2"/>
    <w:rsid w:val="1FC242FA"/>
    <w:rsid w:val="1FC5659A"/>
    <w:rsid w:val="20085535"/>
    <w:rsid w:val="200B0ABD"/>
    <w:rsid w:val="20270FB0"/>
    <w:rsid w:val="204A73D9"/>
    <w:rsid w:val="204F20A9"/>
    <w:rsid w:val="205626FC"/>
    <w:rsid w:val="2056467B"/>
    <w:rsid w:val="205933EC"/>
    <w:rsid w:val="20594498"/>
    <w:rsid w:val="2067002B"/>
    <w:rsid w:val="206872A3"/>
    <w:rsid w:val="206F742D"/>
    <w:rsid w:val="20A0700B"/>
    <w:rsid w:val="20A24F68"/>
    <w:rsid w:val="20AB1AE9"/>
    <w:rsid w:val="20B251AF"/>
    <w:rsid w:val="20BC2202"/>
    <w:rsid w:val="20BF3995"/>
    <w:rsid w:val="20C46852"/>
    <w:rsid w:val="20C66676"/>
    <w:rsid w:val="20DC4EE7"/>
    <w:rsid w:val="20DD3136"/>
    <w:rsid w:val="20E64474"/>
    <w:rsid w:val="20EB0848"/>
    <w:rsid w:val="20F05B2E"/>
    <w:rsid w:val="21090A5D"/>
    <w:rsid w:val="21133EEE"/>
    <w:rsid w:val="2118516E"/>
    <w:rsid w:val="21316437"/>
    <w:rsid w:val="213626DA"/>
    <w:rsid w:val="21374FDC"/>
    <w:rsid w:val="213D5DDE"/>
    <w:rsid w:val="21485015"/>
    <w:rsid w:val="21501790"/>
    <w:rsid w:val="2152635E"/>
    <w:rsid w:val="216006EB"/>
    <w:rsid w:val="21734897"/>
    <w:rsid w:val="217D4755"/>
    <w:rsid w:val="21A10A7D"/>
    <w:rsid w:val="21A14DDD"/>
    <w:rsid w:val="21A8227A"/>
    <w:rsid w:val="21AC2E79"/>
    <w:rsid w:val="21AD074F"/>
    <w:rsid w:val="21B924CA"/>
    <w:rsid w:val="21C100B0"/>
    <w:rsid w:val="21D56B2C"/>
    <w:rsid w:val="21DA522F"/>
    <w:rsid w:val="21DD1D10"/>
    <w:rsid w:val="21DD54BE"/>
    <w:rsid w:val="21E46C39"/>
    <w:rsid w:val="21E94958"/>
    <w:rsid w:val="21F225BC"/>
    <w:rsid w:val="21FC65F5"/>
    <w:rsid w:val="21FF7AFF"/>
    <w:rsid w:val="22050BB6"/>
    <w:rsid w:val="22081D39"/>
    <w:rsid w:val="222273C1"/>
    <w:rsid w:val="22242028"/>
    <w:rsid w:val="223032B9"/>
    <w:rsid w:val="2247305D"/>
    <w:rsid w:val="22624FBF"/>
    <w:rsid w:val="22627A6F"/>
    <w:rsid w:val="226A107D"/>
    <w:rsid w:val="226D3D97"/>
    <w:rsid w:val="226D658B"/>
    <w:rsid w:val="2271125D"/>
    <w:rsid w:val="228E04A0"/>
    <w:rsid w:val="2291703F"/>
    <w:rsid w:val="229526AA"/>
    <w:rsid w:val="229543C3"/>
    <w:rsid w:val="229555C6"/>
    <w:rsid w:val="22A15DF3"/>
    <w:rsid w:val="22A611B6"/>
    <w:rsid w:val="22B07C79"/>
    <w:rsid w:val="22B60126"/>
    <w:rsid w:val="22B84F33"/>
    <w:rsid w:val="22BE5C44"/>
    <w:rsid w:val="22C26B34"/>
    <w:rsid w:val="22C913C3"/>
    <w:rsid w:val="22D34937"/>
    <w:rsid w:val="22D97950"/>
    <w:rsid w:val="22D97F7D"/>
    <w:rsid w:val="22DE426A"/>
    <w:rsid w:val="230D2CFD"/>
    <w:rsid w:val="231833D8"/>
    <w:rsid w:val="23217C8B"/>
    <w:rsid w:val="232E757A"/>
    <w:rsid w:val="23304B74"/>
    <w:rsid w:val="23426CF1"/>
    <w:rsid w:val="234B3C7F"/>
    <w:rsid w:val="2357470C"/>
    <w:rsid w:val="23593B91"/>
    <w:rsid w:val="235D553D"/>
    <w:rsid w:val="23620392"/>
    <w:rsid w:val="23702442"/>
    <w:rsid w:val="23752A9C"/>
    <w:rsid w:val="2376089B"/>
    <w:rsid w:val="237F729C"/>
    <w:rsid w:val="23864D4F"/>
    <w:rsid w:val="23885244"/>
    <w:rsid w:val="23920EA4"/>
    <w:rsid w:val="23974748"/>
    <w:rsid w:val="239C1ED3"/>
    <w:rsid w:val="23AD3854"/>
    <w:rsid w:val="23B00944"/>
    <w:rsid w:val="23C71C0F"/>
    <w:rsid w:val="23D376BC"/>
    <w:rsid w:val="240402DA"/>
    <w:rsid w:val="240C5EF1"/>
    <w:rsid w:val="241005BB"/>
    <w:rsid w:val="24275A74"/>
    <w:rsid w:val="242E495B"/>
    <w:rsid w:val="246D7F1F"/>
    <w:rsid w:val="24716039"/>
    <w:rsid w:val="24732610"/>
    <w:rsid w:val="24782CB5"/>
    <w:rsid w:val="248B4DDD"/>
    <w:rsid w:val="249B1EE3"/>
    <w:rsid w:val="24A15356"/>
    <w:rsid w:val="24B54DA3"/>
    <w:rsid w:val="24B72A09"/>
    <w:rsid w:val="24BE74B6"/>
    <w:rsid w:val="24C2773B"/>
    <w:rsid w:val="24C56A6D"/>
    <w:rsid w:val="24D435A2"/>
    <w:rsid w:val="24E23972"/>
    <w:rsid w:val="24EA0BC0"/>
    <w:rsid w:val="25036F63"/>
    <w:rsid w:val="251C1D4D"/>
    <w:rsid w:val="2522053B"/>
    <w:rsid w:val="25281250"/>
    <w:rsid w:val="252A21F2"/>
    <w:rsid w:val="25311A36"/>
    <w:rsid w:val="25551820"/>
    <w:rsid w:val="25635747"/>
    <w:rsid w:val="257747F7"/>
    <w:rsid w:val="257B14F7"/>
    <w:rsid w:val="257B2300"/>
    <w:rsid w:val="259E7A55"/>
    <w:rsid w:val="25AF1724"/>
    <w:rsid w:val="25BC57A1"/>
    <w:rsid w:val="25BE2B22"/>
    <w:rsid w:val="25C1221C"/>
    <w:rsid w:val="25CC1BAB"/>
    <w:rsid w:val="25D91FEB"/>
    <w:rsid w:val="25E11946"/>
    <w:rsid w:val="25EC071F"/>
    <w:rsid w:val="25F61914"/>
    <w:rsid w:val="260E1D77"/>
    <w:rsid w:val="261C6C22"/>
    <w:rsid w:val="261E5D6B"/>
    <w:rsid w:val="262F6953"/>
    <w:rsid w:val="264802D0"/>
    <w:rsid w:val="26556AA8"/>
    <w:rsid w:val="26585798"/>
    <w:rsid w:val="26667006"/>
    <w:rsid w:val="26826A20"/>
    <w:rsid w:val="26854C4B"/>
    <w:rsid w:val="268553CE"/>
    <w:rsid w:val="268B5560"/>
    <w:rsid w:val="26A10E3D"/>
    <w:rsid w:val="26B47976"/>
    <w:rsid w:val="26BA2794"/>
    <w:rsid w:val="26DE6928"/>
    <w:rsid w:val="26E0627B"/>
    <w:rsid w:val="26E06C97"/>
    <w:rsid w:val="26F92B53"/>
    <w:rsid w:val="27197F9C"/>
    <w:rsid w:val="271D46E2"/>
    <w:rsid w:val="272359D8"/>
    <w:rsid w:val="273A2A7D"/>
    <w:rsid w:val="273F111A"/>
    <w:rsid w:val="27483C19"/>
    <w:rsid w:val="274A3369"/>
    <w:rsid w:val="275D3177"/>
    <w:rsid w:val="27700841"/>
    <w:rsid w:val="278511B1"/>
    <w:rsid w:val="278726D8"/>
    <w:rsid w:val="278D0E3B"/>
    <w:rsid w:val="27901A3C"/>
    <w:rsid w:val="279E2D7E"/>
    <w:rsid w:val="27A247BE"/>
    <w:rsid w:val="27C83396"/>
    <w:rsid w:val="27DA395E"/>
    <w:rsid w:val="27E510D2"/>
    <w:rsid w:val="27E66D1A"/>
    <w:rsid w:val="27ED548E"/>
    <w:rsid w:val="27EF7987"/>
    <w:rsid w:val="27F52DD1"/>
    <w:rsid w:val="280653FC"/>
    <w:rsid w:val="281F6283"/>
    <w:rsid w:val="28210723"/>
    <w:rsid w:val="284C572F"/>
    <w:rsid w:val="285C559A"/>
    <w:rsid w:val="286A3A19"/>
    <w:rsid w:val="286C653E"/>
    <w:rsid w:val="28744220"/>
    <w:rsid w:val="287A0153"/>
    <w:rsid w:val="288B19BF"/>
    <w:rsid w:val="289E6239"/>
    <w:rsid w:val="28A24174"/>
    <w:rsid w:val="28A557B7"/>
    <w:rsid w:val="28B94BC2"/>
    <w:rsid w:val="28C41975"/>
    <w:rsid w:val="28DB3015"/>
    <w:rsid w:val="28E26571"/>
    <w:rsid w:val="290B0DA8"/>
    <w:rsid w:val="290C28C8"/>
    <w:rsid w:val="290D4E5A"/>
    <w:rsid w:val="29205073"/>
    <w:rsid w:val="29305E05"/>
    <w:rsid w:val="293A0866"/>
    <w:rsid w:val="29483C7B"/>
    <w:rsid w:val="294C6687"/>
    <w:rsid w:val="295E1FDB"/>
    <w:rsid w:val="298D174A"/>
    <w:rsid w:val="298D3628"/>
    <w:rsid w:val="298F29FD"/>
    <w:rsid w:val="2996310D"/>
    <w:rsid w:val="299800C3"/>
    <w:rsid w:val="299B7E12"/>
    <w:rsid w:val="29A22F84"/>
    <w:rsid w:val="29A562FF"/>
    <w:rsid w:val="29AE14C8"/>
    <w:rsid w:val="29B37317"/>
    <w:rsid w:val="29BB14F6"/>
    <w:rsid w:val="29BF7145"/>
    <w:rsid w:val="29C64E26"/>
    <w:rsid w:val="29CD5469"/>
    <w:rsid w:val="29D140E8"/>
    <w:rsid w:val="29D25378"/>
    <w:rsid w:val="29D85DDC"/>
    <w:rsid w:val="29E33FFD"/>
    <w:rsid w:val="29F114FF"/>
    <w:rsid w:val="29FD513A"/>
    <w:rsid w:val="2A023CC5"/>
    <w:rsid w:val="2A0A5652"/>
    <w:rsid w:val="2A0B39A8"/>
    <w:rsid w:val="2A275A21"/>
    <w:rsid w:val="2A290874"/>
    <w:rsid w:val="2A3408C6"/>
    <w:rsid w:val="2A377B79"/>
    <w:rsid w:val="2A3D3CB2"/>
    <w:rsid w:val="2A42050C"/>
    <w:rsid w:val="2A427CB4"/>
    <w:rsid w:val="2A54273D"/>
    <w:rsid w:val="2A580523"/>
    <w:rsid w:val="2A5C54D0"/>
    <w:rsid w:val="2A611028"/>
    <w:rsid w:val="2A671C04"/>
    <w:rsid w:val="2A6814A5"/>
    <w:rsid w:val="2A6B7798"/>
    <w:rsid w:val="2A710E0D"/>
    <w:rsid w:val="2A772A81"/>
    <w:rsid w:val="2A7D0A12"/>
    <w:rsid w:val="2A7E6725"/>
    <w:rsid w:val="2A97377C"/>
    <w:rsid w:val="2A997B09"/>
    <w:rsid w:val="2AAA204E"/>
    <w:rsid w:val="2AC75C6A"/>
    <w:rsid w:val="2ACF729E"/>
    <w:rsid w:val="2AE45302"/>
    <w:rsid w:val="2AF957B3"/>
    <w:rsid w:val="2B0068B0"/>
    <w:rsid w:val="2B2C0435"/>
    <w:rsid w:val="2B310407"/>
    <w:rsid w:val="2B3247C2"/>
    <w:rsid w:val="2B391645"/>
    <w:rsid w:val="2B3E6A0E"/>
    <w:rsid w:val="2B3F176F"/>
    <w:rsid w:val="2B43105B"/>
    <w:rsid w:val="2B4612F4"/>
    <w:rsid w:val="2B4703ED"/>
    <w:rsid w:val="2B4F3A1C"/>
    <w:rsid w:val="2B4F48DB"/>
    <w:rsid w:val="2B65380C"/>
    <w:rsid w:val="2B7F4F5B"/>
    <w:rsid w:val="2B86067F"/>
    <w:rsid w:val="2B9953E7"/>
    <w:rsid w:val="2BA02BF3"/>
    <w:rsid w:val="2BA33512"/>
    <w:rsid w:val="2BB20F9C"/>
    <w:rsid w:val="2BB47030"/>
    <w:rsid w:val="2BBD6B15"/>
    <w:rsid w:val="2BCC55A2"/>
    <w:rsid w:val="2BD64255"/>
    <w:rsid w:val="2BD85978"/>
    <w:rsid w:val="2BDE5488"/>
    <w:rsid w:val="2BDF1064"/>
    <w:rsid w:val="2BE7002E"/>
    <w:rsid w:val="2BEC6DB5"/>
    <w:rsid w:val="2BFC2406"/>
    <w:rsid w:val="2C0024FE"/>
    <w:rsid w:val="2C186DA5"/>
    <w:rsid w:val="2C2310AE"/>
    <w:rsid w:val="2C2C6882"/>
    <w:rsid w:val="2C375E39"/>
    <w:rsid w:val="2C395D0F"/>
    <w:rsid w:val="2C705A02"/>
    <w:rsid w:val="2C776B20"/>
    <w:rsid w:val="2C8E776E"/>
    <w:rsid w:val="2CAF258B"/>
    <w:rsid w:val="2CB222EE"/>
    <w:rsid w:val="2CCF7A20"/>
    <w:rsid w:val="2CD530D4"/>
    <w:rsid w:val="2CF7218A"/>
    <w:rsid w:val="2CFE6867"/>
    <w:rsid w:val="2D101DE1"/>
    <w:rsid w:val="2D2D0BCD"/>
    <w:rsid w:val="2D3215B6"/>
    <w:rsid w:val="2D364FC2"/>
    <w:rsid w:val="2D383FD6"/>
    <w:rsid w:val="2D473ED9"/>
    <w:rsid w:val="2D495603"/>
    <w:rsid w:val="2D517A1D"/>
    <w:rsid w:val="2D7C7917"/>
    <w:rsid w:val="2D814379"/>
    <w:rsid w:val="2D857BA6"/>
    <w:rsid w:val="2DB062A6"/>
    <w:rsid w:val="2DB4264F"/>
    <w:rsid w:val="2DC15DE7"/>
    <w:rsid w:val="2DCC1ABA"/>
    <w:rsid w:val="2DD417B4"/>
    <w:rsid w:val="2DED6B54"/>
    <w:rsid w:val="2DF33A92"/>
    <w:rsid w:val="2DF60795"/>
    <w:rsid w:val="2DFD73B1"/>
    <w:rsid w:val="2DFF5AE0"/>
    <w:rsid w:val="2E04267D"/>
    <w:rsid w:val="2E0A39AC"/>
    <w:rsid w:val="2E0F5C30"/>
    <w:rsid w:val="2E1741D0"/>
    <w:rsid w:val="2E196EC6"/>
    <w:rsid w:val="2E325FC7"/>
    <w:rsid w:val="2E3262F9"/>
    <w:rsid w:val="2E3F7339"/>
    <w:rsid w:val="2E4A126C"/>
    <w:rsid w:val="2E554E2C"/>
    <w:rsid w:val="2E56130F"/>
    <w:rsid w:val="2E5A4BC3"/>
    <w:rsid w:val="2E677BCD"/>
    <w:rsid w:val="2E966A50"/>
    <w:rsid w:val="2E9C0394"/>
    <w:rsid w:val="2E9E65BE"/>
    <w:rsid w:val="2EA04272"/>
    <w:rsid w:val="2EA0680B"/>
    <w:rsid w:val="2ED75DCF"/>
    <w:rsid w:val="2EE41B99"/>
    <w:rsid w:val="2EEB355F"/>
    <w:rsid w:val="2EF54203"/>
    <w:rsid w:val="2EFA2F20"/>
    <w:rsid w:val="2F083808"/>
    <w:rsid w:val="2F170624"/>
    <w:rsid w:val="2F1818AC"/>
    <w:rsid w:val="2F437A07"/>
    <w:rsid w:val="2F473367"/>
    <w:rsid w:val="2F502456"/>
    <w:rsid w:val="2F6731AB"/>
    <w:rsid w:val="2F7B0D55"/>
    <w:rsid w:val="2FAD47A0"/>
    <w:rsid w:val="2FB7389A"/>
    <w:rsid w:val="2FBB0F6A"/>
    <w:rsid w:val="2FDB0B18"/>
    <w:rsid w:val="2FDB36CF"/>
    <w:rsid w:val="2FE34D23"/>
    <w:rsid w:val="2FE350B1"/>
    <w:rsid w:val="2FE70FD1"/>
    <w:rsid w:val="2FF107BF"/>
    <w:rsid w:val="2FFB3E85"/>
    <w:rsid w:val="300544D8"/>
    <w:rsid w:val="300603EE"/>
    <w:rsid w:val="30067C31"/>
    <w:rsid w:val="300C7629"/>
    <w:rsid w:val="300F16F1"/>
    <w:rsid w:val="30156934"/>
    <w:rsid w:val="301A4AF2"/>
    <w:rsid w:val="301F4739"/>
    <w:rsid w:val="30281666"/>
    <w:rsid w:val="303456D5"/>
    <w:rsid w:val="30361B17"/>
    <w:rsid w:val="303D32A6"/>
    <w:rsid w:val="304525A1"/>
    <w:rsid w:val="304A4EC4"/>
    <w:rsid w:val="304C6F12"/>
    <w:rsid w:val="30596E74"/>
    <w:rsid w:val="30633D43"/>
    <w:rsid w:val="30755746"/>
    <w:rsid w:val="30814717"/>
    <w:rsid w:val="309E514A"/>
    <w:rsid w:val="30A231FF"/>
    <w:rsid w:val="30A34D32"/>
    <w:rsid w:val="30A76F5D"/>
    <w:rsid w:val="30AD6A75"/>
    <w:rsid w:val="30B23641"/>
    <w:rsid w:val="30B4039B"/>
    <w:rsid w:val="30B5112F"/>
    <w:rsid w:val="30B51E2C"/>
    <w:rsid w:val="30BE2670"/>
    <w:rsid w:val="30C406EC"/>
    <w:rsid w:val="30D97503"/>
    <w:rsid w:val="30E414C7"/>
    <w:rsid w:val="30F74AAA"/>
    <w:rsid w:val="31005290"/>
    <w:rsid w:val="310A002F"/>
    <w:rsid w:val="311073A4"/>
    <w:rsid w:val="311276FE"/>
    <w:rsid w:val="313E4BD6"/>
    <w:rsid w:val="31466869"/>
    <w:rsid w:val="314A4E2C"/>
    <w:rsid w:val="3154430B"/>
    <w:rsid w:val="31560C2F"/>
    <w:rsid w:val="31657925"/>
    <w:rsid w:val="31680066"/>
    <w:rsid w:val="317450B0"/>
    <w:rsid w:val="31747CB3"/>
    <w:rsid w:val="31807759"/>
    <w:rsid w:val="318525F3"/>
    <w:rsid w:val="318C7389"/>
    <w:rsid w:val="31AC29F6"/>
    <w:rsid w:val="31B14699"/>
    <w:rsid w:val="31BA0FE1"/>
    <w:rsid w:val="31BB12F2"/>
    <w:rsid w:val="31C041C3"/>
    <w:rsid w:val="31CD6F8B"/>
    <w:rsid w:val="31CF4AB1"/>
    <w:rsid w:val="31D74B3B"/>
    <w:rsid w:val="31E07B6C"/>
    <w:rsid w:val="31F369F1"/>
    <w:rsid w:val="3211172D"/>
    <w:rsid w:val="32225902"/>
    <w:rsid w:val="3231340C"/>
    <w:rsid w:val="3231663D"/>
    <w:rsid w:val="32423576"/>
    <w:rsid w:val="324F00F4"/>
    <w:rsid w:val="32781F26"/>
    <w:rsid w:val="32A26BCD"/>
    <w:rsid w:val="32A41F76"/>
    <w:rsid w:val="32B051AB"/>
    <w:rsid w:val="32B85EC7"/>
    <w:rsid w:val="32CC4EE9"/>
    <w:rsid w:val="32CF3E54"/>
    <w:rsid w:val="32D06B3D"/>
    <w:rsid w:val="32DB45BD"/>
    <w:rsid w:val="32DE0DAB"/>
    <w:rsid w:val="32DE3D66"/>
    <w:rsid w:val="32DF462E"/>
    <w:rsid w:val="32E3065E"/>
    <w:rsid w:val="32F146FE"/>
    <w:rsid w:val="32F42B38"/>
    <w:rsid w:val="32FC0050"/>
    <w:rsid w:val="330D2238"/>
    <w:rsid w:val="3316604A"/>
    <w:rsid w:val="331843A1"/>
    <w:rsid w:val="331B6D71"/>
    <w:rsid w:val="3341257D"/>
    <w:rsid w:val="33434411"/>
    <w:rsid w:val="3348400D"/>
    <w:rsid w:val="33563738"/>
    <w:rsid w:val="33564270"/>
    <w:rsid w:val="336630EE"/>
    <w:rsid w:val="336E6D7C"/>
    <w:rsid w:val="33755392"/>
    <w:rsid w:val="3396172D"/>
    <w:rsid w:val="339A5496"/>
    <w:rsid w:val="33A14F25"/>
    <w:rsid w:val="33A33CEC"/>
    <w:rsid w:val="33A5598D"/>
    <w:rsid w:val="33AA1331"/>
    <w:rsid w:val="33AB615F"/>
    <w:rsid w:val="33AF6951"/>
    <w:rsid w:val="33B6069A"/>
    <w:rsid w:val="33E072F5"/>
    <w:rsid w:val="33F10EEE"/>
    <w:rsid w:val="33FA3A79"/>
    <w:rsid w:val="34097FCD"/>
    <w:rsid w:val="3411502B"/>
    <w:rsid w:val="34217FB9"/>
    <w:rsid w:val="3425300E"/>
    <w:rsid w:val="342934EA"/>
    <w:rsid w:val="3440253A"/>
    <w:rsid w:val="345D20EE"/>
    <w:rsid w:val="3470713B"/>
    <w:rsid w:val="347D1345"/>
    <w:rsid w:val="34887617"/>
    <w:rsid w:val="348B112E"/>
    <w:rsid w:val="348E2A55"/>
    <w:rsid w:val="34D83B27"/>
    <w:rsid w:val="350356F8"/>
    <w:rsid w:val="350379F2"/>
    <w:rsid w:val="351B4560"/>
    <w:rsid w:val="352404A2"/>
    <w:rsid w:val="354160D5"/>
    <w:rsid w:val="35426AC4"/>
    <w:rsid w:val="354563A8"/>
    <w:rsid w:val="35884863"/>
    <w:rsid w:val="3589015C"/>
    <w:rsid w:val="358B3AB9"/>
    <w:rsid w:val="3590041F"/>
    <w:rsid w:val="35BA1483"/>
    <w:rsid w:val="35CF5B89"/>
    <w:rsid w:val="35DF60DB"/>
    <w:rsid w:val="35E236FF"/>
    <w:rsid w:val="35F248C8"/>
    <w:rsid w:val="35F455A9"/>
    <w:rsid w:val="360D6DDE"/>
    <w:rsid w:val="360F2C65"/>
    <w:rsid w:val="361F793E"/>
    <w:rsid w:val="363761CA"/>
    <w:rsid w:val="36435F8E"/>
    <w:rsid w:val="36462435"/>
    <w:rsid w:val="36466806"/>
    <w:rsid w:val="36492A9B"/>
    <w:rsid w:val="36624145"/>
    <w:rsid w:val="36640BB1"/>
    <w:rsid w:val="36657752"/>
    <w:rsid w:val="36675ACC"/>
    <w:rsid w:val="366B5B0D"/>
    <w:rsid w:val="367D4C07"/>
    <w:rsid w:val="3686234F"/>
    <w:rsid w:val="36982120"/>
    <w:rsid w:val="369D40F6"/>
    <w:rsid w:val="36A643F7"/>
    <w:rsid w:val="36B3500C"/>
    <w:rsid w:val="36CB3689"/>
    <w:rsid w:val="36CC4CAB"/>
    <w:rsid w:val="36CF31A8"/>
    <w:rsid w:val="36D3481A"/>
    <w:rsid w:val="36DD1FA8"/>
    <w:rsid w:val="36E12A83"/>
    <w:rsid w:val="36E825B5"/>
    <w:rsid w:val="3709248E"/>
    <w:rsid w:val="370A2E45"/>
    <w:rsid w:val="370A56A2"/>
    <w:rsid w:val="371243C8"/>
    <w:rsid w:val="37143A9B"/>
    <w:rsid w:val="37173C80"/>
    <w:rsid w:val="37232C54"/>
    <w:rsid w:val="372C149A"/>
    <w:rsid w:val="372E7E27"/>
    <w:rsid w:val="373A4F8C"/>
    <w:rsid w:val="374F7C2C"/>
    <w:rsid w:val="37567ECB"/>
    <w:rsid w:val="375F1CC0"/>
    <w:rsid w:val="377A1469"/>
    <w:rsid w:val="377D1E25"/>
    <w:rsid w:val="3781453C"/>
    <w:rsid w:val="37981B61"/>
    <w:rsid w:val="379C247D"/>
    <w:rsid w:val="37A940A9"/>
    <w:rsid w:val="37C817DD"/>
    <w:rsid w:val="37D82850"/>
    <w:rsid w:val="37DB40E5"/>
    <w:rsid w:val="37F4096C"/>
    <w:rsid w:val="37F43659"/>
    <w:rsid w:val="37F46A89"/>
    <w:rsid w:val="37FD1385"/>
    <w:rsid w:val="3810372D"/>
    <w:rsid w:val="38173143"/>
    <w:rsid w:val="381D1C4E"/>
    <w:rsid w:val="384076D5"/>
    <w:rsid w:val="38535704"/>
    <w:rsid w:val="38574831"/>
    <w:rsid w:val="38575800"/>
    <w:rsid w:val="386C3DAC"/>
    <w:rsid w:val="386D6817"/>
    <w:rsid w:val="38796EF4"/>
    <w:rsid w:val="387B13CE"/>
    <w:rsid w:val="388106B1"/>
    <w:rsid w:val="388902E5"/>
    <w:rsid w:val="389537F3"/>
    <w:rsid w:val="389F0B5E"/>
    <w:rsid w:val="38A17543"/>
    <w:rsid w:val="38AC6D32"/>
    <w:rsid w:val="38AD68CF"/>
    <w:rsid w:val="38B32876"/>
    <w:rsid w:val="38B84384"/>
    <w:rsid w:val="38C44911"/>
    <w:rsid w:val="38CC12C5"/>
    <w:rsid w:val="38CC404E"/>
    <w:rsid w:val="38DC2EB6"/>
    <w:rsid w:val="38DF198F"/>
    <w:rsid w:val="38E173B8"/>
    <w:rsid w:val="38E467C7"/>
    <w:rsid w:val="38FF7335"/>
    <w:rsid w:val="390770BE"/>
    <w:rsid w:val="39161BF2"/>
    <w:rsid w:val="392321BF"/>
    <w:rsid w:val="39297B99"/>
    <w:rsid w:val="3937180C"/>
    <w:rsid w:val="394414DB"/>
    <w:rsid w:val="394B2208"/>
    <w:rsid w:val="39563846"/>
    <w:rsid w:val="39881393"/>
    <w:rsid w:val="39A67759"/>
    <w:rsid w:val="39BB2C88"/>
    <w:rsid w:val="39C145F0"/>
    <w:rsid w:val="39C3307D"/>
    <w:rsid w:val="39D64548"/>
    <w:rsid w:val="39D662B1"/>
    <w:rsid w:val="39E15AA3"/>
    <w:rsid w:val="39EC5E31"/>
    <w:rsid w:val="39F43028"/>
    <w:rsid w:val="3A03490C"/>
    <w:rsid w:val="3A1126EB"/>
    <w:rsid w:val="3A1E1A64"/>
    <w:rsid w:val="3A252904"/>
    <w:rsid w:val="3A28184F"/>
    <w:rsid w:val="3A314CDA"/>
    <w:rsid w:val="3A390800"/>
    <w:rsid w:val="3A3C6E6D"/>
    <w:rsid w:val="3A4045C8"/>
    <w:rsid w:val="3A410F9A"/>
    <w:rsid w:val="3A417BB9"/>
    <w:rsid w:val="3A431015"/>
    <w:rsid w:val="3A4974E8"/>
    <w:rsid w:val="3A62241F"/>
    <w:rsid w:val="3A787D98"/>
    <w:rsid w:val="3A79517B"/>
    <w:rsid w:val="3A9438BA"/>
    <w:rsid w:val="3A997251"/>
    <w:rsid w:val="3A9B7C26"/>
    <w:rsid w:val="3A9D462D"/>
    <w:rsid w:val="3AA44FDE"/>
    <w:rsid w:val="3AA4786C"/>
    <w:rsid w:val="3AB57BE2"/>
    <w:rsid w:val="3ABA5023"/>
    <w:rsid w:val="3ABB4A08"/>
    <w:rsid w:val="3ABD29B5"/>
    <w:rsid w:val="3ABE77D0"/>
    <w:rsid w:val="3AC614B9"/>
    <w:rsid w:val="3AD95034"/>
    <w:rsid w:val="3AE0439C"/>
    <w:rsid w:val="3AE3699C"/>
    <w:rsid w:val="3AF8027D"/>
    <w:rsid w:val="3AF84F80"/>
    <w:rsid w:val="3AFF3D75"/>
    <w:rsid w:val="3B0373AF"/>
    <w:rsid w:val="3B0D1484"/>
    <w:rsid w:val="3B125029"/>
    <w:rsid w:val="3B2C4D22"/>
    <w:rsid w:val="3B4A5169"/>
    <w:rsid w:val="3B4C72D8"/>
    <w:rsid w:val="3B537B7A"/>
    <w:rsid w:val="3B5A1183"/>
    <w:rsid w:val="3B6759D9"/>
    <w:rsid w:val="3B6A6AF1"/>
    <w:rsid w:val="3B6B3BA2"/>
    <w:rsid w:val="3B893A3C"/>
    <w:rsid w:val="3B8F1192"/>
    <w:rsid w:val="3B9332B6"/>
    <w:rsid w:val="3B9C1715"/>
    <w:rsid w:val="3BB44E6A"/>
    <w:rsid w:val="3BB670C3"/>
    <w:rsid w:val="3BBE1E95"/>
    <w:rsid w:val="3BC41990"/>
    <w:rsid w:val="3BCA1646"/>
    <w:rsid w:val="3BD64C40"/>
    <w:rsid w:val="3BE2515E"/>
    <w:rsid w:val="3BF36836"/>
    <w:rsid w:val="3BF565DB"/>
    <w:rsid w:val="3BFA0E0B"/>
    <w:rsid w:val="3C011778"/>
    <w:rsid w:val="3C025C44"/>
    <w:rsid w:val="3C1812A5"/>
    <w:rsid w:val="3C1A43E6"/>
    <w:rsid w:val="3C1C2736"/>
    <w:rsid w:val="3C295511"/>
    <w:rsid w:val="3C3510FF"/>
    <w:rsid w:val="3C43280A"/>
    <w:rsid w:val="3C543059"/>
    <w:rsid w:val="3C5C1FCF"/>
    <w:rsid w:val="3C5D7131"/>
    <w:rsid w:val="3C6B6E92"/>
    <w:rsid w:val="3C751896"/>
    <w:rsid w:val="3C8F2F38"/>
    <w:rsid w:val="3C931E77"/>
    <w:rsid w:val="3CA76E87"/>
    <w:rsid w:val="3CC91942"/>
    <w:rsid w:val="3CCA6D28"/>
    <w:rsid w:val="3CD7090D"/>
    <w:rsid w:val="3CD743AA"/>
    <w:rsid w:val="3CDF0509"/>
    <w:rsid w:val="3CE175B2"/>
    <w:rsid w:val="3CF5380A"/>
    <w:rsid w:val="3CF61DB3"/>
    <w:rsid w:val="3D18089B"/>
    <w:rsid w:val="3D1B69F3"/>
    <w:rsid w:val="3D2B2B13"/>
    <w:rsid w:val="3D2F5ED3"/>
    <w:rsid w:val="3D380109"/>
    <w:rsid w:val="3D3B56F0"/>
    <w:rsid w:val="3D3E7C37"/>
    <w:rsid w:val="3D420ECC"/>
    <w:rsid w:val="3D472FA2"/>
    <w:rsid w:val="3D4A3C94"/>
    <w:rsid w:val="3D690D97"/>
    <w:rsid w:val="3D7B3F2B"/>
    <w:rsid w:val="3D8B4FAE"/>
    <w:rsid w:val="3D9943FF"/>
    <w:rsid w:val="3DA76714"/>
    <w:rsid w:val="3DA7761D"/>
    <w:rsid w:val="3DAA5532"/>
    <w:rsid w:val="3DBB5750"/>
    <w:rsid w:val="3DC61F75"/>
    <w:rsid w:val="3DCE6660"/>
    <w:rsid w:val="3DE43692"/>
    <w:rsid w:val="3DEE3B21"/>
    <w:rsid w:val="3E062D76"/>
    <w:rsid w:val="3E0B3A2A"/>
    <w:rsid w:val="3E1D50F2"/>
    <w:rsid w:val="3E2C1058"/>
    <w:rsid w:val="3E314773"/>
    <w:rsid w:val="3E351D7A"/>
    <w:rsid w:val="3E3B477B"/>
    <w:rsid w:val="3E421BC7"/>
    <w:rsid w:val="3E4A33D3"/>
    <w:rsid w:val="3E51576D"/>
    <w:rsid w:val="3E5647B7"/>
    <w:rsid w:val="3E616DB6"/>
    <w:rsid w:val="3E6E1A7C"/>
    <w:rsid w:val="3E7855FB"/>
    <w:rsid w:val="3E7A71F6"/>
    <w:rsid w:val="3E8945B7"/>
    <w:rsid w:val="3E9B4F20"/>
    <w:rsid w:val="3E9E7D09"/>
    <w:rsid w:val="3EAB0D7F"/>
    <w:rsid w:val="3EAB1BCB"/>
    <w:rsid w:val="3EB64F27"/>
    <w:rsid w:val="3EC54AA6"/>
    <w:rsid w:val="3EC820E4"/>
    <w:rsid w:val="3ECA63B6"/>
    <w:rsid w:val="3ECF3A5E"/>
    <w:rsid w:val="3EF45E92"/>
    <w:rsid w:val="3EF72DCC"/>
    <w:rsid w:val="3F046B32"/>
    <w:rsid w:val="3F07476D"/>
    <w:rsid w:val="3F127222"/>
    <w:rsid w:val="3F1A2E80"/>
    <w:rsid w:val="3F284C0D"/>
    <w:rsid w:val="3F2C1B1B"/>
    <w:rsid w:val="3F493A4B"/>
    <w:rsid w:val="3F4C37C1"/>
    <w:rsid w:val="3F5616AC"/>
    <w:rsid w:val="3F6A4111"/>
    <w:rsid w:val="3F747212"/>
    <w:rsid w:val="3F807BF7"/>
    <w:rsid w:val="3F990B5A"/>
    <w:rsid w:val="3FB158E0"/>
    <w:rsid w:val="3FC40A95"/>
    <w:rsid w:val="3FC41D4F"/>
    <w:rsid w:val="3FC90D91"/>
    <w:rsid w:val="3FD744F6"/>
    <w:rsid w:val="3FDA3CE5"/>
    <w:rsid w:val="3FF04570"/>
    <w:rsid w:val="40004521"/>
    <w:rsid w:val="400049D8"/>
    <w:rsid w:val="40017E59"/>
    <w:rsid w:val="40103BCB"/>
    <w:rsid w:val="4010419E"/>
    <w:rsid w:val="401269AD"/>
    <w:rsid w:val="401D5D72"/>
    <w:rsid w:val="402677D9"/>
    <w:rsid w:val="402802AC"/>
    <w:rsid w:val="402C196F"/>
    <w:rsid w:val="40312052"/>
    <w:rsid w:val="4033439B"/>
    <w:rsid w:val="40334D8F"/>
    <w:rsid w:val="40423A82"/>
    <w:rsid w:val="404F6DFD"/>
    <w:rsid w:val="405577FC"/>
    <w:rsid w:val="40597F5F"/>
    <w:rsid w:val="40617A4F"/>
    <w:rsid w:val="406B7A02"/>
    <w:rsid w:val="40785132"/>
    <w:rsid w:val="409101D9"/>
    <w:rsid w:val="409A032F"/>
    <w:rsid w:val="409D66CD"/>
    <w:rsid w:val="40A9553A"/>
    <w:rsid w:val="40B12ECE"/>
    <w:rsid w:val="40B21B50"/>
    <w:rsid w:val="40D51339"/>
    <w:rsid w:val="40F94B04"/>
    <w:rsid w:val="410043E0"/>
    <w:rsid w:val="41004C87"/>
    <w:rsid w:val="410316C9"/>
    <w:rsid w:val="410748FD"/>
    <w:rsid w:val="41210F7E"/>
    <w:rsid w:val="4125715B"/>
    <w:rsid w:val="412E0EC0"/>
    <w:rsid w:val="4143768A"/>
    <w:rsid w:val="414D2B2F"/>
    <w:rsid w:val="41550801"/>
    <w:rsid w:val="416C3E5A"/>
    <w:rsid w:val="417000E7"/>
    <w:rsid w:val="417109F2"/>
    <w:rsid w:val="41A20DC0"/>
    <w:rsid w:val="41A724EA"/>
    <w:rsid w:val="41B15F81"/>
    <w:rsid w:val="41B218C4"/>
    <w:rsid w:val="41B85C92"/>
    <w:rsid w:val="41E46116"/>
    <w:rsid w:val="41F3189F"/>
    <w:rsid w:val="420F6D85"/>
    <w:rsid w:val="42151652"/>
    <w:rsid w:val="421519DB"/>
    <w:rsid w:val="421D45E4"/>
    <w:rsid w:val="42343565"/>
    <w:rsid w:val="424C55F2"/>
    <w:rsid w:val="425733A8"/>
    <w:rsid w:val="4258284D"/>
    <w:rsid w:val="425D4D27"/>
    <w:rsid w:val="42657A48"/>
    <w:rsid w:val="426603BA"/>
    <w:rsid w:val="4268455C"/>
    <w:rsid w:val="426917BD"/>
    <w:rsid w:val="426F73CA"/>
    <w:rsid w:val="427303DB"/>
    <w:rsid w:val="427A1188"/>
    <w:rsid w:val="4281686E"/>
    <w:rsid w:val="42886AFF"/>
    <w:rsid w:val="428B6BB2"/>
    <w:rsid w:val="42AE629D"/>
    <w:rsid w:val="42B52B86"/>
    <w:rsid w:val="42BB6405"/>
    <w:rsid w:val="42D74986"/>
    <w:rsid w:val="42D85FAC"/>
    <w:rsid w:val="42DE1C5E"/>
    <w:rsid w:val="42EA2B14"/>
    <w:rsid w:val="42EB1456"/>
    <w:rsid w:val="43052B5B"/>
    <w:rsid w:val="431829BB"/>
    <w:rsid w:val="431F1440"/>
    <w:rsid w:val="432B3704"/>
    <w:rsid w:val="432F5CFA"/>
    <w:rsid w:val="433F4936"/>
    <w:rsid w:val="43414DC5"/>
    <w:rsid w:val="434D7B15"/>
    <w:rsid w:val="43A23E8E"/>
    <w:rsid w:val="43AC15BA"/>
    <w:rsid w:val="43B670C6"/>
    <w:rsid w:val="43B90A79"/>
    <w:rsid w:val="43C53A67"/>
    <w:rsid w:val="43CC56C5"/>
    <w:rsid w:val="43D133A9"/>
    <w:rsid w:val="43D75233"/>
    <w:rsid w:val="43ED5731"/>
    <w:rsid w:val="44097CD2"/>
    <w:rsid w:val="44166814"/>
    <w:rsid w:val="441E49C0"/>
    <w:rsid w:val="44210EF2"/>
    <w:rsid w:val="443A147B"/>
    <w:rsid w:val="443D4766"/>
    <w:rsid w:val="446B17B1"/>
    <w:rsid w:val="446D2FC8"/>
    <w:rsid w:val="447248CE"/>
    <w:rsid w:val="44777A3C"/>
    <w:rsid w:val="448311AF"/>
    <w:rsid w:val="448832C9"/>
    <w:rsid w:val="448A6DC7"/>
    <w:rsid w:val="4493623E"/>
    <w:rsid w:val="449864DC"/>
    <w:rsid w:val="44992CF9"/>
    <w:rsid w:val="449E3316"/>
    <w:rsid w:val="44A8229F"/>
    <w:rsid w:val="44B90852"/>
    <w:rsid w:val="44C661B1"/>
    <w:rsid w:val="44CF2431"/>
    <w:rsid w:val="44DC45C7"/>
    <w:rsid w:val="44F41B07"/>
    <w:rsid w:val="44F86379"/>
    <w:rsid w:val="44FB4F41"/>
    <w:rsid w:val="451901A3"/>
    <w:rsid w:val="453C1F84"/>
    <w:rsid w:val="45425F36"/>
    <w:rsid w:val="45437DB7"/>
    <w:rsid w:val="454A6F9B"/>
    <w:rsid w:val="454E63C8"/>
    <w:rsid w:val="45521F31"/>
    <w:rsid w:val="4556182B"/>
    <w:rsid w:val="45764982"/>
    <w:rsid w:val="457C792D"/>
    <w:rsid w:val="45832CE4"/>
    <w:rsid w:val="458373D6"/>
    <w:rsid w:val="458D2E96"/>
    <w:rsid w:val="45A31498"/>
    <w:rsid w:val="45AD4CB1"/>
    <w:rsid w:val="45B13982"/>
    <w:rsid w:val="45C1081E"/>
    <w:rsid w:val="45CA5697"/>
    <w:rsid w:val="45CE269E"/>
    <w:rsid w:val="45D55BDF"/>
    <w:rsid w:val="45D62A27"/>
    <w:rsid w:val="45DD0D32"/>
    <w:rsid w:val="45E17E9C"/>
    <w:rsid w:val="45E7296A"/>
    <w:rsid w:val="45FF375F"/>
    <w:rsid w:val="460C237C"/>
    <w:rsid w:val="460D1924"/>
    <w:rsid w:val="460E3CAA"/>
    <w:rsid w:val="4612240A"/>
    <w:rsid w:val="46176016"/>
    <w:rsid w:val="46277DD4"/>
    <w:rsid w:val="46285919"/>
    <w:rsid w:val="463C252A"/>
    <w:rsid w:val="464E3D9E"/>
    <w:rsid w:val="46504A5C"/>
    <w:rsid w:val="46613C09"/>
    <w:rsid w:val="46774191"/>
    <w:rsid w:val="468A2C15"/>
    <w:rsid w:val="46A16BE1"/>
    <w:rsid w:val="46A77A84"/>
    <w:rsid w:val="46AB731F"/>
    <w:rsid w:val="46B277C4"/>
    <w:rsid w:val="46B75228"/>
    <w:rsid w:val="46B96251"/>
    <w:rsid w:val="46C946C0"/>
    <w:rsid w:val="46DA56C9"/>
    <w:rsid w:val="46DA5A49"/>
    <w:rsid w:val="47412C01"/>
    <w:rsid w:val="474E5941"/>
    <w:rsid w:val="474F3D62"/>
    <w:rsid w:val="47513C76"/>
    <w:rsid w:val="4754346B"/>
    <w:rsid w:val="4754348E"/>
    <w:rsid w:val="4756001A"/>
    <w:rsid w:val="4756568D"/>
    <w:rsid w:val="47577798"/>
    <w:rsid w:val="4772156B"/>
    <w:rsid w:val="4779355C"/>
    <w:rsid w:val="47842186"/>
    <w:rsid w:val="478832E0"/>
    <w:rsid w:val="479159F0"/>
    <w:rsid w:val="47A05CA8"/>
    <w:rsid w:val="47A14A5B"/>
    <w:rsid w:val="47A44DDE"/>
    <w:rsid w:val="47A91A92"/>
    <w:rsid w:val="47BE00CA"/>
    <w:rsid w:val="47C41D7A"/>
    <w:rsid w:val="47D14B53"/>
    <w:rsid w:val="480372B3"/>
    <w:rsid w:val="481A678E"/>
    <w:rsid w:val="485510DD"/>
    <w:rsid w:val="48567268"/>
    <w:rsid w:val="485910A0"/>
    <w:rsid w:val="485B5C1D"/>
    <w:rsid w:val="487A7938"/>
    <w:rsid w:val="4880750B"/>
    <w:rsid w:val="48837E5C"/>
    <w:rsid w:val="4888031C"/>
    <w:rsid w:val="4893360E"/>
    <w:rsid w:val="48B95076"/>
    <w:rsid w:val="48BB0555"/>
    <w:rsid w:val="48BC1AD2"/>
    <w:rsid w:val="48BE05EB"/>
    <w:rsid w:val="48BF686B"/>
    <w:rsid w:val="48E721AE"/>
    <w:rsid w:val="48F958C4"/>
    <w:rsid w:val="490302D6"/>
    <w:rsid w:val="49076DE4"/>
    <w:rsid w:val="490F4E33"/>
    <w:rsid w:val="49116D99"/>
    <w:rsid w:val="49260F85"/>
    <w:rsid w:val="49311755"/>
    <w:rsid w:val="49373CCE"/>
    <w:rsid w:val="493C751F"/>
    <w:rsid w:val="49467E42"/>
    <w:rsid w:val="49510F8F"/>
    <w:rsid w:val="496E6F77"/>
    <w:rsid w:val="496F3F2D"/>
    <w:rsid w:val="49826941"/>
    <w:rsid w:val="49880A83"/>
    <w:rsid w:val="4989643B"/>
    <w:rsid w:val="498D6B08"/>
    <w:rsid w:val="499D21D7"/>
    <w:rsid w:val="49B400F2"/>
    <w:rsid w:val="49CB7C5B"/>
    <w:rsid w:val="49D27776"/>
    <w:rsid w:val="49E06D63"/>
    <w:rsid w:val="4A032358"/>
    <w:rsid w:val="4A1B043B"/>
    <w:rsid w:val="4A315EB1"/>
    <w:rsid w:val="4A404BE5"/>
    <w:rsid w:val="4A517BDD"/>
    <w:rsid w:val="4A573C21"/>
    <w:rsid w:val="4A5C7964"/>
    <w:rsid w:val="4A6A055C"/>
    <w:rsid w:val="4A6A1E2E"/>
    <w:rsid w:val="4A9001BD"/>
    <w:rsid w:val="4A9A3B52"/>
    <w:rsid w:val="4AA463A3"/>
    <w:rsid w:val="4ABF20E6"/>
    <w:rsid w:val="4AE41A09"/>
    <w:rsid w:val="4AE70E6F"/>
    <w:rsid w:val="4AEA58F5"/>
    <w:rsid w:val="4B0B1980"/>
    <w:rsid w:val="4B143261"/>
    <w:rsid w:val="4B217A64"/>
    <w:rsid w:val="4B247B3E"/>
    <w:rsid w:val="4B275E2A"/>
    <w:rsid w:val="4B355159"/>
    <w:rsid w:val="4B3C1D5A"/>
    <w:rsid w:val="4B3D35EA"/>
    <w:rsid w:val="4B401063"/>
    <w:rsid w:val="4B412866"/>
    <w:rsid w:val="4B522468"/>
    <w:rsid w:val="4B5D7416"/>
    <w:rsid w:val="4B77418C"/>
    <w:rsid w:val="4B821F6F"/>
    <w:rsid w:val="4BAB4501"/>
    <w:rsid w:val="4BB62637"/>
    <w:rsid w:val="4BC01147"/>
    <w:rsid w:val="4BC8237B"/>
    <w:rsid w:val="4BD34A3E"/>
    <w:rsid w:val="4BE8007E"/>
    <w:rsid w:val="4BFE0015"/>
    <w:rsid w:val="4BFE496A"/>
    <w:rsid w:val="4C0A7F13"/>
    <w:rsid w:val="4C117394"/>
    <w:rsid w:val="4C1359B8"/>
    <w:rsid w:val="4C1363AC"/>
    <w:rsid w:val="4C141244"/>
    <w:rsid w:val="4C1D4ECD"/>
    <w:rsid w:val="4C2848F6"/>
    <w:rsid w:val="4C371028"/>
    <w:rsid w:val="4C3905EE"/>
    <w:rsid w:val="4C3A75CA"/>
    <w:rsid w:val="4C577B71"/>
    <w:rsid w:val="4C6A5459"/>
    <w:rsid w:val="4C8308E0"/>
    <w:rsid w:val="4C9022D2"/>
    <w:rsid w:val="4C911C7F"/>
    <w:rsid w:val="4CA846C6"/>
    <w:rsid w:val="4CC25DA9"/>
    <w:rsid w:val="4CCA0A28"/>
    <w:rsid w:val="4CD42DFC"/>
    <w:rsid w:val="4CDF0B8E"/>
    <w:rsid w:val="4CE174B3"/>
    <w:rsid w:val="4CF85189"/>
    <w:rsid w:val="4D1161ED"/>
    <w:rsid w:val="4D1A21D3"/>
    <w:rsid w:val="4D4B4D1B"/>
    <w:rsid w:val="4D6006FF"/>
    <w:rsid w:val="4D615244"/>
    <w:rsid w:val="4D7B4610"/>
    <w:rsid w:val="4D7F3AE1"/>
    <w:rsid w:val="4D8725CB"/>
    <w:rsid w:val="4D971784"/>
    <w:rsid w:val="4DBD372A"/>
    <w:rsid w:val="4DCE307B"/>
    <w:rsid w:val="4DCF2CF9"/>
    <w:rsid w:val="4DDB4784"/>
    <w:rsid w:val="4DE2087B"/>
    <w:rsid w:val="4DE72335"/>
    <w:rsid w:val="4DEA4C33"/>
    <w:rsid w:val="4DF64356"/>
    <w:rsid w:val="4DF968DE"/>
    <w:rsid w:val="4E021F96"/>
    <w:rsid w:val="4E093780"/>
    <w:rsid w:val="4E0F0EE3"/>
    <w:rsid w:val="4E181D10"/>
    <w:rsid w:val="4E1B01A6"/>
    <w:rsid w:val="4E365B18"/>
    <w:rsid w:val="4E4D022C"/>
    <w:rsid w:val="4E695A35"/>
    <w:rsid w:val="4E79563B"/>
    <w:rsid w:val="4E92550E"/>
    <w:rsid w:val="4E973D29"/>
    <w:rsid w:val="4E9C7829"/>
    <w:rsid w:val="4EA966B0"/>
    <w:rsid w:val="4EB13A2B"/>
    <w:rsid w:val="4EB53881"/>
    <w:rsid w:val="4ED238D7"/>
    <w:rsid w:val="4ED81AE1"/>
    <w:rsid w:val="4EDD6546"/>
    <w:rsid w:val="4EE4759A"/>
    <w:rsid w:val="4F0564F7"/>
    <w:rsid w:val="4F0E5943"/>
    <w:rsid w:val="4F18352B"/>
    <w:rsid w:val="4F282FC6"/>
    <w:rsid w:val="4F3F3889"/>
    <w:rsid w:val="4F427E04"/>
    <w:rsid w:val="4F434F6D"/>
    <w:rsid w:val="4F4A58D5"/>
    <w:rsid w:val="4F4A6072"/>
    <w:rsid w:val="4F4B5D06"/>
    <w:rsid w:val="4F5C08DC"/>
    <w:rsid w:val="4F7D3946"/>
    <w:rsid w:val="4F81579B"/>
    <w:rsid w:val="4F823AD6"/>
    <w:rsid w:val="4F96042F"/>
    <w:rsid w:val="4F9A5211"/>
    <w:rsid w:val="4F9C6BEF"/>
    <w:rsid w:val="4FA07E30"/>
    <w:rsid w:val="4FB01539"/>
    <w:rsid w:val="4FB5062E"/>
    <w:rsid w:val="4FB953C3"/>
    <w:rsid w:val="4FBD4248"/>
    <w:rsid w:val="4FBD4673"/>
    <w:rsid w:val="4FC07045"/>
    <w:rsid w:val="4FCA5C30"/>
    <w:rsid w:val="4FD15328"/>
    <w:rsid w:val="4FD23653"/>
    <w:rsid w:val="4FD64B28"/>
    <w:rsid w:val="4FD82A7A"/>
    <w:rsid w:val="4FF03C38"/>
    <w:rsid w:val="4FF167AD"/>
    <w:rsid w:val="50104F87"/>
    <w:rsid w:val="5018554F"/>
    <w:rsid w:val="502F0A3B"/>
    <w:rsid w:val="50404006"/>
    <w:rsid w:val="50512241"/>
    <w:rsid w:val="505A4FA4"/>
    <w:rsid w:val="50830799"/>
    <w:rsid w:val="50840AB6"/>
    <w:rsid w:val="50857DC3"/>
    <w:rsid w:val="50A11F78"/>
    <w:rsid w:val="50A11F89"/>
    <w:rsid w:val="50BC428F"/>
    <w:rsid w:val="50CA0F39"/>
    <w:rsid w:val="50CF00DA"/>
    <w:rsid w:val="50DD4FAC"/>
    <w:rsid w:val="50E866FF"/>
    <w:rsid w:val="50E9484F"/>
    <w:rsid w:val="50F0320B"/>
    <w:rsid w:val="5103637E"/>
    <w:rsid w:val="510E5157"/>
    <w:rsid w:val="511E462A"/>
    <w:rsid w:val="51336336"/>
    <w:rsid w:val="51380854"/>
    <w:rsid w:val="51640CA2"/>
    <w:rsid w:val="51762672"/>
    <w:rsid w:val="517735F4"/>
    <w:rsid w:val="51824B1B"/>
    <w:rsid w:val="51870EC4"/>
    <w:rsid w:val="518819FF"/>
    <w:rsid w:val="518E45B2"/>
    <w:rsid w:val="51917CBD"/>
    <w:rsid w:val="519C3505"/>
    <w:rsid w:val="51A605AA"/>
    <w:rsid w:val="51AB383E"/>
    <w:rsid w:val="51B76209"/>
    <w:rsid w:val="51BE124C"/>
    <w:rsid w:val="51C12D81"/>
    <w:rsid w:val="51DC051F"/>
    <w:rsid w:val="51F0248E"/>
    <w:rsid w:val="51F82BD8"/>
    <w:rsid w:val="52036F78"/>
    <w:rsid w:val="520632A0"/>
    <w:rsid w:val="520B7B01"/>
    <w:rsid w:val="521A0344"/>
    <w:rsid w:val="52233B82"/>
    <w:rsid w:val="52236390"/>
    <w:rsid w:val="522C230B"/>
    <w:rsid w:val="52456153"/>
    <w:rsid w:val="525676EC"/>
    <w:rsid w:val="525C3650"/>
    <w:rsid w:val="52636E23"/>
    <w:rsid w:val="526B0D84"/>
    <w:rsid w:val="52797D57"/>
    <w:rsid w:val="52802007"/>
    <w:rsid w:val="528632BB"/>
    <w:rsid w:val="52934E81"/>
    <w:rsid w:val="52992845"/>
    <w:rsid w:val="52A442F1"/>
    <w:rsid w:val="52A8211D"/>
    <w:rsid w:val="52A8520F"/>
    <w:rsid w:val="52B03053"/>
    <w:rsid w:val="52B67DF6"/>
    <w:rsid w:val="52B7063F"/>
    <w:rsid w:val="52BD2767"/>
    <w:rsid w:val="52C73D9F"/>
    <w:rsid w:val="52CE7E43"/>
    <w:rsid w:val="52EE16C7"/>
    <w:rsid w:val="52FE1912"/>
    <w:rsid w:val="531F7404"/>
    <w:rsid w:val="53226249"/>
    <w:rsid w:val="53235405"/>
    <w:rsid w:val="5325200F"/>
    <w:rsid w:val="532C39E8"/>
    <w:rsid w:val="53374CF5"/>
    <w:rsid w:val="533756F5"/>
    <w:rsid w:val="53385F62"/>
    <w:rsid w:val="53396111"/>
    <w:rsid w:val="535B6FAA"/>
    <w:rsid w:val="536C466B"/>
    <w:rsid w:val="537744CD"/>
    <w:rsid w:val="53851FDA"/>
    <w:rsid w:val="538708F0"/>
    <w:rsid w:val="538A1817"/>
    <w:rsid w:val="53930F2D"/>
    <w:rsid w:val="53AA6D7E"/>
    <w:rsid w:val="53C11E7C"/>
    <w:rsid w:val="53C8782F"/>
    <w:rsid w:val="53D964A0"/>
    <w:rsid w:val="53E32CC7"/>
    <w:rsid w:val="53ED5672"/>
    <w:rsid w:val="53F0013F"/>
    <w:rsid w:val="54030047"/>
    <w:rsid w:val="541011D9"/>
    <w:rsid w:val="54421D66"/>
    <w:rsid w:val="54475B2B"/>
    <w:rsid w:val="54731DF7"/>
    <w:rsid w:val="547773BD"/>
    <w:rsid w:val="54A07FBB"/>
    <w:rsid w:val="54BE2487"/>
    <w:rsid w:val="54C204E4"/>
    <w:rsid w:val="54CB0CB0"/>
    <w:rsid w:val="54E10067"/>
    <w:rsid w:val="54FC09A3"/>
    <w:rsid w:val="550544B7"/>
    <w:rsid w:val="55403C26"/>
    <w:rsid w:val="554747DA"/>
    <w:rsid w:val="55477B29"/>
    <w:rsid w:val="554967A4"/>
    <w:rsid w:val="554A3E5A"/>
    <w:rsid w:val="55520A91"/>
    <w:rsid w:val="55534BDF"/>
    <w:rsid w:val="555B0465"/>
    <w:rsid w:val="555D25DA"/>
    <w:rsid w:val="55631B73"/>
    <w:rsid w:val="55675320"/>
    <w:rsid w:val="556A38D4"/>
    <w:rsid w:val="556D4594"/>
    <w:rsid w:val="55847143"/>
    <w:rsid w:val="558848EA"/>
    <w:rsid w:val="558868C1"/>
    <w:rsid w:val="558C1437"/>
    <w:rsid w:val="55963813"/>
    <w:rsid w:val="559956CE"/>
    <w:rsid w:val="559F0129"/>
    <w:rsid w:val="55AF5076"/>
    <w:rsid w:val="55D81300"/>
    <w:rsid w:val="55DC1CF8"/>
    <w:rsid w:val="55E12304"/>
    <w:rsid w:val="55EC6B05"/>
    <w:rsid w:val="55F71B46"/>
    <w:rsid w:val="55FA667D"/>
    <w:rsid w:val="56015790"/>
    <w:rsid w:val="560263C5"/>
    <w:rsid w:val="561C5302"/>
    <w:rsid w:val="561D4266"/>
    <w:rsid w:val="56264891"/>
    <w:rsid w:val="56333C0C"/>
    <w:rsid w:val="56352C6E"/>
    <w:rsid w:val="563F543B"/>
    <w:rsid w:val="564D0EFB"/>
    <w:rsid w:val="567426AF"/>
    <w:rsid w:val="56764EEC"/>
    <w:rsid w:val="568273C8"/>
    <w:rsid w:val="56903DC4"/>
    <w:rsid w:val="569D6BFD"/>
    <w:rsid w:val="56A65531"/>
    <w:rsid w:val="56A83CA3"/>
    <w:rsid w:val="56B11C92"/>
    <w:rsid w:val="56D43EA0"/>
    <w:rsid w:val="56DE0492"/>
    <w:rsid w:val="56EE0AC9"/>
    <w:rsid w:val="56FD75BD"/>
    <w:rsid w:val="57042970"/>
    <w:rsid w:val="57076AE3"/>
    <w:rsid w:val="570C1E32"/>
    <w:rsid w:val="57104CCF"/>
    <w:rsid w:val="571501EF"/>
    <w:rsid w:val="574B7843"/>
    <w:rsid w:val="574E3EC2"/>
    <w:rsid w:val="57535AC0"/>
    <w:rsid w:val="57554D3D"/>
    <w:rsid w:val="57743C5F"/>
    <w:rsid w:val="578259EE"/>
    <w:rsid w:val="57916C23"/>
    <w:rsid w:val="57A12BA3"/>
    <w:rsid w:val="57A9306C"/>
    <w:rsid w:val="57AA6421"/>
    <w:rsid w:val="57C5514A"/>
    <w:rsid w:val="57C86319"/>
    <w:rsid w:val="57D8636B"/>
    <w:rsid w:val="57E87A70"/>
    <w:rsid w:val="58041A8A"/>
    <w:rsid w:val="5809775D"/>
    <w:rsid w:val="581C7BA5"/>
    <w:rsid w:val="581D6136"/>
    <w:rsid w:val="58245C64"/>
    <w:rsid w:val="582B049B"/>
    <w:rsid w:val="58334BB6"/>
    <w:rsid w:val="5843474D"/>
    <w:rsid w:val="58492617"/>
    <w:rsid w:val="58881433"/>
    <w:rsid w:val="58A70A83"/>
    <w:rsid w:val="58D12CB8"/>
    <w:rsid w:val="590F7080"/>
    <w:rsid w:val="591744C0"/>
    <w:rsid w:val="59241E44"/>
    <w:rsid w:val="59305585"/>
    <w:rsid w:val="59344D3A"/>
    <w:rsid w:val="59407996"/>
    <w:rsid w:val="594655CE"/>
    <w:rsid w:val="59475C47"/>
    <w:rsid w:val="5962746E"/>
    <w:rsid w:val="596C5940"/>
    <w:rsid w:val="598122E2"/>
    <w:rsid w:val="599962C6"/>
    <w:rsid w:val="599D1056"/>
    <w:rsid w:val="599D563B"/>
    <w:rsid w:val="59A22CA1"/>
    <w:rsid w:val="59BA36C6"/>
    <w:rsid w:val="59BC7C54"/>
    <w:rsid w:val="59BD1300"/>
    <w:rsid w:val="59C95662"/>
    <w:rsid w:val="59D447A7"/>
    <w:rsid w:val="59DC68CE"/>
    <w:rsid w:val="59E23C8E"/>
    <w:rsid w:val="5A2E6E39"/>
    <w:rsid w:val="5A394900"/>
    <w:rsid w:val="5A3A007D"/>
    <w:rsid w:val="5A3D1059"/>
    <w:rsid w:val="5A3D21AC"/>
    <w:rsid w:val="5A3D4AAE"/>
    <w:rsid w:val="5A411C28"/>
    <w:rsid w:val="5A451A6F"/>
    <w:rsid w:val="5A5231FA"/>
    <w:rsid w:val="5A583462"/>
    <w:rsid w:val="5A593BC2"/>
    <w:rsid w:val="5A73697E"/>
    <w:rsid w:val="5A843575"/>
    <w:rsid w:val="5A875A83"/>
    <w:rsid w:val="5A8F6BE1"/>
    <w:rsid w:val="5A98341B"/>
    <w:rsid w:val="5A992E24"/>
    <w:rsid w:val="5A994841"/>
    <w:rsid w:val="5A9C774E"/>
    <w:rsid w:val="5AA37BE7"/>
    <w:rsid w:val="5AA535A1"/>
    <w:rsid w:val="5AAB39E4"/>
    <w:rsid w:val="5ABB21CB"/>
    <w:rsid w:val="5ABD044A"/>
    <w:rsid w:val="5AC60732"/>
    <w:rsid w:val="5AE226DE"/>
    <w:rsid w:val="5AE47F3F"/>
    <w:rsid w:val="5AE73FBA"/>
    <w:rsid w:val="5AE90928"/>
    <w:rsid w:val="5AEA554E"/>
    <w:rsid w:val="5AF82E11"/>
    <w:rsid w:val="5AFA0350"/>
    <w:rsid w:val="5B0F43BC"/>
    <w:rsid w:val="5B293EE6"/>
    <w:rsid w:val="5B39779F"/>
    <w:rsid w:val="5B492032"/>
    <w:rsid w:val="5B4B2379"/>
    <w:rsid w:val="5B4D68C3"/>
    <w:rsid w:val="5B542F09"/>
    <w:rsid w:val="5B5E7484"/>
    <w:rsid w:val="5B8160E7"/>
    <w:rsid w:val="5B8356F9"/>
    <w:rsid w:val="5B895BA0"/>
    <w:rsid w:val="5B9A5959"/>
    <w:rsid w:val="5BA9277B"/>
    <w:rsid w:val="5BB035C1"/>
    <w:rsid w:val="5BB55B20"/>
    <w:rsid w:val="5BB672D7"/>
    <w:rsid w:val="5BD31D3E"/>
    <w:rsid w:val="5BD74EB9"/>
    <w:rsid w:val="5BDB1D91"/>
    <w:rsid w:val="5BE03255"/>
    <w:rsid w:val="5BEA2ED5"/>
    <w:rsid w:val="5BEF04C1"/>
    <w:rsid w:val="5BF22FC6"/>
    <w:rsid w:val="5C0714B6"/>
    <w:rsid w:val="5C242EEA"/>
    <w:rsid w:val="5C3026D1"/>
    <w:rsid w:val="5C3855C4"/>
    <w:rsid w:val="5C47568C"/>
    <w:rsid w:val="5C59048A"/>
    <w:rsid w:val="5C5957FD"/>
    <w:rsid w:val="5C5E1262"/>
    <w:rsid w:val="5C6A65ED"/>
    <w:rsid w:val="5C872E88"/>
    <w:rsid w:val="5C8B03F9"/>
    <w:rsid w:val="5C9F4139"/>
    <w:rsid w:val="5CAB4497"/>
    <w:rsid w:val="5CC8326A"/>
    <w:rsid w:val="5CCA4EC2"/>
    <w:rsid w:val="5CDC71CA"/>
    <w:rsid w:val="5D0A1226"/>
    <w:rsid w:val="5D0A65CF"/>
    <w:rsid w:val="5D0D12BC"/>
    <w:rsid w:val="5D147BCB"/>
    <w:rsid w:val="5D183A16"/>
    <w:rsid w:val="5D27079D"/>
    <w:rsid w:val="5D35760E"/>
    <w:rsid w:val="5D3B1FD8"/>
    <w:rsid w:val="5D3F549E"/>
    <w:rsid w:val="5D4169D2"/>
    <w:rsid w:val="5D440549"/>
    <w:rsid w:val="5D4B183C"/>
    <w:rsid w:val="5D513266"/>
    <w:rsid w:val="5D572029"/>
    <w:rsid w:val="5D672182"/>
    <w:rsid w:val="5D6F2EEF"/>
    <w:rsid w:val="5D744C4B"/>
    <w:rsid w:val="5D8638C7"/>
    <w:rsid w:val="5D9C4A21"/>
    <w:rsid w:val="5DA16F81"/>
    <w:rsid w:val="5DA2410F"/>
    <w:rsid w:val="5DA34A85"/>
    <w:rsid w:val="5DA7750B"/>
    <w:rsid w:val="5DCB7360"/>
    <w:rsid w:val="5DD028B9"/>
    <w:rsid w:val="5DD313F1"/>
    <w:rsid w:val="5DD4562A"/>
    <w:rsid w:val="5DEB1ACD"/>
    <w:rsid w:val="5DF171B3"/>
    <w:rsid w:val="5DFE6708"/>
    <w:rsid w:val="5E0A54F4"/>
    <w:rsid w:val="5E1965E9"/>
    <w:rsid w:val="5E1A3862"/>
    <w:rsid w:val="5E1C2235"/>
    <w:rsid w:val="5E2B58A4"/>
    <w:rsid w:val="5E333346"/>
    <w:rsid w:val="5E4A6E89"/>
    <w:rsid w:val="5E524DB4"/>
    <w:rsid w:val="5E5A0B19"/>
    <w:rsid w:val="5E612F90"/>
    <w:rsid w:val="5E715BDC"/>
    <w:rsid w:val="5E92698D"/>
    <w:rsid w:val="5E9D3904"/>
    <w:rsid w:val="5EA057E6"/>
    <w:rsid w:val="5EC57708"/>
    <w:rsid w:val="5ED4609B"/>
    <w:rsid w:val="5EDB34AB"/>
    <w:rsid w:val="5EF95C8B"/>
    <w:rsid w:val="5F056667"/>
    <w:rsid w:val="5F253C9F"/>
    <w:rsid w:val="5F273367"/>
    <w:rsid w:val="5F287AB3"/>
    <w:rsid w:val="5F381B77"/>
    <w:rsid w:val="5F3F688F"/>
    <w:rsid w:val="5F5C2677"/>
    <w:rsid w:val="5F601BA9"/>
    <w:rsid w:val="5F61293D"/>
    <w:rsid w:val="5F7103EE"/>
    <w:rsid w:val="5F7D5E13"/>
    <w:rsid w:val="5F9546E8"/>
    <w:rsid w:val="5FAB7289"/>
    <w:rsid w:val="5FC50BBC"/>
    <w:rsid w:val="5FC74103"/>
    <w:rsid w:val="5FC94113"/>
    <w:rsid w:val="5FD561C0"/>
    <w:rsid w:val="5FE227F9"/>
    <w:rsid w:val="601F65D4"/>
    <w:rsid w:val="60311CC6"/>
    <w:rsid w:val="604E5B46"/>
    <w:rsid w:val="60563B24"/>
    <w:rsid w:val="60662B73"/>
    <w:rsid w:val="60690FFD"/>
    <w:rsid w:val="606E367F"/>
    <w:rsid w:val="607A6872"/>
    <w:rsid w:val="6090446E"/>
    <w:rsid w:val="6097124B"/>
    <w:rsid w:val="609A301F"/>
    <w:rsid w:val="60A805F1"/>
    <w:rsid w:val="60AB014E"/>
    <w:rsid w:val="60EE4DD2"/>
    <w:rsid w:val="61071EF9"/>
    <w:rsid w:val="610819E9"/>
    <w:rsid w:val="61091C8A"/>
    <w:rsid w:val="61123B93"/>
    <w:rsid w:val="611C1F81"/>
    <w:rsid w:val="61227FA4"/>
    <w:rsid w:val="612A1533"/>
    <w:rsid w:val="613447CD"/>
    <w:rsid w:val="61471F6C"/>
    <w:rsid w:val="614B0AA0"/>
    <w:rsid w:val="61565DA5"/>
    <w:rsid w:val="61671D60"/>
    <w:rsid w:val="61733826"/>
    <w:rsid w:val="61826378"/>
    <w:rsid w:val="618A0F27"/>
    <w:rsid w:val="619764D8"/>
    <w:rsid w:val="61A271EB"/>
    <w:rsid w:val="61B4233F"/>
    <w:rsid w:val="61D56762"/>
    <w:rsid w:val="61D666DA"/>
    <w:rsid w:val="61D93B94"/>
    <w:rsid w:val="61D9656F"/>
    <w:rsid w:val="61EC1883"/>
    <w:rsid w:val="621D60A8"/>
    <w:rsid w:val="62373E29"/>
    <w:rsid w:val="6242766D"/>
    <w:rsid w:val="625423E8"/>
    <w:rsid w:val="625E2306"/>
    <w:rsid w:val="626069B6"/>
    <w:rsid w:val="62741947"/>
    <w:rsid w:val="627766D1"/>
    <w:rsid w:val="627D37AE"/>
    <w:rsid w:val="62925356"/>
    <w:rsid w:val="629A12DB"/>
    <w:rsid w:val="629A18C2"/>
    <w:rsid w:val="62A528B9"/>
    <w:rsid w:val="62F06D4B"/>
    <w:rsid w:val="62F123F2"/>
    <w:rsid w:val="62F34C34"/>
    <w:rsid w:val="631E6AA2"/>
    <w:rsid w:val="632E45F1"/>
    <w:rsid w:val="633A2693"/>
    <w:rsid w:val="633D6FAF"/>
    <w:rsid w:val="634E5AEB"/>
    <w:rsid w:val="635118BC"/>
    <w:rsid w:val="635D0E8F"/>
    <w:rsid w:val="6364137C"/>
    <w:rsid w:val="63683731"/>
    <w:rsid w:val="637F3D78"/>
    <w:rsid w:val="639250D9"/>
    <w:rsid w:val="63A71724"/>
    <w:rsid w:val="63B26C13"/>
    <w:rsid w:val="63D126E7"/>
    <w:rsid w:val="63E50DB2"/>
    <w:rsid w:val="63FB6993"/>
    <w:rsid w:val="640D4A64"/>
    <w:rsid w:val="640E03F5"/>
    <w:rsid w:val="64661443"/>
    <w:rsid w:val="64752DA1"/>
    <w:rsid w:val="647D7530"/>
    <w:rsid w:val="6481680F"/>
    <w:rsid w:val="64877825"/>
    <w:rsid w:val="649540B4"/>
    <w:rsid w:val="64A5135D"/>
    <w:rsid w:val="64A9519C"/>
    <w:rsid w:val="64B74EE8"/>
    <w:rsid w:val="65121733"/>
    <w:rsid w:val="65214198"/>
    <w:rsid w:val="652F0F37"/>
    <w:rsid w:val="65311259"/>
    <w:rsid w:val="653A1D84"/>
    <w:rsid w:val="653C6362"/>
    <w:rsid w:val="654768D3"/>
    <w:rsid w:val="654E340A"/>
    <w:rsid w:val="654F096F"/>
    <w:rsid w:val="65560B11"/>
    <w:rsid w:val="655970FB"/>
    <w:rsid w:val="655A590C"/>
    <w:rsid w:val="65610BC1"/>
    <w:rsid w:val="656E00D7"/>
    <w:rsid w:val="65773A2C"/>
    <w:rsid w:val="65782042"/>
    <w:rsid w:val="658A1798"/>
    <w:rsid w:val="65982BDD"/>
    <w:rsid w:val="6598698C"/>
    <w:rsid w:val="659B259E"/>
    <w:rsid w:val="65A17FE2"/>
    <w:rsid w:val="65B20D2A"/>
    <w:rsid w:val="65B364C0"/>
    <w:rsid w:val="65C819E0"/>
    <w:rsid w:val="65D80666"/>
    <w:rsid w:val="65E4196F"/>
    <w:rsid w:val="65EE0CA2"/>
    <w:rsid w:val="65F32FB4"/>
    <w:rsid w:val="66197755"/>
    <w:rsid w:val="661A0911"/>
    <w:rsid w:val="661D46A7"/>
    <w:rsid w:val="661E5AA5"/>
    <w:rsid w:val="661F5519"/>
    <w:rsid w:val="66241B9F"/>
    <w:rsid w:val="662E11BB"/>
    <w:rsid w:val="66335744"/>
    <w:rsid w:val="663D638D"/>
    <w:rsid w:val="665844E5"/>
    <w:rsid w:val="665B43BD"/>
    <w:rsid w:val="66767C8F"/>
    <w:rsid w:val="66812E0A"/>
    <w:rsid w:val="66A11209"/>
    <w:rsid w:val="66A315D7"/>
    <w:rsid w:val="66A3630F"/>
    <w:rsid w:val="66A615BF"/>
    <w:rsid w:val="66A96DA4"/>
    <w:rsid w:val="66B24344"/>
    <w:rsid w:val="66BC4FD6"/>
    <w:rsid w:val="66BE7F14"/>
    <w:rsid w:val="66D07F91"/>
    <w:rsid w:val="66E0532B"/>
    <w:rsid w:val="66E270C2"/>
    <w:rsid w:val="66E27908"/>
    <w:rsid w:val="66E42FF0"/>
    <w:rsid w:val="66EE5F70"/>
    <w:rsid w:val="66F17833"/>
    <w:rsid w:val="67063142"/>
    <w:rsid w:val="670F3ECD"/>
    <w:rsid w:val="67106E1D"/>
    <w:rsid w:val="6716304D"/>
    <w:rsid w:val="671C6E72"/>
    <w:rsid w:val="67391868"/>
    <w:rsid w:val="673B29A9"/>
    <w:rsid w:val="673D0F21"/>
    <w:rsid w:val="674B010F"/>
    <w:rsid w:val="674E59CC"/>
    <w:rsid w:val="675436AF"/>
    <w:rsid w:val="67543C18"/>
    <w:rsid w:val="675839B2"/>
    <w:rsid w:val="675B54A4"/>
    <w:rsid w:val="67696037"/>
    <w:rsid w:val="676A1C7E"/>
    <w:rsid w:val="676D3A35"/>
    <w:rsid w:val="67754259"/>
    <w:rsid w:val="677704F8"/>
    <w:rsid w:val="677C2B6E"/>
    <w:rsid w:val="67897000"/>
    <w:rsid w:val="67AF1918"/>
    <w:rsid w:val="67B54F46"/>
    <w:rsid w:val="67B84180"/>
    <w:rsid w:val="67BB76D8"/>
    <w:rsid w:val="67C5649F"/>
    <w:rsid w:val="67E37FA0"/>
    <w:rsid w:val="67EC05AE"/>
    <w:rsid w:val="68034C9A"/>
    <w:rsid w:val="6806767B"/>
    <w:rsid w:val="68123806"/>
    <w:rsid w:val="681C0235"/>
    <w:rsid w:val="681E0330"/>
    <w:rsid w:val="68267751"/>
    <w:rsid w:val="682F23FE"/>
    <w:rsid w:val="683106CA"/>
    <w:rsid w:val="68322C31"/>
    <w:rsid w:val="68357F19"/>
    <w:rsid w:val="683906DA"/>
    <w:rsid w:val="683E5085"/>
    <w:rsid w:val="684479EE"/>
    <w:rsid w:val="684623D1"/>
    <w:rsid w:val="684F1CE0"/>
    <w:rsid w:val="685046E0"/>
    <w:rsid w:val="68574F2E"/>
    <w:rsid w:val="685B36CB"/>
    <w:rsid w:val="686315D8"/>
    <w:rsid w:val="68633BD5"/>
    <w:rsid w:val="68660629"/>
    <w:rsid w:val="686617EC"/>
    <w:rsid w:val="687705E8"/>
    <w:rsid w:val="688F07FD"/>
    <w:rsid w:val="688F3D8F"/>
    <w:rsid w:val="689A45E8"/>
    <w:rsid w:val="689B2A76"/>
    <w:rsid w:val="689C4F76"/>
    <w:rsid w:val="68B11A04"/>
    <w:rsid w:val="68B37680"/>
    <w:rsid w:val="68B95EC8"/>
    <w:rsid w:val="68BB086E"/>
    <w:rsid w:val="68C43DB3"/>
    <w:rsid w:val="68DD797F"/>
    <w:rsid w:val="68EE1E59"/>
    <w:rsid w:val="68F33DF4"/>
    <w:rsid w:val="68F7684C"/>
    <w:rsid w:val="68FC6AAE"/>
    <w:rsid w:val="69000385"/>
    <w:rsid w:val="69041AA8"/>
    <w:rsid w:val="690A4422"/>
    <w:rsid w:val="69177FF0"/>
    <w:rsid w:val="691950B8"/>
    <w:rsid w:val="692B1797"/>
    <w:rsid w:val="692C63E9"/>
    <w:rsid w:val="692D582F"/>
    <w:rsid w:val="69315888"/>
    <w:rsid w:val="693606E3"/>
    <w:rsid w:val="69485055"/>
    <w:rsid w:val="69506FBC"/>
    <w:rsid w:val="697C3EC8"/>
    <w:rsid w:val="69830296"/>
    <w:rsid w:val="698A58EA"/>
    <w:rsid w:val="6996209D"/>
    <w:rsid w:val="69965C57"/>
    <w:rsid w:val="69B820CC"/>
    <w:rsid w:val="69BB70ED"/>
    <w:rsid w:val="69C0524B"/>
    <w:rsid w:val="69C207E6"/>
    <w:rsid w:val="69CE4B8D"/>
    <w:rsid w:val="69E4533D"/>
    <w:rsid w:val="69E84808"/>
    <w:rsid w:val="69ED1AC8"/>
    <w:rsid w:val="6A145BF5"/>
    <w:rsid w:val="6A177135"/>
    <w:rsid w:val="6A197826"/>
    <w:rsid w:val="6A235659"/>
    <w:rsid w:val="6A3528D3"/>
    <w:rsid w:val="6A3A77E0"/>
    <w:rsid w:val="6A4A1C75"/>
    <w:rsid w:val="6A641533"/>
    <w:rsid w:val="6A7259FE"/>
    <w:rsid w:val="6A863DF8"/>
    <w:rsid w:val="6A990CB6"/>
    <w:rsid w:val="6A9E455A"/>
    <w:rsid w:val="6AA46AEF"/>
    <w:rsid w:val="6AA9734A"/>
    <w:rsid w:val="6ABF0DA2"/>
    <w:rsid w:val="6ACC2ED3"/>
    <w:rsid w:val="6ADC2CD8"/>
    <w:rsid w:val="6AEE6EE7"/>
    <w:rsid w:val="6AF13F6E"/>
    <w:rsid w:val="6AFD3680"/>
    <w:rsid w:val="6B0C33AE"/>
    <w:rsid w:val="6B1D40F2"/>
    <w:rsid w:val="6B1E7212"/>
    <w:rsid w:val="6B2036CF"/>
    <w:rsid w:val="6B235FB0"/>
    <w:rsid w:val="6B2F3674"/>
    <w:rsid w:val="6B334F77"/>
    <w:rsid w:val="6B3B022A"/>
    <w:rsid w:val="6B3F4545"/>
    <w:rsid w:val="6B41736F"/>
    <w:rsid w:val="6B434CDC"/>
    <w:rsid w:val="6B5143C5"/>
    <w:rsid w:val="6B53130C"/>
    <w:rsid w:val="6B667505"/>
    <w:rsid w:val="6B7539AD"/>
    <w:rsid w:val="6B80333F"/>
    <w:rsid w:val="6B80359D"/>
    <w:rsid w:val="6B9B466A"/>
    <w:rsid w:val="6BA52D36"/>
    <w:rsid w:val="6BB87815"/>
    <w:rsid w:val="6BBB5B37"/>
    <w:rsid w:val="6BD607FB"/>
    <w:rsid w:val="6BDC1299"/>
    <w:rsid w:val="6BE1053C"/>
    <w:rsid w:val="6BE24BDF"/>
    <w:rsid w:val="6BEC40E3"/>
    <w:rsid w:val="6BF333A7"/>
    <w:rsid w:val="6BF73D80"/>
    <w:rsid w:val="6BF93FA0"/>
    <w:rsid w:val="6C23508C"/>
    <w:rsid w:val="6C357717"/>
    <w:rsid w:val="6C4D61C6"/>
    <w:rsid w:val="6C510EBB"/>
    <w:rsid w:val="6C6F6140"/>
    <w:rsid w:val="6C7F3D94"/>
    <w:rsid w:val="6C8133BF"/>
    <w:rsid w:val="6C826AC6"/>
    <w:rsid w:val="6C912E92"/>
    <w:rsid w:val="6C936E90"/>
    <w:rsid w:val="6C951B4D"/>
    <w:rsid w:val="6CA24A11"/>
    <w:rsid w:val="6CA50CD7"/>
    <w:rsid w:val="6CA76393"/>
    <w:rsid w:val="6CB0011B"/>
    <w:rsid w:val="6CBB3CC2"/>
    <w:rsid w:val="6CC8492E"/>
    <w:rsid w:val="6CD95CEF"/>
    <w:rsid w:val="6CE1191A"/>
    <w:rsid w:val="6CE37EBE"/>
    <w:rsid w:val="6CE93D90"/>
    <w:rsid w:val="6CEB5442"/>
    <w:rsid w:val="6D02422C"/>
    <w:rsid w:val="6D0466E7"/>
    <w:rsid w:val="6D082120"/>
    <w:rsid w:val="6D287100"/>
    <w:rsid w:val="6D2F121B"/>
    <w:rsid w:val="6D33483C"/>
    <w:rsid w:val="6D341743"/>
    <w:rsid w:val="6D4171D1"/>
    <w:rsid w:val="6D463172"/>
    <w:rsid w:val="6D494A75"/>
    <w:rsid w:val="6D557A81"/>
    <w:rsid w:val="6D576158"/>
    <w:rsid w:val="6D6064F9"/>
    <w:rsid w:val="6D685E5A"/>
    <w:rsid w:val="6D79545D"/>
    <w:rsid w:val="6D7C72B5"/>
    <w:rsid w:val="6D8073A8"/>
    <w:rsid w:val="6D9021CE"/>
    <w:rsid w:val="6D94502B"/>
    <w:rsid w:val="6DCD368C"/>
    <w:rsid w:val="6DCE66C0"/>
    <w:rsid w:val="6DD8719F"/>
    <w:rsid w:val="6DE9631A"/>
    <w:rsid w:val="6DEB454C"/>
    <w:rsid w:val="6DED635B"/>
    <w:rsid w:val="6DF45185"/>
    <w:rsid w:val="6DF5534F"/>
    <w:rsid w:val="6E002CD0"/>
    <w:rsid w:val="6E0070C0"/>
    <w:rsid w:val="6E020E90"/>
    <w:rsid w:val="6E0F3361"/>
    <w:rsid w:val="6E1A6F2E"/>
    <w:rsid w:val="6E20137D"/>
    <w:rsid w:val="6E332EB3"/>
    <w:rsid w:val="6E3332A7"/>
    <w:rsid w:val="6E43491B"/>
    <w:rsid w:val="6E502CF0"/>
    <w:rsid w:val="6E533621"/>
    <w:rsid w:val="6E995BEA"/>
    <w:rsid w:val="6EA068B7"/>
    <w:rsid w:val="6EA07602"/>
    <w:rsid w:val="6EC16F54"/>
    <w:rsid w:val="6EC33517"/>
    <w:rsid w:val="6EC53CE1"/>
    <w:rsid w:val="6EDE43D8"/>
    <w:rsid w:val="6EEE7408"/>
    <w:rsid w:val="6F157CD7"/>
    <w:rsid w:val="6F1A7D18"/>
    <w:rsid w:val="6F2572EC"/>
    <w:rsid w:val="6F410095"/>
    <w:rsid w:val="6F43232A"/>
    <w:rsid w:val="6F465F3D"/>
    <w:rsid w:val="6F67654C"/>
    <w:rsid w:val="6F6D2D8A"/>
    <w:rsid w:val="6F741D3B"/>
    <w:rsid w:val="6F7637EB"/>
    <w:rsid w:val="6F7E2A2C"/>
    <w:rsid w:val="6F8333C0"/>
    <w:rsid w:val="6F8B1FB0"/>
    <w:rsid w:val="6F9435BE"/>
    <w:rsid w:val="6F956C3A"/>
    <w:rsid w:val="6F9A052D"/>
    <w:rsid w:val="6FA55B54"/>
    <w:rsid w:val="6FA93482"/>
    <w:rsid w:val="6FAC5FE0"/>
    <w:rsid w:val="6FB2595E"/>
    <w:rsid w:val="6FB73A71"/>
    <w:rsid w:val="6FB95E7D"/>
    <w:rsid w:val="6FC0490D"/>
    <w:rsid w:val="6FD5229F"/>
    <w:rsid w:val="6FD90043"/>
    <w:rsid w:val="6FDC14F7"/>
    <w:rsid w:val="6FE96AF0"/>
    <w:rsid w:val="6FF40AC0"/>
    <w:rsid w:val="6FF952D9"/>
    <w:rsid w:val="701F19A3"/>
    <w:rsid w:val="7029684D"/>
    <w:rsid w:val="703440D3"/>
    <w:rsid w:val="70344BF2"/>
    <w:rsid w:val="703A15CE"/>
    <w:rsid w:val="703C6F61"/>
    <w:rsid w:val="70436AC9"/>
    <w:rsid w:val="70504892"/>
    <w:rsid w:val="705E4C75"/>
    <w:rsid w:val="706F1F58"/>
    <w:rsid w:val="70762FD4"/>
    <w:rsid w:val="70927221"/>
    <w:rsid w:val="70967108"/>
    <w:rsid w:val="70A6135F"/>
    <w:rsid w:val="70E31EE1"/>
    <w:rsid w:val="70E43F50"/>
    <w:rsid w:val="70EA76D5"/>
    <w:rsid w:val="70EF47E2"/>
    <w:rsid w:val="70F037A6"/>
    <w:rsid w:val="70F13C6C"/>
    <w:rsid w:val="70F1655B"/>
    <w:rsid w:val="71035DAF"/>
    <w:rsid w:val="7114183A"/>
    <w:rsid w:val="71141B48"/>
    <w:rsid w:val="711625FA"/>
    <w:rsid w:val="711A7807"/>
    <w:rsid w:val="711D4D63"/>
    <w:rsid w:val="711D4EAC"/>
    <w:rsid w:val="713F0AB5"/>
    <w:rsid w:val="71506DC1"/>
    <w:rsid w:val="7155263E"/>
    <w:rsid w:val="71585E27"/>
    <w:rsid w:val="715B6B66"/>
    <w:rsid w:val="716501F3"/>
    <w:rsid w:val="717304C5"/>
    <w:rsid w:val="71733862"/>
    <w:rsid w:val="71805700"/>
    <w:rsid w:val="71A14792"/>
    <w:rsid w:val="71B5108D"/>
    <w:rsid w:val="71C57BFE"/>
    <w:rsid w:val="71CB49CC"/>
    <w:rsid w:val="71DA1BBC"/>
    <w:rsid w:val="71DE003C"/>
    <w:rsid w:val="71ED29B8"/>
    <w:rsid w:val="71F26B16"/>
    <w:rsid w:val="71FB0B55"/>
    <w:rsid w:val="71FB5A27"/>
    <w:rsid w:val="72123D8F"/>
    <w:rsid w:val="722A037F"/>
    <w:rsid w:val="72345AE6"/>
    <w:rsid w:val="723C004D"/>
    <w:rsid w:val="723E221B"/>
    <w:rsid w:val="72490669"/>
    <w:rsid w:val="724B79B3"/>
    <w:rsid w:val="72554C16"/>
    <w:rsid w:val="725D60BF"/>
    <w:rsid w:val="726F6CC7"/>
    <w:rsid w:val="727F69A8"/>
    <w:rsid w:val="72885B18"/>
    <w:rsid w:val="729855C7"/>
    <w:rsid w:val="729C33B1"/>
    <w:rsid w:val="72AA6A89"/>
    <w:rsid w:val="72DA478C"/>
    <w:rsid w:val="72ED27C9"/>
    <w:rsid w:val="72FE5F1C"/>
    <w:rsid w:val="731611A6"/>
    <w:rsid w:val="732238BD"/>
    <w:rsid w:val="73251B60"/>
    <w:rsid w:val="732652F6"/>
    <w:rsid w:val="73282D19"/>
    <w:rsid w:val="73295D4B"/>
    <w:rsid w:val="73367612"/>
    <w:rsid w:val="73433E83"/>
    <w:rsid w:val="736362E9"/>
    <w:rsid w:val="73835F93"/>
    <w:rsid w:val="73867FDE"/>
    <w:rsid w:val="739326AF"/>
    <w:rsid w:val="739A0841"/>
    <w:rsid w:val="739D6D83"/>
    <w:rsid w:val="73A57896"/>
    <w:rsid w:val="73A81FE2"/>
    <w:rsid w:val="73CA1CA2"/>
    <w:rsid w:val="73CF70B4"/>
    <w:rsid w:val="73D6013B"/>
    <w:rsid w:val="73E06C61"/>
    <w:rsid w:val="73FA1B82"/>
    <w:rsid w:val="74215AA5"/>
    <w:rsid w:val="742F4960"/>
    <w:rsid w:val="743018DF"/>
    <w:rsid w:val="74354E1E"/>
    <w:rsid w:val="7435719E"/>
    <w:rsid w:val="744E0B8A"/>
    <w:rsid w:val="744F46F7"/>
    <w:rsid w:val="747762DA"/>
    <w:rsid w:val="74782C63"/>
    <w:rsid w:val="747D0960"/>
    <w:rsid w:val="747F5E0C"/>
    <w:rsid w:val="74827F39"/>
    <w:rsid w:val="74981A4F"/>
    <w:rsid w:val="74AC1694"/>
    <w:rsid w:val="74B166A1"/>
    <w:rsid w:val="74BD5326"/>
    <w:rsid w:val="74BE3E5B"/>
    <w:rsid w:val="74C14350"/>
    <w:rsid w:val="74CC56BD"/>
    <w:rsid w:val="74D50665"/>
    <w:rsid w:val="74D56CDF"/>
    <w:rsid w:val="74EE5F2D"/>
    <w:rsid w:val="75110FEE"/>
    <w:rsid w:val="75187475"/>
    <w:rsid w:val="75253564"/>
    <w:rsid w:val="752646D1"/>
    <w:rsid w:val="752A621F"/>
    <w:rsid w:val="752A7427"/>
    <w:rsid w:val="752C2D3F"/>
    <w:rsid w:val="752C7208"/>
    <w:rsid w:val="753E1F87"/>
    <w:rsid w:val="753E779E"/>
    <w:rsid w:val="75476E5B"/>
    <w:rsid w:val="754B59D2"/>
    <w:rsid w:val="755407D6"/>
    <w:rsid w:val="7556319E"/>
    <w:rsid w:val="755653B5"/>
    <w:rsid w:val="755A22C7"/>
    <w:rsid w:val="756D686E"/>
    <w:rsid w:val="757B0317"/>
    <w:rsid w:val="75841C37"/>
    <w:rsid w:val="7594295B"/>
    <w:rsid w:val="75A26D0F"/>
    <w:rsid w:val="75C502F5"/>
    <w:rsid w:val="75D22950"/>
    <w:rsid w:val="75D237F5"/>
    <w:rsid w:val="75D94B83"/>
    <w:rsid w:val="75DB4DEB"/>
    <w:rsid w:val="75F22A64"/>
    <w:rsid w:val="75F95A6D"/>
    <w:rsid w:val="75FA2D4B"/>
    <w:rsid w:val="761B0CCD"/>
    <w:rsid w:val="762A015E"/>
    <w:rsid w:val="763F587E"/>
    <w:rsid w:val="76434E81"/>
    <w:rsid w:val="76466E90"/>
    <w:rsid w:val="76497C25"/>
    <w:rsid w:val="76506516"/>
    <w:rsid w:val="76613040"/>
    <w:rsid w:val="76692262"/>
    <w:rsid w:val="767569AA"/>
    <w:rsid w:val="76796768"/>
    <w:rsid w:val="76810FC1"/>
    <w:rsid w:val="76825E72"/>
    <w:rsid w:val="76852BE0"/>
    <w:rsid w:val="76966E1D"/>
    <w:rsid w:val="76B50C00"/>
    <w:rsid w:val="76B83B4B"/>
    <w:rsid w:val="76CC18A6"/>
    <w:rsid w:val="76D97AFF"/>
    <w:rsid w:val="76E0347F"/>
    <w:rsid w:val="76E22981"/>
    <w:rsid w:val="76EA2DC0"/>
    <w:rsid w:val="76F24FEE"/>
    <w:rsid w:val="770434E9"/>
    <w:rsid w:val="770A4BDD"/>
    <w:rsid w:val="771E6D62"/>
    <w:rsid w:val="775A66AF"/>
    <w:rsid w:val="776E3704"/>
    <w:rsid w:val="779D6AFC"/>
    <w:rsid w:val="77A66E2C"/>
    <w:rsid w:val="77B2575F"/>
    <w:rsid w:val="77BE504A"/>
    <w:rsid w:val="77C47AB5"/>
    <w:rsid w:val="77CC7954"/>
    <w:rsid w:val="77D62EF8"/>
    <w:rsid w:val="77E30A58"/>
    <w:rsid w:val="77FE4202"/>
    <w:rsid w:val="7821598F"/>
    <w:rsid w:val="78434436"/>
    <w:rsid w:val="784577B7"/>
    <w:rsid w:val="78537305"/>
    <w:rsid w:val="7868635F"/>
    <w:rsid w:val="78715CDA"/>
    <w:rsid w:val="78757F6E"/>
    <w:rsid w:val="788A3ACE"/>
    <w:rsid w:val="78977525"/>
    <w:rsid w:val="78AB5CD4"/>
    <w:rsid w:val="78BD0AF8"/>
    <w:rsid w:val="78BD5927"/>
    <w:rsid w:val="78CA3277"/>
    <w:rsid w:val="78CA7E82"/>
    <w:rsid w:val="78D104E8"/>
    <w:rsid w:val="78D107E8"/>
    <w:rsid w:val="78D6454A"/>
    <w:rsid w:val="78EE014B"/>
    <w:rsid w:val="78F91702"/>
    <w:rsid w:val="791A300A"/>
    <w:rsid w:val="791C6160"/>
    <w:rsid w:val="792419AC"/>
    <w:rsid w:val="792E4D91"/>
    <w:rsid w:val="793507DA"/>
    <w:rsid w:val="793C15B6"/>
    <w:rsid w:val="79444B68"/>
    <w:rsid w:val="794E1AAC"/>
    <w:rsid w:val="796606F6"/>
    <w:rsid w:val="796706F8"/>
    <w:rsid w:val="7985576F"/>
    <w:rsid w:val="799B6D6B"/>
    <w:rsid w:val="799E4E95"/>
    <w:rsid w:val="79B0209F"/>
    <w:rsid w:val="79D95F69"/>
    <w:rsid w:val="79F53CDA"/>
    <w:rsid w:val="79FD7370"/>
    <w:rsid w:val="7A016D9E"/>
    <w:rsid w:val="7A1002C9"/>
    <w:rsid w:val="7A184287"/>
    <w:rsid w:val="7A1A39BC"/>
    <w:rsid w:val="7A1B7E60"/>
    <w:rsid w:val="7A2D5683"/>
    <w:rsid w:val="7A2F0925"/>
    <w:rsid w:val="7A3201C8"/>
    <w:rsid w:val="7A3A6E47"/>
    <w:rsid w:val="7A46516C"/>
    <w:rsid w:val="7A5A2A2A"/>
    <w:rsid w:val="7A743ACE"/>
    <w:rsid w:val="7A7823D0"/>
    <w:rsid w:val="7A795E59"/>
    <w:rsid w:val="7A8025CD"/>
    <w:rsid w:val="7A8E4F4E"/>
    <w:rsid w:val="7A976E42"/>
    <w:rsid w:val="7A9A1A5D"/>
    <w:rsid w:val="7AA67A10"/>
    <w:rsid w:val="7AAA46C6"/>
    <w:rsid w:val="7AAF34DD"/>
    <w:rsid w:val="7AB825E8"/>
    <w:rsid w:val="7AB926F1"/>
    <w:rsid w:val="7ACB0B6F"/>
    <w:rsid w:val="7ACD4C32"/>
    <w:rsid w:val="7AD222F1"/>
    <w:rsid w:val="7ADC1EA2"/>
    <w:rsid w:val="7AED351C"/>
    <w:rsid w:val="7AF735ED"/>
    <w:rsid w:val="7AF83666"/>
    <w:rsid w:val="7AF93770"/>
    <w:rsid w:val="7AFC60F2"/>
    <w:rsid w:val="7B006A4E"/>
    <w:rsid w:val="7B270F5F"/>
    <w:rsid w:val="7B2E2293"/>
    <w:rsid w:val="7B3E7534"/>
    <w:rsid w:val="7B40191C"/>
    <w:rsid w:val="7B4F6827"/>
    <w:rsid w:val="7B55001E"/>
    <w:rsid w:val="7B554FA7"/>
    <w:rsid w:val="7B5A41FF"/>
    <w:rsid w:val="7B5A730B"/>
    <w:rsid w:val="7B5F2533"/>
    <w:rsid w:val="7B6B470D"/>
    <w:rsid w:val="7B7C16A0"/>
    <w:rsid w:val="7B7F61CD"/>
    <w:rsid w:val="7B854CE6"/>
    <w:rsid w:val="7B912A9D"/>
    <w:rsid w:val="7B9558F3"/>
    <w:rsid w:val="7B9C5107"/>
    <w:rsid w:val="7B9F36B7"/>
    <w:rsid w:val="7BB265A2"/>
    <w:rsid w:val="7BCA6995"/>
    <w:rsid w:val="7BCC6021"/>
    <w:rsid w:val="7BCD7314"/>
    <w:rsid w:val="7BDD49F0"/>
    <w:rsid w:val="7BEF674F"/>
    <w:rsid w:val="7BF01F31"/>
    <w:rsid w:val="7BF76DA3"/>
    <w:rsid w:val="7BFB45CD"/>
    <w:rsid w:val="7BFF1E08"/>
    <w:rsid w:val="7C164264"/>
    <w:rsid w:val="7C223DFF"/>
    <w:rsid w:val="7C3135B1"/>
    <w:rsid w:val="7C433450"/>
    <w:rsid w:val="7C475B9A"/>
    <w:rsid w:val="7C501425"/>
    <w:rsid w:val="7C570460"/>
    <w:rsid w:val="7C5F578C"/>
    <w:rsid w:val="7C645F76"/>
    <w:rsid w:val="7C676C62"/>
    <w:rsid w:val="7C70510C"/>
    <w:rsid w:val="7C776298"/>
    <w:rsid w:val="7C792F0B"/>
    <w:rsid w:val="7C811E42"/>
    <w:rsid w:val="7C957697"/>
    <w:rsid w:val="7CBD41B3"/>
    <w:rsid w:val="7CFF35E0"/>
    <w:rsid w:val="7D016B17"/>
    <w:rsid w:val="7D024E0D"/>
    <w:rsid w:val="7D1452E6"/>
    <w:rsid w:val="7D341239"/>
    <w:rsid w:val="7D3715AC"/>
    <w:rsid w:val="7D3850D1"/>
    <w:rsid w:val="7D4C5145"/>
    <w:rsid w:val="7D501E09"/>
    <w:rsid w:val="7D5C72E9"/>
    <w:rsid w:val="7D6C176D"/>
    <w:rsid w:val="7D6D24BD"/>
    <w:rsid w:val="7D744F4F"/>
    <w:rsid w:val="7D87429F"/>
    <w:rsid w:val="7D98153E"/>
    <w:rsid w:val="7D9838F3"/>
    <w:rsid w:val="7D9B1FFF"/>
    <w:rsid w:val="7D9E392F"/>
    <w:rsid w:val="7D9F662F"/>
    <w:rsid w:val="7DA26B6C"/>
    <w:rsid w:val="7DA85427"/>
    <w:rsid w:val="7DAA7855"/>
    <w:rsid w:val="7DAB49B9"/>
    <w:rsid w:val="7DB8390D"/>
    <w:rsid w:val="7DBA71F2"/>
    <w:rsid w:val="7DC0110E"/>
    <w:rsid w:val="7DC235BD"/>
    <w:rsid w:val="7DC76C96"/>
    <w:rsid w:val="7DE455C8"/>
    <w:rsid w:val="7DFB17A0"/>
    <w:rsid w:val="7E0E7975"/>
    <w:rsid w:val="7E1A603C"/>
    <w:rsid w:val="7E226178"/>
    <w:rsid w:val="7E2E5718"/>
    <w:rsid w:val="7E3F224C"/>
    <w:rsid w:val="7E4940C8"/>
    <w:rsid w:val="7E527824"/>
    <w:rsid w:val="7E6F0BC4"/>
    <w:rsid w:val="7E8669CE"/>
    <w:rsid w:val="7E8A2E08"/>
    <w:rsid w:val="7E8B4DF6"/>
    <w:rsid w:val="7E917B12"/>
    <w:rsid w:val="7E9C52E7"/>
    <w:rsid w:val="7EAD3266"/>
    <w:rsid w:val="7EAE7573"/>
    <w:rsid w:val="7EBA3EB4"/>
    <w:rsid w:val="7EC44D97"/>
    <w:rsid w:val="7EC753E0"/>
    <w:rsid w:val="7ECA144B"/>
    <w:rsid w:val="7EDF43B8"/>
    <w:rsid w:val="7EE11FCC"/>
    <w:rsid w:val="7EE2314C"/>
    <w:rsid w:val="7EE3297E"/>
    <w:rsid w:val="7EE634A2"/>
    <w:rsid w:val="7EF12D97"/>
    <w:rsid w:val="7EF30C76"/>
    <w:rsid w:val="7EF613AB"/>
    <w:rsid w:val="7EF74583"/>
    <w:rsid w:val="7EF8698B"/>
    <w:rsid w:val="7EFB714E"/>
    <w:rsid w:val="7F497C8F"/>
    <w:rsid w:val="7F4E1DC3"/>
    <w:rsid w:val="7F5A6822"/>
    <w:rsid w:val="7F7B60A0"/>
    <w:rsid w:val="7F7F78FC"/>
    <w:rsid w:val="7F86679B"/>
    <w:rsid w:val="7F8A1B09"/>
    <w:rsid w:val="7F8A7891"/>
    <w:rsid w:val="7F9D30C5"/>
    <w:rsid w:val="7FA270AF"/>
    <w:rsid w:val="7FAB6ACA"/>
    <w:rsid w:val="7FAD3580"/>
    <w:rsid w:val="7FC30181"/>
    <w:rsid w:val="7FCE0772"/>
    <w:rsid w:val="7FDA4219"/>
    <w:rsid w:val="7FDE2A9A"/>
    <w:rsid w:val="7FF048F5"/>
    <w:rsid w:val="7FF705DA"/>
    <w:rsid w:val="7FF70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before="100" w:beforeAutospacing="1" w:after="100" w:afterAutospacing="1"/>
      <w:jc w:val="center"/>
      <w:outlineLvl w:val="0"/>
    </w:pPr>
    <w:rPr>
      <w:rFonts w:hint="eastAsia" w:ascii="宋体" w:hAnsi="宋体"/>
      <w:b/>
      <w:kern w:val="44"/>
      <w:sz w:val="36"/>
      <w:szCs w:val="21"/>
    </w:rPr>
  </w:style>
  <w:style w:type="paragraph" w:styleId="4">
    <w:name w:val="heading 2"/>
    <w:basedOn w:val="1"/>
    <w:next w:val="1"/>
    <w:link w:val="38"/>
    <w:autoRedefine/>
    <w:qFormat/>
    <w:uiPriority w:val="0"/>
    <w:pPr>
      <w:keepNext/>
      <w:keepLines/>
      <w:spacing w:before="240" w:after="120" w:line="360" w:lineRule="auto"/>
      <w:jc w:val="center"/>
      <w:outlineLvl w:val="1"/>
    </w:pPr>
    <w:rPr>
      <w:rFonts w:ascii="仿宋_GB2312" w:hAnsi="仿宋_GB2312" w:cs="宋体"/>
      <w:b/>
      <w:sz w:val="32"/>
      <w:szCs w:val="30"/>
    </w:rPr>
  </w:style>
  <w:style w:type="paragraph" w:styleId="5">
    <w:name w:val="heading 3"/>
    <w:basedOn w:val="1"/>
    <w:next w:val="1"/>
    <w:autoRedefine/>
    <w:qFormat/>
    <w:uiPriority w:val="0"/>
    <w:pPr>
      <w:keepNext/>
      <w:keepLines/>
      <w:spacing w:before="260" w:after="260" w:line="360" w:lineRule="auto"/>
      <w:jc w:val="center"/>
      <w:outlineLvl w:val="2"/>
    </w:pPr>
    <w:rPr>
      <w:b/>
      <w:bCs/>
      <w:sz w:val="30"/>
      <w:szCs w:val="32"/>
    </w:rPr>
  </w:style>
  <w:style w:type="paragraph" w:styleId="6">
    <w:name w:val="heading 4"/>
    <w:basedOn w:val="1"/>
    <w:next w:val="1"/>
    <w:link w:val="39"/>
    <w:autoRedefine/>
    <w:qFormat/>
    <w:uiPriority w:val="0"/>
    <w:pPr>
      <w:numPr>
        <w:ilvl w:val="3"/>
        <w:numId w:val="1"/>
      </w:numPr>
      <w:spacing w:before="50" w:beforeLines="50" w:after="50" w:afterLines="50" w:line="360" w:lineRule="auto"/>
      <w:jc w:val="left"/>
      <w:outlineLvl w:val="3"/>
    </w:pPr>
    <w:rPr>
      <w:rFonts w:ascii="Arial" w:hAnsi="Arial"/>
      <w:b/>
      <w:bCs/>
      <w:sz w:val="24"/>
    </w:rPr>
  </w:style>
  <w:style w:type="paragraph" w:styleId="7">
    <w:name w:val="heading 5"/>
    <w:basedOn w:val="6"/>
    <w:next w:val="8"/>
    <w:autoRedefine/>
    <w:qFormat/>
    <w:uiPriority w:val="0"/>
    <w:pPr>
      <w:numPr>
        <w:ilvl w:val="4"/>
      </w:numPr>
      <w:spacing w:line="240" w:lineRule="exact"/>
      <w:outlineLvl w:val="4"/>
    </w:pPr>
  </w:style>
  <w:style w:type="paragraph" w:styleId="9">
    <w:name w:val="heading 7"/>
    <w:basedOn w:val="1"/>
    <w:next w:val="8"/>
    <w:autoRedefine/>
    <w:qFormat/>
    <w:uiPriority w:val="0"/>
    <w:pPr>
      <w:keepNext/>
      <w:keepLines/>
      <w:numPr>
        <w:ilvl w:val="6"/>
        <w:numId w:val="1"/>
      </w:numPr>
      <w:spacing w:before="240" w:after="64" w:line="320" w:lineRule="auto"/>
      <w:outlineLvl w:val="6"/>
    </w:pPr>
    <w:rPr>
      <w:b/>
      <w:sz w:val="24"/>
      <w:szCs w:val="20"/>
    </w:rPr>
  </w:style>
  <w:style w:type="paragraph" w:styleId="10">
    <w:name w:val="heading 8"/>
    <w:basedOn w:val="1"/>
    <w:next w:val="8"/>
    <w:autoRedefine/>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8"/>
    <w:autoRedefine/>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toc 2"/>
    <w:basedOn w:val="1"/>
    <w:next w:val="1"/>
    <w:autoRedefine/>
    <w:qFormat/>
    <w:uiPriority w:val="39"/>
    <w:pPr>
      <w:ind w:left="420" w:leftChars="200"/>
    </w:pPr>
  </w:style>
  <w:style w:type="paragraph" w:styleId="8">
    <w:name w:val="Normal Indent"/>
    <w:basedOn w:val="1"/>
    <w:next w:val="1"/>
    <w:autoRedefine/>
    <w:qFormat/>
    <w:uiPriority w:val="0"/>
    <w:pPr>
      <w:ind w:firstLine="420" w:firstLineChars="200"/>
    </w:pPr>
  </w:style>
  <w:style w:type="paragraph" w:styleId="12">
    <w:name w:val="Note Heading"/>
    <w:basedOn w:val="1"/>
    <w:next w:val="1"/>
    <w:autoRedefine/>
    <w:qFormat/>
    <w:uiPriority w:val="0"/>
    <w:pPr>
      <w:snapToGrid w:val="0"/>
      <w:spacing w:before="120" w:after="120" w:line="320" w:lineRule="exact"/>
      <w:ind w:firstLine="413" w:firstLineChars="200"/>
    </w:pPr>
    <w:rPr>
      <w:rFonts w:ascii="宋体" w:hAnsi="宋体"/>
      <w:b/>
      <w:color w:val="000000"/>
    </w:rPr>
  </w:style>
  <w:style w:type="paragraph" w:styleId="13">
    <w:name w:val="annotation text"/>
    <w:basedOn w:val="1"/>
    <w:link w:val="40"/>
    <w:autoRedefine/>
    <w:qFormat/>
    <w:uiPriority w:val="0"/>
    <w:pPr>
      <w:jc w:val="left"/>
    </w:pPr>
  </w:style>
  <w:style w:type="paragraph" w:styleId="14">
    <w:name w:val="Body Text 3"/>
    <w:basedOn w:val="1"/>
    <w:autoRedefine/>
    <w:qFormat/>
    <w:uiPriority w:val="0"/>
    <w:rPr>
      <w:rFonts w:ascii="宋体"/>
      <w:sz w:val="24"/>
    </w:rPr>
  </w:style>
  <w:style w:type="paragraph" w:styleId="15">
    <w:name w:val="Body Text"/>
    <w:basedOn w:val="1"/>
    <w:autoRedefine/>
    <w:qFormat/>
    <w:uiPriority w:val="0"/>
    <w:pPr>
      <w:pBdr>
        <w:top w:val="single" w:color="auto" w:sz="4" w:space="1"/>
      </w:pBdr>
    </w:pPr>
    <w:rPr>
      <w:b/>
      <w:bCs/>
    </w:rPr>
  </w:style>
  <w:style w:type="paragraph" w:styleId="16">
    <w:name w:val="Body Text Indent"/>
    <w:basedOn w:val="1"/>
    <w:link w:val="41"/>
    <w:autoRedefine/>
    <w:qFormat/>
    <w:uiPriority w:val="0"/>
    <w:pPr>
      <w:ind w:firstLine="600" w:firstLineChars="200"/>
    </w:pPr>
    <w:rPr>
      <w:rFonts w:ascii="宋体"/>
      <w:sz w:val="30"/>
      <w:szCs w:val="20"/>
    </w:rPr>
  </w:style>
  <w:style w:type="paragraph" w:styleId="17">
    <w:name w:val="toc 3"/>
    <w:basedOn w:val="1"/>
    <w:next w:val="1"/>
    <w:autoRedefine/>
    <w:qFormat/>
    <w:uiPriority w:val="39"/>
    <w:pPr>
      <w:ind w:left="840" w:leftChars="400"/>
    </w:pPr>
  </w:style>
  <w:style w:type="paragraph" w:styleId="18">
    <w:name w:val="Plain Text"/>
    <w:basedOn w:val="1"/>
    <w:link w:val="42"/>
    <w:autoRedefine/>
    <w:qFormat/>
    <w:uiPriority w:val="0"/>
    <w:rPr>
      <w:rFonts w:ascii="宋体" w:hAnsi="Courier New"/>
      <w:szCs w:val="20"/>
    </w:rPr>
  </w:style>
  <w:style w:type="paragraph" w:styleId="19">
    <w:name w:val="Date"/>
    <w:basedOn w:val="1"/>
    <w:next w:val="1"/>
    <w:autoRedefine/>
    <w:qFormat/>
    <w:uiPriority w:val="0"/>
    <w:rPr>
      <w:rFonts w:ascii="Times New Roman" w:hAnsi="Times New Roman" w:eastAsia="楷体_GB2312"/>
      <w:szCs w:val="20"/>
    </w:rPr>
  </w:style>
  <w:style w:type="paragraph" w:styleId="20">
    <w:name w:val="Balloon Text"/>
    <w:basedOn w:val="1"/>
    <w:autoRedefine/>
    <w:semiHidden/>
    <w:qFormat/>
    <w:uiPriority w:val="0"/>
    <w:rPr>
      <w:sz w:val="18"/>
      <w:szCs w:val="18"/>
    </w:rPr>
  </w:style>
  <w:style w:type="paragraph" w:styleId="21">
    <w:name w:val="footer"/>
    <w:basedOn w:val="1"/>
    <w:autoRedefine/>
    <w:qFormat/>
    <w:uiPriority w:val="0"/>
    <w:pPr>
      <w:tabs>
        <w:tab w:val="center" w:pos="4153"/>
        <w:tab w:val="right" w:pos="8306"/>
      </w:tabs>
      <w:snapToGrid w:val="0"/>
      <w:jc w:val="left"/>
    </w:pPr>
    <w:rPr>
      <w:sz w:val="18"/>
    </w:rPr>
  </w:style>
  <w:style w:type="paragraph" w:styleId="22">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3">
    <w:name w:val="toc 1"/>
    <w:basedOn w:val="1"/>
    <w:next w:val="1"/>
    <w:autoRedefine/>
    <w:qFormat/>
    <w:uiPriority w:val="39"/>
    <w:pPr>
      <w:tabs>
        <w:tab w:val="right" w:leader="dot" w:pos="8990"/>
      </w:tabs>
      <w:spacing w:line="360" w:lineRule="auto"/>
    </w:pPr>
  </w:style>
  <w:style w:type="paragraph" w:styleId="24">
    <w:name w:val="toc 4"/>
    <w:basedOn w:val="1"/>
    <w:next w:val="1"/>
    <w:autoRedefine/>
    <w:qFormat/>
    <w:uiPriority w:val="39"/>
    <w:pPr>
      <w:ind w:left="1260" w:leftChars="600"/>
    </w:pPr>
  </w:style>
  <w:style w:type="paragraph" w:styleId="25">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6">
    <w:name w:val="Title"/>
    <w:basedOn w:val="1"/>
    <w:next w:val="1"/>
    <w:autoRedefine/>
    <w:qFormat/>
    <w:uiPriority w:val="0"/>
    <w:pPr>
      <w:spacing w:before="240" w:after="60"/>
      <w:jc w:val="center"/>
      <w:outlineLvl w:val="0"/>
    </w:pPr>
    <w:rPr>
      <w:rFonts w:ascii="Cambria" w:hAnsi="Cambria"/>
      <w:b/>
      <w:bCs/>
      <w:sz w:val="32"/>
      <w:szCs w:val="32"/>
    </w:rPr>
  </w:style>
  <w:style w:type="paragraph" w:styleId="27">
    <w:name w:val="annotation subject"/>
    <w:basedOn w:val="13"/>
    <w:next w:val="13"/>
    <w:autoRedefine/>
    <w:qFormat/>
    <w:uiPriority w:val="0"/>
    <w:rPr>
      <w:b/>
      <w:bCs/>
    </w:rPr>
  </w:style>
  <w:style w:type="paragraph" w:styleId="28">
    <w:name w:val="Body Text First Indent"/>
    <w:basedOn w:val="15"/>
    <w:autoRedefine/>
    <w:qFormat/>
    <w:uiPriority w:val="0"/>
    <w:pPr>
      <w:ind w:firstLine="420"/>
    </w:p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autoRedefine/>
    <w:qFormat/>
    <w:uiPriority w:val="0"/>
  </w:style>
  <w:style w:type="character" w:styleId="33">
    <w:name w:val="FollowedHyperlink"/>
    <w:autoRedefine/>
    <w:qFormat/>
    <w:uiPriority w:val="0"/>
    <w:rPr>
      <w:color w:val="000000"/>
      <w:u w:val="none"/>
    </w:rPr>
  </w:style>
  <w:style w:type="character" w:styleId="34">
    <w:name w:val="Emphasis"/>
    <w:autoRedefine/>
    <w:qFormat/>
    <w:uiPriority w:val="0"/>
  </w:style>
  <w:style w:type="character" w:styleId="35">
    <w:name w:val="Hyperlink"/>
    <w:autoRedefine/>
    <w:qFormat/>
    <w:uiPriority w:val="99"/>
    <w:rPr>
      <w:color w:val="000000"/>
      <w:u w:val="none"/>
    </w:rPr>
  </w:style>
  <w:style w:type="character" w:styleId="36">
    <w:name w:val="annotation reference"/>
    <w:autoRedefine/>
    <w:semiHidden/>
    <w:qFormat/>
    <w:uiPriority w:val="0"/>
    <w:rPr>
      <w:sz w:val="21"/>
      <w:szCs w:val="21"/>
    </w:rPr>
  </w:style>
  <w:style w:type="paragraph" w:customStyle="1" w:styleId="37">
    <w:name w:val="_Style 5"/>
    <w:basedOn w:val="1"/>
    <w:autoRedefine/>
    <w:qFormat/>
    <w:uiPriority w:val="0"/>
    <w:pPr>
      <w:widowControl/>
      <w:ind w:firstLine="200" w:firstLineChars="200"/>
      <w:jc w:val="left"/>
    </w:pPr>
    <w:rPr>
      <w:kern w:val="0"/>
      <w:sz w:val="24"/>
      <w:szCs w:val="22"/>
    </w:rPr>
  </w:style>
  <w:style w:type="character" w:customStyle="1" w:styleId="38">
    <w:name w:val="标题 2 Char"/>
    <w:link w:val="4"/>
    <w:autoRedefine/>
    <w:qFormat/>
    <w:uiPriority w:val="0"/>
    <w:rPr>
      <w:rFonts w:ascii="仿宋_GB2312" w:hAnsi="仿宋_GB2312" w:eastAsia="宋体" w:cs="宋体"/>
      <w:b/>
      <w:sz w:val="32"/>
      <w:szCs w:val="30"/>
    </w:rPr>
  </w:style>
  <w:style w:type="character" w:customStyle="1" w:styleId="39">
    <w:name w:val="标题 4 Char"/>
    <w:link w:val="6"/>
    <w:autoRedefine/>
    <w:qFormat/>
    <w:uiPriority w:val="0"/>
    <w:rPr>
      <w:rFonts w:ascii="Arial" w:hAnsi="Arial"/>
      <w:b/>
      <w:bCs/>
      <w:kern w:val="2"/>
      <w:sz w:val="24"/>
      <w:szCs w:val="24"/>
    </w:rPr>
  </w:style>
  <w:style w:type="character" w:customStyle="1" w:styleId="40">
    <w:name w:val="批注文字 Char"/>
    <w:link w:val="13"/>
    <w:autoRedefine/>
    <w:qFormat/>
    <w:uiPriority w:val="0"/>
    <w:rPr>
      <w:rFonts w:ascii="Calibri" w:hAnsi="Calibri"/>
      <w:kern w:val="2"/>
      <w:sz w:val="21"/>
      <w:szCs w:val="24"/>
    </w:rPr>
  </w:style>
  <w:style w:type="character" w:customStyle="1" w:styleId="41">
    <w:name w:val="正文文本缩进 Char"/>
    <w:link w:val="16"/>
    <w:autoRedefine/>
    <w:qFormat/>
    <w:uiPriority w:val="0"/>
    <w:rPr>
      <w:rFonts w:ascii="宋体"/>
      <w:kern w:val="2"/>
      <w:sz w:val="30"/>
    </w:rPr>
  </w:style>
  <w:style w:type="character" w:customStyle="1" w:styleId="42">
    <w:name w:val="纯文本 Char"/>
    <w:link w:val="18"/>
    <w:autoRedefine/>
    <w:qFormat/>
    <w:locked/>
    <w:uiPriority w:val="0"/>
    <w:rPr>
      <w:rFonts w:ascii="宋体" w:hAnsi="Courier New"/>
      <w:kern w:val="2"/>
      <w:sz w:val="21"/>
    </w:rPr>
  </w:style>
  <w:style w:type="paragraph" w:customStyle="1" w:styleId="43">
    <w:name w:val="正文正"/>
    <w:autoRedefine/>
    <w:qFormat/>
    <w:uiPriority w:val="0"/>
    <w:pPr>
      <w:widowControl w:val="0"/>
      <w:spacing w:line="560" w:lineRule="exact"/>
      <w:ind w:firstLine="561"/>
      <w:jc w:val="both"/>
    </w:pPr>
    <w:rPr>
      <w:rFonts w:ascii="Calibri" w:hAnsi="Calibri" w:eastAsia="仿宋_GB2312" w:cs="Times New Roman"/>
      <w:kern w:val="2"/>
      <w:sz w:val="28"/>
      <w:szCs w:val="24"/>
      <w:lang w:val="en-US" w:eastAsia="zh-CN" w:bidi="ar-SA"/>
    </w:rPr>
  </w:style>
  <w:style w:type="paragraph" w:customStyle="1" w:styleId="44">
    <w:name w:val="Default"/>
    <w:autoRedefine/>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45">
    <w:name w:val="ewm"/>
    <w:autoRedefine/>
    <w:qFormat/>
    <w:uiPriority w:val="0"/>
  </w:style>
  <w:style w:type="character" w:customStyle="1" w:styleId="46">
    <w:name w:val="z-crt2"/>
    <w:autoRedefine/>
    <w:qFormat/>
    <w:uiPriority w:val="0"/>
    <w:rPr>
      <w:color w:val="FFFFFF"/>
      <w:bdr w:val="single" w:color="5294E5" w:sz="6" w:space="0"/>
      <w:shd w:val="clear" w:color="auto" w:fill="5294E5"/>
    </w:rPr>
  </w:style>
  <w:style w:type="character" w:customStyle="1" w:styleId="47">
    <w:name w:val="r-search1"/>
    <w:autoRedefine/>
    <w:qFormat/>
    <w:uiPriority w:val="0"/>
  </w:style>
  <w:style w:type="character" w:customStyle="1" w:styleId="48">
    <w:name w:val="_Style 2"/>
    <w:autoRedefine/>
    <w:qFormat/>
    <w:uiPriority w:val="0"/>
    <w:rPr>
      <w:rFonts w:eastAsia="仿宋_GB2312"/>
      <w:bCs/>
      <w:iCs/>
      <w:color w:val="auto"/>
      <w:sz w:val="32"/>
    </w:rPr>
  </w:style>
  <w:style w:type="character" w:customStyle="1" w:styleId="49">
    <w:name w:val="hover42"/>
    <w:autoRedefine/>
    <w:qFormat/>
    <w:uiPriority w:val="0"/>
  </w:style>
  <w:style w:type="character" w:customStyle="1" w:styleId="50">
    <w:name w:val="r-search"/>
    <w:autoRedefine/>
    <w:qFormat/>
    <w:uiPriority w:val="0"/>
  </w:style>
  <w:style w:type="character" w:customStyle="1" w:styleId="51">
    <w:name w:val="times"/>
    <w:autoRedefine/>
    <w:qFormat/>
    <w:uiPriority w:val="0"/>
    <w:rPr>
      <w:color w:val="3399FF"/>
      <w:bdr w:val="single" w:color="D1EDF8" w:sz="6" w:space="0"/>
      <w:shd w:val="clear" w:color="auto" w:fill="EAF9FF"/>
    </w:rPr>
  </w:style>
  <w:style w:type="character" w:customStyle="1" w:styleId="52">
    <w:name w:val="hover33"/>
    <w:autoRedefine/>
    <w:qFormat/>
    <w:uiPriority w:val="0"/>
    <w:rPr>
      <w:color w:val="FFFFFF"/>
      <w:bdr w:val="single" w:color="5294E5" w:sz="6" w:space="0"/>
      <w:shd w:val="clear" w:color="auto" w:fill="5294E5"/>
    </w:rPr>
  </w:style>
  <w:style w:type="character" w:customStyle="1" w:styleId="53">
    <w:name w:val="times1"/>
    <w:autoRedefine/>
    <w:qFormat/>
    <w:uiPriority w:val="0"/>
    <w:rPr>
      <w:color w:val="CDCDCD"/>
      <w:bdr w:val="single" w:color="CDCDCD" w:sz="6" w:space="0"/>
      <w:shd w:val="clear" w:color="auto" w:fill="EFEFEF"/>
    </w:rPr>
  </w:style>
  <w:style w:type="character" w:customStyle="1" w:styleId="54">
    <w:name w:val="z-crt1"/>
    <w:autoRedefine/>
    <w:qFormat/>
    <w:uiPriority w:val="0"/>
    <w:rPr>
      <w:color w:val="FFFFFF"/>
      <w:bdr w:val="single" w:color="5295E6" w:sz="6" w:space="0"/>
      <w:shd w:val="clear" w:color="auto" w:fill="5295E6"/>
    </w:rPr>
  </w:style>
  <w:style w:type="character" w:customStyle="1" w:styleId="55">
    <w:name w:val="first-child1"/>
    <w:autoRedefine/>
    <w:qFormat/>
    <w:uiPriority w:val="0"/>
  </w:style>
  <w:style w:type="paragraph" w:customStyle="1" w:styleId="56">
    <w:name w:val="条款节部分"/>
    <w:basedOn w:val="1"/>
    <w:autoRedefine/>
    <w:qFormat/>
    <w:uiPriority w:val="0"/>
    <w:pPr>
      <w:numPr>
        <w:ilvl w:val="0"/>
        <w:numId w:val="2"/>
      </w:numPr>
    </w:pPr>
    <w:rPr>
      <w:rFonts w:eastAsia="仿宋_GB2312"/>
      <w:sz w:val="32"/>
      <w:szCs w:val="32"/>
    </w:rPr>
  </w:style>
  <w:style w:type="paragraph" w:customStyle="1" w:styleId="57">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58">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9">
    <w:name w:val="发文落款"/>
    <w:basedOn w:val="58"/>
    <w:autoRedefine/>
    <w:qFormat/>
    <w:uiPriority w:val="0"/>
    <w:pPr>
      <w:ind w:left="4094" w:right="607" w:firstLine="0"/>
      <w:jc w:val="center"/>
    </w:pPr>
  </w:style>
  <w:style w:type="paragraph" w:customStyle="1" w:styleId="60">
    <w:name w:val="样式 标题 3 + 首行缩进:  1.06 厘米"/>
    <w:basedOn w:val="5"/>
    <w:autoRedefine/>
    <w:qFormat/>
    <w:uiPriority w:val="0"/>
    <w:pPr>
      <w:spacing w:before="120" w:after="0" w:line="240" w:lineRule="auto"/>
    </w:pPr>
    <w:rPr>
      <w:rFonts w:ascii="宋体" w:hAnsi="宋体" w:cs="宋体"/>
      <w:bCs w:val="0"/>
      <w:color w:val="000000"/>
      <w:kern w:val="0"/>
      <w:sz w:val="32"/>
    </w:rPr>
  </w:style>
  <w:style w:type="paragraph" w:styleId="61">
    <w:name w:val="List Paragraph"/>
    <w:basedOn w:val="1"/>
    <w:autoRedefine/>
    <w:qFormat/>
    <w:uiPriority w:val="0"/>
    <w:pPr>
      <w:ind w:firstLine="420" w:firstLineChars="200"/>
    </w:pPr>
    <w:rPr>
      <w:szCs w:val="22"/>
    </w:rPr>
  </w:style>
  <w:style w:type="paragraph" w:customStyle="1" w:styleId="62">
    <w:name w:val="正文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样式 宋体 行距: 1.5 倍行距"/>
    <w:basedOn w:val="1"/>
    <w:autoRedefine/>
    <w:qFormat/>
    <w:uiPriority w:val="0"/>
    <w:pPr>
      <w:jc w:val="center"/>
    </w:pPr>
    <w:rPr>
      <w:b/>
    </w:rPr>
  </w:style>
  <w:style w:type="paragraph" w:styleId="64">
    <w:name w:val="No Spacing"/>
    <w:autoRedefine/>
    <w:qFormat/>
    <w:uiPriority w:val="1"/>
    <w:pPr>
      <w:widowControl w:val="0"/>
      <w:jc w:val="both"/>
    </w:pPr>
    <w:rPr>
      <w:rFonts w:ascii="Times New Roman" w:hAnsi="Times New Roman" w:eastAsia="等线" w:cs="Times New Roman"/>
      <w:kern w:val="2"/>
      <w:sz w:val="21"/>
      <w:szCs w:val="22"/>
      <w:lang w:val="en-US" w:eastAsia="zh-CN" w:bidi="ar-SA"/>
    </w:rPr>
  </w:style>
  <w:style w:type="paragraph" w:customStyle="1" w:styleId="65">
    <w:name w:val="null3"/>
    <w:autoRedefine/>
    <w:qFormat/>
    <w:uiPriority w:val="0"/>
    <w:rPr>
      <w:rFonts w:hint="eastAsia" w:ascii="Calibri" w:hAnsi="Calibri" w:eastAsia="宋体" w:cs="Times New Roman"/>
      <w:lang w:val="en-US" w:eastAsia="zh-Hans" w:bidi="ar-SA"/>
    </w:rPr>
  </w:style>
  <w:style w:type="character" w:customStyle="1" w:styleId="66">
    <w:name w:val="font111"/>
    <w:autoRedefine/>
    <w:qFormat/>
    <w:uiPriority w:val="0"/>
    <w:rPr>
      <w:rFonts w:hint="eastAsia" w:ascii="宋体" w:hAnsi="宋体" w:eastAsia="宋体" w:cs="宋体"/>
      <w:color w:val="000000"/>
      <w:sz w:val="20"/>
      <w:szCs w:val="20"/>
      <w:u w:val="none"/>
    </w:rPr>
  </w:style>
  <w:style w:type="character" w:customStyle="1" w:styleId="67">
    <w:name w:val="font21"/>
    <w:autoRedefine/>
    <w:qFormat/>
    <w:uiPriority w:val="0"/>
    <w:rPr>
      <w:rFonts w:hint="default" w:ascii="Times New Roman" w:hAnsi="Times New Roman" w:cs="Times New Roman"/>
      <w:color w:val="000000"/>
      <w:sz w:val="21"/>
      <w:szCs w:val="21"/>
      <w:u w:val="none"/>
    </w:rPr>
  </w:style>
  <w:style w:type="character" w:customStyle="1" w:styleId="68">
    <w:name w:val="font122"/>
    <w:autoRedefine/>
    <w:qFormat/>
    <w:uiPriority w:val="0"/>
    <w:rPr>
      <w:rFonts w:hint="eastAsia" w:ascii="宋体" w:hAnsi="宋体" w:eastAsia="宋体" w:cs="宋体"/>
      <w:b/>
      <w:bCs/>
      <w:color w:val="000000"/>
      <w:sz w:val="21"/>
      <w:szCs w:val="21"/>
      <w:u w:val="none"/>
    </w:rPr>
  </w:style>
  <w:style w:type="character" w:customStyle="1" w:styleId="69">
    <w:name w:val="font71"/>
    <w:autoRedefine/>
    <w:qFormat/>
    <w:uiPriority w:val="0"/>
    <w:rPr>
      <w:rFonts w:hint="eastAsia" w:ascii="宋体" w:hAnsi="宋体" w:eastAsia="宋体" w:cs="宋体"/>
      <w:color w:val="000000"/>
      <w:sz w:val="21"/>
      <w:szCs w:val="21"/>
      <w:u w:val="none"/>
    </w:rPr>
  </w:style>
  <w:style w:type="character" w:customStyle="1" w:styleId="70">
    <w:name w:val="font41"/>
    <w:autoRedefine/>
    <w:qFormat/>
    <w:uiPriority w:val="0"/>
    <w:rPr>
      <w:rFonts w:hint="default" w:ascii="Times New Roman" w:hAnsi="Times New Roman" w:cs="Times New Roman"/>
      <w:color w:val="000000"/>
      <w:sz w:val="21"/>
      <w:szCs w:val="21"/>
      <w:u w:val="none"/>
    </w:rPr>
  </w:style>
  <w:style w:type="character" w:customStyle="1" w:styleId="71">
    <w:name w:val="font91"/>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36955</Words>
  <Characters>39988</Characters>
  <DocSecurity>0</DocSecurity>
  <Lines>333</Lines>
  <Paragraphs>93</Paragraphs>
  <ScaleCrop>false</ScaleCrop>
  <LinksUpToDate>false</LinksUpToDate>
  <CharactersWithSpaces>42940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2025-04-16T09:42:00Z</cp:lastPrinted>
  <dcterms:created xsi:type="dcterms:W3CDTF">2017-11-15T01:21:00Z</dcterms:created>
  <dcterms:modified xsi:type="dcterms:W3CDTF">2025-11-11T04:24:09Z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3EFCA3B7BC06412CA2195787A3A1B9E5_13</vt:lpwstr>
  </property>
  <property fmtid="{D5CDD505-2E9C-101B-9397-08002B2CF9AE}" pid="4" name="KSOTemplateDocerSaveRecord">
    <vt:lpwstr>eyJoZGlkIjoiN2YyNTAxN2UyYTBlNWRkNjIyMzRkMmFlYmNhNzQ3MjciLCJ1c2VySWQiOiIyNTI4NzM2MjcifQ==</vt:lpwstr>
  </property>
</Properties>
</file>