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6483CD3">
      <w:pPr>
        <w:jc w:val="right"/>
        <w:rPr>
          <w:rFonts w:ascii="宋体" w:hAnsi="宋体"/>
          <w:color w:val="auto"/>
          <w:sz w:val="36"/>
          <w:szCs w:val="36"/>
          <w:highlight w:val="none"/>
        </w:rPr>
      </w:pPr>
      <w:bookmarkStart w:id="0" w:name="_Toc197843635"/>
      <w:bookmarkStart w:id="1" w:name="_Toc288578279"/>
      <w:bookmarkStart w:id="2" w:name="_Toc251569647"/>
    </w:p>
    <w:p w14:paraId="74C15E8A">
      <w:pPr>
        <w:jc w:val="center"/>
        <w:rPr>
          <w:rFonts w:hint="eastAsia" w:ascii="宋体" w:hAnsi="宋体"/>
          <w:b/>
          <w:color w:val="auto"/>
          <w:sz w:val="52"/>
          <w:szCs w:val="52"/>
          <w:highlight w:val="none"/>
          <w:lang w:eastAsia="zh-CN"/>
        </w:rPr>
      </w:pPr>
    </w:p>
    <w:p w14:paraId="7F2E1DF8">
      <w:pPr>
        <w:pStyle w:val="26"/>
        <w:ind w:left="0" w:leftChars="0" w:firstLine="0" w:firstLineChars="0"/>
        <w:jc w:val="center"/>
        <w:rPr>
          <w:rFonts w:hint="default" w:ascii="宋体" w:hAnsi="宋体"/>
          <w:color w:val="auto"/>
          <w:sz w:val="32"/>
          <w:szCs w:val="32"/>
          <w:highlight w:val="none"/>
          <w:lang w:val="en-US"/>
        </w:rPr>
      </w:pPr>
      <w:r>
        <w:rPr>
          <w:rFonts w:hint="eastAsia" w:ascii="宋体" w:hAnsi="宋体" w:cs="宋体"/>
          <w:b/>
          <w:bCs/>
          <w:color w:val="auto"/>
          <w:sz w:val="52"/>
          <w:szCs w:val="52"/>
          <w:highlight w:val="none"/>
          <w:lang w:eastAsia="zh-CN"/>
        </w:rPr>
        <w:t>广州市黄埔区龙湖街旺村城中村改造项目北地块（北AZ-03地块）检测监测服务</w:t>
      </w:r>
    </w:p>
    <w:p w14:paraId="7FCC6A0B">
      <w:pPr>
        <w:jc w:val="center"/>
        <w:rPr>
          <w:rFonts w:ascii="宋体" w:hAnsi="宋体"/>
          <w:color w:val="auto"/>
          <w:sz w:val="32"/>
          <w:szCs w:val="32"/>
          <w:highlight w:val="none"/>
          <w:u w:val="single"/>
        </w:rPr>
      </w:pPr>
    </w:p>
    <w:p w14:paraId="25AA2402">
      <w:pPr>
        <w:jc w:val="center"/>
        <w:rPr>
          <w:rFonts w:ascii="宋体" w:hAnsi="宋体"/>
          <w:color w:val="auto"/>
          <w:sz w:val="32"/>
          <w:szCs w:val="32"/>
          <w:highlight w:val="none"/>
          <w:u w:val="single"/>
        </w:rPr>
      </w:pPr>
    </w:p>
    <w:p w14:paraId="697C53B6">
      <w:pPr>
        <w:pStyle w:val="23"/>
        <w:rPr>
          <w:rFonts w:ascii="宋体" w:hAnsi="宋体"/>
          <w:color w:val="auto"/>
          <w:sz w:val="32"/>
          <w:szCs w:val="32"/>
          <w:highlight w:val="none"/>
          <w:u w:val="single"/>
        </w:rPr>
      </w:pPr>
    </w:p>
    <w:p w14:paraId="7C008422">
      <w:pPr>
        <w:rPr>
          <w:rFonts w:ascii="宋体" w:hAnsi="宋体"/>
          <w:color w:val="auto"/>
          <w:sz w:val="32"/>
          <w:szCs w:val="32"/>
          <w:highlight w:val="none"/>
          <w:u w:val="single"/>
        </w:rPr>
      </w:pPr>
    </w:p>
    <w:p w14:paraId="181EF289">
      <w:pPr>
        <w:pStyle w:val="23"/>
        <w:rPr>
          <w:color w:val="auto"/>
          <w:highlight w:val="none"/>
        </w:rPr>
      </w:pPr>
    </w:p>
    <w:p w14:paraId="085B1B81">
      <w:pPr>
        <w:jc w:val="center"/>
        <w:rPr>
          <w:rFonts w:ascii="宋体" w:hAnsi="宋体"/>
          <w:color w:val="auto"/>
          <w:sz w:val="32"/>
          <w:szCs w:val="32"/>
          <w:highlight w:val="none"/>
          <w:u w:val="single"/>
        </w:rPr>
      </w:pPr>
    </w:p>
    <w:p w14:paraId="4E8DC7F0">
      <w:pPr>
        <w:jc w:val="center"/>
        <w:rPr>
          <w:rFonts w:ascii="宋体" w:hAnsi="宋体"/>
          <w:b/>
          <w:bCs/>
          <w:color w:val="auto"/>
          <w:sz w:val="72"/>
          <w:szCs w:val="72"/>
          <w:highlight w:val="none"/>
        </w:rPr>
      </w:pPr>
      <w:r>
        <w:rPr>
          <w:rFonts w:hint="eastAsia" w:ascii="宋体" w:hAnsi="宋体"/>
          <w:b/>
          <w:bCs/>
          <w:color w:val="auto"/>
          <w:sz w:val="72"/>
          <w:szCs w:val="72"/>
          <w:highlight w:val="none"/>
        </w:rPr>
        <w:t>招标文件</w:t>
      </w:r>
    </w:p>
    <w:p w14:paraId="1C732878">
      <w:pPr>
        <w:jc w:val="center"/>
        <w:rPr>
          <w:rFonts w:ascii="宋体" w:hAnsi="宋体"/>
          <w:color w:val="auto"/>
          <w:sz w:val="32"/>
          <w:szCs w:val="32"/>
          <w:highlight w:val="none"/>
          <w:u w:val="single"/>
        </w:rPr>
      </w:pPr>
    </w:p>
    <w:p w14:paraId="7531E1ED">
      <w:pPr>
        <w:pStyle w:val="26"/>
        <w:ind w:left="0" w:leftChars="0" w:firstLine="0" w:firstLineChars="0"/>
        <w:rPr>
          <w:rFonts w:ascii="宋体" w:hAnsi="宋体"/>
          <w:color w:val="auto"/>
          <w:sz w:val="32"/>
          <w:szCs w:val="32"/>
          <w:highlight w:val="none"/>
          <w:u w:val="single"/>
        </w:rPr>
      </w:pPr>
    </w:p>
    <w:p w14:paraId="73AFFB90">
      <w:pPr>
        <w:rPr>
          <w:rFonts w:ascii="宋体" w:hAnsi="宋体"/>
          <w:color w:val="auto"/>
          <w:sz w:val="32"/>
          <w:szCs w:val="32"/>
          <w:highlight w:val="none"/>
          <w:u w:val="single"/>
        </w:rPr>
      </w:pPr>
    </w:p>
    <w:p w14:paraId="397BDCC6">
      <w:pPr>
        <w:rPr>
          <w:rFonts w:ascii="宋体" w:hAnsi="宋体"/>
          <w:color w:val="auto"/>
          <w:sz w:val="32"/>
          <w:szCs w:val="32"/>
          <w:highlight w:val="none"/>
          <w:u w:val="single"/>
        </w:rPr>
      </w:pPr>
    </w:p>
    <w:p w14:paraId="015E79E0">
      <w:pPr>
        <w:jc w:val="center"/>
        <w:rPr>
          <w:rFonts w:ascii="宋体" w:hAnsi="宋体"/>
          <w:color w:val="auto"/>
          <w:sz w:val="32"/>
          <w:szCs w:val="32"/>
          <w:highlight w:val="none"/>
          <w:u w:val="single"/>
        </w:rPr>
      </w:pPr>
    </w:p>
    <w:p w14:paraId="372F04F2">
      <w:pPr>
        <w:spacing w:line="480" w:lineRule="auto"/>
        <w:ind w:right="-1"/>
        <w:jc w:val="center"/>
        <w:rPr>
          <w:rFonts w:hint="eastAsia" w:ascii="宋体" w:hAnsi="宋体" w:eastAsia="宋体"/>
          <w:b/>
          <w:bCs/>
          <w:color w:val="auto"/>
          <w:sz w:val="30"/>
          <w:szCs w:val="30"/>
          <w:highlight w:val="none"/>
          <w:lang w:eastAsia="zh-CN"/>
        </w:rPr>
      </w:pPr>
      <w:r>
        <w:rPr>
          <w:rFonts w:hint="eastAsia" w:ascii="宋体" w:hAnsi="宋体"/>
          <w:b/>
          <w:bCs/>
          <w:color w:val="auto"/>
          <w:sz w:val="30"/>
          <w:szCs w:val="30"/>
          <w:highlight w:val="none"/>
          <w:lang w:val="en-US" w:eastAsia="zh-CN"/>
        </w:rPr>
        <w:t xml:space="preserve"> </w:t>
      </w:r>
      <w:r>
        <w:rPr>
          <w:rFonts w:hint="eastAsia" w:ascii="宋体" w:hAnsi="宋体"/>
          <w:b/>
          <w:bCs/>
          <w:color w:val="auto"/>
          <w:sz w:val="30"/>
          <w:szCs w:val="30"/>
          <w:highlight w:val="none"/>
        </w:rPr>
        <w:t>招标单位：</w:t>
      </w:r>
      <w:r>
        <w:rPr>
          <w:rFonts w:hint="eastAsia" w:ascii="宋体" w:hAnsi="宋体"/>
          <w:b/>
          <w:bCs/>
          <w:color w:val="auto"/>
          <w:sz w:val="30"/>
          <w:szCs w:val="30"/>
          <w:highlight w:val="none"/>
          <w:lang w:eastAsia="zh-CN"/>
        </w:rPr>
        <w:t>广州开城联晟城市开发投资有限公司</w:t>
      </w:r>
    </w:p>
    <w:p w14:paraId="7317775E">
      <w:pPr>
        <w:tabs>
          <w:tab w:val="left" w:pos="6575"/>
        </w:tabs>
        <w:spacing w:line="360" w:lineRule="auto"/>
        <w:ind w:firstLine="1807" w:firstLineChars="600"/>
        <w:jc w:val="both"/>
        <w:rPr>
          <w:rFonts w:hint="eastAsia" w:ascii="宋体" w:hAnsi="宋体" w:eastAsia="宋体"/>
          <w:b/>
          <w:bCs/>
          <w:color w:val="auto"/>
          <w:sz w:val="30"/>
          <w:szCs w:val="30"/>
          <w:highlight w:val="none"/>
          <w:lang w:eastAsia="zh-CN"/>
        </w:rPr>
      </w:pPr>
      <w:r>
        <w:rPr>
          <w:rFonts w:hint="eastAsia" w:ascii="宋体" w:hAnsi="宋体"/>
          <w:b/>
          <w:bCs/>
          <w:color w:val="auto"/>
          <w:sz w:val="30"/>
          <w:szCs w:val="30"/>
          <w:highlight w:val="none"/>
        </w:rPr>
        <w:t>招标代理：</w:t>
      </w:r>
      <w:r>
        <w:rPr>
          <w:rFonts w:hint="eastAsia" w:ascii="宋体" w:hAnsi="宋体"/>
          <w:b/>
          <w:bCs/>
          <w:color w:val="auto"/>
          <w:sz w:val="30"/>
          <w:szCs w:val="30"/>
          <w:highlight w:val="none"/>
          <w:lang w:eastAsia="zh-CN"/>
        </w:rPr>
        <w:t>广州市东建工程建设监理有限公司</w:t>
      </w:r>
    </w:p>
    <w:p w14:paraId="4977F250">
      <w:pPr>
        <w:tabs>
          <w:tab w:val="left" w:pos="6575"/>
        </w:tabs>
        <w:spacing w:line="360" w:lineRule="auto"/>
        <w:ind w:firstLine="1807" w:firstLineChars="600"/>
        <w:jc w:val="both"/>
        <w:rPr>
          <w:rFonts w:ascii="黑体" w:hAnsi="黑体" w:eastAsia="黑体" w:cs="宋体"/>
          <w:b/>
          <w:bCs/>
          <w:color w:val="auto"/>
          <w:kern w:val="0"/>
          <w:sz w:val="32"/>
          <w:szCs w:val="32"/>
          <w:highlight w:val="none"/>
        </w:rPr>
      </w:pPr>
      <w:r>
        <w:rPr>
          <w:rFonts w:hint="eastAsia" w:ascii="宋体" w:hAnsi="宋体"/>
          <w:b/>
          <w:bCs/>
          <w:color w:val="auto"/>
          <w:sz w:val="30"/>
          <w:szCs w:val="30"/>
          <w:highlight w:val="none"/>
        </w:rPr>
        <w:t>日    期：202</w:t>
      </w:r>
      <w:r>
        <w:rPr>
          <w:rFonts w:hint="eastAsia" w:ascii="宋体" w:hAnsi="宋体"/>
          <w:b/>
          <w:bCs/>
          <w:color w:val="auto"/>
          <w:sz w:val="30"/>
          <w:szCs w:val="30"/>
          <w:highlight w:val="none"/>
          <w:lang w:val="en-US" w:eastAsia="zh-CN"/>
        </w:rPr>
        <w:t>5</w:t>
      </w:r>
      <w:r>
        <w:rPr>
          <w:rFonts w:hint="eastAsia" w:ascii="宋体" w:hAnsi="宋体"/>
          <w:b/>
          <w:bCs/>
          <w:color w:val="auto"/>
          <w:sz w:val="30"/>
          <w:szCs w:val="30"/>
          <w:highlight w:val="none"/>
        </w:rPr>
        <w:t>年</w:t>
      </w:r>
      <w:r>
        <w:rPr>
          <w:rFonts w:hint="eastAsia" w:ascii="宋体" w:hAnsi="宋体"/>
          <w:b/>
          <w:bCs/>
          <w:color w:val="auto"/>
          <w:sz w:val="30"/>
          <w:szCs w:val="30"/>
          <w:highlight w:val="none"/>
          <w:lang w:val="en-US" w:eastAsia="zh-CN"/>
        </w:rPr>
        <w:t>11</w:t>
      </w:r>
      <w:r>
        <w:rPr>
          <w:rFonts w:hint="eastAsia" w:ascii="宋体" w:hAnsi="宋体"/>
          <w:b/>
          <w:bCs/>
          <w:color w:val="auto"/>
          <w:sz w:val="30"/>
          <w:szCs w:val="30"/>
          <w:highlight w:val="none"/>
        </w:rPr>
        <w:t>月</w:t>
      </w:r>
    </w:p>
    <w:p w14:paraId="27E9B770">
      <w:pPr>
        <w:spacing w:line="360" w:lineRule="auto"/>
        <w:jc w:val="center"/>
        <w:rPr>
          <w:rFonts w:hint="eastAsia" w:ascii="宋体" w:hAnsi="宋体"/>
          <w:bCs/>
          <w:color w:val="auto"/>
          <w:sz w:val="52"/>
          <w:highlight w:val="none"/>
        </w:rPr>
        <w:sectPr>
          <w:footerReference r:id="rId3" w:type="even"/>
          <w:pgSz w:w="11906" w:h="16838"/>
          <w:pgMar w:top="1440" w:right="1080" w:bottom="1440" w:left="1080" w:header="851" w:footer="1020" w:gutter="0"/>
          <w:pgBorders w:offsetFrom="page">
            <w:top w:val="single" w:color="FFFFFF" w:themeColor="background1" w:sz="4" w:space="24"/>
            <w:left w:val="single" w:color="FFFFFF" w:themeColor="background1" w:sz="4" w:space="24"/>
            <w:bottom w:val="single" w:color="FFFFFF" w:themeColor="background1" w:sz="4" w:space="24"/>
            <w:right w:val="single" w:color="FFFFFF" w:themeColor="background1" w:sz="4" w:space="24"/>
          </w:pgBorders>
          <w:pgNumType w:start="1"/>
          <w:cols w:space="720" w:num="1"/>
          <w:docGrid w:type="lines" w:linePitch="312" w:charSpace="0"/>
        </w:sectPr>
      </w:pPr>
    </w:p>
    <w:p w14:paraId="1C8C8296">
      <w:pPr>
        <w:spacing w:line="360" w:lineRule="auto"/>
        <w:jc w:val="center"/>
        <w:rPr>
          <w:rFonts w:ascii="宋体" w:hAnsi="宋体"/>
          <w:bCs/>
          <w:color w:val="auto"/>
          <w:sz w:val="52"/>
          <w:highlight w:val="none"/>
        </w:rPr>
      </w:pPr>
      <w:r>
        <w:rPr>
          <w:rFonts w:hint="eastAsia" w:ascii="宋体" w:hAnsi="宋体"/>
          <w:bCs/>
          <w:color w:val="auto"/>
          <w:sz w:val="52"/>
          <w:highlight w:val="none"/>
        </w:rPr>
        <w:t>重要提示</w:t>
      </w:r>
    </w:p>
    <w:p w14:paraId="6C01415B">
      <w:pPr>
        <w:spacing w:line="360" w:lineRule="auto"/>
        <w:ind w:firstLine="537" w:firstLineChars="224"/>
        <w:jc w:val="center"/>
        <w:rPr>
          <w:rFonts w:ascii="宋体" w:hAnsi="宋体"/>
          <w:bCs/>
          <w:color w:val="auto"/>
          <w:sz w:val="24"/>
          <w:highlight w:val="none"/>
        </w:rPr>
      </w:pPr>
    </w:p>
    <w:p w14:paraId="670771CB">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本项目实施电子招投标，投标人应先认真阅读</w:t>
      </w:r>
      <w:r>
        <w:rPr>
          <w:rFonts w:hint="eastAsia" w:ascii="宋体" w:hAnsi="宋体"/>
          <w:color w:val="auto"/>
          <w:sz w:val="24"/>
          <w:szCs w:val="24"/>
          <w:highlight w:val="none"/>
          <w:lang w:eastAsia="zh-CN"/>
        </w:rPr>
        <w:t>广州交易集团有限公司（广州公共资源交易中心）</w:t>
      </w:r>
      <w:r>
        <w:rPr>
          <w:rFonts w:hint="eastAsia" w:ascii="宋体" w:hAnsi="宋体"/>
          <w:color w:val="auto"/>
          <w:sz w:val="24"/>
          <w:szCs w:val="24"/>
          <w:highlight w:val="none"/>
        </w:rPr>
        <w:t>网站最新发布的指引</w:t>
      </w:r>
      <w:r>
        <w:rPr>
          <w:rFonts w:hint="eastAsia" w:ascii="宋体" w:hAnsi="宋体"/>
          <w:color w:val="auto"/>
          <w:sz w:val="24"/>
          <w:highlight w:val="none"/>
        </w:rPr>
        <w:t>。</w:t>
      </w:r>
    </w:p>
    <w:p w14:paraId="61C1DAA3">
      <w:pPr>
        <w:jc w:val="center"/>
        <w:rPr>
          <w:rFonts w:ascii="宋体" w:hAnsi="宋体"/>
          <w:b/>
          <w:color w:val="auto"/>
          <w:sz w:val="28"/>
          <w:szCs w:val="28"/>
          <w:highlight w:val="none"/>
        </w:rPr>
      </w:pPr>
    </w:p>
    <w:p w14:paraId="57919DF2">
      <w:pPr>
        <w:spacing w:line="360" w:lineRule="auto"/>
        <w:ind w:firstLine="1164" w:firstLineChars="224"/>
        <w:jc w:val="center"/>
        <w:rPr>
          <w:rFonts w:ascii="宋体" w:hAnsi="宋体"/>
          <w:bCs/>
          <w:color w:val="auto"/>
          <w:sz w:val="52"/>
          <w:highlight w:val="none"/>
        </w:rPr>
        <w:sectPr>
          <w:footerReference r:id="rId4" w:type="default"/>
          <w:pgSz w:w="11906" w:h="16838"/>
          <w:pgMar w:top="1440" w:right="1080" w:bottom="1440" w:left="1080" w:header="851" w:footer="1020" w:gutter="0"/>
          <w:pgBorders w:offsetFrom="page">
            <w:top w:val="single" w:color="FFFFFF" w:themeColor="background1" w:sz="4" w:space="24"/>
            <w:left w:val="single" w:color="FFFFFF" w:themeColor="background1" w:sz="4" w:space="24"/>
            <w:bottom w:val="single" w:color="FFFFFF" w:themeColor="background1" w:sz="4" w:space="24"/>
            <w:right w:val="single" w:color="FFFFFF" w:themeColor="background1" w:sz="4" w:space="24"/>
          </w:pgBorders>
          <w:pgNumType w:start="1"/>
          <w:cols w:space="720" w:num="1"/>
          <w:docGrid w:type="lines" w:linePitch="312" w:charSpace="0"/>
        </w:sectPr>
      </w:pPr>
    </w:p>
    <w:p w14:paraId="2C57553F">
      <w:pPr>
        <w:jc w:val="center"/>
        <w:rPr>
          <w:rFonts w:ascii="宋体" w:hAnsi="宋体"/>
          <w:b/>
          <w:bCs/>
          <w:color w:val="auto"/>
          <w:sz w:val="48"/>
          <w:szCs w:val="48"/>
          <w:highlight w:val="none"/>
        </w:rPr>
      </w:pPr>
      <w:r>
        <w:rPr>
          <w:rFonts w:hint="eastAsia" w:ascii="宋体" w:hAnsi="宋体"/>
          <w:b/>
          <w:bCs/>
          <w:color w:val="auto"/>
          <w:sz w:val="48"/>
          <w:szCs w:val="48"/>
          <w:highlight w:val="none"/>
        </w:rPr>
        <w:t>目录</w:t>
      </w:r>
    </w:p>
    <w:p w14:paraId="0E2CE5C3">
      <w:pPr>
        <w:pStyle w:val="22"/>
        <w:tabs>
          <w:tab w:val="right" w:leader="dot" w:pos="9062"/>
        </w:tabs>
        <w:rPr>
          <w:rFonts w:asciiTheme="minorHAnsi" w:hAnsiTheme="minorHAnsi" w:eastAsiaTheme="minorEastAsia" w:cstheme="minorBidi"/>
          <w:color w:val="auto"/>
          <w:highlight w:val="none"/>
        </w:rPr>
      </w:pPr>
      <w:r>
        <w:rPr>
          <w:rFonts w:ascii="宋体" w:hAnsi="宋体"/>
          <w:color w:val="auto"/>
          <w:sz w:val="28"/>
          <w:szCs w:val="28"/>
          <w:highlight w:val="none"/>
        </w:rPr>
        <w:fldChar w:fldCharType="begin"/>
      </w:r>
      <w:r>
        <w:rPr>
          <w:rFonts w:ascii="宋体" w:hAnsi="宋体"/>
          <w:color w:val="auto"/>
          <w:sz w:val="28"/>
          <w:szCs w:val="28"/>
          <w:highlight w:val="none"/>
        </w:rPr>
        <w:instrText xml:space="preserve">TOC \o "1-3" \h \u </w:instrText>
      </w:r>
      <w:r>
        <w:rPr>
          <w:rFonts w:ascii="宋体" w:hAnsi="宋体"/>
          <w:color w:val="auto"/>
          <w:sz w:val="28"/>
          <w:szCs w:val="28"/>
          <w:highlight w:val="none"/>
        </w:rPr>
        <w:fldChar w:fldCharType="separate"/>
      </w:r>
      <w:r>
        <w:rPr>
          <w:color w:val="auto"/>
          <w:highlight w:val="none"/>
        </w:rPr>
        <w:fldChar w:fldCharType="begin"/>
      </w:r>
      <w:r>
        <w:rPr>
          <w:color w:val="auto"/>
          <w:highlight w:val="none"/>
        </w:rPr>
        <w:instrText xml:space="preserve"> HYPERLINK \l "_Toc118553966" </w:instrText>
      </w:r>
      <w:r>
        <w:rPr>
          <w:color w:val="auto"/>
          <w:highlight w:val="none"/>
        </w:rPr>
        <w:fldChar w:fldCharType="separate"/>
      </w:r>
      <w:r>
        <w:rPr>
          <w:rStyle w:val="31"/>
          <w:rFonts w:hint="eastAsia"/>
          <w:color w:val="auto"/>
          <w:highlight w:val="none"/>
        </w:rPr>
        <w:t>第一卷</w:t>
      </w:r>
      <w:r>
        <w:rPr>
          <w:color w:val="auto"/>
          <w:highlight w:val="none"/>
        </w:rPr>
        <w:tab/>
      </w:r>
      <w:r>
        <w:rPr>
          <w:color w:val="auto"/>
          <w:highlight w:val="none"/>
        </w:rPr>
        <w:fldChar w:fldCharType="begin"/>
      </w:r>
      <w:r>
        <w:rPr>
          <w:color w:val="auto"/>
          <w:highlight w:val="none"/>
        </w:rPr>
        <w:instrText xml:space="preserve"> PAGEREF _Toc118553966 \h </w:instrText>
      </w:r>
      <w:r>
        <w:rPr>
          <w:color w:val="auto"/>
          <w:highlight w:val="none"/>
        </w:rPr>
        <w:fldChar w:fldCharType="separate"/>
      </w:r>
      <w:r>
        <w:rPr>
          <w:color w:val="auto"/>
          <w:highlight w:val="none"/>
        </w:rPr>
        <w:t>3</w:t>
      </w:r>
      <w:r>
        <w:rPr>
          <w:color w:val="auto"/>
          <w:highlight w:val="none"/>
        </w:rPr>
        <w:fldChar w:fldCharType="end"/>
      </w:r>
      <w:r>
        <w:rPr>
          <w:color w:val="auto"/>
          <w:highlight w:val="none"/>
        </w:rPr>
        <w:fldChar w:fldCharType="end"/>
      </w:r>
    </w:p>
    <w:p w14:paraId="5D00D142">
      <w:pPr>
        <w:pStyle w:val="22"/>
        <w:tabs>
          <w:tab w:val="right" w:leader="dot" w:pos="9062"/>
        </w:tabs>
        <w:rPr>
          <w:rFonts w:asciiTheme="minorHAnsi" w:hAnsiTheme="minorHAnsi" w:eastAsiaTheme="minorEastAsia" w:cstheme="minorBidi"/>
          <w:color w:val="auto"/>
          <w:highlight w:val="none"/>
        </w:rPr>
      </w:pPr>
      <w:r>
        <w:rPr>
          <w:color w:val="auto"/>
          <w:highlight w:val="none"/>
        </w:rPr>
        <w:fldChar w:fldCharType="begin"/>
      </w:r>
      <w:r>
        <w:rPr>
          <w:color w:val="auto"/>
          <w:highlight w:val="none"/>
        </w:rPr>
        <w:instrText xml:space="preserve"> HYPERLINK \l "_Toc118553967" </w:instrText>
      </w:r>
      <w:r>
        <w:rPr>
          <w:color w:val="auto"/>
          <w:highlight w:val="none"/>
        </w:rPr>
        <w:fldChar w:fldCharType="separate"/>
      </w:r>
      <w:r>
        <w:rPr>
          <w:rStyle w:val="31"/>
          <w:rFonts w:hint="eastAsia"/>
          <w:color w:val="auto"/>
          <w:highlight w:val="none"/>
        </w:rPr>
        <w:t>第一章</w:t>
      </w:r>
      <w:r>
        <w:rPr>
          <w:rStyle w:val="31"/>
          <w:color w:val="auto"/>
          <w:highlight w:val="none"/>
        </w:rPr>
        <w:t xml:space="preserve">  </w:t>
      </w:r>
      <w:r>
        <w:rPr>
          <w:rStyle w:val="31"/>
          <w:rFonts w:hint="eastAsia"/>
          <w:color w:val="auto"/>
          <w:highlight w:val="none"/>
        </w:rPr>
        <w:t>招标公告</w:t>
      </w:r>
      <w:r>
        <w:rPr>
          <w:color w:val="auto"/>
          <w:highlight w:val="none"/>
        </w:rPr>
        <w:tab/>
      </w:r>
      <w:r>
        <w:rPr>
          <w:color w:val="auto"/>
          <w:highlight w:val="none"/>
        </w:rPr>
        <w:fldChar w:fldCharType="begin"/>
      </w:r>
      <w:r>
        <w:rPr>
          <w:color w:val="auto"/>
          <w:highlight w:val="none"/>
        </w:rPr>
        <w:instrText xml:space="preserve"> PAGEREF _Toc118553967 \h </w:instrText>
      </w:r>
      <w:r>
        <w:rPr>
          <w:color w:val="auto"/>
          <w:highlight w:val="none"/>
        </w:rPr>
        <w:fldChar w:fldCharType="separate"/>
      </w:r>
      <w:r>
        <w:rPr>
          <w:color w:val="auto"/>
          <w:highlight w:val="none"/>
        </w:rPr>
        <w:t>3</w:t>
      </w:r>
      <w:r>
        <w:rPr>
          <w:color w:val="auto"/>
          <w:highlight w:val="none"/>
        </w:rPr>
        <w:fldChar w:fldCharType="end"/>
      </w:r>
      <w:r>
        <w:rPr>
          <w:color w:val="auto"/>
          <w:highlight w:val="none"/>
        </w:rPr>
        <w:fldChar w:fldCharType="end"/>
      </w:r>
    </w:p>
    <w:p w14:paraId="7B660657">
      <w:pPr>
        <w:pStyle w:val="22"/>
        <w:tabs>
          <w:tab w:val="right" w:leader="dot" w:pos="9062"/>
        </w:tabs>
        <w:rPr>
          <w:rFonts w:asciiTheme="minorHAnsi" w:hAnsiTheme="minorHAnsi" w:eastAsiaTheme="minorEastAsia" w:cstheme="minorBidi"/>
          <w:color w:val="auto"/>
          <w:highlight w:val="none"/>
        </w:rPr>
      </w:pPr>
      <w:r>
        <w:rPr>
          <w:color w:val="auto"/>
          <w:highlight w:val="none"/>
        </w:rPr>
        <w:fldChar w:fldCharType="begin"/>
      </w:r>
      <w:r>
        <w:rPr>
          <w:color w:val="auto"/>
          <w:highlight w:val="none"/>
        </w:rPr>
        <w:instrText xml:space="preserve"> HYPERLINK \l "_Toc118553968" </w:instrText>
      </w:r>
      <w:r>
        <w:rPr>
          <w:color w:val="auto"/>
          <w:highlight w:val="none"/>
        </w:rPr>
        <w:fldChar w:fldCharType="separate"/>
      </w:r>
      <w:r>
        <w:rPr>
          <w:rStyle w:val="31"/>
          <w:rFonts w:hint="eastAsia"/>
          <w:color w:val="auto"/>
          <w:highlight w:val="none"/>
        </w:rPr>
        <w:t>第二章</w:t>
      </w:r>
      <w:r>
        <w:rPr>
          <w:rStyle w:val="31"/>
          <w:color w:val="auto"/>
          <w:highlight w:val="none"/>
        </w:rPr>
        <w:t xml:space="preserve">  </w:t>
      </w:r>
      <w:r>
        <w:rPr>
          <w:rStyle w:val="31"/>
          <w:rFonts w:hint="eastAsia"/>
          <w:color w:val="auto"/>
          <w:highlight w:val="none"/>
        </w:rPr>
        <w:t>投标人须知</w:t>
      </w:r>
      <w:r>
        <w:rPr>
          <w:color w:val="auto"/>
          <w:highlight w:val="none"/>
        </w:rPr>
        <w:tab/>
      </w:r>
      <w:r>
        <w:rPr>
          <w:color w:val="auto"/>
          <w:highlight w:val="none"/>
        </w:rPr>
        <w:fldChar w:fldCharType="begin"/>
      </w:r>
      <w:r>
        <w:rPr>
          <w:color w:val="auto"/>
          <w:highlight w:val="none"/>
        </w:rPr>
        <w:instrText xml:space="preserve"> PAGEREF _Toc118553968 \h </w:instrText>
      </w:r>
      <w:r>
        <w:rPr>
          <w:color w:val="auto"/>
          <w:highlight w:val="none"/>
        </w:rPr>
        <w:fldChar w:fldCharType="separate"/>
      </w:r>
      <w:r>
        <w:rPr>
          <w:color w:val="auto"/>
          <w:highlight w:val="none"/>
        </w:rPr>
        <w:t>4</w:t>
      </w:r>
      <w:r>
        <w:rPr>
          <w:color w:val="auto"/>
          <w:highlight w:val="none"/>
        </w:rPr>
        <w:fldChar w:fldCharType="end"/>
      </w:r>
      <w:r>
        <w:rPr>
          <w:color w:val="auto"/>
          <w:highlight w:val="none"/>
        </w:rPr>
        <w:fldChar w:fldCharType="end"/>
      </w:r>
    </w:p>
    <w:p w14:paraId="2B153967">
      <w:pPr>
        <w:pStyle w:val="23"/>
        <w:tabs>
          <w:tab w:val="right" w:leader="dot" w:pos="9062"/>
        </w:tabs>
        <w:rPr>
          <w:rFonts w:asciiTheme="minorHAnsi" w:hAnsiTheme="minorHAnsi" w:eastAsiaTheme="minorEastAsia" w:cstheme="minorBidi"/>
          <w:color w:val="auto"/>
          <w:highlight w:val="none"/>
        </w:rPr>
      </w:pPr>
      <w:r>
        <w:rPr>
          <w:color w:val="auto"/>
          <w:highlight w:val="none"/>
        </w:rPr>
        <w:fldChar w:fldCharType="begin"/>
      </w:r>
      <w:r>
        <w:rPr>
          <w:color w:val="auto"/>
          <w:highlight w:val="none"/>
        </w:rPr>
        <w:instrText xml:space="preserve"> HYPERLINK \l "_Toc118553969" </w:instrText>
      </w:r>
      <w:r>
        <w:rPr>
          <w:color w:val="auto"/>
          <w:highlight w:val="none"/>
        </w:rPr>
        <w:fldChar w:fldCharType="separate"/>
      </w:r>
      <w:r>
        <w:rPr>
          <w:rStyle w:val="31"/>
          <w:rFonts w:hint="eastAsia" w:ascii="宋体" w:hAnsi="宋体"/>
          <w:color w:val="auto"/>
          <w:highlight w:val="none"/>
        </w:rPr>
        <w:t>投标人须知前附表</w:t>
      </w:r>
      <w:r>
        <w:rPr>
          <w:color w:val="auto"/>
          <w:highlight w:val="none"/>
        </w:rPr>
        <w:tab/>
      </w:r>
      <w:r>
        <w:rPr>
          <w:color w:val="auto"/>
          <w:highlight w:val="none"/>
        </w:rPr>
        <w:fldChar w:fldCharType="begin"/>
      </w:r>
      <w:r>
        <w:rPr>
          <w:color w:val="auto"/>
          <w:highlight w:val="none"/>
        </w:rPr>
        <w:instrText xml:space="preserve"> PAGEREF _Toc118553969 \h </w:instrText>
      </w:r>
      <w:r>
        <w:rPr>
          <w:color w:val="auto"/>
          <w:highlight w:val="none"/>
        </w:rPr>
        <w:fldChar w:fldCharType="separate"/>
      </w:r>
      <w:r>
        <w:rPr>
          <w:color w:val="auto"/>
          <w:highlight w:val="none"/>
        </w:rPr>
        <w:t>4</w:t>
      </w:r>
      <w:r>
        <w:rPr>
          <w:color w:val="auto"/>
          <w:highlight w:val="none"/>
        </w:rPr>
        <w:fldChar w:fldCharType="end"/>
      </w:r>
      <w:r>
        <w:rPr>
          <w:color w:val="auto"/>
          <w:highlight w:val="none"/>
        </w:rPr>
        <w:fldChar w:fldCharType="end"/>
      </w:r>
    </w:p>
    <w:p w14:paraId="184DB821">
      <w:pPr>
        <w:pStyle w:val="15"/>
        <w:tabs>
          <w:tab w:val="right" w:leader="dot" w:pos="9062"/>
        </w:tabs>
        <w:rPr>
          <w:rFonts w:asciiTheme="minorHAnsi" w:hAnsiTheme="minorHAnsi" w:eastAsiaTheme="minorEastAsia" w:cstheme="minorBidi"/>
          <w:color w:val="auto"/>
          <w:highlight w:val="none"/>
        </w:rPr>
      </w:pPr>
      <w:r>
        <w:rPr>
          <w:color w:val="auto"/>
          <w:highlight w:val="none"/>
        </w:rPr>
        <w:fldChar w:fldCharType="begin"/>
      </w:r>
      <w:r>
        <w:rPr>
          <w:color w:val="auto"/>
          <w:highlight w:val="none"/>
        </w:rPr>
        <w:instrText xml:space="preserve"> HYPERLINK \l "_Toc118553970" </w:instrText>
      </w:r>
      <w:r>
        <w:rPr>
          <w:color w:val="auto"/>
          <w:highlight w:val="none"/>
        </w:rPr>
        <w:fldChar w:fldCharType="separate"/>
      </w:r>
      <w:r>
        <w:rPr>
          <w:rStyle w:val="31"/>
          <w:color w:val="auto"/>
          <w:highlight w:val="none"/>
        </w:rPr>
        <w:t xml:space="preserve">1. </w:t>
      </w:r>
      <w:r>
        <w:rPr>
          <w:rStyle w:val="31"/>
          <w:rFonts w:hint="eastAsia"/>
          <w:color w:val="auto"/>
          <w:highlight w:val="none"/>
        </w:rPr>
        <w:t>总则</w:t>
      </w:r>
      <w:r>
        <w:rPr>
          <w:color w:val="auto"/>
          <w:highlight w:val="none"/>
        </w:rPr>
        <w:tab/>
      </w:r>
      <w:r>
        <w:rPr>
          <w:color w:val="auto"/>
          <w:highlight w:val="none"/>
        </w:rPr>
        <w:fldChar w:fldCharType="begin"/>
      </w:r>
      <w:r>
        <w:rPr>
          <w:color w:val="auto"/>
          <w:highlight w:val="none"/>
        </w:rPr>
        <w:instrText xml:space="preserve"> PAGEREF _Toc118553970 \h </w:instrText>
      </w:r>
      <w:r>
        <w:rPr>
          <w:color w:val="auto"/>
          <w:highlight w:val="none"/>
        </w:rPr>
        <w:fldChar w:fldCharType="separate"/>
      </w:r>
      <w:r>
        <w:rPr>
          <w:color w:val="auto"/>
          <w:highlight w:val="none"/>
        </w:rPr>
        <w:t>12</w:t>
      </w:r>
      <w:r>
        <w:rPr>
          <w:color w:val="auto"/>
          <w:highlight w:val="none"/>
        </w:rPr>
        <w:fldChar w:fldCharType="end"/>
      </w:r>
      <w:r>
        <w:rPr>
          <w:color w:val="auto"/>
          <w:highlight w:val="none"/>
        </w:rPr>
        <w:fldChar w:fldCharType="end"/>
      </w:r>
    </w:p>
    <w:p w14:paraId="22228B16">
      <w:pPr>
        <w:pStyle w:val="15"/>
        <w:tabs>
          <w:tab w:val="right" w:leader="dot" w:pos="9062"/>
        </w:tabs>
        <w:rPr>
          <w:rFonts w:asciiTheme="minorHAnsi" w:hAnsiTheme="minorHAnsi" w:eastAsiaTheme="minorEastAsia" w:cstheme="minorBidi"/>
          <w:color w:val="auto"/>
          <w:highlight w:val="none"/>
        </w:rPr>
      </w:pPr>
      <w:r>
        <w:rPr>
          <w:color w:val="auto"/>
          <w:highlight w:val="none"/>
        </w:rPr>
        <w:fldChar w:fldCharType="begin"/>
      </w:r>
      <w:r>
        <w:rPr>
          <w:color w:val="auto"/>
          <w:highlight w:val="none"/>
        </w:rPr>
        <w:instrText xml:space="preserve"> HYPERLINK \l "_Toc118553971" </w:instrText>
      </w:r>
      <w:r>
        <w:rPr>
          <w:color w:val="auto"/>
          <w:highlight w:val="none"/>
        </w:rPr>
        <w:fldChar w:fldCharType="separate"/>
      </w:r>
      <w:r>
        <w:rPr>
          <w:rStyle w:val="31"/>
          <w:color w:val="auto"/>
          <w:highlight w:val="none"/>
        </w:rPr>
        <w:t xml:space="preserve">2. </w:t>
      </w:r>
      <w:r>
        <w:rPr>
          <w:rStyle w:val="31"/>
          <w:rFonts w:hint="eastAsia"/>
          <w:color w:val="auto"/>
          <w:highlight w:val="none"/>
        </w:rPr>
        <w:t>招标文件</w:t>
      </w:r>
      <w:r>
        <w:rPr>
          <w:color w:val="auto"/>
          <w:highlight w:val="none"/>
        </w:rPr>
        <w:tab/>
      </w:r>
      <w:r>
        <w:rPr>
          <w:color w:val="auto"/>
          <w:highlight w:val="none"/>
        </w:rPr>
        <w:fldChar w:fldCharType="begin"/>
      </w:r>
      <w:r>
        <w:rPr>
          <w:color w:val="auto"/>
          <w:highlight w:val="none"/>
        </w:rPr>
        <w:instrText xml:space="preserve"> PAGEREF _Toc118553971 \h </w:instrText>
      </w:r>
      <w:r>
        <w:rPr>
          <w:color w:val="auto"/>
          <w:highlight w:val="none"/>
        </w:rPr>
        <w:fldChar w:fldCharType="separate"/>
      </w:r>
      <w:r>
        <w:rPr>
          <w:color w:val="auto"/>
          <w:highlight w:val="none"/>
        </w:rPr>
        <w:t>14</w:t>
      </w:r>
      <w:r>
        <w:rPr>
          <w:color w:val="auto"/>
          <w:highlight w:val="none"/>
        </w:rPr>
        <w:fldChar w:fldCharType="end"/>
      </w:r>
      <w:r>
        <w:rPr>
          <w:color w:val="auto"/>
          <w:highlight w:val="none"/>
        </w:rPr>
        <w:fldChar w:fldCharType="end"/>
      </w:r>
    </w:p>
    <w:p w14:paraId="144AD93D">
      <w:pPr>
        <w:pStyle w:val="15"/>
        <w:tabs>
          <w:tab w:val="right" w:leader="dot" w:pos="9062"/>
        </w:tabs>
        <w:rPr>
          <w:rFonts w:asciiTheme="minorHAnsi" w:hAnsiTheme="minorHAnsi" w:eastAsiaTheme="minorEastAsia" w:cstheme="minorBidi"/>
          <w:color w:val="auto"/>
          <w:highlight w:val="none"/>
        </w:rPr>
      </w:pPr>
      <w:r>
        <w:rPr>
          <w:color w:val="auto"/>
          <w:highlight w:val="none"/>
        </w:rPr>
        <w:fldChar w:fldCharType="begin"/>
      </w:r>
      <w:r>
        <w:rPr>
          <w:color w:val="auto"/>
          <w:highlight w:val="none"/>
        </w:rPr>
        <w:instrText xml:space="preserve"> HYPERLINK \l "_Toc118553972" </w:instrText>
      </w:r>
      <w:r>
        <w:rPr>
          <w:color w:val="auto"/>
          <w:highlight w:val="none"/>
        </w:rPr>
        <w:fldChar w:fldCharType="separate"/>
      </w:r>
      <w:r>
        <w:rPr>
          <w:rStyle w:val="31"/>
          <w:color w:val="auto"/>
          <w:highlight w:val="none"/>
        </w:rPr>
        <w:t xml:space="preserve">3. </w:t>
      </w:r>
      <w:r>
        <w:rPr>
          <w:rStyle w:val="31"/>
          <w:rFonts w:hint="eastAsia"/>
          <w:color w:val="auto"/>
          <w:highlight w:val="none"/>
        </w:rPr>
        <w:t>投标文件</w:t>
      </w:r>
      <w:r>
        <w:rPr>
          <w:color w:val="auto"/>
          <w:highlight w:val="none"/>
        </w:rPr>
        <w:tab/>
      </w:r>
      <w:r>
        <w:rPr>
          <w:color w:val="auto"/>
          <w:highlight w:val="none"/>
        </w:rPr>
        <w:fldChar w:fldCharType="begin"/>
      </w:r>
      <w:r>
        <w:rPr>
          <w:color w:val="auto"/>
          <w:highlight w:val="none"/>
        </w:rPr>
        <w:instrText xml:space="preserve"> PAGEREF _Toc118553972 \h </w:instrText>
      </w:r>
      <w:r>
        <w:rPr>
          <w:color w:val="auto"/>
          <w:highlight w:val="none"/>
        </w:rPr>
        <w:fldChar w:fldCharType="separate"/>
      </w:r>
      <w:r>
        <w:rPr>
          <w:color w:val="auto"/>
          <w:highlight w:val="none"/>
        </w:rPr>
        <w:t>15</w:t>
      </w:r>
      <w:r>
        <w:rPr>
          <w:color w:val="auto"/>
          <w:highlight w:val="none"/>
        </w:rPr>
        <w:fldChar w:fldCharType="end"/>
      </w:r>
      <w:r>
        <w:rPr>
          <w:color w:val="auto"/>
          <w:highlight w:val="none"/>
        </w:rPr>
        <w:fldChar w:fldCharType="end"/>
      </w:r>
    </w:p>
    <w:p w14:paraId="2E2F4E18">
      <w:pPr>
        <w:pStyle w:val="15"/>
        <w:tabs>
          <w:tab w:val="right" w:leader="dot" w:pos="9062"/>
        </w:tabs>
        <w:rPr>
          <w:rFonts w:asciiTheme="minorHAnsi" w:hAnsiTheme="minorHAnsi" w:eastAsiaTheme="minorEastAsia" w:cstheme="minorBidi"/>
          <w:color w:val="auto"/>
          <w:highlight w:val="none"/>
        </w:rPr>
      </w:pPr>
      <w:r>
        <w:rPr>
          <w:color w:val="auto"/>
          <w:highlight w:val="none"/>
        </w:rPr>
        <w:fldChar w:fldCharType="begin"/>
      </w:r>
      <w:r>
        <w:rPr>
          <w:color w:val="auto"/>
          <w:highlight w:val="none"/>
        </w:rPr>
        <w:instrText xml:space="preserve"> HYPERLINK \l "_Toc118553973" </w:instrText>
      </w:r>
      <w:r>
        <w:rPr>
          <w:color w:val="auto"/>
          <w:highlight w:val="none"/>
        </w:rPr>
        <w:fldChar w:fldCharType="separate"/>
      </w:r>
      <w:r>
        <w:rPr>
          <w:rStyle w:val="31"/>
          <w:color w:val="auto"/>
          <w:highlight w:val="none"/>
        </w:rPr>
        <w:t xml:space="preserve">4. </w:t>
      </w:r>
      <w:r>
        <w:rPr>
          <w:rStyle w:val="31"/>
          <w:rFonts w:hint="eastAsia"/>
          <w:color w:val="auto"/>
          <w:highlight w:val="none"/>
        </w:rPr>
        <w:t>投标</w:t>
      </w:r>
      <w:r>
        <w:rPr>
          <w:color w:val="auto"/>
          <w:highlight w:val="none"/>
        </w:rPr>
        <w:tab/>
      </w:r>
      <w:r>
        <w:rPr>
          <w:color w:val="auto"/>
          <w:highlight w:val="none"/>
        </w:rPr>
        <w:fldChar w:fldCharType="begin"/>
      </w:r>
      <w:r>
        <w:rPr>
          <w:color w:val="auto"/>
          <w:highlight w:val="none"/>
        </w:rPr>
        <w:instrText xml:space="preserve"> PAGEREF _Toc118553973 \h </w:instrText>
      </w:r>
      <w:r>
        <w:rPr>
          <w:color w:val="auto"/>
          <w:highlight w:val="none"/>
        </w:rPr>
        <w:fldChar w:fldCharType="separate"/>
      </w:r>
      <w:r>
        <w:rPr>
          <w:color w:val="auto"/>
          <w:highlight w:val="none"/>
        </w:rPr>
        <w:t>18</w:t>
      </w:r>
      <w:r>
        <w:rPr>
          <w:color w:val="auto"/>
          <w:highlight w:val="none"/>
        </w:rPr>
        <w:fldChar w:fldCharType="end"/>
      </w:r>
      <w:r>
        <w:rPr>
          <w:color w:val="auto"/>
          <w:highlight w:val="none"/>
        </w:rPr>
        <w:fldChar w:fldCharType="end"/>
      </w:r>
    </w:p>
    <w:p w14:paraId="20FC8480">
      <w:pPr>
        <w:pStyle w:val="15"/>
        <w:tabs>
          <w:tab w:val="right" w:leader="dot" w:pos="9062"/>
        </w:tabs>
        <w:rPr>
          <w:rFonts w:asciiTheme="minorHAnsi" w:hAnsiTheme="minorHAnsi" w:eastAsiaTheme="minorEastAsia" w:cstheme="minorBidi"/>
          <w:color w:val="auto"/>
          <w:highlight w:val="none"/>
        </w:rPr>
      </w:pPr>
      <w:r>
        <w:rPr>
          <w:color w:val="auto"/>
          <w:highlight w:val="none"/>
        </w:rPr>
        <w:fldChar w:fldCharType="begin"/>
      </w:r>
      <w:r>
        <w:rPr>
          <w:color w:val="auto"/>
          <w:highlight w:val="none"/>
        </w:rPr>
        <w:instrText xml:space="preserve"> HYPERLINK \l "_Toc118553974" </w:instrText>
      </w:r>
      <w:r>
        <w:rPr>
          <w:color w:val="auto"/>
          <w:highlight w:val="none"/>
        </w:rPr>
        <w:fldChar w:fldCharType="separate"/>
      </w:r>
      <w:r>
        <w:rPr>
          <w:rStyle w:val="31"/>
          <w:color w:val="auto"/>
          <w:highlight w:val="none"/>
        </w:rPr>
        <w:t xml:space="preserve">5. </w:t>
      </w:r>
      <w:r>
        <w:rPr>
          <w:rStyle w:val="31"/>
          <w:rFonts w:hint="eastAsia"/>
          <w:color w:val="auto"/>
          <w:highlight w:val="none"/>
        </w:rPr>
        <w:t>开标</w:t>
      </w:r>
      <w:r>
        <w:rPr>
          <w:color w:val="auto"/>
          <w:highlight w:val="none"/>
        </w:rPr>
        <w:tab/>
      </w:r>
      <w:r>
        <w:rPr>
          <w:color w:val="auto"/>
          <w:highlight w:val="none"/>
        </w:rPr>
        <w:fldChar w:fldCharType="begin"/>
      </w:r>
      <w:r>
        <w:rPr>
          <w:color w:val="auto"/>
          <w:highlight w:val="none"/>
        </w:rPr>
        <w:instrText xml:space="preserve"> PAGEREF _Toc118553974 \h </w:instrText>
      </w:r>
      <w:r>
        <w:rPr>
          <w:color w:val="auto"/>
          <w:highlight w:val="none"/>
        </w:rPr>
        <w:fldChar w:fldCharType="separate"/>
      </w:r>
      <w:r>
        <w:rPr>
          <w:color w:val="auto"/>
          <w:highlight w:val="none"/>
        </w:rPr>
        <w:t>18</w:t>
      </w:r>
      <w:r>
        <w:rPr>
          <w:color w:val="auto"/>
          <w:highlight w:val="none"/>
        </w:rPr>
        <w:fldChar w:fldCharType="end"/>
      </w:r>
      <w:r>
        <w:rPr>
          <w:color w:val="auto"/>
          <w:highlight w:val="none"/>
        </w:rPr>
        <w:fldChar w:fldCharType="end"/>
      </w:r>
    </w:p>
    <w:p w14:paraId="1627A570">
      <w:pPr>
        <w:pStyle w:val="15"/>
        <w:tabs>
          <w:tab w:val="right" w:leader="dot" w:pos="9062"/>
        </w:tabs>
        <w:rPr>
          <w:rFonts w:asciiTheme="minorHAnsi" w:hAnsiTheme="minorHAnsi" w:eastAsiaTheme="minorEastAsia" w:cstheme="minorBidi"/>
          <w:color w:val="auto"/>
          <w:highlight w:val="none"/>
        </w:rPr>
      </w:pPr>
      <w:r>
        <w:rPr>
          <w:color w:val="auto"/>
          <w:highlight w:val="none"/>
        </w:rPr>
        <w:fldChar w:fldCharType="begin"/>
      </w:r>
      <w:r>
        <w:rPr>
          <w:color w:val="auto"/>
          <w:highlight w:val="none"/>
        </w:rPr>
        <w:instrText xml:space="preserve"> HYPERLINK \l "_Toc118553975" </w:instrText>
      </w:r>
      <w:r>
        <w:rPr>
          <w:color w:val="auto"/>
          <w:highlight w:val="none"/>
        </w:rPr>
        <w:fldChar w:fldCharType="separate"/>
      </w:r>
      <w:r>
        <w:rPr>
          <w:rStyle w:val="31"/>
          <w:color w:val="auto"/>
          <w:highlight w:val="none"/>
        </w:rPr>
        <w:t xml:space="preserve">6. </w:t>
      </w:r>
      <w:r>
        <w:rPr>
          <w:rStyle w:val="31"/>
          <w:rFonts w:hint="eastAsia"/>
          <w:color w:val="auto"/>
          <w:highlight w:val="none"/>
        </w:rPr>
        <w:t>评标</w:t>
      </w:r>
      <w:r>
        <w:rPr>
          <w:color w:val="auto"/>
          <w:highlight w:val="none"/>
        </w:rPr>
        <w:tab/>
      </w:r>
      <w:r>
        <w:rPr>
          <w:color w:val="auto"/>
          <w:highlight w:val="none"/>
        </w:rPr>
        <w:fldChar w:fldCharType="begin"/>
      </w:r>
      <w:r>
        <w:rPr>
          <w:color w:val="auto"/>
          <w:highlight w:val="none"/>
        </w:rPr>
        <w:instrText xml:space="preserve"> PAGEREF _Toc118553975 \h </w:instrText>
      </w:r>
      <w:r>
        <w:rPr>
          <w:color w:val="auto"/>
          <w:highlight w:val="none"/>
        </w:rPr>
        <w:fldChar w:fldCharType="separate"/>
      </w:r>
      <w:r>
        <w:rPr>
          <w:color w:val="auto"/>
          <w:highlight w:val="none"/>
        </w:rPr>
        <w:t>19</w:t>
      </w:r>
      <w:r>
        <w:rPr>
          <w:color w:val="auto"/>
          <w:highlight w:val="none"/>
        </w:rPr>
        <w:fldChar w:fldCharType="end"/>
      </w:r>
      <w:r>
        <w:rPr>
          <w:color w:val="auto"/>
          <w:highlight w:val="none"/>
        </w:rPr>
        <w:fldChar w:fldCharType="end"/>
      </w:r>
    </w:p>
    <w:p w14:paraId="0DC7057C">
      <w:pPr>
        <w:pStyle w:val="15"/>
        <w:tabs>
          <w:tab w:val="right" w:leader="dot" w:pos="9062"/>
        </w:tabs>
        <w:rPr>
          <w:rFonts w:asciiTheme="minorHAnsi" w:hAnsiTheme="minorHAnsi" w:eastAsiaTheme="minorEastAsia" w:cstheme="minorBidi"/>
          <w:color w:val="auto"/>
          <w:highlight w:val="none"/>
        </w:rPr>
      </w:pPr>
      <w:r>
        <w:rPr>
          <w:color w:val="auto"/>
          <w:highlight w:val="none"/>
        </w:rPr>
        <w:fldChar w:fldCharType="begin"/>
      </w:r>
      <w:r>
        <w:rPr>
          <w:color w:val="auto"/>
          <w:highlight w:val="none"/>
        </w:rPr>
        <w:instrText xml:space="preserve"> HYPERLINK \l "_Toc118553976" </w:instrText>
      </w:r>
      <w:r>
        <w:rPr>
          <w:color w:val="auto"/>
          <w:highlight w:val="none"/>
        </w:rPr>
        <w:fldChar w:fldCharType="separate"/>
      </w:r>
      <w:r>
        <w:rPr>
          <w:rStyle w:val="31"/>
          <w:color w:val="auto"/>
          <w:highlight w:val="none"/>
        </w:rPr>
        <w:t xml:space="preserve">7. </w:t>
      </w:r>
      <w:r>
        <w:rPr>
          <w:rStyle w:val="31"/>
          <w:rFonts w:hint="eastAsia"/>
          <w:color w:val="auto"/>
          <w:highlight w:val="none"/>
        </w:rPr>
        <w:t>合同授予</w:t>
      </w:r>
      <w:r>
        <w:rPr>
          <w:color w:val="auto"/>
          <w:highlight w:val="none"/>
        </w:rPr>
        <w:tab/>
      </w:r>
      <w:r>
        <w:rPr>
          <w:color w:val="auto"/>
          <w:highlight w:val="none"/>
        </w:rPr>
        <w:fldChar w:fldCharType="begin"/>
      </w:r>
      <w:r>
        <w:rPr>
          <w:color w:val="auto"/>
          <w:highlight w:val="none"/>
        </w:rPr>
        <w:instrText xml:space="preserve"> PAGEREF _Toc118553976 \h </w:instrText>
      </w:r>
      <w:r>
        <w:rPr>
          <w:color w:val="auto"/>
          <w:highlight w:val="none"/>
        </w:rPr>
        <w:fldChar w:fldCharType="separate"/>
      </w:r>
      <w:r>
        <w:rPr>
          <w:color w:val="auto"/>
          <w:highlight w:val="none"/>
        </w:rPr>
        <w:t>20</w:t>
      </w:r>
      <w:r>
        <w:rPr>
          <w:color w:val="auto"/>
          <w:highlight w:val="none"/>
        </w:rPr>
        <w:fldChar w:fldCharType="end"/>
      </w:r>
      <w:r>
        <w:rPr>
          <w:color w:val="auto"/>
          <w:highlight w:val="none"/>
        </w:rPr>
        <w:fldChar w:fldCharType="end"/>
      </w:r>
    </w:p>
    <w:p w14:paraId="781372E8">
      <w:pPr>
        <w:pStyle w:val="15"/>
        <w:tabs>
          <w:tab w:val="right" w:leader="dot" w:pos="9062"/>
        </w:tabs>
        <w:rPr>
          <w:rFonts w:asciiTheme="minorHAnsi" w:hAnsiTheme="minorHAnsi" w:eastAsiaTheme="minorEastAsia" w:cstheme="minorBidi"/>
          <w:color w:val="auto"/>
          <w:highlight w:val="none"/>
        </w:rPr>
      </w:pPr>
      <w:r>
        <w:rPr>
          <w:color w:val="auto"/>
          <w:highlight w:val="none"/>
        </w:rPr>
        <w:fldChar w:fldCharType="begin"/>
      </w:r>
      <w:r>
        <w:rPr>
          <w:color w:val="auto"/>
          <w:highlight w:val="none"/>
        </w:rPr>
        <w:instrText xml:space="preserve"> HYPERLINK \l "_Toc118553977" </w:instrText>
      </w:r>
      <w:r>
        <w:rPr>
          <w:color w:val="auto"/>
          <w:highlight w:val="none"/>
        </w:rPr>
        <w:fldChar w:fldCharType="separate"/>
      </w:r>
      <w:r>
        <w:rPr>
          <w:rStyle w:val="31"/>
          <w:color w:val="auto"/>
          <w:highlight w:val="none"/>
        </w:rPr>
        <w:t xml:space="preserve">8. </w:t>
      </w:r>
      <w:r>
        <w:rPr>
          <w:rStyle w:val="31"/>
          <w:rFonts w:hint="eastAsia"/>
          <w:color w:val="auto"/>
          <w:highlight w:val="none"/>
        </w:rPr>
        <w:t>纪律和监督</w:t>
      </w:r>
      <w:r>
        <w:rPr>
          <w:color w:val="auto"/>
          <w:highlight w:val="none"/>
        </w:rPr>
        <w:tab/>
      </w:r>
      <w:r>
        <w:rPr>
          <w:color w:val="auto"/>
          <w:highlight w:val="none"/>
        </w:rPr>
        <w:fldChar w:fldCharType="begin"/>
      </w:r>
      <w:r>
        <w:rPr>
          <w:color w:val="auto"/>
          <w:highlight w:val="none"/>
        </w:rPr>
        <w:instrText xml:space="preserve"> PAGEREF _Toc118553977 \h </w:instrText>
      </w:r>
      <w:r>
        <w:rPr>
          <w:color w:val="auto"/>
          <w:highlight w:val="none"/>
        </w:rPr>
        <w:fldChar w:fldCharType="separate"/>
      </w:r>
      <w:r>
        <w:rPr>
          <w:color w:val="auto"/>
          <w:highlight w:val="none"/>
        </w:rPr>
        <w:t>21</w:t>
      </w:r>
      <w:r>
        <w:rPr>
          <w:color w:val="auto"/>
          <w:highlight w:val="none"/>
        </w:rPr>
        <w:fldChar w:fldCharType="end"/>
      </w:r>
      <w:r>
        <w:rPr>
          <w:color w:val="auto"/>
          <w:highlight w:val="none"/>
        </w:rPr>
        <w:fldChar w:fldCharType="end"/>
      </w:r>
    </w:p>
    <w:p w14:paraId="4487EC21">
      <w:pPr>
        <w:pStyle w:val="15"/>
        <w:tabs>
          <w:tab w:val="right" w:leader="dot" w:pos="9062"/>
        </w:tabs>
        <w:rPr>
          <w:rFonts w:asciiTheme="minorHAnsi" w:hAnsiTheme="minorHAnsi" w:eastAsiaTheme="minorEastAsia" w:cstheme="minorBidi"/>
          <w:color w:val="auto"/>
          <w:highlight w:val="none"/>
        </w:rPr>
      </w:pPr>
      <w:r>
        <w:rPr>
          <w:color w:val="auto"/>
          <w:highlight w:val="none"/>
        </w:rPr>
        <w:fldChar w:fldCharType="begin"/>
      </w:r>
      <w:r>
        <w:rPr>
          <w:color w:val="auto"/>
          <w:highlight w:val="none"/>
        </w:rPr>
        <w:instrText xml:space="preserve"> HYPERLINK \l "_Toc118553978" </w:instrText>
      </w:r>
      <w:r>
        <w:rPr>
          <w:color w:val="auto"/>
          <w:highlight w:val="none"/>
        </w:rPr>
        <w:fldChar w:fldCharType="separate"/>
      </w:r>
      <w:r>
        <w:rPr>
          <w:rStyle w:val="31"/>
          <w:color w:val="auto"/>
          <w:highlight w:val="none"/>
        </w:rPr>
        <w:t xml:space="preserve">9. </w:t>
      </w:r>
      <w:r>
        <w:rPr>
          <w:rStyle w:val="31"/>
          <w:rFonts w:hint="eastAsia"/>
          <w:color w:val="auto"/>
          <w:highlight w:val="none"/>
        </w:rPr>
        <w:t>是否采用电子招标投标</w:t>
      </w:r>
      <w:r>
        <w:rPr>
          <w:color w:val="auto"/>
          <w:highlight w:val="none"/>
        </w:rPr>
        <w:tab/>
      </w:r>
      <w:r>
        <w:rPr>
          <w:color w:val="auto"/>
          <w:highlight w:val="none"/>
        </w:rPr>
        <w:fldChar w:fldCharType="begin"/>
      </w:r>
      <w:r>
        <w:rPr>
          <w:color w:val="auto"/>
          <w:highlight w:val="none"/>
        </w:rPr>
        <w:instrText xml:space="preserve"> PAGEREF _Toc118553978 \h </w:instrText>
      </w:r>
      <w:r>
        <w:rPr>
          <w:color w:val="auto"/>
          <w:highlight w:val="none"/>
        </w:rPr>
        <w:fldChar w:fldCharType="separate"/>
      </w:r>
      <w:r>
        <w:rPr>
          <w:color w:val="auto"/>
          <w:highlight w:val="none"/>
        </w:rPr>
        <w:t>22</w:t>
      </w:r>
      <w:r>
        <w:rPr>
          <w:color w:val="auto"/>
          <w:highlight w:val="none"/>
        </w:rPr>
        <w:fldChar w:fldCharType="end"/>
      </w:r>
      <w:r>
        <w:rPr>
          <w:color w:val="auto"/>
          <w:highlight w:val="none"/>
        </w:rPr>
        <w:fldChar w:fldCharType="end"/>
      </w:r>
    </w:p>
    <w:p w14:paraId="7F7EB023">
      <w:pPr>
        <w:pStyle w:val="15"/>
        <w:tabs>
          <w:tab w:val="right" w:leader="dot" w:pos="9062"/>
        </w:tabs>
        <w:rPr>
          <w:rFonts w:asciiTheme="minorHAnsi" w:hAnsiTheme="minorHAnsi" w:eastAsiaTheme="minorEastAsia" w:cstheme="minorBidi"/>
          <w:color w:val="auto"/>
          <w:highlight w:val="none"/>
        </w:rPr>
      </w:pPr>
      <w:r>
        <w:rPr>
          <w:color w:val="auto"/>
          <w:highlight w:val="none"/>
        </w:rPr>
        <w:fldChar w:fldCharType="begin"/>
      </w:r>
      <w:r>
        <w:rPr>
          <w:color w:val="auto"/>
          <w:highlight w:val="none"/>
        </w:rPr>
        <w:instrText xml:space="preserve"> HYPERLINK \l "_Toc118553979" </w:instrText>
      </w:r>
      <w:r>
        <w:rPr>
          <w:color w:val="auto"/>
          <w:highlight w:val="none"/>
        </w:rPr>
        <w:fldChar w:fldCharType="separate"/>
      </w:r>
      <w:r>
        <w:rPr>
          <w:rStyle w:val="31"/>
          <w:color w:val="auto"/>
          <w:highlight w:val="none"/>
        </w:rPr>
        <w:t xml:space="preserve">10. </w:t>
      </w:r>
      <w:r>
        <w:rPr>
          <w:rStyle w:val="31"/>
          <w:rFonts w:hint="eastAsia"/>
          <w:color w:val="auto"/>
          <w:highlight w:val="none"/>
        </w:rPr>
        <w:t>需要补充的其他内容</w:t>
      </w:r>
      <w:r>
        <w:rPr>
          <w:color w:val="auto"/>
          <w:highlight w:val="none"/>
        </w:rPr>
        <w:tab/>
      </w:r>
      <w:r>
        <w:rPr>
          <w:color w:val="auto"/>
          <w:highlight w:val="none"/>
        </w:rPr>
        <w:fldChar w:fldCharType="begin"/>
      </w:r>
      <w:r>
        <w:rPr>
          <w:color w:val="auto"/>
          <w:highlight w:val="none"/>
        </w:rPr>
        <w:instrText xml:space="preserve"> PAGEREF _Toc118553979 \h </w:instrText>
      </w:r>
      <w:r>
        <w:rPr>
          <w:color w:val="auto"/>
          <w:highlight w:val="none"/>
        </w:rPr>
        <w:fldChar w:fldCharType="separate"/>
      </w:r>
      <w:r>
        <w:rPr>
          <w:color w:val="auto"/>
          <w:highlight w:val="none"/>
        </w:rPr>
        <w:t>22</w:t>
      </w:r>
      <w:r>
        <w:rPr>
          <w:color w:val="auto"/>
          <w:highlight w:val="none"/>
        </w:rPr>
        <w:fldChar w:fldCharType="end"/>
      </w:r>
      <w:r>
        <w:rPr>
          <w:color w:val="auto"/>
          <w:highlight w:val="none"/>
        </w:rPr>
        <w:fldChar w:fldCharType="end"/>
      </w:r>
    </w:p>
    <w:p w14:paraId="04EFF28F">
      <w:pPr>
        <w:pStyle w:val="22"/>
        <w:tabs>
          <w:tab w:val="right" w:leader="dot" w:pos="9062"/>
        </w:tabs>
        <w:rPr>
          <w:rFonts w:asciiTheme="minorHAnsi" w:hAnsiTheme="minorHAnsi" w:eastAsiaTheme="minorEastAsia" w:cstheme="minorBidi"/>
          <w:color w:val="auto"/>
          <w:highlight w:val="none"/>
        </w:rPr>
      </w:pPr>
      <w:r>
        <w:rPr>
          <w:color w:val="auto"/>
          <w:highlight w:val="none"/>
        </w:rPr>
        <w:fldChar w:fldCharType="begin"/>
      </w:r>
      <w:r>
        <w:rPr>
          <w:color w:val="auto"/>
          <w:highlight w:val="none"/>
        </w:rPr>
        <w:instrText xml:space="preserve"> HYPERLINK \l "_Toc118553980" </w:instrText>
      </w:r>
      <w:r>
        <w:rPr>
          <w:color w:val="auto"/>
          <w:highlight w:val="none"/>
        </w:rPr>
        <w:fldChar w:fldCharType="separate"/>
      </w:r>
      <w:r>
        <w:rPr>
          <w:rStyle w:val="31"/>
          <w:rFonts w:hint="eastAsia"/>
          <w:color w:val="auto"/>
          <w:highlight w:val="none"/>
        </w:rPr>
        <w:t>第三章</w:t>
      </w:r>
      <w:r>
        <w:rPr>
          <w:rStyle w:val="31"/>
          <w:color w:val="auto"/>
          <w:highlight w:val="none"/>
        </w:rPr>
        <w:t xml:space="preserve">  </w:t>
      </w:r>
      <w:r>
        <w:rPr>
          <w:rStyle w:val="31"/>
          <w:rFonts w:hint="eastAsia"/>
          <w:color w:val="auto"/>
          <w:highlight w:val="none"/>
        </w:rPr>
        <w:t>评标办法（综合评估法）</w:t>
      </w:r>
      <w:r>
        <w:rPr>
          <w:color w:val="auto"/>
          <w:highlight w:val="none"/>
        </w:rPr>
        <w:tab/>
      </w:r>
      <w:r>
        <w:rPr>
          <w:color w:val="auto"/>
          <w:highlight w:val="none"/>
        </w:rPr>
        <w:fldChar w:fldCharType="begin"/>
      </w:r>
      <w:r>
        <w:rPr>
          <w:color w:val="auto"/>
          <w:highlight w:val="none"/>
        </w:rPr>
        <w:instrText xml:space="preserve"> PAGEREF _Toc118553980 \h </w:instrText>
      </w:r>
      <w:r>
        <w:rPr>
          <w:color w:val="auto"/>
          <w:highlight w:val="none"/>
        </w:rPr>
        <w:fldChar w:fldCharType="separate"/>
      </w:r>
      <w:r>
        <w:rPr>
          <w:color w:val="auto"/>
          <w:highlight w:val="none"/>
        </w:rPr>
        <w:t>23</w:t>
      </w:r>
      <w:r>
        <w:rPr>
          <w:color w:val="auto"/>
          <w:highlight w:val="none"/>
        </w:rPr>
        <w:fldChar w:fldCharType="end"/>
      </w:r>
      <w:r>
        <w:rPr>
          <w:color w:val="auto"/>
          <w:highlight w:val="none"/>
        </w:rPr>
        <w:fldChar w:fldCharType="end"/>
      </w:r>
    </w:p>
    <w:p w14:paraId="0879F340">
      <w:pPr>
        <w:pStyle w:val="23"/>
        <w:tabs>
          <w:tab w:val="right" w:leader="dot" w:pos="9062"/>
        </w:tabs>
        <w:rPr>
          <w:rFonts w:asciiTheme="minorHAnsi" w:hAnsiTheme="minorHAnsi" w:eastAsiaTheme="minorEastAsia" w:cstheme="minorBidi"/>
          <w:color w:val="auto"/>
          <w:highlight w:val="none"/>
        </w:rPr>
      </w:pPr>
      <w:r>
        <w:rPr>
          <w:color w:val="auto"/>
          <w:highlight w:val="none"/>
        </w:rPr>
        <w:fldChar w:fldCharType="begin"/>
      </w:r>
      <w:r>
        <w:rPr>
          <w:color w:val="auto"/>
          <w:highlight w:val="none"/>
        </w:rPr>
        <w:instrText xml:space="preserve"> HYPERLINK \l "_Toc118553981" </w:instrText>
      </w:r>
      <w:r>
        <w:rPr>
          <w:color w:val="auto"/>
          <w:highlight w:val="none"/>
        </w:rPr>
        <w:fldChar w:fldCharType="separate"/>
      </w:r>
      <w:r>
        <w:rPr>
          <w:rStyle w:val="31"/>
          <w:rFonts w:hint="eastAsia" w:ascii="宋体" w:hAnsi="宋体"/>
          <w:color w:val="auto"/>
          <w:highlight w:val="none"/>
        </w:rPr>
        <w:t>评标办法前附表</w:t>
      </w:r>
      <w:r>
        <w:rPr>
          <w:color w:val="auto"/>
          <w:highlight w:val="none"/>
        </w:rPr>
        <w:tab/>
      </w:r>
      <w:r>
        <w:rPr>
          <w:color w:val="auto"/>
          <w:highlight w:val="none"/>
        </w:rPr>
        <w:fldChar w:fldCharType="begin"/>
      </w:r>
      <w:r>
        <w:rPr>
          <w:color w:val="auto"/>
          <w:highlight w:val="none"/>
        </w:rPr>
        <w:instrText xml:space="preserve"> PAGEREF _Toc118553981 \h </w:instrText>
      </w:r>
      <w:r>
        <w:rPr>
          <w:color w:val="auto"/>
          <w:highlight w:val="none"/>
        </w:rPr>
        <w:fldChar w:fldCharType="separate"/>
      </w:r>
      <w:r>
        <w:rPr>
          <w:color w:val="auto"/>
          <w:highlight w:val="none"/>
        </w:rPr>
        <w:t>23</w:t>
      </w:r>
      <w:r>
        <w:rPr>
          <w:color w:val="auto"/>
          <w:highlight w:val="none"/>
        </w:rPr>
        <w:fldChar w:fldCharType="end"/>
      </w:r>
      <w:r>
        <w:rPr>
          <w:color w:val="auto"/>
          <w:highlight w:val="none"/>
        </w:rPr>
        <w:fldChar w:fldCharType="end"/>
      </w:r>
    </w:p>
    <w:p w14:paraId="116B1FCC">
      <w:pPr>
        <w:pStyle w:val="15"/>
        <w:tabs>
          <w:tab w:val="right" w:leader="dot" w:pos="9062"/>
        </w:tabs>
        <w:rPr>
          <w:rFonts w:asciiTheme="minorHAnsi" w:hAnsiTheme="minorHAnsi" w:eastAsiaTheme="minorEastAsia" w:cstheme="minorBidi"/>
          <w:color w:val="auto"/>
          <w:highlight w:val="none"/>
        </w:rPr>
      </w:pPr>
      <w:r>
        <w:rPr>
          <w:color w:val="auto"/>
          <w:highlight w:val="none"/>
        </w:rPr>
        <w:fldChar w:fldCharType="begin"/>
      </w:r>
      <w:r>
        <w:rPr>
          <w:color w:val="auto"/>
          <w:highlight w:val="none"/>
        </w:rPr>
        <w:instrText xml:space="preserve"> HYPERLINK \l "_Toc118553982" </w:instrText>
      </w:r>
      <w:r>
        <w:rPr>
          <w:color w:val="auto"/>
          <w:highlight w:val="none"/>
        </w:rPr>
        <w:fldChar w:fldCharType="separate"/>
      </w:r>
      <w:r>
        <w:rPr>
          <w:rStyle w:val="31"/>
          <w:rFonts w:hint="eastAsia"/>
          <w:color w:val="auto"/>
          <w:highlight w:val="none"/>
        </w:rPr>
        <w:t>附表一：形式评审表</w:t>
      </w:r>
      <w:r>
        <w:rPr>
          <w:color w:val="auto"/>
          <w:highlight w:val="none"/>
        </w:rPr>
        <w:tab/>
      </w:r>
      <w:r>
        <w:rPr>
          <w:color w:val="auto"/>
          <w:highlight w:val="none"/>
        </w:rPr>
        <w:fldChar w:fldCharType="begin"/>
      </w:r>
      <w:r>
        <w:rPr>
          <w:color w:val="auto"/>
          <w:highlight w:val="none"/>
        </w:rPr>
        <w:instrText xml:space="preserve"> PAGEREF _Toc118553982 \h </w:instrText>
      </w:r>
      <w:r>
        <w:rPr>
          <w:color w:val="auto"/>
          <w:highlight w:val="none"/>
        </w:rPr>
        <w:fldChar w:fldCharType="separate"/>
      </w:r>
      <w:r>
        <w:rPr>
          <w:color w:val="auto"/>
          <w:highlight w:val="none"/>
        </w:rPr>
        <w:t>26</w:t>
      </w:r>
      <w:r>
        <w:rPr>
          <w:color w:val="auto"/>
          <w:highlight w:val="none"/>
        </w:rPr>
        <w:fldChar w:fldCharType="end"/>
      </w:r>
      <w:r>
        <w:rPr>
          <w:color w:val="auto"/>
          <w:highlight w:val="none"/>
        </w:rPr>
        <w:fldChar w:fldCharType="end"/>
      </w:r>
    </w:p>
    <w:p w14:paraId="269F846D">
      <w:pPr>
        <w:pStyle w:val="15"/>
        <w:tabs>
          <w:tab w:val="right" w:leader="dot" w:pos="9062"/>
        </w:tabs>
        <w:rPr>
          <w:rFonts w:asciiTheme="minorHAnsi" w:hAnsiTheme="minorHAnsi" w:eastAsiaTheme="minorEastAsia" w:cstheme="minorBidi"/>
          <w:color w:val="auto"/>
          <w:highlight w:val="none"/>
        </w:rPr>
      </w:pPr>
      <w:r>
        <w:rPr>
          <w:color w:val="auto"/>
          <w:highlight w:val="none"/>
        </w:rPr>
        <w:fldChar w:fldCharType="begin"/>
      </w:r>
      <w:r>
        <w:rPr>
          <w:color w:val="auto"/>
          <w:highlight w:val="none"/>
        </w:rPr>
        <w:instrText xml:space="preserve"> HYPERLINK \l "_Toc118553983" </w:instrText>
      </w:r>
      <w:r>
        <w:rPr>
          <w:color w:val="auto"/>
          <w:highlight w:val="none"/>
        </w:rPr>
        <w:fldChar w:fldCharType="separate"/>
      </w:r>
      <w:r>
        <w:rPr>
          <w:rStyle w:val="31"/>
          <w:rFonts w:hint="eastAsia"/>
          <w:color w:val="auto"/>
          <w:highlight w:val="none"/>
        </w:rPr>
        <w:t>附表二：资格评审表</w:t>
      </w:r>
      <w:r>
        <w:rPr>
          <w:color w:val="auto"/>
          <w:highlight w:val="none"/>
        </w:rPr>
        <w:tab/>
      </w:r>
      <w:r>
        <w:rPr>
          <w:color w:val="auto"/>
          <w:highlight w:val="none"/>
        </w:rPr>
        <w:fldChar w:fldCharType="begin"/>
      </w:r>
      <w:r>
        <w:rPr>
          <w:color w:val="auto"/>
          <w:highlight w:val="none"/>
        </w:rPr>
        <w:instrText xml:space="preserve"> PAGEREF _Toc118553983 \h </w:instrText>
      </w:r>
      <w:r>
        <w:rPr>
          <w:color w:val="auto"/>
          <w:highlight w:val="none"/>
        </w:rPr>
        <w:fldChar w:fldCharType="separate"/>
      </w:r>
      <w:r>
        <w:rPr>
          <w:color w:val="auto"/>
          <w:highlight w:val="none"/>
        </w:rPr>
        <w:t>27</w:t>
      </w:r>
      <w:r>
        <w:rPr>
          <w:color w:val="auto"/>
          <w:highlight w:val="none"/>
        </w:rPr>
        <w:fldChar w:fldCharType="end"/>
      </w:r>
      <w:r>
        <w:rPr>
          <w:color w:val="auto"/>
          <w:highlight w:val="none"/>
        </w:rPr>
        <w:fldChar w:fldCharType="end"/>
      </w:r>
    </w:p>
    <w:p w14:paraId="4433D77E">
      <w:pPr>
        <w:pStyle w:val="15"/>
        <w:tabs>
          <w:tab w:val="right" w:leader="dot" w:pos="9062"/>
        </w:tabs>
        <w:rPr>
          <w:rFonts w:asciiTheme="minorHAnsi" w:hAnsiTheme="minorHAnsi" w:eastAsiaTheme="minorEastAsia" w:cstheme="minorBidi"/>
          <w:color w:val="auto"/>
          <w:highlight w:val="none"/>
        </w:rPr>
      </w:pPr>
      <w:r>
        <w:rPr>
          <w:color w:val="auto"/>
          <w:highlight w:val="none"/>
        </w:rPr>
        <w:fldChar w:fldCharType="begin"/>
      </w:r>
      <w:r>
        <w:rPr>
          <w:color w:val="auto"/>
          <w:highlight w:val="none"/>
        </w:rPr>
        <w:instrText xml:space="preserve"> HYPERLINK \l "_Toc118553984" </w:instrText>
      </w:r>
      <w:r>
        <w:rPr>
          <w:color w:val="auto"/>
          <w:highlight w:val="none"/>
        </w:rPr>
        <w:fldChar w:fldCharType="separate"/>
      </w:r>
      <w:r>
        <w:rPr>
          <w:rStyle w:val="31"/>
          <w:rFonts w:hint="eastAsia"/>
          <w:color w:val="auto"/>
          <w:highlight w:val="none"/>
        </w:rPr>
        <w:t>附表三：响应性评审表</w:t>
      </w:r>
      <w:r>
        <w:rPr>
          <w:color w:val="auto"/>
          <w:highlight w:val="none"/>
        </w:rPr>
        <w:tab/>
      </w:r>
      <w:r>
        <w:rPr>
          <w:color w:val="auto"/>
          <w:highlight w:val="none"/>
        </w:rPr>
        <w:fldChar w:fldCharType="begin"/>
      </w:r>
      <w:r>
        <w:rPr>
          <w:color w:val="auto"/>
          <w:highlight w:val="none"/>
        </w:rPr>
        <w:instrText xml:space="preserve"> PAGEREF _Toc118553984 \h </w:instrText>
      </w:r>
      <w:r>
        <w:rPr>
          <w:color w:val="auto"/>
          <w:highlight w:val="none"/>
        </w:rPr>
        <w:fldChar w:fldCharType="separate"/>
      </w:r>
      <w:r>
        <w:rPr>
          <w:color w:val="auto"/>
          <w:highlight w:val="none"/>
        </w:rPr>
        <w:t>29</w:t>
      </w:r>
      <w:r>
        <w:rPr>
          <w:color w:val="auto"/>
          <w:highlight w:val="none"/>
        </w:rPr>
        <w:fldChar w:fldCharType="end"/>
      </w:r>
      <w:r>
        <w:rPr>
          <w:color w:val="auto"/>
          <w:highlight w:val="none"/>
        </w:rPr>
        <w:fldChar w:fldCharType="end"/>
      </w:r>
    </w:p>
    <w:p w14:paraId="29962D69">
      <w:pPr>
        <w:pStyle w:val="15"/>
        <w:tabs>
          <w:tab w:val="right" w:leader="dot" w:pos="9062"/>
        </w:tabs>
        <w:rPr>
          <w:rFonts w:asciiTheme="minorHAnsi" w:hAnsiTheme="minorHAnsi" w:eastAsiaTheme="minorEastAsia" w:cstheme="minorBidi"/>
          <w:color w:val="auto"/>
          <w:highlight w:val="none"/>
        </w:rPr>
      </w:pPr>
      <w:r>
        <w:rPr>
          <w:color w:val="auto"/>
          <w:highlight w:val="none"/>
        </w:rPr>
        <w:fldChar w:fldCharType="begin"/>
      </w:r>
      <w:r>
        <w:rPr>
          <w:color w:val="auto"/>
          <w:highlight w:val="none"/>
        </w:rPr>
        <w:instrText xml:space="preserve"> HYPERLINK \l "_Toc118553985" </w:instrText>
      </w:r>
      <w:r>
        <w:rPr>
          <w:color w:val="auto"/>
          <w:highlight w:val="none"/>
        </w:rPr>
        <w:fldChar w:fldCharType="separate"/>
      </w:r>
      <w:r>
        <w:rPr>
          <w:rStyle w:val="31"/>
          <w:rFonts w:hint="eastAsia"/>
          <w:color w:val="auto"/>
          <w:highlight w:val="none"/>
        </w:rPr>
        <w:t>附表四：综合评分表</w:t>
      </w:r>
      <w:r>
        <w:rPr>
          <w:color w:val="auto"/>
          <w:highlight w:val="none"/>
        </w:rPr>
        <w:tab/>
      </w:r>
      <w:r>
        <w:rPr>
          <w:color w:val="auto"/>
          <w:highlight w:val="none"/>
        </w:rPr>
        <w:fldChar w:fldCharType="begin"/>
      </w:r>
      <w:r>
        <w:rPr>
          <w:color w:val="auto"/>
          <w:highlight w:val="none"/>
        </w:rPr>
        <w:instrText xml:space="preserve"> PAGEREF _Toc118553985 \h </w:instrText>
      </w:r>
      <w:r>
        <w:rPr>
          <w:color w:val="auto"/>
          <w:highlight w:val="none"/>
        </w:rPr>
        <w:fldChar w:fldCharType="separate"/>
      </w:r>
      <w:r>
        <w:rPr>
          <w:color w:val="auto"/>
          <w:highlight w:val="none"/>
        </w:rPr>
        <w:t>30</w:t>
      </w:r>
      <w:r>
        <w:rPr>
          <w:color w:val="auto"/>
          <w:highlight w:val="none"/>
        </w:rPr>
        <w:fldChar w:fldCharType="end"/>
      </w:r>
      <w:r>
        <w:rPr>
          <w:color w:val="auto"/>
          <w:highlight w:val="none"/>
        </w:rPr>
        <w:fldChar w:fldCharType="end"/>
      </w:r>
    </w:p>
    <w:p w14:paraId="27B12759">
      <w:pPr>
        <w:pStyle w:val="15"/>
        <w:tabs>
          <w:tab w:val="right" w:leader="dot" w:pos="9062"/>
        </w:tabs>
        <w:rPr>
          <w:rFonts w:asciiTheme="minorHAnsi" w:hAnsiTheme="minorHAnsi" w:eastAsiaTheme="minorEastAsia" w:cstheme="minorBidi"/>
          <w:color w:val="auto"/>
          <w:highlight w:val="none"/>
        </w:rPr>
      </w:pPr>
      <w:r>
        <w:rPr>
          <w:color w:val="auto"/>
          <w:highlight w:val="none"/>
        </w:rPr>
        <w:fldChar w:fldCharType="begin"/>
      </w:r>
      <w:r>
        <w:rPr>
          <w:color w:val="auto"/>
          <w:highlight w:val="none"/>
        </w:rPr>
        <w:instrText xml:space="preserve"> HYPERLINK \l "_Toc118553986" </w:instrText>
      </w:r>
      <w:r>
        <w:rPr>
          <w:color w:val="auto"/>
          <w:highlight w:val="none"/>
        </w:rPr>
        <w:fldChar w:fldCharType="separate"/>
      </w:r>
      <w:r>
        <w:rPr>
          <w:rStyle w:val="31"/>
          <w:rFonts w:hint="eastAsia"/>
          <w:color w:val="auto"/>
          <w:highlight w:val="none"/>
        </w:rPr>
        <w:t>附表五：算术复核表</w:t>
      </w:r>
      <w:r>
        <w:rPr>
          <w:color w:val="auto"/>
          <w:highlight w:val="none"/>
        </w:rPr>
        <w:tab/>
      </w:r>
      <w:r>
        <w:rPr>
          <w:color w:val="auto"/>
          <w:highlight w:val="none"/>
        </w:rPr>
        <w:fldChar w:fldCharType="begin"/>
      </w:r>
      <w:r>
        <w:rPr>
          <w:color w:val="auto"/>
          <w:highlight w:val="none"/>
        </w:rPr>
        <w:instrText xml:space="preserve"> PAGEREF _Toc118553986 \h </w:instrText>
      </w:r>
      <w:r>
        <w:rPr>
          <w:color w:val="auto"/>
          <w:highlight w:val="none"/>
        </w:rPr>
        <w:fldChar w:fldCharType="separate"/>
      </w:r>
      <w:r>
        <w:rPr>
          <w:color w:val="auto"/>
          <w:highlight w:val="none"/>
        </w:rPr>
        <w:t>34</w:t>
      </w:r>
      <w:r>
        <w:rPr>
          <w:color w:val="auto"/>
          <w:highlight w:val="none"/>
        </w:rPr>
        <w:fldChar w:fldCharType="end"/>
      </w:r>
      <w:r>
        <w:rPr>
          <w:color w:val="auto"/>
          <w:highlight w:val="none"/>
        </w:rPr>
        <w:fldChar w:fldCharType="end"/>
      </w:r>
    </w:p>
    <w:p w14:paraId="68842276">
      <w:pPr>
        <w:pStyle w:val="15"/>
        <w:tabs>
          <w:tab w:val="right" w:leader="dot" w:pos="9062"/>
        </w:tabs>
        <w:rPr>
          <w:rFonts w:asciiTheme="minorHAnsi" w:hAnsiTheme="minorHAnsi" w:eastAsiaTheme="minorEastAsia" w:cstheme="minorBidi"/>
          <w:color w:val="auto"/>
          <w:highlight w:val="none"/>
        </w:rPr>
      </w:pPr>
      <w:r>
        <w:rPr>
          <w:color w:val="auto"/>
          <w:highlight w:val="none"/>
        </w:rPr>
        <w:fldChar w:fldCharType="begin"/>
      </w:r>
      <w:r>
        <w:rPr>
          <w:color w:val="auto"/>
          <w:highlight w:val="none"/>
        </w:rPr>
        <w:instrText xml:space="preserve"> HYPERLINK \l "_Toc118553987" </w:instrText>
      </w:r>
      <w:r>
        <w:rPr>
          <w:color w:val="auto"/>
          <w:highlight w:val="none"/>
        </w:rPr>
        <w:fldChar w:fldCharType="separate"/>
      </w:r>
      <w:r>
        <w:rPr>
          <w:rStyle w:val="31"/>
          <w:rFonts w:hint="eastAsia"/>
          <w:bCs/>
          <w:color w:val="auto"/>
          <w:highlight w:val="none"/>
        </w:rPr>
        <w:t>附表六：</w:t>
      </w:r>
      <w:r>
        <w:rPr>
          <w:rStyle w:val="31"/>
          <w:rFonts w:hint="eastAsia"/>
          <w:color w:val="auto"/>
          <w:highlight w:val="none"/>
        </w:rPr>
        <w:t>报价得分计算表</w:t>
      </w:r>
      <w:r>
        <w:rPr>
          <w:color w:val="auto"/>
          <w:highlight w:val="none"/>
        </w:rPr>
        <w:tab/>
      </w:r>
      <w:r>
        <w:rPr>
          <w:color w:val="auto"/>
          <w:highlight w:val="none"/>
        </w:rPr>
        <w:fldChar w:fldCharType="begin"/>
      </w:r>
      <w:r>
        <w:rPr>
          <w:color w:val="auto"/>
          <w:highlight w:val="none"/>
        </w:rPr>
        <w:instrText xml:space="preserve"> PAGEREF _Toc118553987 \h </w:instrText>
      </w:r>
      <w:r>
        <w:rPr>
          <w:color w:val="auto"/>
          <w:highlight w:val="none"/>
        </w:rPr>
        <w:fldChar w:fldCharType="separate"/>
      </w:r>
      <w:r>
        <w:rPr>
          <w:color w:val="auto"/>
          <w:highlight w:val="none"/>
        </w:rPr>
        <w:t>35</w:t>
      </w:r>
      <w:r>
        <w:rPr>
          <w:color w:val="auto"/>
          <w:highlight w:val="none"/>
        </w:rPr>
        <w:fldChar w:fldCharType="end"/>
      </w:r>
      <w:r>
        <w:rPr>
          <w:color w:val="auto"/>
          <w:highlight w:val="none"/>
        </w:rPr>
        <w:fldChar w:fldCharType="end"/>
      </w:r>
    </w:p>
    <w:p w14:paraId="362D67E2">
      <w:pPr>
        <w:pStyle w:val="15"/>
        <w:tabs>
          <w:tab w:val="left" w:pos="1260"/>
          <w:tab w:val="right" w:leader="dot" w:pos="9062"/>
        </w:tabs>
        <w:rPr>
          <w:rFonts w:asciiTheme="minorHAnsi" w:hAnsiTheme="minorHAnsi" w:eastAsiaTheme="minorEastAsia" w:cstheme="minorBidi"/>
          <w:color w:val="auto"/>
          <w:highlight w:val="none"/>
        </w:rPr>
      </w:pPr>
      <w:r>
        <w:rPr>
          <w:color w:val="auto"/>
          <w:highlight w:val="none"/>
        </w:rPr>
        <w:fldChar w:fldCharType="begin"/>
      </w:r>
      <w:r>
        <w:rPr>
          <w:color w:val="auto"/>
          <w:highlight w:val="none"/>
        </w:rPr>
        <w:instrText xml:space="preserve"> HYPERLINK \l "_Toc118553988" </w:instrText>
      </w:r>
      <w:r>
        <w:rPr>
          <w:color w:val="auto"/>
          <w:highlight w:val="none"/>
        </w:rPr>
        <w:fldChar w:fldCharType="separate"/>
      </w:r>
      <w:r>
        <w:rPr>
          <w:rStyle w:val="31"/>
          <w:color w:val="auto"/>
          <w:highlight w:val="none"/>
        </w:rPr>
        <w:t>1.</w:t>
      </w:r>
      <w:r>
        <w:rPr>
          <w:rFonts w:asciiTheme="minorHAnsi" w:hAnsiTheme="minorHAnsi" w:eastAsiaTheme="minorEastAsia" w:cstheme="minorBidi"/>
          <w:color w:val="auto"/>
          <w:highlight w:val="none"/>
        </w:rPr>
        <w:tab/>
      </w:r>
      <w:r>
        <w:rPr>
          <w:rStyle w:val="31"/>
          <w:rFonts w:hint="eastAsia"/>
          <w:color w:val="auto"/>
          <w:highlight w:val="none"/>
        </w:rPr>
        <w:t>评标方法</w:t>
      </w:r>
      <w:r>
        <w:rPr>
          <w:color w:val="auto"/>
          <w:highlight w:val="none"/>
        </w:rPr>
        <w:tab/>
      </w:r>
      <w:r>
        <w:rPr>
          <w:color w:val="auto"/>
          <w:highlight w:val="none"/>
        </w:rPr>
        <w:fldChar w:fldCharType="begin"/>
      </w:r>
      <w:r>
        <w:rPr>
          <w:color w:val="auto"/>
          <w:highlight w:val="none"/>
        </w:rPr>
        <w:instrText xml:space="preserve"> PAGEREF _Toc118553988 \h </w:instrText>
      </w:r>
      <w:r>
        <w:rPr>
          <w:color w:val="auto"/>
          <w:highlight w:val="none"/>
        </w:rPr>
        <w:fldChar w:fldCharType="separate"/>
      </w:r>
      <w:r>
        <w:rPr>
          <w:color w:val="auto"/>
          <w:highlight w:val="none"/>
        </w:rPr>
        <w:t>36</w:t>
      </w:r>
      <w:r>
        <w:rPr>
          <w:color w:val="auto"/>
          <w:highlight w:val="none"/>
        </w:rPr>
        <w:fldChar w:fldCharType="end"/>
      </w:r>
      <w:r>
        <w:rPr>
          <w:color w:val="auto"/>
          <w:highlight w:val="none"/>
        </w:rPr>
        <w:fldChar w:fldCharType="end"/>
      </w:r>
    </w:p>
    <w:p w14:paraId="34FCB430">
      <w:pPr>
        <w:pStyle w:val="15"/>
        <w:tabs>
          <w:tab w:val="right" w:leader="dot" w:pos="9062"/>
        </w:tabs>
        <w:rPr>
          <w:rFonts w:asciiTheme="minorHAnsi" w:hAnsiTheme="minorHAnsi" w:eastAsiaTheme="minorEastAsia" w:cstheme="minorBidi"/>
          <w:color w:val="auto"/>
          <w:highlight w:val="none"/>
        </w:rPr>
      </w:pPr>
      <w:r>
        <w:rPr>
          <w:color w:val="auto"/>
          <w:highlight w:val="none"/>
        </w:rPr>
        <w:fldChar w:fldCharType="begin"/>
      </w:r>
      <w:r>
        <w:rPr>
          <w:color w:val="auto"/>
          <w:highlight w:val="none"/>
        </w:rPr>
        <w:instrText xml:space="preserve"> HYPERLINK \l "_Toc118553989" </w:instrText>
      </w:r>
      <w:r>
        <w:rPr>
          <w:color w:val="auto"/>
          <w:highlight w:val="none"/>
        </w:rPr>
        <w:fldChar w:fldCharType="separate"/>
      </w:r>
      <w:r>
        <w:rPr>
          <w:rStyle w:val="31"/>
          <w:color w:val="auto"/>
          <w:highlight w:val="none"/>
        </w:rPr>
        <w:t xml:space="preserve">2. </w:t>
      </w:r>
      <w:r>
        <w:rPr>
          <w:rStyle w:val="31"/>
          <w:rFonts w:hint="eastAsia"/>
          <w:color w:val="auto"/>
          <w:highlight w:val="none"/>
        </w:rPr>
        <w:t>评审标准</w:t>
      </w:r>
      <w:r>
        <w:rPr>
          <w:color w:val="auto"/>
          <w:highlight w:val="none"/>
        </w:rPr>
        <w:tab/>
      </w:r>
      <w:r>
        <w:rPr>
          <w:color w:val="auto"/>
          <w:highlight w:val="none"/>
        </w:rPr>
        <w:fldChar w:fldCharType="begin"/>
      </w:r>
      <w:r>
        <w:rPr>
          <w:color w:val="auto"/>
          <w:highlight w:val="none"/>
        </w:rPr>
        <w:instrText xml:space="preserve"> PAGEREF _Toc118553989 \h </w:instrText>
      </w:r>
      <w:r>
        <w:rPr>
          <w:color w:val="auto"/>
          <w:highlight w:val="none"/>
        </w:rPr>
        <w:fldChar w:fldCharType="separate"/>
      </w:r>
      <w:r>
        <w:rPr>
          <w:color w:val="auto"/>
          <w:highlight w:val="none"/>
        </w:rPr>
        <w:t>36</w:t>
      </w:r>
      <w:r>
        <w:rPr>
          <w:color w:val="auto"/>
          <w:highlight w:val="none"/>
        </w:rPr>
        <w:fldChar w:fldCharType="end"/>
      </w:r>
      <w:r>
        <w:rPr>
          <w:color w:val="auto"/>
          <w:highlight w:val="none"/>
        </w:rPr>
        <w:fldChar w:fldCharType="end"/>
      </w:r>
    </w:p>
    <w:p w14:paraId="6D7A2756">
      <w:pPr>
        <w:pStyle w:val="15"/>
        <w:tabs>
          <w:tab w:val="right" w:leader="dot" w:pos="9062"/>
        </w:tabs>
        <w:rPr>
          <w:rFonts w:asciiTheme="minorHAnsi" w:hAnsiTheme="minorHAnsi" w:eastAsiaTheme="minorEastAsia" w:cstheme="minorBidi"/>
          <w:color w:val="auto"/>
          <w:highlight w:val="none"/>
        </w:rPr>
      </w:pPr>
      <w:r>
        <w:rPr>
          <w:color w:val="auto"/>
          <w:highlight w:val="none"/>
        </w:rPr>
        <w:fldChar w:fldCharType="begin"/>
      </w:r>
      <w:r>
        <w:rPr>
          <w:color w:val="auto"/>
          <w:highlight w:val="none"/>
        </w:rPr>
        <w:instrText xml:space="preserve"> HYPERLINK \l "_Toc118553990" </w:instrText>
      </w:r>
      <w:r>
        <w:rPr>
          <w:color w:val="auto"/>
          <w:highlight w:val="none"/>
        </w:rPr>
        <w:fldChar w:fldCharType="separate"/>
      </w:r>
      <w:r>
        <w:rPr>
          <w:rStyle w:val="31"/>
          <w:color w:val="auto"/>
          <w:highlight w:val="none"/>
        </w:rPr>
        <w:t xml:space="preserve">3. </w:t>
      </w:r>
      <w:r>
        <w:rPr>
          <w:rStyle w:val="31"/>
          <w:rFonts w:hint="eastAsia"/>
          <w:color w:val="auto"/>
          <w:highlight w:val="none"/>
        </w:rPr>
        <w:t>评标程序</w:t>
      </w:r>
      <w:r>
        <w:rPr>
          <w:color w:val="auto"/>
          <w:highlight w:val="none"/>
        </w:rPr>
        <w:tab/>
      </w:r>
      <w:r>
        <w:rPr>
          <w:color w:val="auto"/>
          <w:highlight w:val="none"/>
        </w:rPr>
        <w:fldChar w:fldCharType="begin"/>
      </w:r>
      <w:r>
        <w:rPr>
          <w:color w:val="auto"/>
          <w:highlight w:val="none"/>
        </w:rPr>
        <w:instrText xml:space="preserve"> PAGEREF _Toc118553990 \h </w:instrText>
      </w:r>
      <w:r>
        <w:rPr>
          <w:color w:val="auto"/>
          <w:highlight w:val="none"/>
        </w:rPr>
        <w:fldChar w:fldCharType="separate"/>
      </w:r>
      <w:r>
        <w:rPr>
          <w:color w:val="auto"/>
          <w:highlight w:val="none"/>
        </w:rPr>
        <w:t>37</w:t>
      </w:r>
      <w:r>
        <w:rPr>
          <w:color w:val="auto"/>
          <w:highlight w:val="none"/>
        </w:rPr>
        <w:fldChar w:fldCharType="end"/>
      </w:r>
      <w:r>
        <w:rPr>
          <w:color w:val="auto"/>
          <w:highlight w:val="none"/>
        </w:rPr>
        <w:fldChar w:fldCharType="end"/>
      </w:r>
    </w:p>
    <w:p w14:paraId="0776094E">
      <w:pPr>
        <w:pStyle w:val="22"/>
        <w:tabs>
          <w:tab w:val="right" w:leader="dot" w:pos="9062"/>
        </w:tabs>
        <w:rPr>
          <w:rFonts w:asciiTheme="minorHAnsi" w:hAnsiTheme="minorHAnsi" w:eastAsiaTheme="minorEastAsia" w:cstheme="minorBidi"/>
          <w:color w:val="auto"/>
          <w:highlight w:val="none"/>
        </w:rPr>
      </w:pPr>
      <w:r>
        <w:rPr>
          <w:color w:val="auto"/>
          <w:highlight w:val="none"/>
        </w:rPr>
        <w:fldChar w:fldCharType="begin"/>
      </w:r>
      <w:r>
        <w:rPr>
          <w:color w:val="auto"/>
          <w:highlight w:val="none"/>
        </w:rPr>
        <w:instrText xml:space="preserve"> HYPERLINK \l "_Toc118553991" </w:instrText>
      </w:r>
      <w:r>
        <w:rPr>
          <w:color w:val="auto"/>
          <w:highlight w:val="none"/>
        </w:rPr>
        <w:fldChar w:fldCharType="separate"/>
      </w:r>
      <w:r>
        <w:rPr>
          <w:rStyle w:val="31"/>
          <w:rFonts w:hint="eastAsia"/>
          <w:color w:val="auto"/>
          <w:highlight w:val="none"/>
        </w:rPr>
        <w:t>第四章</w:t>
      </w:r>
      <w:r>
        <w:rPr>
          <w:rStyle w:val="31"/>
          <w:color w:val="auto"/>
          <w:highlight w:val="none"/>
        </w:rPr>
        <w:t xml:space="preserve">  </w:t>
      </w:r>
      <w:r>
        <w:rPr>
          <w:rStyle w:val="31"/>
          <w:rFonts w:hint="eastAsia"/>
          <w:color w:val="auto"/>
          <w:highlight w:val="none"/>
        </w:rPr>
        <w:t>合同条款及格式</w:t>
      </w:r>
      <w:r>
        <w:rPr>
          <w:color w:val="auto"/>
          <w:highlight w:val="none"/>
        </w:rPr>
        <w:tab/>
      </w:r>
      <w:r>
        <w:rPr>
          <w:color w:val="auto"/>
          <w:highlight w:val="none"/>
        </w:rPr>
        <w:fldChar w:fldCharType="begin"/>
      </w:r>
      <w:r>
        <w:rPr>
          <w:color w:val="auto"/>
          <w:highlight w:val="none"/>
        </w:rPr>
        <w:instrText xml:space="preserve"> PAGEREF _Toc118553991 \h </w:instrText>
      </w:r>
      <w:r>
        <w:rPr>
          <w:color w:val="auto"/>
          <w:highlight w:val="none"/>
        </w:rPr>
        <w:fldChar w:fldCharType="separate"/>
      </w:r>
      <w:r>
        <w:rPr>
          <w:color w:val="auto"/>
          <w:highlight w:val="none"/>
        </w:rPr>
        <w:t>39</w:t>
      </w:r>
      <w:r>
        <w:rPr>
          <w:color w:val="auto"/>
          <w:highlight w:val="none"/>
        </w:rPr>
        <w:fldChar w:fldCharType="end"/>
      </w:r>
      <w:r>
        <w:rPr>
          <w:color w:val="auto"/>
          <w:highlight w:val="none"/>
        </w:rPr>
        <w:fldChar w:fldCharType="end"/>
      </w:r>
    </w:p>
    <w:p w14:paraId="1E3B06B3">
      <w:pPr>
        <w:pStyle w:val="22"/>
        <w:tabs>
          <w:tab w:val="right" w:leader="dot" w:pos="9062"/>
        </w:tabs>
        <w:rPr>
          <w:rFonts w:asciiTheme="minorHAnsi" w:hAnsiTheme="minorHAnsi" w:eastAsiaTheme="minorEastAsia" w:cstheme="minorBidi"/>
          <w:color w:val="auto"/>
          <w:highlight w:val="none"/>
        </w:rPr>
      </w:pPr>
      <w:r>
        <w:rPr>
          <w:color w:val="auto"/>
          <w:highlight w:val="none"/>
        </w:rPr>
        <w:fldChar w:fldCharType="begin"/>
      </w:r>
      <w:r>
        <w:rPr>
          <w:color w:val="auto"/>
          <w:highlight w:val="none"/>
        </w:rPr>
        <w:instrText xml:space="preserve"> HYPERLINK \l "_Toc118553992" </w:instrText>
      </w:r>
      <w:r>
        <w:rPr>
          <w:color w:val="auto"/>
          <w:highlight w:val="none"/>
        </w:rPr>
        <w:fldChar w:fldCharType="separate"/>
      </w:r>
      <w:r>
        <w:rPr>
          <w:rStyle w:val="31"/>
          <w:rFonts w:hint="eastAsia"/>
          <w:color w:val="auto"/>
          <w:highlight w:val="none"/>
        </w:rPr>
        <w:t>第二卷</w:t>
      </w:r>
      <w:r>
        <w:rPr>
          <w:color w:val="auto"/>
          <w:highlight w:val="none"/>
        </w:rPr>
        <w:tab/>
      </w:r>
      <w:r>
        <w:rPr>
          <w:color w:val="auto"/>
          <w:highlight w:val="none"/>
        </w:rPr>
        <w:fldChar w:fldCharType="begin"/>
      </w:r>
      <w:r>
        <w:rPr>
          <w:color w:val="auto"/>
          <w:highlight w:val="none"/>
        </w:rPr>
        <w:instrText xml:space="preserve"> PAGEREF _Toc118553992 \h </w:instrText>
      </w:r>
      <w:r>
        <w:rPr>
          <w:color w:val="auto"/>
          <w:highlight w:val="none"/>
        </w:rPr>
        <w:fldChar w:fldCharType="separate"/>
      </w:r>
      <w:r>
        <w:rPr>
          <w:color w:val="auto"/>
          <w:highlight w:val="none"/>
        </w:rPr>
        <w:t>39</w:t>
      </w:r>
      <w:r>
        <w:rPr>
          <w:color w:val="auto"/>
          <w:highlight w:val="none"/>
        </w:rPr>
        <w:fldChar w:fldCharType="end"/>
      </w:r>
      <w:r>
        <w:rPr>
          <w:color w:val="auto"/>
          <w:highlight w:val="none"/>
        </w:rPr>
        <w:fldChar w:fldCharType="end"/>
      </w:r>
    </w:p>
    <w:p w14:paraId="33381FF2">
      <w:pPr>
        <w:pStyle w:val="22"/>
        <w:tabs>
          <w:tab w:val="right" w:leader="dot" w:pos="9062"/>
        </w:tabs>
        <w:rPr>
          <w:rFonts w:asciiTheme="minorHAnsi" w:hAnsiTheme="minorHAnsi" w:eastAsiaTheme="minorEastAsia" w:cstheme="minorBidi"/>
          <w:color w:val="auto"/>
          <w:highlight w:val="none"/>
        </w:rPr>
      </w:pPr>
      <w:r>
        <w:rPr>
          <w:color w:val="auto"/>
          <w:highlight w:val="none"/>
        </w:rPr>
        <w:fldChar w:fldCharType="begin"/>
      </w:r>
      <w:r>
        <w:rPr>
          <w:color w:val="auto"/>
          <w:highlight w:val="none"/>
        </w:rPr>
        <w:instrText xml:space="preserve"> HYPERLINK \l "_Toc118553993" </w:instrText>
      </w:r>
      <w:r>
        <w:rPr>
          <w:color w:val="auto"/>
          <w:highlight w:val="none"/>
        </w:rPr>
        <w:fldChar w:fldCharType="separate"/>
      </w:r>
      <w:r>
        <w:rPr>
          <w:rStyle w:val="31"/>
          <w:rFonts w:hint="eastAsia"/>
          <w:color w:val="auto"/>
          <w:highlight w:val="none"/>
        </w:rPr>
        <w:t>第五章 委托人要求</w:t>
      </w:r>
      <w:r>
        <w:rPr>
          <w:color w:val="auto"/>
          <w:highlight w:val="none"/>
        </w:rPr>
        <w:tab/>
      </w:r>
      <w:r>
        <w:rPr>
          <w:color w:val="auto"/>
          <w:highlight w:val="none"/>
        </w:rPr>
        <w:fldChar w:fldCharType="begin"/>
      </w:r>
      <w:r>
        <w:rPr>
          <w:color w:val="auto"/>
          <w:highlight w:val="none"/>
        </w:rPr>
        <w:instrText xml:space="preserve"> PAGEREF _Toc118553993 \h </w:instrText>
      </w:r>
      <w:r>
        <w:rPr>
          <w:color w:val="auto"/>
          <w:highlight w:val="none"/>
        </w:rPr>
        <w:fldChar w:fldCharType="separate"/>
      </w:r>
      <w:r>
        <w:rPr>
          <w:color w:val="auto"/>
          <w:highlight w:val="none"/>
        </w:rPr>
        <w:t>40</w:t>
      </w:r>
      <w:r>
        <w:rPr>
          <w:color w:val="auto"/>
          <w:highlight w:val="none"/>
        </w:rPr>
        <w:fldChar w:fldCharType="end"/>
      </w:r>
      <w:r>
        <w:rPr>
          <w:color w:val="auto"/>
          <w:highlight w:val="none"/>
        </w:rPr>
        <w:fldChar w:fldCharType="end"/>
      </w:r>
    </w:p>
    <w:p w14:paraId="066A5171">
      <w:pPr>
        <w:pStyle w:val="22"/>
        <w:tabs>
          <w:tab w:val="right" w:leader="dot" w:pos="9062"/>
        </w:tabs>
        <w:rPr>
          <w:rFonts w:asciiTheme="minorHAnsi" w:hAnsiTheme="minorHAnsi" w:eastAsiaTheme="minorEastAsia" w:cstheme="minorBidi"/>
          <w:color w:val="auto"/>
          <w:highlight w:val="none"/>
        </w:rPr>
      </w:pPr>
      <w:r>
        <w:rPr>
          <w:color w:val="auto"/>
          <w:highlight w:val="none"/>
        </w:rPr>
        <w:fldChar w:fldCharType="begin"/>
      </w:r>
      <w:r>
        <w:rPr>
          <w:color w:val="auto"/>
          <w:highlight w:val="none"/>
        </w:rPr>
        <w:instrText xml:space="preserve"> HYPERLINK \l "_Toc118553994" </w:instrText>
      </w:r>
      <w:r>
        <w:rPr>
          <w:color w:val="auto"/>
          <w:highlight w:val="none"/>
        </w:rPr>
        <w:fldChar w:fldCharType="separate"/>
      </w:r>
      <w:r>
        <w:rPr>
          <w:rStyle w:val="31"/>
          <w:rFonts w:hint="eastAsia"/>
          <w:color w:val="auto"/>
          <w:highlight w:val="none"/>
        </w:rPr>
        <w:t>第三卷</w:t>
      </w:r>
      <w:r>
        <w:rPr>
          <w:color w:val="auto"/>
          <w:highlight w:val="none"/>
        </w:rPr>
        <w:tab/>
      </w:r>
      <w:r>
        <w:rPr>
          <w:color w:val="auto"/>
          <w:highlight w:val="none"/>
        </w:rPr>
        <w:fldChar w:fldCharType="begin"/>
      </w:r>
      <w:r>
        <w:rPr>
          <w:color w:val="auto"/>
          <w:highlight w:val="none"/>
        </w:rPr>
        <w:instrText xml:space="preserve"> PAGEREF _Toc118553994 \h </w:instrText>
      </w:r>
      <w:r>
        <w:rPr>
          <w:color w:val="auto"/>
          <w:highlight w:val="none"/>
        </w:rPr>
        <w:fldChar w:fldCharType="separate"/>
      </w:r>
      <w:r>
        <w:rPr>
          <w:color w:val="auto"/>
          <w:highlight w:val="none"/>
        </w:rPr>
        <w:t>44</w:t>
      </w:r>
      <w:r>
        <w:rPr>
          <w:color w:val="auto"/>
          <w:highlight w:val="none"/>
        </w:rPr>
        <w:fldChar w:fldCharType="end"/>
      </w:r>
      <w:r>
        <w:rPr>
          <w:color w:val="auto"/>
          <w:highlight w:val="none"/>
        </w:rPr>
        <w:fldChar w:fldCharType="end"/>
      </w:r>
    </w:p>
    <w:p w14:paraId="7860DB61">
      <w:pPr>
        <w:pStyle w:val="22"/>
        <w:tabs>
          <w:tab w:val="right" w:leader="dot" w:pos="9062"/>
        </w:tabs>
        <w:rPr>
          <w:rFonts w:asciiTheme="minorHAnsi" w:hAnsiTheme="minorHAnsi" w:eastAsiaTheme="minorEastAsia" w:cstheme="minorBidi"/>
          <w:color w:val="auto"/>
          <w:highlight w:val="none"/>
        </w:rPr>
      </w:pPr>
      <w:r>
        <w:rPr>
          <w:color w:val="auto"/>
          <w:highlight w:val="none"/>
        </w:rPr>
        <w:fldChar w:fldCharType="begin"/>
      </w:r>
      <w:r>
        <w:rPr>
          <w:color w:val="auto"/>
          <w:highlight w:val="none"/>
        </w:rPr>
        <w:instrText xml:space="preserve"> HYPERLINK \l "_Toc118553995" </w:instrText>
      </w:r>
      <w:r>
        <w:rPr>
          <w:color w:val="auto"/>
          <w:highlight w:val="none"/>
        </w:rPr>
        <w:fldChar w:fldCharType="separate"/>
      </w:r>
      <w:r>
        <w:rPr>
          <w:rStyle w:val="31"/>
          <w:rFonts w:hint="eastAsia"/>
          <w:color w:val="auto"/>
          <w:highlight w:val="none"/>
        </w:rPr>
        <w:t>第六章</w:t>
      </w:r>
      <w:r>
        <w:rPr>
          <w:rStyle w:val="31"/>
          <w:color w:val="auto"/>
          <w:highlight w:val="none"/>
        </w:rPr>
        <w:t xml:space="preserve">  </w:t>
      </w:r>
      <w:r>
        <w:rPr>
          <w:rStyle w:val="31"/>
          <w:rFonts w:hint="eastAsia"/>
          <w:color w:val="auto"/>
          <w:highlight w:val="none"/>
        </w:rPr>
        <w:t>投标文件格式</w:t>
      </w:r>
      <w:r>
        <w:rPr>
          <w:color w:val="auto"/>
          <w:highlight w:val="none"/>
        </w:rPr>
        <w:tab/>
      </w:r>
      <w:r>
        <w:rPr>
          <w:color w:val="auto"/>
          <w:highlight w:val="none"/>
        </w:rPr>
        <w:fldChar w:fldCharType="begin"/>
      </w:r>
      <w:r>
        <w:rPr>
          <w:color w:val="auto"/>
          <w:highlight w:val="none"/>
        </w:rPr>
        <w:instrText xml:space="preserve"> PAGEREF _Toc118553995 \h </w:instrText>
      </w:r>
      <w:r>
        <w:rPr>
          <w:color w:val="auto"/>
          <w:highlight w:val="none"/>
        </w:rPr>
        <w:fldChar w:fldCharType="separate"/>
      </w:r>
      <w:r>
        <w:rPr>
          <w:color w:val="auto"/>
          <w:highlight w:val="none"/>
        </w:rPr>
        <w:t>44</w:t>
      </w:r>
      <w:r>
        <w:rPr>
          <w:color w:val="auto"/>
          <w:highlight w:val="none"/>
        </w:rPr>
        <w:fldChar w:fldCharType="end"/>
      </w:r>
      <w:r>
        <w:rPr>
          <w:color w:val="auto"/>
          <w:highlight w:val="none"/>
        </w:rPr>
        <w:fldChar w:fldCharType="end"/>
      </w:r>
    </w:p>
    <w:p w14:paraId="494F7F95">
      <w:pPr>
        <w:pStyle w:val="15"/>
        <w:tabs>
          <w:tab w:val="right" w:leader="dot" w:pos="9062"/>
        </w:tabs>
        <w:rPr>
          <w:rFonts w:asciiTheme="minorHAnsi" w:hAnsiTheme="minorHAnsi" w:eastAsiaTheme="minorEastAsia" w:cstheme="minorBidi"/>
          <w:color w:val="auto"/>
          <w:highlight w:val="none"/>
        </w:rPr>
      </w:pPr>
      <w:r>
        <w:rPr>
          <w:color w:val="auto"/>
          <w:highlight w:val="none"/>
        </w:rPr>
        <w:fldChar w:fldCharType="begin"/>
      </w:r>
      <w:r>
        <w:rPr>
          <w:color w:val="auto"/>
          <w:highlight w:val="none"/>
        </w:rPr>
        <w:instrText xml:space="preserve"> HYPERLINK \l "_Toc118553996" </w:instrText>
      </w:r>
      <w:r>
        <w:rPr>
          <w:color w:val="auto"/>
          <w:highlight w:val="none"/>
        </w:rPr>
        <w:fldChar w:fldCharType="separate"/>
      </w:r>
      <w:r>
        <w:rPr>
          <w:rStyle w:val="31"/>
          <w:rFonts w:hint="eastAsia"/>
          <w:color w:val="auto"/>
          <w:highlight w:val="none"/>
        </w:rPr>
        <w:t>一、投标函及其附表</w:t>
      </w:r>
      <w:r>
        <w:rPr>
          <w:color w:val="auto"/>
          <w:highlight w:val="none"/>
        </w:rPr>
        <w:tab/>
      </w:r>
      <w:r>
        <w:rPr>
          <w:color w:val="auto"/>
          <w:highlight w:val="none"/>
        </w:rPr>
        <w:fldChar w:fldCharType="begin"/>
      </w:r>
      <w:r>
        <w:rPr>
          <w:color w:val="auto"/>
          <w:highlight w:val="none"/>
        </w:rPr>
        <w:instrText xml:space="preserve"> PAGEREF _Toc118553996 \h </w:instrText>
      </w:r>
      <w:r>
        <w:rPr>
          <w:color w:val="auto"/>
          <w:highlight w:val="none"/>
        </w:rPr>
        <w:fldChar w:fldCharType="separate"/>
      </w:r>
      <w:r>
        <w:rPr>
          <w:color w:val="auto"/>
          <w:highlight w:val="none"/>
        </w:rPr>
        <w:t>47</w:t>
      </w:r>
      <w:r>
        <w:rPr>
          <w:color w:val="auto"/>
          <w:highlight w:val="none"/>
        </w:rPr>
        <w:fldChar w:fldCharType="end"/>
      </w:r>
      <w:r>
        <w:rPr>
          <w:color w:val="auto"/>
          <w:highlight w:val="none"/>
        </w:rPr>
        <w:fldChar w:fldCharType="end"/>
      </w:r>
    </w:p>
    <w:p w14:paraId="55FC46B2">
      <w:pPr>
        <w:pStyle w:val="15"/>
        <w:tabs>
          <w:tab w:val="right" w:leader="dot" w:pos="9062"/>
        </w:tabs>
        <w:rPr>
          <w:rFonts w:asciiTheme="minorHAnsi" w:hAnsiTheme="minorHAnsi" w:eastAsiaTheme="minorEastAsia" w:cstheme="minorBidi"/>
          <w:color w:val="auto"/>
          <w:highlight w:val="none"/>
        </w:rPr>
      </w:pPr>
      <w:r>
        <w:rPr>
          <w:color w:val="auto"/>
          <w:highlight w:val="none"/>
        </w:rPr>
        <w:fldChar w:fldCharType="begin"/>
      </w:r>
      <w:r>
        <w:rPr>
          <w:color w:val="auto"/>
          <w:highlight w:val="none"/>
        </w:rPr>
        <w:instrText xml:space="preserve"> HYPERLINK \l "_Toc118553997" </w:instrText>
      </w:r>
      <w:r>
        <w:rPr>
          <w:color w:val="auto"/>
          <w:highlight w:val="none"/>
        </w:rPr>
        <w:fldChar w:fldCharType="separate"/>
      </w:r>
      <w:r>
        <w:rPr>
          <w:rStyle w:val="31"/>
          <w:rFonts w:hint="eastAsia"/>
          <w:color w:val="auto"/>
          <w:highlight w:val="none"/>
        </w:rPr>
        <w:t>二、法定代表人证明书及授权委托书</w:t>
      </w:r>
      <w:r>
        <w:rPr>
          <w:color w:val="auto"/>
          <w:highlight w:val="none"/>
        </w:rPr>
        <w:tab/>
      </w:r>
      <w:r>
        <w:rPr>
          <w:color w:val="auto"/>
          <w:highlight w:val="none"/>
        </w:rPr>
        <w:fldChar w:fldCharType="begin"/>
      </w:r>
      <w:r>
        <w:rPr>
          <w:color w:val="auto"/>
          <w:highlight w:val="none"/>
        </w:rPr>
        <w:instrText xml:space="preserve"> PAGEREF _Toc118553997 \h </w:instrText>
      </w:r>
      <w:r>
        <w:rPr>
          <w:color w:val="auto"/>
          <w:highlight w:val="none"/>
        </w:rPr>
        <w:fldChar w:fldCharType="separate"/>
      </w:r>
      <w:r>
        <w:rPr>
          <w:color w:val="auto"/>
          <w:highlight w:val="none"/>
        </w:rPr>
        <w:t>49</w:t>
      </w:r>
      <w:r>
        <w:rPr>
          <w:color w:val="auto"/>
          <w:highlight w:val="none"/>
        </w:rPr>
        <w:fldChar w:fldCharType="end"/>
      </w:r>
      <w:r>
        <w:rPr>
          <w:color w:val="auto"/>
          <w:highlight w:val="none"/>
        </w:rPr>
        <w:fldChar w:fldCharType="end"/>
      </w:r>
    </w:p>
    <w:p w14:paraId="0A4EAB4E">
      <w:pPr>
        <w:pStyle w:val="15"/>
        <w:tabs>
          <w:tab w:val="right" w:leader="dot" w:pos="9062"/>
        </w:tabs>
        <w:rPr>
          <w:rFonts w:asciiTheme="minorHAnsi" w:hAnsiTheme="minorHAnsi" w:eastAsiaTheme="minorEastAsia" w:cstheme="minorBidi"/>
          <w:color w:val="auto"/>
          <w:highlight w:val="none"/>
        </w:rPr>
      </w:pPr>
      <w:r>
        <w:rPr>
          <w:color w:val="auto"/>
          <w:highlight w:val="none"/>
        </w:rPr>
        <w:fldChar w:fldCharType="begin"/>
      </w:r>
      <w:r>
        <w:rPr>
          <w:color w:val="auto"/>
          <w:highlight w:val="none"/>
        </w:rPr>
        <w:instrText xml:space="preserve"> HYPERLINK \l "_Toc118553998" </w:instrText>
      </w:r>
      <w:r>
        <w:rPr>
          <w:color w:val="auto"/>
          <w:highlight w:val="none"/>
        </w:rPr>
        <w:fldChar w:fldCharType="separate"/>
      </w:r>
      <w:r>
        <w:rPr>
          <w:rStyle w:val="31"/>
          <w:rFonts w:hint="eastAsia"/>
          <w:color w:val="auto"/>
          <w:highlight w:val="none"/>
        </w:rPr>
        <w:t>三、投标保证金</w:t>
      </w:r>
      <w:r>
        <w:rPr>
          <w:color w:val="auto"/>
          <w:highlight w:val="none"/>
        </w:rPr>
        <w:tab/>
      </w:r>
      <w:r>
        <w:rPr>
          <w:color w:val="auto"/>
          <w:highlight w:val="none"/>
        </w:rPr>
        <w:fldChar w:fldCharType="begin"/>
      </w:r>
      <w:r>
        <w:rPr>
          <w:color w:val="auto"/>
          <w:highlight w:val="none"/>
        </w:rPr>
        <w:instrText xml:space="preserve"> PAGEREF _Toc118553998 \h </w:instrText>
      </w:r>
      <w:r>
        <w:rPr>
          <w:color w:val="auto"/>
          <w:highlight w:val="none"/>
        </w:rPr>
        <w:fldChar w:fldCharType="separate"/>
      </w:r>
      <w:r>
        <w:rPr>
          <w:color w:val="auto"/>
          <w:highlight w:val="none"/>
        </w:rPr>
        <w:t>50</w:t>
      </w:r>
      <w:r>
        <w:rPr>
          <w:color w:val="auto"/>
          <w:highlight w:val="none"/>
        </w:rPr>
        <w:fldChar w:fldCharType="end"/>
      </w:r>
      <w:r>
        <w:rPr>
          <w:color w:val="auto"/>
          <w:highlight w:val="none"/>
        </w:rPr>
        <w:fldChar w:fldCharType="end"/>
      </w:r>
    </w:p>
    <w:p w14:paraId="6EDCF8E4">
      <w:pPr>
        <w:pStyle w:val="15"/>
        <w:tabs>
          <w:tab w:val="right" w:leader="dot" w:pos="9062"/>
        </w:tabs>
        <w:rPr>
          <w:rFonts w:asciiTheme="minorHAnsi" w:hAnsiTheme="minorHAnsi" w:eastAsiaTheme="minorEastAsia" w:cstheme="minorBidi"/>
          <w:color w:val="auto"/>
          <w:highlight w:val="none"/>
        </w:rPr>
      </w:pPr>
      <w:r>
        <w:rPr>
          <w:color w:val="auto"/>
          <w:highlight w:val="none"/>
        </w:rPr>
        <w:fldChar w:fldCharType="begin"/>
      </w:r>
      <w:r>
        <w:rPr>
          <w:color w:val="auto"/>
          <w:highlight w:val="none"/>
        </w:rPr>
        <w:instrText xml:space="preserve"> HYPERLINK \l "_Toc118553999" </w:instrText>
      </w:r>
      <w:r>
        <w:rPr>
          <w:color w:val="auto"/>
          <w:highlight w:val="none"/>
        </w:rPr>
        <w:fldChar w:fldCharType="separate"/>
      </w:r>
      <w:r>
        <w:rPr>
          <w:rStyle w:val="31"/>
          <w:rFonts w:hint="eastAsia"/>
          <w:color w:val="auto"/>
          <w:highlight w:val="none"/>
        </w:rPr>
        <w:t>四、投标报价书</w:t>
      </w:r>
      <w:r>
        <w:rPr>
          <w:color w:val="auto"/>
          <w:highlight w:val="none"/>
        </w:rPr>
        <w:tab/>
      </w:r>
      <w:r>
        <w:rPr>
          <w:color w:val="auto"/>
          <w:highlight w:val="none"/>
        </w:rPr>
        <w:fldChar w:fldCharType="begin"/>
      </w:r>
      <w:r>
        <w:rPr>
          <w:color w:val="auto"/>
          <w:highlight w:val="none"/>
        </w:rPr>
        <w:instrText xml:space="preserve"> PAGEREF _Toc118553999 \h </w:instrText>
      </w:r>
      <w:r>
        <w:rPr>
          <w:color w:val="auto"/>
          <w:highlight w:val="none"/>
        </w:rPr>
        <w:fldChar w:fldCharType="separate"/>
      </w:r>
      <w:r>
        <w:rPr>
          <w:color w:val="auto"/>
          <w:highlight w:val="none"/>
        </w:rPr>
        <w:t>51</w:t>
      </w:r>
      <w:r>
        <w:rPr>
          <w:color w:val="auto"/>
          <w:highlight w:val="none"/>
        </w:rPr>
        <w:fldChar w:fldCharType="end"/>
      </w:r>
      <w:r>
        <w:rPr>
          <w:color w:val="auto"/>
          <w:highlight w:val="none"/>
        </w:rPr>
        <w:fldChar w:fldCharType="end"/>
      </w:r>
    </w:p>
    <w:p w14:paraId="108DBF57">
      <w:pPr>
        <w:pStyle w:val="15"/>
        <w:tabs>
          <w:tab w:val="right" w:leader="dot" w:pos="9062"/>
        </w:tabs>
        <w:rPr>
          <w:rFonts w:asciiTheme="minorHAnsi" w:hAnsiTheme="minorHAnsi" w:eastAsiaTheme="minorEastAsia" w:cstheme="minorBidi"/>
          <w:color w:val="auto"/>
          <w:highlight w:val="none"/>
        </w:rPr>
      </w:pPr>
      <w:r>
        <w:rPr>
          <w:color w:val="auto"/>
          <w:highlight w:val="none"/>
        </w:rPr>
        <w:fldChar w:fldCharType="begin"/>
      </w:r>
      <w:r>
        <w:rPr>
          <w:color w:val="auto"/>
          <w:highlight w:val="none"/>
        </w:rPr>
        <w:instrText xml:space="preserve"> HYPERLINK \l "_Toc118554000" </w:instrText>
      </w:r>
      <w:r>
        <w:rPr>
          <w:color w:val="auto"/>
          <w:highlight w:val="none"/>
        </w:rPr>
        <w:fldChar w:fldCharType="separate"/>
      </w:r>
      <w:r>
        <w:rPr>
          <w:rStyle w:val="31"/>
          <w:rFonts w:hint="eastAsia"/>
          <w:color w:val="auto"/>
          <w:highlight w:val="none"/>
        </w:rPr>
        <w:t>五、资格审查资料</w:t>
      </w:r>
      <w:r>
        <w:rPr>
          <w:color w:val="auto"/>
          <w:highlight w:val="none"/>
        </w:rPr>
        <w:tab/>
      </w:r>
      <w:r>
        <w:rPr>
          <w:color w:val="auto"/>
          <w:highlight w:val="none"/>
        </w:rPr>
        <w:fldChar w:fldCharType="begin"/>
      </w:r>
      <w:r>
        <w:rPr>
          <w:color w:val="auto"/>
          <w:highlight w:val="none"/>
        </w:rPr>
        <w:instrText xml:space="preserve"> PAGEREF _Toc118554000 \h </w:instrText>
      </w:r>
      <w:r>
        <w:rPr>
          <w:color w:val="auto"/>
          <w:highlight w:val="none"/>
        </w:rPr>
        <w:fldChar w:fldCharType="separate"/>
      </w:r>
      <w:r>
        <w:rPr>
          <w:color w:val="auto"/>
          <w:highlight w:val="none"/>
        </w:rPr>
        <w:t>53</w:t>
      </w:r>
      <w:r>
        <w:rPr>
          <w:color w:val="auto"/>
          <w:highlight w:val="none"/>
        </w:rPr>
        <w:fldChar w:fldCharType="end"/>
      </w:r>
      <w:r>
        <w:rPr>
          <w:color w:val="auto"/>
          <w:highlight w:val="none"/>
        </w:rPr>
        <w:fldChar w:fldCharType="end"/>
      </w:r>
    </w:p>
    <w:p w14:paraId="7EEB16EB">
      <w:pPr>
        <w:pStyle w:val="15"/>
        <w:tabs>
          <w:tab w:val="right" w:leader="dot" w:pos="9062"/>
        </w:tabs>
        <w:rPr>
          <w:rFonts w:asciiTheme="minorHAnsi" w:hAnsiTheme="minorHAnsi" w:eastAsiaTheme="minorEastAsia" w:cstheme="minorBidi"/>
          <w:color w:val="auto"/>
          <w:highlight w:val="none"/>
        </w:rPr>
      </w:pPr>
      <w:r>
        <w:rPr>
          <w:color w:val="auto"/>
          <w:highlight w:val="none"/>
        </w:rPr>
        <w:fldChar w:fldCharType="begin"/>
      </w:r>
      <w:r>
        <w:rPr>
          <w:color w:val="auto"/>
          <w:highlight w:val="none"/>
        </w:rPr>
        <w:instrText xml:space="preserve"> HYPERLINK \l "_Toc118554001" </w:instrText>
      </w:r>
      <w:r>
        <w:rPr>
          <w:color w:val="auto"/>
          <w:highlight w:val="none"/>
        </w:rPr>
        <w:fldChar w:fldCharType="separate"/>
      </w:r>
      <w:r>
        <w:rPr>
          <w:rStyle w:val="31"/>
          <w:rFonts w:hint="eastAsia"/>
          <w:color w:val="auto"/>
          <w:highlight w:val="none"/>
        </w:rPr>
        <w:t>六、类似项目业绩表</w:t>
      </w:r>
      <w:r>
        <w:rPr>
          <w:color w:val="auto"/>
          <w:highlight w:val="none"/>
        </w:rPr>
        <w:tab/>
      </w:r>
      <w:r>
        <w:rPr>
          <w:color w:val="auto"/>
          <w:highlight w:val="none"/>
        </w:rPr>
        <w:fldChar w:fldCharType="begin"/>
      </w:r>
      <w:r>
        <w:rPr>
          <w:color w:val="auto"/>
          <w:highlight w:val="none"/>
        </w:rPr>
        <w:instrText xml:space="preserve"> PAGEREF _Toc118554001 \h </w:instrText>
      </w:r>
      <w:r>
        <w:rPr>
          <w:color w:val="auto"/>
          <w:highlight w:val="none"/>
        </w:rPr>
        <w:fldChar w:fldCharType="separate"/>
      </w:r>
      <w:r>
        <w:rPr>
          <w:color w:val="auto"/>
          <w:highlight w:val="none"/>
        </w:rPr>
        <w:t>58</w:t>
      </w:r>
      <w:r>
        <w:rPr>
          <w:color w:val="auto"/>
          <w:highlight w:val="none"/>
        </w:rPr>
        <w:fldChar w:fldCharType="end"/>
      </w:r>
      <w:r>
        <w:rPr>
          <w:color w:val="auto"/>
          <w:highlight w:val="none"/>
        </w:rPr>
        <w:fldChar w:fldCharType="end"/>
      </w:r>
    </w:p>
    <w:p w14:paraId="47BF32E7">
      <w:pPr>
        <w:pStyle w:val="15"/>
        <w:tabs>
          <w:tab w:val="right" w:leader="dot" w:pos="9062"/>
        </w:tabs>
        <w:rPr>
          <w:rFonts w:asciiTheme="minorHAnsi" w:hAnsiTheme="minorHAnsi" w:eastAsiaTheme="minorEastAsia" w:cstheme="minorBidi"/>
          <w:color w:val="auto"/>
          <w:highlight w:val="none"/>
        </w:rPr>
      </w:pPr>
      <w:r>
        <w:rPr>
          <w:color w:val="auto"/>
          <w:highlight w:val="none"/>
        </w:rPr>
        <w:fldChar w:fldCharType="begin"/>
      </w:r>
      <w:r>
        <w:rPr>
          <w:color w:val="auto"/>
          <w:highlight w:val="none"/>
        </w:rPr>
        <w:instrText xml:space="preserve"> HYPERLINK \l "_Toc118554002" </w:instrText>
      </w:r>
      <w:r>
        <w:rPr>
          <w:color w:val="auto"/>
          <w:highlight w:val="none"/>
        </w:rPr>
        <w:fldChar w:fldCharType="separate"/>
      </w:r>
      <w:r>
        <w:rPr>
          <w:rStyle w:val="31"/>
          <w:rFonts w:hint="eastAsia"/>
          <w:color w:val="auto"/>
          <w:highlight w:val="none"/>
        </w:rPr>
        <w:t>七、投标人信誉证明材料</w:t>
      </w:r>
      <w:r>
        <w:rPr>
          <w:color w:val="auto"/>
          <w:highlight w:val="none"/>
        </w:rPr>
        <w:tab/>
      </w:r>
      <w:r>
        <w:rPr>
          <w:color w:val="auto"/>
          <w:highlight w:val="none"/>
        </w:rPr>
        <w:fldChar w:fldCharType="begin"/>
      </w:r>
      <w:r>
        <w:rPr>
          <w:color w:val="auto"/>
          <w:highlight w:val="none"/>
        </w:rPr>
        <w:instrText xml:space="preserve"> PAGEREF _Toc118554002 \h </w:instrText>
      </w:r>
      <w:r>
        <w:rPr>
          <w:color w:val="auto"/>
          <w:highlight w:val="none"/>
        </w:rPr>
        <w:fldChar w:fldCharType="separate"/>
      </w:r>
      <w:r>
        <w:rPr>
          <w:color w:val="auto"/>
          <w:highlight w:val="none"/>
        </w:rPr>
        <w:t>59</w:t>
      </w:r>
      <w:r>
        <w:rPr>
          <w:color w:val="auto"/>
          <w:highlight w:val="none"/>
        </w:rPr>
        <w:fldChar w:fldCharType="end"/>
      </w:r>
      <w:r>
        <w:rPr>
          <w:color w:val="auto"/>
          <w:highlight w:val="none"/>
        </w:rPr>
        <w:fldChar w:fldCharType="end"/>
      </w:r>
    </w:p>
    <w:p w14:paraId="571EDE5E">
      <w:pPr>
        <w:pStyle w:val="15"/>
        <w:tabs>
          <w:tab w:val="right" w:leader="dot" w:pos="9062"/>
        </w:tabs>
        <w:rPr>
          <w:rFonts w:asciiTheme="minorHAnsi" w:hAnsiTheme="minorHAnsi" w:eastAsiaTheme="minorEastAsia" w:cstheme="minorBidi"/>
          <w:color w:val="auto"/>
          <w:highlight w:val="none"/>
        </w:rPr>
      </w:pPr>
      <w:r>
        <w:rPr>
          <w:color w:val="auto"/>
          <w:highlight w:val="none"/>
        </w:rPr>
        <w:fldChar w:fldCharType="begin"/>
      </w:r>
      <w:r>
        <w:rPr>
          <w:color w:val="auto"/>
          <w:highlight w:val="none"/>
        </w:rPr>
        <w:instrText xml:space="preserve"> HYPERLINK \l "_Toc118554003" </w:instrText>
      </w:r>
      <w:r>
        <w:rPr>
          <w:color w:val="auto"/>
          <w:highlight w:val="none"/>
        </w:rPr>
        <w:fldChar w:fldCharType="separate"/>
      </w:r>
      <w:r>
        <w:rPr>
          <w:rStyle w:val="31"/>
          <w:rFonts w:hint="eastAsia"/>
          <w:color w:val="auto"/>
          <w:highlight w:val="none"/>
        </w:rPr>
        <w:t>八、拟投入本项目的检测、监测人员资格证明材料</w:t>
      </w:r>
      <w:r>
        <w:rPr>
          <w:color w:val="auto"/>
          <w:highlight w:val="none"/>
        </w:rPr>
        <w:tab/>
      </w:r>
      <w:r>
        <w:rPr>
          <w:color w:val="auto"/>
          <w:highlight w:val="none"/>
        </w:rPr>
        <w:fldChar w:fldCharType="begin"/>
      </w:r>
      <w:r>
        <w:rPr>
          <w:color w:val="auto"/>
          <w:highlight w:val="none"/>
        </w:rPr>
        <w:instrText xml:space="preserve"> PAGEREF _Toc118554003 \h </w:instrText>
      </w:r>
      <w:r>
        <w:rPr>
          <w:color w:val="auto"/>
          <w:highlight w:val="none"/>
        </w:rPr>
        <w:fldChar w:fldCharType="separate"/>
      </w:r>
      <w:r>
        <w:rPr>
          <w:color w:val="auto"/>
          <w:highlight w:val="none"/>
        </w:rPr>
        <w:t>60</w:t>
      </w:r>
      <w:r>
        <w:rPr>
          <w:color w:val="auto"/>
          <w:highlight w:val="none"/>
        </w:rPr>
        <w:fldChar w:fldCharType="end"/>
      </w:r>
      <w:r>
        <w:rPr>
          <w:color w:val="auto"/>
          <w:highlight w:val="none"/>
        </w:rPr>
        <w:fldChar w:fldCharType="end"/>
      </w:r>
    </w:p>
    <w:p w14:paraId="1DDDB499">
      <w:pPr>
        <w:pStyle w:val="15"/>
        <w:tabs>
          <w:tab w:val="right" w:leader="dot" w:pos="9062"/>
        </w:tabs>
        <w:rPr>
          <w:rFonts w:asciiTheme="minorHAnsi" w:hAnsiTheme="minorHAnsi" w:eastAsiaTheme="minorEastAsia" w:cstheme="minorBidi"/>
          <w:color w:val="auto"/>
          <w:highlight w:val="none"/>
        </w:rPr>
      </w:pPr>
      <w:r>
        <w:rPr>
          <w:color w:val="auto"/>
          <w:highlight w:val="none"/>
        </w:rPr>
        <w:fldChar w:fldCharType="begin"/>
      </w:r>
      <w:r>
        <w:rPr>
          <w:color w:val="auto"/>
          <w:highlight w:val="none"/>
        </w:rPr>
        <w:instrText xml:space="preserve"> HYPERLINK \l "_Toc118554004" </w:instrText>
      </w:r>
      <w:r>
        <w:rPr>
          <w:color w:val="auto"/>
          <w:highlight w:val="none"/>
        </w:rPr>
        <w:fldChar w:fldCharType="separate"/>
      </w:r>
      <w:r>
        <w:rPr>
          <w:rStyle w:val="31"/>
          <w:rFonts w:hint="eastAsia"/>
          <w:color w:val="auto"/>
          <w:highlight w:val="none"/>
        </w:rPr>
        <w:t>九、拟投入本项目的主要检测、监测仪器设备一览表</w:t>
      </w:r>
      <w:r>
        <w:rPr>
          <w:color w:val="auto"/>
          <w:highlight w:val="none"/>
        </w:rPr>
        <w:tab/>
      </w:r>
      <w:r>
        <w:rPr>
          <w:color w:val="auto"/>
          <w:highlight w:val="none"/>
        </w:rPr>
        <w:fldChar w:fldCharType="begin"/>
      </w:r>
      <w:r>
        <w:rPr>
          <w:color w:val="auto"/>
          <w:highlight w:val="none"/>
        </w:rPr>
        <w:instrText xml:space="preserve"> PAGEREF _Toc118554004 \h </w:instrText>
      </w:r>
      <w:r>
        <w:rPr>
          <w:color w:val="auto"/>
          <w:highlight w:val="none"/>
        </w:rPr>
        <w:fldChar w:fldCharType="separate"/>
      </w:r>
      <w:r>
        <w:rPr>
          <w:color w:val="auto"/>
          <w:highlight w:val="none"/>
        </w:rPr>
        <w:t>63</w:t>
      </w:r>
      <w:r>
        <w:rPr>
          <w:color w:val="auto"/>
          <w:highlight w:val="none"/>
        </w:rPr>
        <w:fldChar w:fldCharType="end"/>
      </w:r>
      <w:r>
        <w:rPr>
          <w:color w:val="auto"/>
          <w:highlight w:val="none"/>
        </w:rPr>
        <w:fldChar w:fldCharType="end"/>
      </w:r>
    </w:p>
    <w:p w14:paraId="164898AF">
      <w:pPr>
        <w:pStyle w:val="15"/>
        <w:tabs>
          <w:tab w:val="right" w:leader="dot" w:pos="9062"/>
        </w:tabs>
        <w:rPr>
          <w:rFonts w:asciiTheme="minorHAnsi" w:hAnsiTheme="minorHAnsi" w:eastAsiaTheme="minorEastAsia" w:cstheme="minorBidi"/>
          <w:color w:val="auto"/>
          <w:highlight w:val="none"/>
        </w:rPr>
      </w:pPr>
      <w:r>
        <w:rPr>
          <w:color w:val="auto"/>
          <w:highlight w:val="none"/>
        </w:rPr>
        <w:fldChar w:fldCharType="begin"/>
      </w:r>
      <w:r>
        <w:rPr>
          <w:color w:val="auto"/>
          <w:highlight w:val="none"/>
        </w:rPr>
        <w:instrText xml:space="preserve"> HYPERLINK \l "_Toc118554005" </w:instrText>
      </w:r>
      <w:r>
        <w:rPr>
          <w:color w:val="auto"/>
          <w:highlight w:val="none"/>
        </w:rPr>
        <w:fldChar w:fldCharType="separate"/>
      </w:r>
      <w:r>
        <w:rPr>
          <w:rStyle w:val="31"/>
          <w:rFonts w:hint="eastAsia"/>
          <w:color w:val="auto"/>
          <w:highlight w:val="none"/>
        </w:rPr>
        <w:t>十、检测、监测方案</w:t>
      </w:r>
      <w:r>
        <w:rPr>
          <w:color w:val="auto"/>
          <w:highlight w:val="none"/>
        </w:rPr>
        <w:tab/>
      </w:r>
      <w:r>
        <w:rPr>
          <w:color w:val="auto"/>
          <w:highlight w:val="none"/>
        </w:rPr>
        <w:fldChar w:fldCharType="begin"/>
      </w:r>
      <w:r>
        <w:rPr>
          <w:color w:val="auto"/>
          <w:highlight w:val="none"/>
        </w:rPr>
        <w:instrText xml:space="preserve"> PAGEREF _Toc118554005 \h </w:instrText>
      </w:r>
      <w:r>
        <w:rPr>
          <w:color w:val="auto"/>
          <w:highlight w:val="none"/>
        </w:rPr>
        <w:fldChar w:fldCharType="separate"/>
      </w:r>
      <w:r>
        <w:rPr>
          <w:color w:val="auto"/>
          <w:highlight w:val="none"/>
        </w:rPr>
        <w:t>64</w:t>
      </w:r>
      <w:r>
        <w:rPr>
          <w:color w:val="auto"/>
          <w:highlight w:val="none"/>
        </w:rPr>
        <w:fldChar w:fldCharType="end"/>
      </w:r>
      <w:r>
        <w:rPr>
          <w:color w:val="auto"/>
          <w:highlight w:val="none"/>
        </w:rPr>
        <w:fldChar w:fldCharType="end"/>
      </w:r>
    </w:p>
    <w:p w14:paraId="42783771">
      <w:pPr>
        <w:pStyle w:val="15"/>
        <w:tabs>
          <w:tab w:val="right" w:leader="dot" w:pos="9062"/>
        </w:tabs>
        <w:rPr>
          <w:rFonts w:asciiTheme="minorHAnsi" w:hAnsiTheme="minorHAnsi" w:eastAsiaTheme="minorEastAsia" w:cstheme="minorBidi"/>
          <w:color w:val="auto"/>
          <w:highlight w:val="none"/>
        </w:rPr>
      </w:pPr>
      <w:r>
        <w:rPr>
          <w:color w:val="auto"/>
          <w:highlight w:val="none"/>
        </w:rPr>
        <w:fldChar w:fldCharType="begin"/>
      </w:r>
      <w:r>
        <w:rPr>
          <w:color w:val="auto"/>
          <w:highlight w:val="none"/>
        </w:rPr>
        <w:instrText xml:space="preserve"> HYPERLINK \l "_Toc118554006" </w:instrText>
      </w:r>
      <w:r>
        <w:rPr>
          <w:color w:val="auto"/>
          <w:highlight w:val="none"/>
        </w:rPr>
        <w:fldChar w:fldCharType="separate"/>
      </w:r>
      <w:r>
        <w:rPr>
          <w:rStyle w:val="31"/>
          <w:rFonts w:hint="eastAsia"/>
          <w:color w:val="auto"/>
          <w:highlight w:val="none"/>
        </w:rPr>
        <w:t>十一、其他资料</w:t>
      </w:r>
      <w:r>
        <w:rPr>
          <w:color w:val="auto"/>
          <w:highlight w:val="none"/>
        </w:rPr>
        <w:tab/>
      </w:r>
      <w:r>
        <w:rPr>
          <w:color w:val="auto"/>
          <w:highlight w:val="none"/>
        </w:rPr>
        <w:fldChar w:fldCharType="begin"/>
      </w:r>
      <w:r>
        <w:rPr>
          <w:color w:val="auto"/>
          <w:highlight w:val="none"/>
        </w:rPr>
        <w:instrText xml:space="preserve"> PAGEREF _Toc118554006 \h </w:instrText>
      </w:r>
      <w:r>
        <w:rPr>
          <w:color w:val="auto"/>
          <w:highlight w:val="none"/>
        </w:rPr>
        <w:fldChar w:fldCharType="separate"/>
      </w:r>
      <w:r>
        <w:rPr>
          <w:color w:val="auto"/>
          <w:highlight w:val="none"/>
        </w:rPr>
        <w:t>65</w:t>
      </w:r>
      <w:r>
        <w:rPr>
          <w:color w:val="auto"/>
          <w:highlight w:val="none"/>
        </w:rPr>
        <w:fldChar w:fldCharType="end"/>
      </w:r>
      <w:r>
        <w:rPr>
          <w:color w:val="auto"/>
          <w:highlight w:val="none"/>
        </w:rPr>
        <w:fldChar w:fldCharType="end"/>
      </w:r>
    </w:p>
    <w:p w14:paraId="7DF67DF4">
      <w:pPr>
        <w:spacing w:line="360" w:lineRule="auto"/>
        <w:ind w:firstLine="420" w:firstLineChars="200"/>
        <w:rPr>
          <w:rFonts w:ascii="宋体" w:hAnsi="宋体"/>
          <w:color w:val="auto"/>
          <w:highlight w:val="none"/>
        </w:rPr>
      </w:pPr>
      <w:r>
        <w:rPr>
          <w:rFonts w:ascii="宋体" w:hAnsi="宋体"/>
          <w:color w:val="auto"/>
          <w:szCs w:val="28"/>
          <w:highlight w:val="none"/>
        </w:rPr>
        <w:fldChar w:fldCharType="end"/>
      </w:r>
      <w:r>
        <w:rPr>
          <w:rFonts w:ascii="宋体" w:hAnsi="宋体"/>
          <w:color w:val="auto"/>
          <w:highlight w:val="none"/>
        </w:rPr>
        <w:br w:type="page"/>
      </w:r>
    </w:p>
    <w:p w14:paraId="6F7D79E3">
      <w:pPr>
        <w:pStyle w:val="2"/>
        <w:ind w:firstLine="470"/>
        <w:rPr>
          <w:color w:val="auto"/>
          <w:highlight w:val="none"/>
        </w:rPr>
      </w:pPr>
      <w:bookmarkStart w:id="3" w:name="_Toc118553966"/>
      <w:r>
        <w:rPr>
          <w:rFonts w:hint="eastAsia"/>
          <w:color w:val="auto"/>
          <w:highlight w:val="none"/>
        </w:rPr>
        <w:t>第一卷</w:t>
      </w:r>
      <w:bookmarkEnd w:id="3"/>
    </w:p>
    <w:p w14:paraId="4A3A8CAC">
      <w:pPr>
        <w:pStyle w:val="2"/>
        <w:rPr>
          <w:color w:val="auto"/>
          <w:sz w:val="28"/>
          <w:highlight w:val="none"/>
        </w:rPr>
      </w:pPr>
      <w:bookmarkStart w:id="4" w:name="_Toc118553967"/>
      <w:bookmarkStart w:id="5" w:name="_Toc533357306"/>
      <w:r>
        <w:rPr>
          <w:rFonts w:hint="eastAsia"/>
          <w:color w:val="auto"/>
          <w:highlight w:val="none"/>
        </w:rPr>
        <w:t>第一章  招标公告</w:t>
      </w:r>
      <w:bookmarkEnd w:id="4"/>
    </w:p>
    <w:p w14:paraId="0D37F7C8">
      <w:pPr>
        <w:spacing w:line="360" w:lineRule="auto"/>
        <w:jc w:val="center"/>
        <w:rPr>
          <w:rFonts w:ascii="宋体" w:hAnsi="宋体"/>
          <w:color w:val="auto"/>
          <w:sz w:val="24"/>
          <w:szCs w:val="24"/>
          <w:highlight w:val="none"/>
        </w:rPr>
      </w:pPr>
      <w:r>
        <w:rPr>
          <w:rFonts w:hint="eastAsia" w:ascii="宋体" w:hAnsi="宋体"/>
          <w:bCs/>
          <w:color w:val="auto"/>
          <w:sz w:val="24"/>
          <w:szCs w:val="24"/>
          <w:highlight w:val="none"/>
        </w:rPr>
        <w:t>（另册）</w:t>
      </w:r>
    </w:p>
    <w:p w14:paraId="22F4DF27">
      <w:pPr>
        <w:spacing w:line="360" w:lineRule="auto"/>
        <w:ind w:left="3986" w:firstLine="421"/>
        <w:rPr>
          <w:rFonts w:ascii="宋体" w:hAnsi="宋体"/>
          <w:color w:val="auto"/>
          <w:highlight w:val="none"/>
        </w:rPr>
      </w:pPr>
    </w:p>
    <w:p w14:paraId="6A58AAE2">
      <w:pPr>
        <w:pStyle w:val="2"/>
        <w:rPr>
          <w:color w:val="auto"/>
          <w:sz w:val="28"/>
          <w:highlight w:val="none"/>
        </w:rPr>
      </w:pPr>
      <w:bookmarkStart w:id="6" w:name="_Toc511557031"/>
      <w:bookmarkStart w:id="7" w:name="_Toc514099629"/>
      <w:r>
        <w:rPr>
          <w:rFonts w:hint="eastAsia"/>
          <w:color w:val="auto"/>
          <w:highlight w:val="none"/>
        </w:rPr>
        <w:br w:type="page"/>
      </w:r>
      <w:bookmarkEnd w:id="5"/>
      <w:bookmarkEnd w:id="6"/>
      <w:bookmarkEnd w:id="7"/>
      <w:bookmarkStart w:id="8" w:name="_Toc369531497"/>
      <w:bookmarkEnd w:id="8"/>
      <w:bookmarkStart w:id="9" w:name="_Toc361508562"/>
      <w:bookmarkEnd w:id="9"/>
      <w:bookmarkStart w:id="10" w:name="_Toc17972"/>
      <w:bookmarkEnd w:id="10"/>
      <w:bookmarkStart w:id="11" w:name="_Toc361508563"/>
      <w:bookmarkEnd w:id="11"/>
      <w:bookmarkStart w:id="12" w:name="_Toc152045513"/>
      <w:bookmarkEnd w:id="12"/>
      <w:bookmarkStart w:id="13" w:name="_Toc247527535"/>
      <w:bookmarkEnd w:id="13"/>
      <w:bookmarkStart w:id="14" w:name="_Toc247513935"/>
      <w:bookmarkEnd w:id="14"/>
      <w:bookmarkStart w:id="15" w:name="_Toc300834927"/>
      <w:bookmarkEnd w:id="15"/>
      <w:bookmarkStart w:id="16" w:name="_Toc300834929"/>
      <w:bookmarkEnd w:id="16"/>
      <w:bookmarkStart w:id="17" w:name="_Toc247527536"/>
      <w:bookmarkEnd w:id="17"/>
      <w:bookmarkStart w:id="18" w:name="_Toc152042289"/>
      <w:bookmarkEnd w:id="18"/>
      <w:bookmarkStart w:id="19" w:name="_Toc352691453"/>
      <w:bookmarkEnd w:id="19"/>
      <w:bookmarkStart w:id="20" w:name="_Toc30817"/>
      <w:bookmarkEnd w:id="20"/>
      <w:bookmarkStart w:id="21" w:name="_Toc361508560"/>
      <w:bookmarkEnd w:id="21"/>
      <w:bookmarkStart w:id="22" w:name="_Toc352691456"/>
      <w:bookmarkEnd w:id="22"/>
      <w:bookmarkStart w:id="23" w:name="_Toc144974480"/>
      <w:bookmarkEnd w:id="23"/>
      <w:bookmarkStart w:id="24" w:name="_Toc247513934"/>
      <w:bookmarkEnd w:id="24"/>
      <w:bookmarkStart w:id="25" w:name="_Toc384308188"/>
      <w:bookmarkEnd w:id="25"/>
      <w:bookmarkStart w:id="26" w:name="_Toc384308185"/>
      <w:bookmarkEnd w:id="26"/>
      <w:bookmarkStart w:id="27" w:name="_Toc152045512"/>
      <w:bookmarkEnd w:id="27"/>
      <w:bookmarkStart w:id="28" w:name="_Toc369531495"/>
      <w:bookmarkEnd w:id="28"/>
      <w:bookmarkStart w:id="29" w:name="_Toc352691455"/>
      <w:bookmarkEnd w:id="29"/>
      <w:bookmarkStart w:id="30" w:name="_Toc300834930"/>
      <w:bookmarkEnd w:id="30"/>
      <w:bookmarkStart w:id="31" w:name="_Toc144974481"/>
      <w:bookmarkEnd w:id="31"/>
      <w:bookmarkStart w:id="32" w:name="_Toc10785"/>
      <w:bookmarkEnd w:id="32"/>
      <w:bookmarkStart w:id="33" w:name="_Toc384308187"/>
      <w:bookmarkEnd w:id="33"/>
      <w:bookmarkStart w:id="34" w:name="_Toc369531498"/>
      <w:bookmarkEnd w:id="34"/>
      <w:bookmarkStart w:id="35" w:name="_Toc152042288"/>
      <w:bookmarkEnd w:id="35"/>
      <w:bookmarkStart w:id="36" w:name="_Toc118553968"/>
      <w:r>
        <w:rPr>
          <w:rFonts w:hint="eastAsia"/>
          <w:color w:val="auto"/>
          <w:highlight w:val="none"/>
        </w:rPr>
        <w:t>第二章  投标人须知</w:t>
      </w:r>
      <w:bookmarkEnd w:id="36"/>
    </w:p>
    <w:p w14:paraId="39B2056F">
      <w:pPr>
        <w:pStyle w:val="3"/>
        <w:rPr>
          <w:rFonts w:ascii="宋体" w:hAnsi="宋体"/>
          <w:color w:val="auto"/>
          <w:highlight w:val="none"/>
        </w:rPr>
      </w:pPr>
      <w:bookmarkStart w:id="37" w:name="_Toc533357307"/>
      <w:bookmarkStart w:id="38" w:name="_Toc118553969"/>
      <w:r>
        <w:rPr>
          <w:rFonts w:hint="eastAsia" w:ascii="宋体" w:hAnsi="宋体"/>
          <w:color w:val="auto"/>
          <w:highlight w:val="none"/>
        </w:rPr>
        <w:t>投标人须知前附表</w:t>
      </w:r>
      <w:bookmarkEnd w:id="37"/>
      <w:bookmarkEnd w:id="38"/>
    </w:p>
    <w:tbl>
      <w:tblPr>
        <w:tblStyle w:val="27"/>
        <w:tblpPr w:leftFromText="180" w:rightFromText="180" w:vertAnchor="text" w:horzAnchor="page" w:tblpX="1001" w:tblpY="9"/>
        <w:tblOverlap w:val="never"/>
        <w:tblW w:w="10226" w:type="dxa"/>
        <w:tblInd w:w="0"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866"/>
        <w:gridCol w:w="2160"/>
        <w:gridCol w:w="7200"/>
      </w:tblGrid>
      <w:tr w14:paraId="22B35A7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tblHeader/>
        </w:trPr>
        <w:tc>
          <w:tcPr>
            <w:tcW w:w="866" w:type="dxa"/>
            <w:tcBorders>
              <w:top w:val="single" w:color="auto" w:sz="4" w:space="0"/>
            </w:tcBorders>
            <w:vAlign w:val="center"/>
          </w:tcPr>
          <w:p w14:paraId="237F9AE1">
            <w:pPr>
              <w:snapToGrid w:val="0"/>
              <w:spacing w:line="276" w:lineRule="auto"/>
              <w:jc w:val="center"/>
              <w:rPr>
                <w:rFonts w:ascii="宋体" w:hAnsi="宋体"/>
                <w:b/>
                <w:color w:val="auto"/>
                <w:szCs w:val="21"/>
                <w:highlight w:val="none"/>
              </w:rPr>
            </w:pPr>
            <w:r>
              <w:rPr>
                <w:rFonts w:hint="eastAsia" w:ascii="宋体" w:hAnsi="宋体"/>
                <w:b/>
                <w:color w:val="auto"/>
                <w:szCs w:val="21"/>
                <w:highlight w:val="none"/>
              </w:rPr>
              <w:t>条款号</w:t>
            </w:r>
          </w:p>
        </w:tc>
        <w:tc>
          <w:tcPr>
            <w:tcW w:w="2160" w:type="dxa"/>
            <w:tcBorders>
              <w:top w:val="single" w:color="auto" w:sz="4" w:space="0"/>
            </w:tcBorders>
            <w:vAlign w:val="center"/>
          </w:tcPr>
          <w:p w14:paraId="2158A126">
            <w:pPr>
              <w:snapToGrid w:val="0"/>
              <w:spacing w:line="276" w:lineRule="auto"/>
              <w:jc w:val="center"/>
              <w:rPr>
                <w:rFonts w:ascii="宋体" w:hAnsi="宋体"/>
                <w:b/>
                <w:color w:val="auto"/>
                <w:szCs w:val="21"/>
                <w:highlight w:val="none"/>
              </w:rPr>
            </w:pPr>
            <w:r>
              <w:rPr>
                <w:rFonts w:hint="eastAsia" w:ascii="宋体" w:hAnsi="宋体"/>
                <w:b/>
                <w:color w:val="auto"/>
                <w:szCs w:val="21"/>
                <w:highlight w:val="none"/>
              </w:rPr>
              <w:t>条款名称</w:t>
            </w:r>
          </w:p>
        </w:tc>
        <w:tc>
          <w:tcPr>
            <w:tcW w:w="7200" w:type="dxa"/>
            <w:tcBorders>
              <w:top w:val="single" w:color="auto" w:sz="4" w:space="0"/>
            </w:tcBorders>
            <w:vAlign w:val="center"/>
          </w:tcPr>
          <w:p w14:paraId="10313CC0">
            <w:pPr>
              <w:snapToGrid w:val="0"/>
              <w:spacing w:line="276" w:lineRule="auto"/>
              <w:jc w:val="center"/>
              <w:rPr>
                <w:rFonts w:ascii="宋体" w:hAnsi="宋体"/>
                <w:b/>
                <w:color w:val="auto"/>
                <w:szCs w:val="21"/>
                <w:highlight w:val="none"/>
              </w:rPr>
            </w:pPr>
            <w:r>
              <w:rPr>
                <w:rFonts w:hint="eastAsia" w:ascii="宋体" w:hAnsi="宋体"/>
                <w:b/>
                <w:color w:val="auto"/>
                <w:szCs w:val="21"/>
                <w:highlight w:val="none"/>
              </w:rPr>
              <w:t>编列内容</w:t>
            </w:r>
          </w:p>
        </w:tc>
      </w:tr>
      <w:tr w14:paraId="3AA6AAB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866" w:type="dxa"/>
            <w:vAlign w:val="center"/>
          </w:tcPr>
          <w:p w14:paraId="4143F597">
            <w:pPr>
              <w:snapToGrid w:val="0"/>
              <w:spacing w:line="276" w:lineRule="auto"/>
              <w:jc w:val="center"/>
              <w:rPr>
                <w:rFonts w:ascii="宋体" w:hAnsi="宋体"/>
                <w:color w:val="auto"/>
                <w:szCs w:val="21"/>
                <w:highlight w:val="none"/>
              </w:rPr>
            </w:pPr>
            <w:r>
              <w:rPr>
                <w:rFonts w:ascii="宋体" w:hAnsi="宋体"/>
                <w:color w:val="auto"/>
                <w:szCs w:val="21"/>
                <w:highlight w:val="none"/>
              </w:rPr>
              <w:t>1.1.2</w:t>
            </w:r>
          </w:p>
        </w:tc>
        <w:tc>
          <w:tcPr>
            <w:tcW w:w="2160" w:type="dxa"/>
            <w:vAlign w:val="center"/>
          </w:tcPr>
          <w:p w14:paraId="5A9D3F93">
            <w:pPr>
              <w:snapToGrid w:val="0"/>
              <w:spacing w:line="276" w:lineRule="auto"/>
              <w:jc w:val="center"/>
              <w:rPr>
                <w:rFonts w:ascii="宋体" w:hAnsi="宋体"/>
                <w:color w:val="auto"/>
                <w:szCs w:val="21"/>
                <w:highlight w:val="none"/>
              </w:rPr>
            </w:pPr>
            <w:r>
              <w:rPr>
                <w:rFonts w:hint="eastAsia" w:ascii="宋体" w:hAnsi="宋体"/>
                <w:color w:val="auto"/>
                <w:szCs w:val="21"/>
                <w:highlight w:val="none"/>
              </w:rPr>
              <w:t>招标人</w:t>
            </w:r>
          </w:p>
        </w:tc>
        <w:tc>
          <w:tcPr>
            <w:tcW w:w="7200" w:type="dxa"/>
            <w:vAlign w:val="center"/>
          </w:tcPr>
          <w:p w14:paraId="134DB4A3">
            <w:pPr>
              <w:rPr>
                <w:rFonts w:hint="eastAsia" w:ascii="宋体" w:hAnsi="宋体" w:eastAsia="宋体" w:cs="宋体"/>
                <w:color w:val="auto"/>
                <w:szCs w:val="21"/>
                <w:highlight w:val="none"/>
                <w:u w:val="single"/>
                <w:lang w:eastAsia="zh-CN"/>
              </w:rPr>
            </w:pPr>
            <w:r>
              <w:rPr>
                <w:rFonts w:hint="eastAsia" w:ascii="宋体" w:hAnsi="宋体" w:cs="宋体"/>
                <w:color w:val="auto"/>
                <w:szCs w:val="21"/>
                <w:highlight w:val="none"/>
              </w:rPr>
              <w:t>名称：</w:t>
            </w:r>
            <w:r>
              <w:rPr>
                <w:rFonts w:hint="eastAsia" w:ascii="宋体" w:hAnsi="宋体" w:cs="宋体"/>
                <w:color w:val="auto"/>
                <w:szCs w:val="21"/>
                <w:highlight w:val="none"/>
                <w:u w:val="single"/>
                <w:lang w:eastAsia="zh-CN"/>
              </w:rPr>
              <w:t>广州开城联晟城市开发投资有限公司</w:t>
            </w:r>
          </w:p>
          <w:p w14:paraId="28029BD9">
            <w:pPr>
              <w:rPr>
                <w:rFonts w:hint="eastAsia" w:ascii="宋体" w:hAnsi="宋体" w:eastAsia="宋体"/>
                <w:color w:val="auto"/>
                <w:szCs w:val="21"/>
                <w:highlight w:val="none"/>
                <w:u w:val="single"/>
                <w:lang w:eastAsia="zh-CN"/>
              </w:rPr>
            </w:pPr>
            <w:r>
              <w:rPr>
                <w:rFonts w:hint="eastAsia" w:ascii="宋体" w:hAnsi="宋体" w:cs="宋体"/>
                <w:color w:val="auto"/>
                <w:szCs w:val="21"/>
                <w:highlight w:val="none"/>
              </w:rPr>
              <w:t>地址：</w:t>
            </w:r>
            <w:r>
              <w:rPr>
                <w:rFonts w:hint="eastAsia" w:ascii="宋体" w:hAnsi="宋体" w:cs="宋体"/>
                <w:color w:val="auto"/>
                <w:szCs w:val="21"/>
                <w:highlight w:val="none"/>
                <w:u w:val="single"/>
                <w:lang w:eastAsia="zh-CN"/>
              </w:rPr>
              <w:t>广州市黄埔区知凤街9号知识大厦7楼01-06室</w:t>
            </w:r>
          </w:p>
          <w:p w14:paraId="48605A96">
            <w:pPr>
              <w:rPr>
                <w:rFonts w:ascii="宋体" w:hAnsi="宋体" w:cs="宋体"/>
                <w:color w:val="auto"/>
                <w:szCs w:val="21"/>
                <w:highlight w:val="none"/>
              </w:rPr>
            </w:pPr>
            <w:r>
              <w:rPr>
                <w:rFonts w:hint="eastAsia" w:ascii="宋体" w:hAnsi="宋体" w:cs="宋体"/>
                <w:color w:val="auto"/>
                <w:szCs w:val="21"/>
                <w:highlight w:val="none"/>
              </w:rPr>
              <w:t>联系人：</w:t>
            </w:r>
            <w:bookmarkStart w:id="205" w:name="_GoBack"/>
            <w:bookmarkEnd w:id="205"/>
            <w:r>
              <w:rPr>
                <w:rFonts w:hint="eastAsia" w:ascii="宋体" w:hAnsi="宋体" w:cs="宋体"/>
                <w:color w:val="auto"/>
                <w:szCs w:val="21"/>
                <w:highlight w:val="none"/>
                <w:u w:val="single"/>
                <w:lang w:val="en-US" w:eastAsia="zh-CN"/>
              </w:rPr>
              <w:t>陈工、张工</w:t>
            </w:r>
          </w:p>
          <w:p w14:paraId="77386A3A">
            <w:pPr>
              <w:snapToGrid w:val="0"/>
              <w:rPr>
                <w:rFonts w:ascii="宋体" w:hAnsi="宋体" w:cs="宋体"/>
                <w:color w:val="auto"/>
                <w:szCs w:val="21"/>
                <w:highlight w:val="none"/>
              </w:rPr>
            </w:pPr>
            <w:r>
              <w:rPr>
                <w:rFonts w:hint="eastAsia" w:ascii="宋体" w:hAnsi="宋体" w:cs="宋体"/>
                <w:color w:val="auto"/>
                <w:szCs w:val="21"/>
                <w:highlight w:val="none"/>
              </w:rPr>
              <w:t>电话：</w:t>
            </w:r>
            <w:r>
              <w:rPr>
                <w:rFonts w:hint="eastAsia" w:ascii="宋体" w:hAnsi="宋体" w:cs="宋体"/>
                <w:color w:val="auto"/>
                <w:szCs w:val="21"/>
                <w:highlight w:val="none"/>
                <w:u w:val="single"/>
              </w:rPr>
              <w:t>020-31700409</w:t>
            </w:r>
          </w:p>
        </w:tc>
      </w:tr>
      <w:tr w14:paraId="02760DD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866" w:type="dxa"/>
            <w:vAlign w:val="center"/>
          </w:tcPr>
          <w:p w14:paraId="775E6EF9">
            <w:pPr>
              <w:snapToGrid w:val="0"/>
              <w:spacing w:line="276" w:lineRule="auto"/>
              <w:jc w:val="center"/>
              <w:rPr>
                <w:rFonts w:ascii="宋体" w:hAnsi="宋体"/>
                <w:color w:val="auto"/>
                <w:szCs w:val="21"/>
                <w:highlight w:val="none"/>
              </w:rPr>
            </w:pPr>
            <w:r>
              <w:rPr>
                <w:rFonts w:ascii="宋体" w:hAnsi="宋体"/>
                <w:color w:val="auto"/>
                <w:szCs w:val="21"/>
                <w:highlight w:val="none"/>
              </w:rPr>
              <w:t>1.1.3</w:t>
            </w:r>
          </w:p>
        </w:tc>
        <w:tc>
          <w:tcPr>
            <w:tcW w:w="2160" w:type="dxa"/>
            <w:vAlign w:val="center"/>
          </w:tcPr>
          <w:p w14:paraId="59D256AA">
            <w:pPr>
              <w:snapToGrid w:val="0"/>
              <w:spacing w:line="276" w:lineRule="auto"/>
              <w:jc w:val="center"/>
              <w:rPr>
                <w:rFonts w:ascii="宋体" w:hAnsi="宋体"/>
                <w:color w:val="auto"/>
                <w:szCs w:val="21"/>
                <w:highlight w:val="none"/>
              </w:rPr>
            </w:pPr>
            <w:r>
              <w:rPr>
                <w:rFonts w:hint="eastAsia" w:ascii="宋体" w:hAnsi="宋体"/>
                <w:color w:val="auto"/>
                <w:szCs w:val="21"/>
                <w:highlight w:val="none"/>
              </w:rPr>
              <w:t>招标代理机构</w:t>
            </w:r>
          </w:p>
        </w:tc>
        <w:tc>
          <w:tcPr>
            <w:tcW w:w="7200" w:type="dxa"/>
            <w:vAlign w:val="center"/>
          </w:tcPr>
          <w:p w14:paraId="5E9EAAD2">
            <w:pPr>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名称：</w:t>
            </w:r>
            <w:r>
              <w:rPr>
                <w:rFonts w:hint="eastAsia" w:ascii="宋体" w:hAnsi="宋体" w:cs="宋体"/>
                <w:color w:val="auto"/>
                <w:szCs w:val="21"/>
                <w:highlight w:val="none"/>
                <w:u w:val="single"/>
                <w:lang w:eastAsia="zh-CN"/>
              </w:rPr>
              <w:t>广州市东建工程建设监理有限公司</w:t>
            </w:r>
          </w:p>
          <w:p w14:paraId="123E2D9F">
            <w:pPr>
              <w:rPr>
                <w:rFonts w:hint="eastAsia" w:ascii="宋体" w:hAnsi="宋体" w:eastAsia="宋体" w:cs="宋体"/>
                <w:color w:val="auto"/>
                <w:szCs w:val="21"/>
                <w:highlight w:val="none"/>
                <w:u w:val="single"/>
                <w:lang w:eastAsia="zh-CN"/>
              </w:rPr>
            </w:pPr>
            <w:r>
              <w:rPr>
                <w:rFonts w:hint="eastAsia" w:ascii="宋体" w:hAnsi="宋体" w:cs="宋体"/>
                <w:color w:val="auto"/>
                <w:szCs w:val="21"/>
                <w:highlight w:val="none"/>
              </w:rPr>
              <w:t>地址：</w:t>
            </w:r>
            <w:r>
              <w:rPr>
                <w:rFonts w:hint="eastAsia" w:ascii="宋体" w:hAnsi="宋体" w:eastAsia="宋体" w:cs="宋体"/>
                <w:color w:val="auto"/>
                <w:sz w:val="21"/>
                <w:szCs w:val="21"/>
                <w:highlight w:val="none"/>
                <w:u w:val="single"/>
              </w:rPr>
              <w:t>广州市越秀区东风中路507号东建大厦首层</w:t>
            </w:r>
          </w:p>
          <w:p w14:paraId="2E9E813E">
            <w:pPr>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联系人：</w:t>
            </w:r>
            <w:r>
              <w:rPr>
                <w:rFonts w:hint="eastAsia" w:ascii="宋体" w:hAnsi="宋体" w:eastAsia="宋体" w:cs="宋体"/>
                <w:color w:val="auto"/>
                <w:sz w:val="21"/>
                <w:szCs w:val="21"/>
                <w:highlight w:val="none"/>
                <w:u w:val="single"/>
                <w:lang w:val="en-US" w:eastAsia="zh-CN"/>
              </w:rPr>
              <w:t>谢工</w:t>
            </w:r>
          </w:p>
          <w:p w14:paraId="502543F9">
            <w:pPr>
              <w:snapToGrid w:val="0"/>
              <w:rPr>
                <w:rFonts w:ascii="宋体" w:hAnsi="宋体"/>
                <w:color w:val="auto"/>
                <w:szCs w:val="21"/>
                <w:highlight w:val="none"/>
              </w:rPr>
            </w:pPr>
            <w:r>
              <w:rPr>
                <w:rFonts w:hint="eastAsia" w:ascii="宋体" w:hAnsi="宋体" w:cs="宋体"/>
                <w:color w:val="auto"/>
                <w:szCs w:val="21"/>
                <w:highlight w:val="none"/>
              </w:rPr>
              <w:t>电话：</w:t>
            </w:r>
            <w:r>
              <w:rPr>
                <w:rFonts w:hint="eastAsia" w:ascii="宋体" w:hAnsi="宋体" w:eastAsia="宋体" w:cs="宋体"/>
                <w:color w:val="auto"/>
                <w:sz w:val="21"/>
                <w:szCs w:val="21"/>
                <w:highlight w:val="none"/>
                <w:u w:val="single"/>
              </w:rPr>
              <w:t>020-83372591</w:t>
            </w:r>
            <w:r>
              <w:rPr>
                <w:rFonts w:hint="eastAsia" w:ascii="宋体" w:hAnsi="宋体" w:cs="宋体"/>
                <w:color w:val="auto"/>
                <w:szCs w:val="21"/>
                <w:highlight w:val="none"/>
                <w:u w:val="single"/>
              </w:rPr>
              <w:t xml:space="preserve"> </w:t>
            </w:r>
          </w:p>
        </w:tc>
      </w:tr>
      <w:tr w14:paraId="640706B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866" w:type="dxa"/>
            <w:vAlign w:val="center"/>
          </w:tcPr>
          <w:p w14:paraId="0FAC724D">
            <w:pPr>
              <w:snapToGrid w:val="0"/>
              <w:spacing w:line="276" w:lineRule="auto"/>
              <w:jc w:val="center"/>
              <w:rPr>
                <w:rFonts w:ascii="宋体" w:hAnsi="宋体"/>
                <w:color w:val="auto"/>
                <w:szCs w:val="21"/>
                <w:highlight w:val="none"/>
              </w:rPr>
            </w:pPr>
            <w:r>
              <w:rPr>
                <w:rFonts w:ascii="宋体" w:hAnsi="宋体"/>
                <w:color w:val="auto"/>
                <w:szCs w:val="21"/>
                <w:highlight w:val="none"/>
              </w:rPr>
              <w:t>1.1.4</w:t>
            </w:r>
          </w:p>
        </w:tc>
        <w:tc>
          <w:tcPr>
            <w:tcW w:w="2160" w:type="dxa"/>
            <w:vAlign w:val="center"/>
          </w:tcPr>
          <w:p w14:paraId="02DA17C6">
            <w:pPr>
              <w:snapToGrid w:val="0"/>
              <w:spacing w:line="276" w:lineRule="auto"/>
              <w:jc w:val="center"/>
              <w:rPr>
                <w:rFonts w:ascii="宋体" w:hAnsi="宋体"/>
                <w:color w:val="auto"/>
                <w:szCs w:val="21"/>
                <w:highlight w:val="none"/>
              </w:rPr>
            </w:pPr>
            <w:r>
              <w:rPr>
                <w:rFonts w:hint="eastAsia" w:ascii="宋体" w:hAnsi="宋体"/>
                <w:color w:val="auto"/>
                <w:szCs w:val="21"/>
                <w:highlight w:val="none"/>
              </w:rPr>
              <w:t>招标项目名称</w:t>
            </w:r>
          </w:p>
        </w:tc>
        <w:tc>
          <w:tcPr>
            <w:tcW w:w="7200" w:type="dxa"/>
            <w:vAlign w:val="center"/>
          </w:tcPr>
          <w:p w14:paraId="78A0F868">
            <w:pPr>
              <w:snapToGrid w:val="0"/>
              <w:spacing w:line="276" w:lineRule="auto"/>
              <w:jc w:val="left"/>
              <w:rPr>
                <w:rFonts w:hint="default" w:ascii="宋体" w:hAnsi="宋体" w:eastAsia="宋体"/>
                <w:color w:val="auto"/>
                <w:szCs w:val="21"/>
                <w:highlight w:val="none"/>
                <w:lang w:val="en-US" w:eastAsia="zh-CN"/>
              </w:rPr>
            </w:pPr>
            <w:r>
              <w:rPr>
                <w:rFonts w:hint="eastAsia" w:ascii="宋体" w:hAnsi="宋体"/>
                <w:color w:val="auto"/>
                <w:szCs w:val="21"/>
                <w:highlight w:val="none"/>
                <w:lang w:eastAsia="zh-CN"/>
              </w:rPr>
              <w:t>广州市黄埔区龙湖街旺村城中村改造项目北地块（北AZ-03地块）检测监测服务</w:t>
            </w:r>
          </w:p>
        </w:tc>
      </w:tr>
      <w:tr w14:paraId="25A1F0C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866" w:type="dxa"/>
            <w:vAlign w:val="center"/>
          </w:tcPr>
          <w:p w14:paraId="7598A1DF">
            <w:pPr>
              <w:snapToGrid w:val="0"/>
              <w:spacing w:line="276" w:lineRule="auto"/>
              <w:jc w:val="center"/>
              <w:rPr>
                <w:rFonts w:ascii="宋体" w:hAnsi="宋体"/>
                <w:color w:val="auto"/>
                <w:szCs w:val="21"/>
                <w:highlight w:val="none"/>
              </w:rPr>
            </w:pPr>
            <w:r>
              <w:rPr>
                <w:rFonts w:ascii="宋体" w:hAnsi="宋体"/>
                <w:color w:val="auto"/>
                <w:szCs w:val="21"/>
                <w:highlight w:val="none"/>
              </w:rPr>
              <w:t>1.1.5</w:t>
            </w:r>
          </w:p>
        </w:tc>
        <w:tc>
          <w:tcPr>
            <w:tcW w:w="2160" w:type="dxa"/>
            <w:vAlign w:val="center"/>
          </w:tcPr>
          <w:p w14:paraId="0B5708CF">
            <w:pPr>
              <w:snapToGrid w:val="0"/>
              <w:spacing w:line="276" w:lineRule="auto"/>
              <w:jc w:val="center"/>
              <w:rPr>
                <w:rFonts w:ascii="宋体" w:hAnsi="宋体"/>
                <w:color w:val="auto"/>
                <w:szCs w:val="21"/>
                <w:highlight w:val="none"/>
              </w:rPr>
            </w:pPr>
            <w:r>
              <w:rPr>
                <w:rFonts w:hint="eastAsia" w:ascii="宋体" w:hAnsi="宋体"/>
                <w:color w:val="auto"/>
                <w:szCs w:val="21"/>
                <w:highlight w:val="none"/>
              </w:rPr>
              <w:t>项目建设地点</w:t>
            </w:r>
          </w:p>
        </w:tc>
        <w:tc>
          <w:tcPr>
            <w:tcW w:w="7200" w:type="dxa"/>
            <w:vAlign w:val="center"/>
          </w:tcPr>
          <w:p w14:paraId="24841FFE">
            <w:pPr>
              <w:snapToGrid w:val="0"/>
              <w:spacing w:line="276" w:lineRule="auto"/>
              <w:jc w:val="left"/>
              <w:rPr>
                <w:rFonts w:ascii="宋体" w:hAnsi="宋体"/>
                <w:color w:val="auto"/>
                <w:szCs w:val="21"/>
                <w:highlight w:val="none"/>
              </w:rPr>
            </w:pPr>
            <w:r>
              <w:rPr>
                <w:rFonts w:hint="eastAsia" w:ascii="宋体" w:hAnsi="宋体"/>
                <w:color w:val="auto"/>
                <w:szCs w:val="21"/>
                <w:highlight w:val="none"/>
              </w:rPr>
              <w:t>详见招标公告</w:t>
            </w:r>
          </w:p>
        </w:tc>
      </w:tr>
      <w:tr w14:paraId="0A19A0A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866" w:type="dxa"/>
            <w:vAlign w:val="center"/>
          </w:tcPr>
          <w:p w14:paraId="70A4669E">
            <w:pPr>
              <w:snapToGrid w:val="0"/>
              <w:spacing w:line="276" w:lineRule="auto"/>
              <w:jc w:val="center"/>
              <w:rPr>
                <w:rFonts w:ascii="宋体" w:hAnsi="宋体"/>
                <w:color w:val="auto"/>
                <w:szCs w:val="21"/>
                <w:highlight w:val="none"/>
              </w:rPr>
            </w:pPr>
            <w:r>
              <w:rPr>
                <w:rFonts w:ascii="宋体" w:hAnsi="宋体"/>
                <w:color w:val="auto"/>
                <w:szCs w:val="21"/>
                <w:highlight w:val="none"/>
              </w:rPr>
              <w:t>1.1.6</w:t>
            </w:r>
          </w:p>
        </w:tc>
        <w:tc>
          <w:tcPr>
            <w:tcW w:w="2160" w:type="dxa"/>
            <w:vAlign w:val="center"/>
          </w:tcPr>
          <w:p w14:paraId="58213922">
            <w:pPr>
              <w:snapToGrid w:val="0"/>
              <w:spacing w:line="276" w:lineRule="auto"/>
              <w:jc w:val="center"/>
              <w:rPr>
                <w:rFonts w:ascii="宋体" w:hAnsi="宋体"/>
                <w:color w:val="auto"/>
                <w:szCs w:val="21"/>
                <w:highlight w:val="none"/>
              </w:rPr>
            </w:pPr>
            <w:r>
              <w:rPr>
                <w:rFonts w:hint="eastAsia" w:ascii="宋体" w:hAnsi="宋体"/>
                <w:color w:val="auto"/>
                <w:szCs w:val="21"/>
                <w:highlight w:val="none"/>
              </w:rPr>
              <w:t>项目建设规模</w:t>
            </w:r>
          </w:p>
        </w:tc>
        <w:tc>
          <w:tcPr>
            <w:tcW w:w="7200" w:type="dxa"/>
            <w:vAlign w:val="center"/>
          </w:tcPr>
          <w:p w14:paraId="588F31BA">
            <w:pPr>
              <w:snapToGrid w:val="0"/>
              <w:spacing w:line="276" w:lineRule="auto"/>
              <w:ind w:right="106"/>
              <w:jc w:val="left"/>
              <w:rPr>
                <w:rFonts w:ascii="宋体" w:hAnsi="宋体"/>
                <w:color w:val="auto"/>
                <w:szCs w:val="21"/>
                <w:highlight w:val="none"/>
              </w:rPr>
            </w:pPr>
            <w:r>
              <w:rPr>
                <w:rFonts w:hint="eastAsia" w:ascii="宋体" w:hAnsi="宋体"/>
                <w:color w:val="auto"/>
                <w:szCs w:val="21"/>
                <w:highlight w:val="none"/>
              </w:rPr>
              <w:t>详见招标公告</w:t>
            </w:r>
          </w:p>
        </w:tc>
      </w:tr>
      <w:tr w14:paraId="2FDF975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866" w:type="dxa"/>
            <w:vAlign w:val="center"/>
          </w:tcPr>
          <w:p w14:paraId="0CEEEC88">
            <w:pPr>
              <w:snapToGrid w:val="0"/>
              <w:spacing w:line="276" w:lineRule="auto"/>
              <w:jc w:val="center"/>
              <w:rPr>
                <w:rFonts w:ascii="宋体" w:hAnsi="宋体"/>
                <w:color w:val="auto"/>
                <w:szCs w:val="21"/>
                <w:highlight w:val="none"/>
              </w:rPr>
            </w:pPr>
            <w:r>
              <w:rPr>
                <w:rFonts w:ascii="宋体" w:hAnsi="宋体"/>
                <w:color w:val="auto"/>
                <w:szCs w:val="21"/>
                <w:highlight w:val="none"/>
              </w:rPr>
              <w:t>1.1.7</w:t>
            </w:r>
          </w:p>
        </w:tc>
        <w:tc>
          <w:tcPr>
            <w:tcW w:w="2160" w:type="dxa"/>
            <w:vAlign w:val="center"/>
          </w:tcPr>
          <w:p w14:paraId="23E8438B">
            <w:pPr>
              <w:snapToGrid w:val="0"/>
              <w:spacing w:line="276" w:lineRule="auto"/>
              <w:jc w:val="center"/>
              <w:rPr>
                <w:rFonts w:ascii="宋体" w:hAnsi="宋体"/>
                <w:color w:val="auto"/>
                <w:szCs w:val="21"/>
                <w:highlight w:val="none"/>
              </w:rPr>
            </w:pPr>
            <w:r>
              <w:rPr>
                <w:rFonts w:hint="eastAsia" w:ascii="宋体" w:hAnsi="宋体"/>
                <w:color w:val="auto"/>
                <w:szCs w:val="21"/>
                <w:highlight w:val="none"/>
              </w:rPr>
              <w:t>工程项目施工预计开工日期和建设周期</w:t>
            </w:r>
          </w:p>
        </w:tc>
        <w:tc>
          <w:tcPr>
            <w:tcW w:w="7200" w:type="dxa"/>
            <w:vAlign w:val="center"/>
          </w:tcPr>
          <w:p w14:paraId="0B0B9177">
            <w:pPr>
              <w:snapToGrid w:val="0"/>
              <w:spacing w:line="276" w:lineRule="auto"/>
              <w:rPr>
                <w:rFonts w:ascii="宋体" w:hAnsi="宋体"/>
                <w:color w:val="auto"/>
                <w:szCs w:val="21"/>
                <w:highlight w:val="none"/>
              </w:rPr>
            </w:pPr>
            <w:r>
              <w:rPr>
                <w:rFonts w:hint="eastAsia" w:ascii="宋体" w:hAnsi="宋体" w:cs="宋体"/>
                <w:color w:val="auto"/>
                <w:szCs w:val="21"/>
                <w:highlight w:val="none"/>
              </w:rPr>
              <w:t>/</w:t>
            </w:r>
          </w:p>
        </w:tc>
      </w:tr>
      <w:tr w14:paraId="7BB0631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866" w:type="dxa"/>
            <w:vAlign w:val="center"/>
          </w:tcPr>
          <w:p w14:paraId="6A61CBBB">
            <w:pPr>
              <w:snapToGrid w:val="0"/>
              <w:spacing w:line="276" w:lineRule="auto"/>
              <w:jc w:val="center"/>
              <w:rPr>
                <w:rFonts w:ascii="宋体" w:hAnsi="宋体"/>
                <w:color w:val="auto"/>
                <w:szCs w:val="21"/>
                <w:highlight w:val="none"/>
              </w:rPr>
            </w:pPr>
            <w:r>
              <w:rPr>
                <w:rFonts w:ascii="宋体" w:hAnsi="宋体"/>
                <w:color w:val="auto"/>
                <w:szCs w:val="21"/>
                <w:highlight w:val="none"/>
              </w:rPr>
              <w:t>1.1.8</w:t>
            </w:r>
          </w:p>
        </w:tc>
        <w:tc>
          <w:tcPr>
            <w:tcW w:w="2160" w:type="dxa"/>
            <w:vAlign w:val="center"/>
          </w:tcPr>
          <w:p w14:paraId="5F2D5FA2">
            <w:pPr>
              <w:snapToGrid w:val="0"/>
              <w:spacing w:line="276" w:lineRule="auto"/>
              <w:jc w:val="center"/>
              <w:rPr>
                <w:rFonts w:ascii="宋体" w:hAnsi="宋体"/>
                <w:color w:val="auto"/>
                <w:szCs w:val="21"/>
                <w:highlight w:val="none"/>
              </w:rPr>
            </w:pPr>
            <w:r>
              <w:rPr>
                <w:rFonts w:hint="eastAsia" w:ascii="宋体" w:hAnsi="宋体"/>
                <w:color w:val="auto"/>
                <w:szCs w:val="21"/>
                <w:highlight w:val="none"/>
              </w:rPr>
              <w:t>建筑安装工程费</w:t>
            </w:r>
            <w:r>
              <w:rPr>
                <w:rFonts w:ascii="宋体" w:hAnsi="宋体"/>
                <w:color w:val="auto"/>
                <w:szCs w:val="21"/>
                <w:highlight w:val="none"/>
              </w:rPr>
              <w:t>/</w:t>
            </w:r>
            <w:r>
              <w:rPr>
                <w:rFonts w:hint="eastAsia" w:ascii="宋体" w:hAnsi="宋体"/>
                <w:color w:val="auto"/>
                <w:szCs w:val="21"/>
                <w:highlight w:val="none"/>
              </w:rPr>
              <w:t>工程概算</w:t>
            </w:r>
          </w:p>
        </w:tc>
        <w:tc>
          <w:tcPr>
            <w:tcW w:w="7200" w:type="dxa"/>
            <w:vAlign w:val="center"/>
          </w:tcPr>
          <w:p w14:paraId="7425314A">
            <w:pPr>
              <w:snapToGrid w:val="0"/>
              <w:spacing w:line="276" w:lineRule="auto"/>
              <w:jc w:val="left"/>
              <w:rPr>
                <w:rFonts w:ascii="宋体" w:hAnsi="宋体"/>
                <w:color w:val="auto"/>
                <w:szCs w:val="21"/>
                <w:highlight w:val="none"/>
              </w:rPr>
            </w:pPr>
            <w:r>
              <w:rPr>
                <w:rFonts w:hint="eastAsia" w:ascii="宋体" w:hAnsi="宋体"/>
                <w:color w:val="auto"/>
                <w:szCs w:val="21"/>
                <w:highlight w:val="none"/>
              </w:rPr>
              <w:t>详见招标公告</w:t>
            </w:r>
          </w:p>
        </w:tc>
      </w:tr>
      <w:tr w14:paraId="15E51D3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866" w:type="dxa"/>
            <w:vAlign w:val="center"/>
          </w:tcPr>
          <w:p w14:paraId="288F23AA">
            <w:pPr>
              <w:snapToGrid w:val="0"/>
              <w:spacing w:line="276" w:lineRule="auto"/>
              <w:jc w:val="center"/>
              <w:rPr>
                <w:rFonts w:ascii="宋体" w:hAnsi="宋体"/>
                <w:color w:val="auto"/>
                <w:szCs w:val="21"/>
                <w:highlight w:val="none"/>
              </w:rPr>
            </w:pPr>
            <w:r>
              <w:rPr>
                <w:rFonts w:ascii="宋体" w:hAnsi="宋体"/>
                <w:color w:val="auto"/>
                <w:szCs w:val="21"/>
                <w:highlight w:val="none"/>
              </w:rPr>
              <w:t>1.2.1</w:t>
            </w:r>
          </w:p>
        </w:tc>
        <w:tc>
          <w:tcPr>
            <w:tcW w:w="2160" w:type="dxa"/>
            <w:vAlign w:val="center"/>
          </w:tcPr>
          <w:p w14:paraId="2D7ADD9E">
            <w:pPr>
              <w:snapToGrid w:val="0"/>
              <w:spacing w:line="276" w:lineRule="auto"/>
              <w:jc w:val="center"/>
              <w:rPr>
                <w:rFonts w:ascii="宋体" w:hAnsi="宋体"/>
                <w:color w:val="auto"/>
                <w:szCs w:val="21"/>
                <w:highlight w:val="none"/>
              </w:rPr>
            </w:pPr>
            <w:r>
              <w:rPr>
                <w:rFonts w:hint="eastAsia" w:ascii="宋体" w:hAnsi="宋体"/>
                <w:color w:val="auto"/>
                <w:szCs w:val="21"/>
                <w:highlight w:val="none"/>
              </w:rPr>
              <w:t>资金来源及比例</w:t>
            </w:r>
          </w:p>
        </w:tc>
        <w:tc>
          <w:tcPr>
            <w:tcW w:w="7200" w:type="dxa"/>
            <w:vAlign w:val="center"/>
          </w:tcPr>
          <w:p w14:paraId="2FD18007">
            <w:pPr>
              <w:snapToGrid w:val="0"/>
              <w:spacing w:line="276" w:lineRule="auto"/>
              <w:jc w:val="left"/>
              <w:rPr>
                <w:rFonts w:ascii="宋体" w:hAnsi="宋体"/>
                <w:color w:val="auto"/>
                <w:szCs w:val="21"/>
                <w:highlight w:val="none"/>
              </w:rPr>
            </w:pPr>
            <w:r>
              <w:rPr>
                <w:rFonts w:hint="eastAsia" w:ascii="宋体" w:hAnsi="宋体"/>
                <w:color w:val="auto"/>
                <w:szCs w:val="21"/>
                <w:highlight w:val="none"/>
              </w:rPr>
              <w:t>详见招标公告</w:t>
            </w:r>
          </w:p>
        </w:tc>
      </w:tr>
      <w:tr w14:paraId="6F5B0DA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866" w:type="dxa"/>
            <w:vAlign w:val="center"/>
          </w:tcPr>
          <w:p w14:paraId="17F9173B">
            <w:pPr>
              <w:snapToGrid w:val="0"/>
              <w:spacing w:line="276" w:lineRule="auto"/>
              <w:jc w:val="center"/>
              <w:rPr>
                <w:rFonts w:ascii="宋体" w:hAnsi="宋体"/>
                <w:color w:val="auto"/>
                <w:szCs w:val="21"/>
                <w:highlight w:val="none"/>
              </w:rPr>
            </w:pPr>
            <w:r>
              <w:rPr>
                <w:rFonts w:ascii="宋体" w:hAnsi="宋体"/>
                <w:color w:val="auto"/>
                <w:szCs w:val="21"/>
                <w:highlight w:val="none"/>
              </w:rPr>
              <w:t>1.2.2</w:t>
            </w:r>
          </w:p>
        </w:tc>
        <w:tc>
          <w:tcPr>
            <w:tcW w:w="2160" w:type="dxa"/>
            <w:vAlign w:val="center"/>
          </w:tcPr>
          <w:p w14:paraId="3159A491">
            <w:pPr>
              <w:snapToGrid w:val="0"/>
              <w:spacing w:line="276" w:lineRule="auto"/>
              <w:jc w:val="center"/>
              <w:rPr>
                <w:rFonts w:ascii="宋体" w:hAnsi="宋体"/>
                <w:color w:val="auto"/>
                <w:szCs w:val="21"/>
                <w:highlight w:val="none"/>
              </w:rPr>
            </w:pPr>
            <w:r>
              <w:rPr>
                <w:rFonts w:hint="eastAsia" w:ascii="宋体" w:hAnsi="宋体"/>
                <w:color w:val="auto"/>
                <w:szCs w:val="21"/>
                <w:highlight w:val="none"/>
              </w:rPr>
              <w:t>资金落实情况</w:t>
            </w:r>
          </w:p>
        </w:tc>
        <w:tc>
          <w:tcPr>
            <w:tcW w:w="7200" w:type="dxa"/>
            <w:vAlign w:val="center"/>
          </w:tcPr>
          <w:p w14:paraId="29449AC7">
            <w:pPr>
              <w:snapToGrid w:val="0"/>
              <w:spacing w:line="276" w:lineRule="auto"/>
              <w:jc w:val="left"/>
              <w:rPr>
                <w:rFonts w:ascii="宋体" w:hAnsi="宋体"/>
                <w:color w:val="auto"/>
                <w:szCs w:val="21"/>
                <w:highlight w:val="none"/>
              </w:rPr>
            </w:pPr>
            <w:r>
              <w:rPr>
                <w:rFonts w:hint="eastAsia" w:ascii="宋体" w:hAnsi="宋体"/>
                <w:color w:val="auto"/>
                <w:szCs w:val="21"/>
                <w:highlight w:val="none"/>
              </w:rPr>
              <w:t>详见招标公告</w:t>
            </w:r>
          </w:p>
        </w:tc>
      </w:tr>
      <w:tr w14:paraId="4180722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866" w:type="dxa"/>
            <w:vAlign w:val="center"/>
          </w:tcPr>
          <w:p w14:paraId="4BFB6EC6">
            <w:pPr>
              <w:snapToGrid w:val="0"/>
              <w:spacing w:line="276" w:lineRule="auto"/>
              <w:jc w:val="center"/>
              <w:rPr>
                <w:rFonts w:ascii="宋体" w:hAnsi="宋体"/>
                <w:color w:val="auto"/>
                <w:szCs w:val="21"/>
                <w:highlight w:val="none"/>
              </w:rPr>
            </w:pPr>
            <w:r>
              <w:rPr>
                <w:rFonts w:ascii="宋体" w:hAnsi="宋体"/>
                <w:color w:val="auto"/>
                <w:szCs w:val="21"/>
                <w:highlight w:val="none"/>
              </w:rPr>
              <w:t>1.3.1</w:t>
            </w:r>
          </w:p>
        </w:tc>
        <w:tc>
          <w:tcPr>
            <w:tcW w:w="2160" w:type="dxa"/>
            <w:vAlign w:val="center"/>
          </w:tcPr>
          <w:p w14:paraId="6BC49CE0">
            <w:pPr>
              <w:snapToGrid w:val="0"/>
              <w:spacing w:line="276" w:lineRule="auto"/>
              <w:jc w:val="center"/>
              <w:rPr>
                <w:rFonts w:ascii="宋体" w:hAnsi="宋体"/>
                <w:color w:val="auto"/>
                <w:szCs w:val="21"/>
                <w:highlight w:val="none"/>
              </w:rPr>
            </w:pPr>
            <w:r>
              <w:rPr>
                <w:rFonts w:hint="eastAsia" w:ascii="宋体" w:hAnsi="宋体"/>
                <w:color w:val="auto"/>
                <w:szCs w:val="21"/>
                <w:highlight w:val="none"/>
              </w:rPr>
              <w:t>招标范围</w:t>
            </w:r>
          </w:p>
        </w:tc>
        <w:tc>
          <w:tcPr>
            <w:tcW w:w="7200" w:type="dxa"/>
            <w:vAlign w:val="center"/>
          </w:tcPr>
          <w:p w14:paraId="4AB81186">
            <w:pPr>
              <w:snapToGrid w:val="0"/>
              <w:spacing w:line="276" w:lineRule="auto"/>
              <w:ind w:right="106"/>
              <w:jc w:val="left"/>
              <w:rPr>
                <w:rFonts w:ascii="宋体" w:hAnsi="宋体"/>
                <w:color w:val="auto"/>
                <w:szCs w:val="21"/>
                <w:highlight w:val="none"/>
              </w:rPr>
            </w:pPr>
            <w:r>
              <w:rPr>
                <w:rFonts w:hint="eastAsia" w:ascii="宋体" w:hAnsi="宋体"/>
                <w:color w:val="auto"/>
                <w:szCs w:val="21"/>
                <w:highlight w:val="none"/>
              </w:rPr>
              <w:t>详见招标公告</w:t>
            </w:r>
          </w:p>
        </w:tc>
      </w:tr>
      <w:tr w14:paraId="076B116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819" w:hRule="atLeast"/>
        </w:trPr>
        <w:tc>
          <w:tcPr>
            <w:tcW w:w="866" w:type="dxa"/>
            <w:vAlign w:val="center"/>
          </w:tcPr>
          <w:p w14:paraId="3C0C6D3D">
            <w:pPr>
              <w:snapToGrid w:val="0"/>
              <w:spacing w:line="276" w:lineRule="auto"/>
              <w:jc w:val="center"/>
              <w:rPr>
                <w:rFonts w:ascii="宋体" w:hAnsi="宋体"/>
                <w:color w:val="auto"/>
                <w:szCs w:val="21"/>
                <w:highlight w:val="none"/>
              </w:rPr>
            </w:pPr>
            <w:r>
              <w:rPr>
                <w:rFonts w:ascii="宋体" w:hAnsi="宋体"/>
                <w:color w:val="auto"/>
                <w:szCs w:val="21"/>
                <w:highlight w:val="none"/>
              </w:rPr>
              <w:t>1.3.2</w:t>
            </w:r>
          </w:p>
        </w:tc>
        <w:tc>
          <w:tcPr>
            <w:tcW w:w="2160" w:type="dxa"/>
            <w:vAlign w:val="center"/>
          </w:tcPr>
          <w:p w14:paraId="4B152930">
            <w:pPr>
              <w:snapToGrid w:val="0"/>
              <w:spacing w:line="276" w:lineRule="auto"/>
              <w:jc w:val="center"/>
              <w:rPr>
                <w:rFonts w:ascii="宋体" w:hAnsi="宋体"/>
                <w:color w:val="auto"/>
                <w:szCs w:val="21"/>
                <w:highlight w:val="none"/>
              </w:rPr>
            </w:pPr>
            <w:r>
              <w:rPr>
                <w:rFonts w:hint="eastAsia" w:ascii="宋体" w:hAnsi="宋体"/>
                <w:color w:val="auto"/>
                <w:szCs w:val="21"/>
                <w:highlight w:val="none"/>
              </w:rPr>
              <w:t>服务期限</w:t>
            </w:r>
          </w:p>
        </w:tc>
        <w:tc>
          <w:tcPr>
            <w:tcW w:w="7200" w:type="dxa"/>
            <w:vAlign w:val="center"/>
          </w:tcPr>
          <w:p w14:paraId="391E9FF9">
            <w:pPr>
              <w:snapToGrid w:val="0"/>
              <w:spacing w:line="276" w:lineRule="auto"/>
              <w:ind w:right="106"/>
              <w:jc w:val="left"/>
              <w:rPr>
                <w:rFonts w:ascii="宋体" w:hAnsi="宋体"/>
                <w:color w:val="auto"/>
                <w:szCs w:val="21"/>
                <w:highlight w:val="none"/>
                <w:u w:val="single"/>
              </w:rPr>
            </w:pPr>
            <w:r>
              <w:rPr>
                <w:rFonts w:hint="eastAsia" w:ascii="宋体" w:hAnsi="宋体"/>
                <w:color w:val="auto"/>
                <w:szCs w:val="21"/>
                <w:highlight w:val="none"/>
                <w:u w:val="single"/>
                <w:lang w:eastAsia="zh-CN"/>
              </w:rPr>
              <w:t>本工程的具体开工日期以甲方通知为准。乙方必须配合本项目现场工期进度，服务周期需按甲方要求，实际工期根据项目实际施工进度进行调整，检测/监测工作进度必须满足现场施工和甲方的要求</w:t>
            </w:r>
            <w:r>
              <w:rPr>
                <w:rFonts w:hint="eastAsia" w:ascii="宋体" w:hAnsi="宋体"/>
                <w:color w:val="auto"/>
                <w:szCs w:val="21"/>
                <w:highlight w:val="none"/>
                <w:u w:val="single"/>
              </w:rPr>
              <w:t>。</w:t>
            </w:r>
          </w:p>
        </w:tc>
      </w:tr>
      <w:tr w14:paraId="427A524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866" w:type="dxa"/>
            <w:vAlign w:val="center"/>
          </w:tcPr>
          <w:p w14:paraId="58C3977D">
            <w:pPr>
              <w:snapToGrid w:val="0"/>
              <w:spacing w:line="276" w:lineRule="auto"/>
              <w:jc w:val="center"/>
              <w:rPr>
                <w:rFonts w:ascii="宋体" w:hAnsi="宋体"/>
                <w:color w:val="auto"/>
                <w:szCs w:val="21"/>
                <w:highlight w:val="none"/>
              </w:rPr>
            </w:pPr>
            <w:r>
              <w:rPr>
                <w:rFonts w:ascii="宋体" w:hAnsi="宋体"/>
                <w:color w:val="auto"/>
                <w:szCs w:val="21"/>
                <w:highlight w:val="none"/>
              </w:rPr>
              <w:t>1.3.3</w:t>
            </w:r>
          </w:p>
        </w:tc>
        <w:tc>
          <w:tcPr>
            <w:tcW w:w="2160" w:type="dxa"/>
            <w:vAlign w:val="center"/>
          </w:tcPr>
          <w:p w14:paraId="115E6778">
            <w:pPr>
              <w:snapToGrid w:val="0"/>
              <w:spacing w:line="276" w:lineRule="auto"/>
              <w:jc w:val="center"/>
              <w:rPr>
                <w:rFonts w:ascii="宋体" w:hAnsi="宋体"/>
                <w:color w:val="auto"/>
                <w:szCs w:val="21"/>
                <w:highlight w:val="none"/>
              </w:rPr>
            </w:pPr>
            <w:r>
              <w:rPr>
                <w:rFonts w:hint="eastAsia" w:ascii="宋体" w:hAnsi="宋体"/>
                <w:color w:val="auto"/>
                <w:szCs w:val="21"/>
                <w:highlight w:val="none"/>
              </w:rPr>
              <w:t>质量标准</w:t>
            </w:r>
          </w:p>
        </w:tc>
        <w:tc>
          <w:tcPr>
            <w:tcW w:w="7200" w:type="dxa"/>
            <w:vAlign w:val="center"/>
          </w:tcPr>
          <w:p w14:paraId="76C23D26">
            <w:pPr>
              <w:pStyle w:val="25"/>
              <w:snapToGrid w:val="0"/>
              <w:spacing w:line="276" w:lineRule="auto"/>
              <w:ind w:firstLine="0"/>
              <w:rPr>
                <w:rFonts w:ascii="宋体" w:hAnsi="宋体" w:cs="宋体"/>
                <w:color w:val="auto"/>
                <w:szCs w:val="21"/>
                <w:highlight w:val="none"/>
              </w:rPr>
            </w:pPr>
            <w:r>
              <w:rPr>
                <w:rFonts w:hint="eastAsia" w:ascii="宋体" w:hAnsi="宋体"/>
                <w:color w:val="auto"/>
                <w:szCs w:val="21"/>
                <w:highlight w:val="none"/>
              </w:rPr>
              <w:t>符合国家及省、市有关检测标准。</w:t>
            </w:r>
          </w:p>
        </w:tc>
      </w:tr>
      <w:tr w14:paraId="4AD037D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866" w:type="dxa"/>
            <w:vAlign w:val="center"/>
          </w:tcPr>
          <w:p w14:paraId="45912D74">
            <w:pPr>
              <w:snapToGrid w:val="0"/>
              <w:spacing w:line="276" w:lineRule="auto"/>
              <w:jc w:val="center"/>
              <w:rPr>
                <w:rFonts w:ascii="宋体" w:hAnsi="宋体"/>
                <w:color w:val="auto"/>
                <w:szCs w:val="21"/>
                <w:highlight w:val="none"/>
              </w:rPr>
            </w:pPr>
            <w:r>
              <w:rPr>
                <w:rFonts w:ascii="宋体" w:hAnsi="宋体"/>
                <w:color w:val="auto"/>
                <w:szCs w:val="21"/>
                <w:highlight w:val="none"/>
              </w:rPr>
              <w:t>1.4.1</w:t>
            </w:r>
          </w:p>
        </w:tc>
        <w:tc>
          <w:tcPr>
            <w:tcW w:w="2160" w:type="dxa"/>
            <w:vAlign w:val="center"/>
          </w:tcPr>
          <w:p w14:paraId="3D756F7B">
            <w:pPr>
              <w:snapToGrid w:val="0"/>
              <w:spacing w:line="276" w:lineRule="auto"/>
              <w:jc w:val="center"/>
              <w:rPr>
                <w:rFonts w:ascii="宋体" w:hAnsi="宋体"/>
                <w:color w:val="auto"/>
                <w:szCs w:val="21"/>
                <w:highlight w:val="none"/>
              </w:rPr>
            </w:pPr>
            <w:r>
              <w:rPr>
                <w:rFonts w:hint="eastAsia" w:ascii="宋体" w:hAnsi="宋体"/>
                <w:color w:val="auto"/>
                <w:szCs w:val="21"/>
                <w:highlight w:val="none"/>
              </w:rPr>
              <w:t>投标人资质条件、能力、信誉</w:t>
            </w:r>
          </w:p>
        </w:tc>
        <w:tc>
          <w:tcPr>
            <w:tcW w:w="7200" w:type="dxa"/>
            <w:vAlign w:val="center"/>
          </w:tcPr>
          <w:p w14:paraId="535D8FBE">
            <w:pPr>
              <w:snapToGrid w:val="0"/>
              <w:spacing w:line="276" w:lineRule="auto"/>
              <w:rPr>
                <w:rFonts w:ascii="宋体" w:hAnsi="宋体"/>
                <w:color w:val="auto"/>
                <w:szCs w:val="21"/>
                <w:highlight w:val="none"/>
              </w:rPr>
            </w:pPr>
            <w:r>
              <w:rPr>
                <w:rFonts w:hint="eastAsia" w:ascii="宋体" w:hAnsi="宋体"/>
                <w:color w:val="auto"/>
                <w:szCs w:val="21"/>
                <w:highlight w:val="none"/>
              </w:rPr>
              <w:t>（</w:t>
            </w:r>
            <w:r>
              <w:rPr>
                <w:rFonts w:ascii="宋体" w:hAnsi="宋体"/>
                <w:color w:val="auto"/>
                <w:szCs w:val="21"/>
                <w:highlight w:val="none"/>
              </w:rPr>
              <w:t>1</w:t>
            </w:r>
            <w:r>
              <w:rPr>
                <w:rFonts w:hint="eastAsia" w:ascii="宋体" w:hAnsi="宋体"/>
                <w:color w:val="auto"/>
                <w:szCs w:val="21"/>
                <w:highlight w:val="none"/>
              </w:rPr>
              <w:t>）资质要求：见招标公告投标人资格要求。</w:t>
            </w:r>
          </w:p>
          <w:p w14:paraId="0E3EFD7D">
            <w:pPr>
              <w:snapToGrid w:val="0"/>
              <w:spacing w:line="276" w:lineRule="auto"/>
              <w:rPr>
                <w:rFonts w:ascii="宋体" w:hAnsi="宋体"/>
                <w:color w:val="auto"/>
                <w:szCs w:val="21"/>
                <w:highlight w:val="none"/>
              </w:rPr>
            </w:pPr>
            <w:r>
              <w:rPr>
                <w:rFonts w:hint="eastAsia" w:ascii="宋体" w:hAnsi="宋体"/>
                <w:color w:val="auto"/>
                <w:szCs w:val="21"/>
                <w:highlight w:val="none"/>
              </w:rPr>
              <w:t>（</w:t>
            </w:r>
            <w:r>
              <w:rPr>
                <w:rFonts w:ascii="宋体" w:hAnsi="宋体"/>
                <w:color w:val="auto"/>
                <w:szCs w:val="21"/>
                <w:highlight w:val="none"/>
              </w:rPr>
              <w:t>2</w:t>
            </w:r>
            <w:r>
              <w:rPr>
                <w:rFonts w:hint="eastAsia" w:ascii="宋体" w:hAnsi="宋体"/>
                <w:color w:val="auto"/>
                <w:szCs w:val="21"/>
                <w:highlight w:val="none"/>
              </w:rPr>
              <w:t>）财务要求：</w:t>
            </w:r>
            <w:r>
              <w:rPr>
                <w:rFonts w:ascii="宋体" w:hAnsi="宋体"/>
                <w:color w:val="auto"/>
                <w:szCs w:val="21"/>
                <w:highlight w:val="none"/>
                <w:u w:val="single"/>
              </w:rPr>
              <w:t xml:space="preserve"> / </w:t>
            </w:r>
            <w:r>
              <w:rPr>
                <w:rFonts w:hint="eastAsia" w:ascii="宋体" w:hAnsi="宋体"/>
                <w:color w:val="auto"/>
                <w:szCs w:val="21"/>
                <w:highlight w:val="none"/>
                <w:u w:val="single"/>
                <w:lang w:eastAsia="zh-CN"/>
              </w:rPr>
              <w:t>。</w:t>
            </w:r>
          </w:p>
          <w:p w14:paraId="683CB954">
            <w:pPr>
              <w:snapToGrid w:val="0"/>
              <w:spacing w:line="276" w:lineRule="auto"/>
              <w:rPr>
                <w:rFonts w:ascii="宋体" w:hAnsi="宋体"/>
                <w:color w:val="auto"/>
                <w:szCs w:val="21"/>
                <w:highlight w:val="none"/>
              </w:rPr>
            </w:pPr>
            <w:r>
              <w:rPr>
                <w:rFonts w:hint="eastAsia" w:ascii="宋体" w:hAnsi="宋体"/>
                <w:color w:val="auto"/>
                <w:szCs w:val="21"/>
                <w:highlight w:val="none"/>
              </w:rPr>
              <w:t>（</w:t>
            </w:r>
            <w:r>
              <w:rPr>
                <w:rFonts w:ascii="宋体" w:hAnsi="宋体"/>
                <w:color w:val="auto"/>
                <w:szCs w:val="21"/>
                <w:highlight w:val="none"/>
              </w:rPr>
              <w:t>3</w:t>
            </w:r>
            <w:r>
              <w:rPr>
                <w:rFonts w:hint="eastAsia" w:ascii="宋体" w:hAnsi="宋体"/>
                <w:color w:val="auto"/>
                <w:szCs w:val="21"/>
                <w:highlight w:val="none"/>
              </w:rPr>
              <w:t>）业绩要求：</w:t>
            </w:r>
            <w:r>
              <w:rPr>
                <w:rFonts w:ascii="宋体" w:hAnsi="宋体"/>
                <w:color w:val="auto"/>
                <w:szCs w:val="21"/>
                <w:highlight w:val="none"/>
                <w:u w:val="single"/>
              </w:rPr>
              <w:t xml:space="preserve"> / </w:t>
            </w:r>
            <w:r>
              <w:rPr>
                <w:rFonts w:hint="eastAsia" w:ascii="宋体" w:hAnsi="宋体"/>
                <w:color w:val="auto"/>
                <w:szCs w:val="21"/>
                <w:highlight w:val="none"/>
                <w:u w:val="single"/>
                <w:lang w:eastAsia="zh-CN"/>
              </w:rPr>
              <w:t>。</w:t>
            </w:r>
          </w:p>
          <w:p w14:paraId="03E4841E">
            <w:pPr>
              <w:snapToGrid w:val="0"/>
              <w:spacing w:line="276" w:lineRule="auto"/>
              <w:rPr>
                <w:rFonts w:ascii="宋体" w:hAnsi="宋体"/>
                <w:color w:val="auto"/>
                <w:szCs w:val="21"/>
                <w:highlight w:val="none"/>
              </w:rPr>
            </w:pPr>
            <w:r>
              <w:rPr>
                <w:rFonts w:hint="eastAsia" w:ascii="宋体" w:hAnsi="宋体"/>
                <w:color w:val="auto"/>
                <w:szCs w:val="21"/>
                <w:highlight w:val="none"/>
              </w:rPr>
              <w:t>（</w:t>
            </w:r>
            <w:r>
              <w:rPr>
                <w:rFonts w:ascii="宋体" w:hAnsi="宋体"/>
                <w:color w:val="auto"/>
                <w:szCs w:val="21"/>
                <w:highlight w:val="none"/>
              </w:rPr>
              <w:t>4</w:t>
            </w:r>
            <w:r>
              <w:rPr>
                <w:rFonts w:hint="eastAsia" w:ascii="宋体" w:hAnsi="宋体"/>
                <w:color w:val="auto"/>
                <w:szCs w:val="21"/>
                <w:highlight w:val="none"/>
              </w:rPr>
              <w:t>）信誉要求：</w:t>
            </w:r>
            <w:r>
              <w:rPr>
                <w:rFonts w:ascii="宋体" w:hAnsi="宋体"/>
                <w:color w:val="auto"/>
                <w:szCs w:val="21"/>
                <w:highlight w:val="none"/>
                <w:u w:val="single"/>
              </w:rPr>
              <w:t xml:space="preserve"> / </w:t>
            </w:r>
            <w:r>
              <w:rPr>
                <w:rFonts w:hint="eastAsia" w:ascii="宋体" w:hAnsi="宋体"/>
                <w:color w:val="auto"/>
                <w:szCs w:val="21"/>
                <w:highlight w:val="none"/>
                <w:u w:val="single"/>
                <w:lang w:eastAsia="zh-CN"/>
              </w:rPr>
              <w:t>。</w:t>
            </w:r>
          </w:p>
          <w:p w14:paraId="26B8C801">
            <w:pPr>
              <w:snapToGrid w:val="0"/>
              <w:spacing w:line="276" w:lineRule="auto"/>
              <w:rPr>
                <w:rFonts w:ascii="宋体" w:hAnsi="宋体"/>
                <w:color w:val="auto"/>
                <w:szCs w:val="21"/>
                <w:highlight w:val="none"/>
              </w:rPr>
            </w:pPr>
            <w:r>
              <w:rPr>
                <w:rFonts w:hint="eastAsia" w:ascii="宋体" w:hAnsi="宋体"/>
                <w:color w:val="auto"/>
                <w:szCs w:val="21"/>
                <w:highlight w:val="none"/>
              </w:rPr>
              <w:t>（</w:t>
            </w:r>
            <w:r>
              <w:rPr>
                <w:rFonts w:ascii="宋体" w:hAnsi="宋体"/>
                <w:color w:val="auto"/>
                <w:szCs w:val="21"/>
                <w:highlight w:val="none"/>
              </w:rPr>
              <w:t>5</w:t>
            </w:r>
            <w:r>
              <w:rPr>
                <w:rFonts w:hint="eastAsia" w:ascii="宋体" w:hAnsi="宋体"/>
                <w:color w:val="auto"/>
                <w:szCs w:val="21"/>
                <w:highlight w:val="none"/>
              </w:rPr>
              <w:t>）项目负责人的资格要求：见招标公告投标人资格要求。</w:t>
            </w:r>
          </w:p>
          <w:p w14:paraId="7C18D718">
            <w:pPr>
              <w:snapToGrid w:val="0"/>
              <w:spacing w:line="276" w:lineRule="auto"/>
              <w:rPr>
                <w:rFonts w:ascii="宋体" w:hAnsi="宋体"/>
                <w:color w:val="auto"/>
                <w:szCs w:val="21"/>
                <w:highlight w:val="none"/>
              </w:rPr>
            </w:pPr>
            <w:r>
              <w:rPr>
                <w:rFonts w:hint="eastAsia" w:ascii="宋体" w:hAnsi="宋体"/>
                <w:color w:val="auto"/>
                <w:szCs w:val="21"/>
                <w:highlight w:val="none"/>
              </w:rPr>
              <w:t>（</w:t>
            </w:r>
            <w:r>
              <w:rPr>
                <w:rFonts w:ascii="宋体" w:hAnsi="宋体"/>
                <w:color w:val="auto"/>
                <w:szCs w:val="21"/>
                <w:highlight w:val="none"/>
              </w:rPr>
              <w:t>6</w:t>
            </w:r>
            <w:r>
              <w:rPr>
                <w:rFonts w:hint="eastAsia" w:ascii="宋体" w:hAnsi="宋体"/>
                <w:color w:val="auto"/>
                <w:szCs w:val="21"/>
                <w:highlight w:val="none"/>
              </w:rPr>
              <w:t>）其他主要人员要求：</w:t>
            </w:r>
            <w:r>
              <w:rPr>
                <w:rFonts w:ascii="宋体" w:hAnsi="宋体"/>
                <w:color w:val="auto"/>
                <w:szCs w:val="21"/>
                <w:highlight w:val="none"/>
                <w:u w:val="single"/>
              </w:rPr>
              <w:t xml:space="preserve"> / </w:t>
            </w:r>
            <w:r>
              <w:rPr>
                <w:rFonts w:hint="eastAsia" w:ascii="宋体" w:hAnsi="宋体"/>
                <w:color w:val="auto"/>
                <w:szCs w:val="21"/>
                <w:highlight w:val="none"/>
                <w:u w:val="single"/>
                <w:lang w:eastAsia="zh-CN"/>
              </w:rPr>
              <w:t>。</w:t>
            </w:r>
          </w:p>
          <w:p w14:paraId="58297268">
            <w:pPr>
              <w:snapToGrid w:val="0"/>
              <w:spacing w:line="276" w:lineRule="auto"/>
              <w:rPr>
                <w:rFonts w:ascii="宋体" w:hAnsi="宋体"/>
                <w:color w:val="auto"/>
                <w:szCs w:val="21"/>
                <w:highlight w:val="none"/>
              </w:rPr>
            </w:pPr>
            <w:r>
              <w:rPr>
                <w:rFonts w:hint="eastAsia" w:ascii="宋体" w:hAnsi="宋体"/>
                <w:color w:val="auto"/>
                <w:szCs w:val="21"/>
                <w:highlight w:val="none"/>
              </w:rPr>
              <w:t>（</w:t>
            </w:r>
            <w:r>
              <w:rPr>
                <w:rFonts w:ascii="宋体" w:hAnsi="宋体"/>
                <w:color w:val="auto"/>
                <w:szCs w:val="21"/>
                <w:highlight w:val="none"/>
              </w:rPr>
              <w:t>7</w:t>
            </w:r>
            <w:r>
              <w:rPr>
                <w:rFonts w:hint="eastAsia" w:ascii="宋体" w:hAnsi="宋体"/>
                <w:color w:val="auto"/>
                <w:szCs w:val="21"/>
                <w:highlight w:val="none"/>
              </w:rPr>
              <w:t>）试验检测仪器设备要求：</w:t>
            </w:r>
            <w:r>
              <w:rPr>
                <w:rFonts w:ascii="宋体" w:hAnsi="宋体"/>
                <w:color w:val="auto"/>
                <w:szCs w:val="21"/>
                <w:highlight w:val="none"/>
                <w:u w:val="single"/>
              </w:rPr>
              <w:t xml:space="preserve"> / </w:t>
            </w:r>
            <w:r>
              <w:rPr>
                <w:rFonts w:hint="eastAsia" w:ascii="宋体" w:hAnsi="宋体"/>
                <w:color w:val="auto"/>
                <w:szCs w:val="21"/>
                <w:highlight w:val="none"/>
                <w:u w:val="single"/>
                <w:lang w:eastAsia="zh-CN"/>
              </w:rPr>
              <w:t>。</w:t>
            </w:r>
          </w:p>
          <w:p w14:paraId="5C3E31E8">
            <w:pPr>
              <w:snapToGrid w:val="0"/>
              <w:spacing w:line="276" w:lineRule="auto"/>
              <w:rPr>
                <w:rFonts w:ascii="宋体" w:hAnsi="宋体"/>
                <w:color w:val="auto"/>
                <w:szCs w:val="21"/>
                <w:highlight w:val="none"/>
              </w:rPr>
            </w:pPr>
            <w:r>
              <w:rPr>
                <w:rFonts w:hint="eastAsia" w:ascii="宋体" w:hAnsi="宋体"/>
                <w:color w:val="auto"/>
                <w:szCs w:val="21"/>
                <w:highlight w:val="none"/>
              </w:rPr>
              <w:t>（</w:t>
            </w:r>
            <w:r>
              <w:rPr>
                <w:rFonts w:ascii="宋体" w:hAnsi="宋体"/>
                <w:color w:val="auto"/>
                <w:szCs w:val="21"/>
                <w:highlight w:val="none"/>
              </w:rPr>
              <w:t>8</w:t>
            </w:r>
            <w:r>
              <w:rPr>
                <w:rFonts w:hint="eastAsia" w:ascii="宋体" w:hAnsi="宋体"/>
                <w:color w:val="auto"/>
                <w:szCs w:val="21"/>
                <w:highlight w:val="none"/>
              </w:rPr>
              <w:t>）其他要求：见招标公告投标人资格要求。</w:t>
            </w:r>
          </w:p>
        </w:tc>
      </w:tr>
      <w:tr w14:paraId="50E6B6B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866" w:type="dxa"/>
            <w:vAlign w:val="center"/>
          </w:tcPr>
          <w:p w14:paraId="0A71BFE6">
            <w:pPr>
              <w:snapToGrid w:val="0"/>
              <w:spacing w:line="276" w:lineRule="auto"/>
              <w:jc w:val="center"/>
              <w:rPr>
                <w:rFonts w:ascii="宋体" w:hAnsi="宋体"/>
                <w:color w:val="auto"/>
                <w:szCs w:val="21"/>
                <w:highlight w:val="none"/>
              </w:rPr>
            </w:pPr>
            <w:r>
              <w:rPr>
                <w:rFonts w:ascii="宋体" w:hAnsi="宋体"/>
                <w:color w:val="auto"/>
                <w:szCs w:val="21"/>
                <w:highlight w:val="none"/>
              </w:rPr>
              <w:t>1.4.2</w:t>
            </w:r>
          </w:p>
        </w:tc>
        <w:tc>
          <w:tcPr>
            <w:tcW w:w="2160" w:type="dxa"/>
            <w:vAlign w:val="center"/>
          </w:tcPr>
          <w:p w14:paraId="62708E2E">
            <w:pPr>
              <w:snapToGrid w:val="0"/>
              <w:spacing w:line="276" w:lineRule="auto"/>
              <w:jc w:val="center"/>
              <w:rPr>
                <w:rFonts w:ascii="宋体" w:hAnsi="宋体"/>
                <w:color w:val="auto"/>
                <w:szCs w:val="21"/>
                <w:highlight w:val="none"/>
              </w:rPr>
            </w:pPr>
            <w:r>
              <w:rPr>
                <w:rFonts w:hint="eastAsia" w:ascii="宋体" w:hAnsi="宋体"/>
                <w:color w:val="auto"/>
                <w:szCs w:val="21"/>
                <w:highlight w:val="none"/>
              </w:rPr>
              <w:t>是否接受联合体投标</w:t>
            </w:r>
          </w:p>
        </w:tc>
        <w:tc>
          <w:tcPr>
            <w:tcW w:w="7200" w:type="dxa"/>
            <w:vAlign w:val="center"/>
          </w:tcPr>
          <w:p w14:paraId="54673B60">
            <w:pPr>
              <w:snapToGrid w:val="0"/>
              <w:spacing w:line="276" w:lineRule="auto"/>
              <w:ind w:right="-238"/>
              <w:rPr>
                <w:rFonts w:ascii="宋体" w:hAnsi="宋体"/>
                <w:color w:val="auto"/>
                <w:szCs w:val="21"/>
                <w:highlight w:val="none"/>
              </w:rPr>
            </w:pPr>
            <w:r>
              <w:rPr>
                <w:rFonts w:hint="eastAsia" w:ascii="宋体" w:hAnsi="宋体" w:cs="宋体"/>
                <w:color w:val="auto"/>
                <w:position w:val="3"/>
                <w:szCs w:val="21"/>
                <w:highlight w:val="none"/>
              </w:rPr>
              <w:sym w:font="Wingdings 2" w:char="00A3"/>
            </w:r>
            <w:r>
              <w:rPr>
                <w:rFonts w:hint="eastAsia" w:ascii="宋体" w:hAnsi="宋体" w:cs="宋体"/>
                <w:color w:val="auto"/>
                <w:position w:val="3"/>
                <w:szCs w:val="21"/>
                <w:highlight w:val="none"/>
              </w:rPr>
              <w:t>不接受</w:t>
            </w:r>
          </w:p>
          <w:p w14:paraId="660F5FF2">
            <w:pPr>
              <w:spacing w:line="276" w:lineRule="auto"/>
              <w:rPr>
                <w:rFonts w:ascii="宋体" w:hAnsi="宋体"/>
                <w:color w:val="auto"/>
                <w:szCs w:val="21"/>
                <w:highlight w:val="none"/>
              </w:rPr>
            </w:pPr>
            <w:r>
              <w:rPr>
                <w:rFonts w:hint="eastAsia" w:ascii="宋体" w:hAnsi="宋体"/>
                <w:color w:val="auto"/>
                <w:spacing w:val="-1"/>
                <w:szCs w:val="21"/>
                <w:highlight w:val="none"/>
              </w:rPr>
              <w:t>■</w:t>
            </w:r>
            <w:r>
              <w:rPr>
                <w:rFonts w:hint="eastAsia" w:ascii="宋体" w:hAnsi="宋体"/>
                <w:color w:val="auto"/>
                <w:szCs w:val="21"/>
                <w:highlight w:val="none"/>
              </w:rPr>
              <w:t>接受，应满足下列要求：详见招标公告</w:t>
            </w:r>
          </w:p>
        </w:tc>
      </w:tr>
      <w:tr w14:paraId="190698C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866" w:type="dxa"/>
            <w:vAlign w:val="center"/>
          </w:tcPr>
          <w:p w14:paraId="242DC937">
            <w:pPr>
              <w:snapToGrid w:val="0"/>
              <w:spacing w:line="276" w:lineRule="auto"/>
              <w:jc w:val="center"/>
              <w:rPr>
                <w:rFonts w:ascii="宋体" w:hAnsi="宋体"/>
                <w:color w:val="auto"/>
                <w:szCs w:val="21"/>
                <w:highlight w:val="none"/>
              </w:rPr>
            </w:pPr>
            <w:r>
              <w:rPr>
                <w:rFonts w:ascii="宋体" w:hAnsi="宋体"/>
                <w:color w:val="auto"/>
                <w:szCs w:val="21"/>
                <w:highlight w:val="none"/>
              </w:rPr>
              <w:t>1.4.3</w:t>
            </w:r>
          </w:p>
        </w:tc>
        <w:tc>
          <w:tcPr>
            <w:tcW w:w="2160" w:type="dxa"/>
            <w:vAlign w:val="center"/>
          </w:tcPr>
          <w:p w14:paraId="676717F1">
            <w:pPr>
              <w:snapToGrid w:val="0"/>
              <w:spacing w:line="276" w:lineRule="auto"/>
              <w:jc w:val="center"/>
              <w:rPr>
                <w:rFonts w:ascii="宋体" w:hAnsi="宋体"/>
                <w:color w:val="auto"/>
                <w:szCs w:val="21"/>
                <w:highlight w:val="none"/>
              </w:rPr>
            </w:pPr>
            <w:r>
              <w:rPr>
                <w:rFonts w:hint="eastAsia" w:ascii="宋体" w:hAnsi="宋体"/>
                <w:color w:val="auto"/>
                <w:szCs w:val="21"/>
                <w:highlight w:val="none"/>
              </w:rPr>
              <w:t>投标人不得存在的其他情形</w:t>
            </w:r>
          </w:p>
        </w:tc>
        <w:tc>
          <w:tcPr>
            <w:tcW w:w="7200" w:type="dxa"/>
            <w:vAlign w:val="center"/>
          </w:tcPr>
          <w:p w14:paraId="0BB94FAA">
            <w:pPr>
              <w:topLinePunct/>
              <w:snapToGrid w:val="0"/>
              <w:spacing w:line="276" w:lineRule="auto"/>
              <w:rPr>
                <w:rFonts w:ascii="宋体" w:hAnsi="宋体"/>
                <w:color w:val="auto"/>
                <w:szCs w:val="21"/>
                <w:highlight w:val="none"/>
              </w:rPr>
            </w:pPr>
            <w:r>
              <w:rPr>
                <w:rFonts w:hint="eastAsia" w:ascii="宋体" w:hAnsi="宋体"/>
                <w:color w:val="auto"/>
                <w:szCs w:val="21"/>
                <w:highlight w:val="none"/>
                <w:lang w:val="en-US" w:eastAsia="zh-CN"/>
              </w:rPr>
              <w:t>/</w:t>
            </w:r>
          </w:p>
        </w:tc>
      </w:tr>
      <w:tr w14:paraId="1DB52A2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866" w:type="dxa"/>
            <w:vAlign w:val="center"/>
          </w:tcPr>
          <w:p w14:paraId="34F93BF4">
            <w:pPr>
              <w:snapToGrid w:val="0"/>
              <w:spacing w:line="276" w:lineRule="auto"/>
              <w:jc w:val="center"/>
              <w:rPr>
                <w:rFonts w:ascii="宋体" w:hAnsi="宋体"/>
                <w:color w:val="auto"/>
                <w:szCs w:val="21"/>
                <w:highlight w:val="none"/>
              </w:rPr>
            </w:pPr>
            <w:r>
              <w:rPr>
                <w:rFonts w:ascii="宋体" w:hAnsi="宋体"/>
                <w:color w:val="auto"/>
                <w:szCs w:val="21"/>
                <w:highlight w:val="none"/>
              </w:rPr>
              <w:t>1.9.1</w:t>
            </w:r>
          </w:p>
        </w:tc>
        <w:tc>
          <w:tcPr>
            <w:tcW w:w="2160" w:type="dxa"/>
            <w:vAlign w:val="center"/>
          </w:tcPr>
          <w:p w14:paraId="56B6D2A5">
            <w:pPr>
              <w:snapToGrid w:val="0"/>
              <w:spacing w:line="276" w:lineRule="auto"/>
              <w:jc w:val="center"/>
              <w:rPr>
                <w:rFonts w:ascii="宋体" w:hAnsi="宋体"/>
                <w:color w:val="auto"/>
                <w:szCs w:val="21"/>
                <w:highlight w:val="none"/>
              </w:rPr>
            </w:pPr>
            <w:r>
              <w:rPr>
                <w:rFonts w:hint="eastAsia" w:ascii="宋体" w:hAnsi="宋体"/>
                <w:color w:val="auto"/>
                <w:szCs w:val="21"/>
                <w:highlight w:val="none"/>
              </w:rPr>
              <w:t>踏勘现场</w:t>
            </w:r>
          </w:p>
        </w:tc>
        <w:tc>
          <w:tcPr>
            <w:tcW w:w="7200" w:type="dxa"/>
            <w:vAlign w:val="center"/>
          </w:tcPr>
          <w:p w14:paraId="6877542C">
            <w:pPr>
              <w:pStyle w:val="11"/>
              <w:topLinePunct/>
              <w:snapToGrid w:val="0"/>
              <w:spacing w:line="276" w:lineRule="auto"/>
              <w:rPr>
                <w:rFonts w:hAnsi="宋体"/>
                <w:color w:val="auto"/>
                <w:sz w:val="21"/>
                <w:szCs w:val="21"/>
                <w:highlight w:val="none"/>
              </w:rPr>
            </w:pPr>
            <w:r>
              <w:rPr>
                <w:rFonts w:hint="eastAsia" w:hAnsi="宋体"/>
                <w:color w:val="auto"/>
                <w:spacing w:val="-1"/>
                <w:sz w:val="21"/>
                <w:szCs w:val="21"/>
                <w:highlight w:val="none"/>
              </w:rPr>
              <w:t>■</w:t>
            </w:r>
            <w:r>
              <w:rPr>
                <w:rFonts w:hint="eastAsia" w:hAnsi="宋体"/>
                <w:color w:val="auto"/>
                <w:sz w:val="21"/>
                <w:szCs w:val="21"/>
                <w:highlight w:val="none"/>
              </w:rPr>
              <w:t>不组织，</w:t>
            </w:r>
            <w:r>
              <w:rPr>
                <w:rFonts w:hint="eastAsia" w:hAnsi="宋体"/>
                <w:color w:val="auto"/>
                <w:sz w:val="21"/>
                <w:szCs w:val="21"/>
                <w:highlight w:val="none"/>
                <w:u w:val="single"/>
              </w:rPr>
              <w:t>由投标人自行现场考察。</w:t>
            </w:r>
          </w:p>
          <w:p w14:paraId="60B19CCC">
            <w:pPr>
              <w:pStyle w:val="11"/>
              <w:topLinePunct/>
              <w:snapToGrid w:val="0"/>
              <w:spacing w:line="276" w:lineRule="auto"/>
              <w:rPr>
                <w:rFonts w:hAnsi="宋体"/>
                <w:color w:val="auto"/>
                <w:sz w:val="21"/>
                <w:szCs w:val="21"/>
                <w:highlight w:val="none"/>
              </w:rPr>
            </w:pPr>
            <w:r>
              <w:rPr>
                <w:rFonts w:hint="eastAsia" w:hAnsi="宋体"/>
                <w:color w:val="auto"/>
                <w:sz w:val="21"/>
                <w:szCs w:val="21"/>
                <w:highlight w:val="none"/>
              </w:rPr>
              <w:t>□组织，踏勘时间：</w:t>
            </w:r>
            <w:r>
              <w:rPr>
                <w:rFonts w:ascii="宋体" w:hAnsi="宋体"/>
                <w:color w:val="auto"/>
                <w:szCs w:val="21"/>
                <w:highlight w:val="none"/>
                <w:u w:val="single"/>
              </w:rPr>
              <w:t xml:space="preserve"> / </w:t>
            </w:r>
            <w:r>
              <w:rPr>
                <w:rFonts w:hint="eastAsia" w:hAnsi="宋体"/>
                <w:color w:val="auto"/>
                <w:szCs w:val="21"/>
                <w:highlight w:val="none"/>
                <w:u w:val="single"/>
                <w:lang w:eastAsia="zh-CN"/>
              </w:rPr>
              <w:t>。</w:t>
            </w:r>
          </w:p>
          <w:p w14:paraId="3C9CD2D9">
            <w:pPr>
              <w:pStyle w:val="11"/>
              <w:topLinePunct/>
              <w:snapToGrid w:val="0"/>
              <w:spacing w:line="276" w:lineRule="auto"/>
              <w:ind w:firstLine="840" w:firstLineChars="400"/>
              <w:rPr>
                <w:rFonts w:hAnsi="宋体"/>
                <w:color w:val="auto"/>
                <w:sz w:val="21"/>
                <w:szCs w:val="21"/>
                <w:highlight w:val="none"/>
              </w:rPr>
            </w:pPr>
            <w:r>
              <w:rPr>
                <w:rFonts w:hint="eastAsia" w:hAnsi="宋体"/>
                <w:color w:val="auto"/>
                <w:sz w:val="21"/>
                <w:szCs w:val="21"/>
                <w:highlight w:val="none"/>
              </w:rPr>
              <w:t>踏勘集中地点：</w:t>
            </w:r>
            <w:r>
              <w:rPr>
                <w:rFonts w:ascii="宋体" w:hAnsi="宋体"/>
                <w:color w:val="auto"/>
                <w:szCs w:val="21"/>
                <w:highlight w:val="none"/>
                <w:u w:val="single"/>
              </w:rPr>
              <w:t xml:space="preserve"> / </w:t>
            </w:r>
            <w:r>
              <w:rPr>
                <w:rFonts w:hint="eastAsia" w:hAnsi="宋体"/>
                <w:color w:val="auto"/>
                <w:szCs w:val="21"/>
                <w:highlight w:val="none"/>
                <w:u w:val="single"/>
                <w:lang w:eastAsia="zh-CN"/>
              </w:rPr>
              <w:t>。</w:t>
            </w:r>
          </w:p>
        </w:tc>
      </w:tr>
      <w:tr w14:paraId="3607B28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866" w:type="dxa"/>
            <w:vAlign w:val="center"/>
          </w:tcPr>
          <w:p w14:paraId="23BD1E7F">
            <w:pPr>
              <w:snapToGrid w:val="0"/>
              <w:spacing w:line="276" w:lineRule="auto"/>
              <w:jc w:val="center"/>
              <w:rPr>
                <w:rFonts w:ascii="宋体" w:hAnsi="宋体"/>
                <w:color w:val="auto"/>
                <w:szCs w:val="21"/>
                <w:highlight w:val="none"/>
              </w:rPr>
            </w:pPr>
            <w:r>
              <w:rPr>
                <w:rFonts w:ascii="宋体" w:hAnsi="宋体"/>
                <w:color w:val="auto"/>
                <w:szCs w:val="21"/>
                <w:highlight w:val="none"/>
              </w:rPr>
              <w:t>1.10.1</w:t>
            </w:r>
          </w:p>
        </w:tc>
        <w:tc>
          <w:tcPr>
            <w:tcW w:w="2160" w:type="dxa"/>
            <w:vAlign w:val="center"/>
          </w:tcPr>
          <w:p w14:paraId="6FDBC260">
            <w:pPr>
              <w:snapToGrid w:val="0"/>
              <w:spacing w:line="276" w:lineRule="auto"/>
              <w:jc w:val="center"/>
              <w:rPr>
                <w:rFonts w:ascii="宋体" w:hAnsi="宋体"/>
                <w:color w:val="auto"/>
                <w:szCs w:val="21"/>
                <w:highlight w:val="none"/>
              </w:rPr>
            </w:pPr>
            <w:r>
              <w:rPr>
                <w:rFonts w:hint="eastAsia" w:ascii="宋体" w:hAnsi="宋体"/>
                <w:color w:val="auto"/>
                <w:szCs w:val="21"/>
                <w:highlight w:val="none"/>
              </w:rPr>
              <w:t>投标预备会</w:t>
            </w:r>
          </w:p>
        </w:tc>
        <w:tc>
          <w:tcPr>
            <w:tcW w:w="7200" w:type="dxa"/>
            <w:vAlign w:val="center"/>
          </w:tcPr>
          <w:p w14:paraId="647C2C75">
            <w:pPr>
              <w:pStyle w:val="11"/>
              <w:topLinePunct/>
              <w:snapToGrid w:val="0"/>
              <w:spacing w:line="276" w:lineRule="auto"/>
              <w:rPr>
                <w:rFonts w:hAnsi="宋体"/>
                <w:color w:val="auto"/>
                <w:sz w:val="21"/>
                <w:szCs w:val="21"/>
                <w:highlight w:val="none"/>
              </w:rPr>
            </w:pPr>
            <w:r>
              <w:rPr>
                <w:rFonts w:hint="eastAsia" w:hAnsi="宋体"/>
                <w:color w:val="auto"/>
                <w:spacing w:val="-1"/>
                <w:sz w:val="21"/>
                <w:szCs w:val="21"/>
                <w:highlight w:val="none"/>
              </w:rPr>
              <w:t>■</w:t>
            </w:r>
            <w:r>
              <w:rPr>
                <w:rFonts w:hint="eastAsia" w:hAnsi="宋体"/>
                <w:color w:val="auto"/>
                <w:sz w:val="21"/>
                <w:szCs w:val="21"/>
                <w:highlight w:val="none"/>
              </w:rPr>
              <w:t>不召开</w:t>
            </w:r>
          </w:p>
          <w:p w14:paraId="23AE9335">
            <w:pPr>
              <w:snapToGrid w:val="0"/>
              <w:spacing w:line="276" w:lineRule="auto"/>
              <w:rPr>
                <w:rFonts w:hint="eastAsia" w:ascii="宋体" w:hAnsi="宋体" w:eastAsia="宋体"/>
                <w:color w:val="auto"/>
                <w:szCs w:val="21"/>
                <w:highlight w:val="none"/>
                <w:lang w:eastAsia="zh-CN"/>
              </w:rPr>
            </w:pPr>
            <w:r>
              <w:rPr>
                <w:rFonts w:hint="eastAsia" w:ascii="宋体" w:hAnsi="宋体"/>
                <w:color w:val="auto"/>
                <w:szCs w:val="21"/>
                <w:highlight w:val="none"/>
              </w:rPr>
              <w:t>□召开，召开时间：</w:t>
            </w:r>
            <w:r>
              <w:rPr>
                <w:rFonts w:ascii="宋体" w:hAnsi="宋体"/>
                <w:color w:val="auto"/>
                <w:szCs w:val="21"/>
                <w:highlight w:val="none"/>
                <w:u w:val="single"/>
              </w:rPr>
              <w:t xml:space="preserve"> / </w:t>
            </w:r>
            <w:r>
              <w:rPr>
                <w:rFonts w:hint="eastAsia" w:ascii="宋体" w:hAnsi="宋体"/>
                <w:color w:val="auto"/>
                <w:szCs w:val="21"/>
                <w:highlight w:val="none"/>
                <w:u w:val="single"/>
                <w:lang w:eastAsia="zh-CN"/>
              </w:rPr>
              <w:t>。</w:t>
            </w:r>
          </w:p>
          <w:p w14:paraId="38091062">
            <w:pPr>
              <w:snapToGrid w:val="0"/>
              <w:spacing w:line="276" w:lineRule="auto"/>
              <w:ind w:firstLine="840" w:firstLineChars="400"/>
              <w:rPr>
                <w:rFonts w:hint="eastAsia" w:ascii="宋体" w:hAnsi="宋体" w:eastAsia="宋体"/>
                <w:color w:val="auto"/>
                <w:szCs w:val="21"/>
                <w:highlight w:val="none"/>
                <w:lang w:eastAsia="zh-CN"/>
              </w:rPr>
            </w:pPr>
            <w:r>
              <w:rPr>
                <w:rFonts w:hint="eastAsia" w:ascii="宋体" w:hAnsi="宋体"/>
                <w:color w:val="auto"/>
                <w:szCs w:val="21"/>
                <w:highlight w:val="none"/>
              </w:rPr>
              <w:t>召开地点：</w:t>
            </w:r>
            <w:r>
              <w:rPr>
                <w:rFonts w:ascii="宋体" w:hAnsi="宋体"/>
                <w:color w:val="auto"/>
                <w:szCs w:val="21"/>
                <w:highlight w:val="none"/>
                <w:u w:val="single"/>
              </w:rPr>
              <w:t xml:space="preserve"> / </w:t>
            </w:r>
            <w:r>
              <w:rPr>
                <w:rFonts w:hint="eastAsia" w:ascii="宋体" w:hAnsi="宋体"/>
                <w:color w:val="auto"/>
                <w:szCs w:val="21"/>
                <w:highlight w:val="none"/>
                <w:u w:val="single"/>
                <w:lang w:eastAsia="zh-CN"/>
              </w:rPr>
              <w:t>。</w:t>
            </w:r>
          </w:p>
        </w:tc>
      </w:tr>
      <w:tr w14:paraId="6A708E2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866" w:type="dxa"/>
            <w:vMerge w:val="restart"/>
            <w:vAlign w:val="center"/>
          </w:tcPr>
          <w:p w14:paraId="78BEDC54">
            <w:pPr>
              <w:snapToGrid w:val="0"/>
              <w:spacing w:line="276" w:lineRule="auto"/>
              <w:jc w:val="center"/>
              <w:rPr>
                <w:rFonts w:ascii="宋体" w:hAnsi="宋体"/>
                <w:color w:val="auto"/>
                <w:szCs w:val="21"/>
                <w:highlight w:val="none"/>
              </w:rPr>
            </w:pPr>
            <w:r>
              <w:rPr>
                <w:rFonts w:ascii="宋体" w:hAnsi="宋体"/>
                <w:color w:val="auto"/>
                <w:szCs w:val="21"/>
                <w:highlight w:val="none"/>
              </w:rPr>
              <w:t>1.10.2</w:t>
            </w:r>
          </w:p>
        </w:tc>
        <w:tc>
          <w:tcPr>
            <w:tcW w:w="2160" w:type="dxa"/>
            <w:vMerge w:val="restart"/>
            <w:vAlign w:val="center"/>
          </w:tcPr>
          <w:p w14:paraId="1293292D">
            <w:pPr>
              <w:snapToGrid w:val="0"/>
              <w:spacing w:line="276" w:lineRule="auto"/>
              <w:jc w:val="center"/>
              <w:rPr>
                <w:rFonts w:ascii="宋体" w:hAnsi="宋体"/>
                <w:color w:val="auto"/>
                <w:szCs w:val="21"/>
                <w:highlight w:val="none"/>
              </w:rPr>
            </w:pPr>
            <w:r>
              <w:rPr>
                <w:rFonts w:hint="eastAsia" w:ascii="宋体" w:hAnsi="宋体"/>
                <w:color w:val="auto"/>
                <w:szCs w:val="21"/>
                <w:highlight w:val="none"/>
              </w:rPr>
              <w:t>投标人在投标预备会前提出问题</w:t>
            </w:r>
          </w:p>
        </w:tc>
        <w:tc>
          <w:tcPr>
            <w:tcW w:w="7200" w:type="dxa"/>
            <w:vAlign w:val="center"/>
          </w:tcPr>
          <w:p w14:paraId="008518B0">
            <w:pPr>
              <w:snapToGrid w:val="0"/>
              <w:spacing w:line="276" w:lineRule="auto"/>
              <w:rPr>
                <w:rFonts w:hint="eastAsia" w:ascii="宋体" w:hAnsi="宋体" w:eastAsia="宋体"/>
                <w:color w:val="auto"/>
                <w:szCs w:val="21"/>
                <w:highlight w:val="none"/>
                <w:lang w:eastAsia="zh-CN"/>
              </w:rPr>
            </w:pPr>
            <w:r>
              <w:rPr>
                <w:rFonts w:hint="eastAsia" w:ascii="宋体" w:hAnsi="宋体"/>
                <w:color w:val="auto"/>
                <w:szCs w:val="21"/>
                <w:highlight w:val="none"/>
              </w:rPr>
              <w:t>时间：</w:t>
            </w:r>
            <w:r>
              <w:rPr>
                <w:rFonts w:ascii="宋体" w:hAnsi="宋体"/>
                <w:color w:val="auto"/>
                <w:szCs w:val="21"/>
                <w:highlight w:val="none"/>
                <w:u w:val="single"/>
              </w:rPr>
              <w:t xml:space="preserve"> / </w:t>
            </w:r>
            <w:r>
              <w:rPr>
                <w:rFonts w:hint="eastAsia" w:ascii="宋体" w:hAnsi="宋体"/>
                <w:color w:val="auto"/>
                <w:szCs w:val="21"/>
                <w:highlight w:val="none"/>
                <w:u w:val="single"/>
                <w:lang w:eastAsia="zh-CN"/>
              </w:rPr>
              <w:t>。</w:t>
            </w:r>
          </w:p>
        </w:tc>
      </w:tr>
      <w:tr w14:paraId="1B9CA63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866" w:type="dxa"/>
            <w:vMerge w:val="continue"/>
            <w:vAlign w:val="center"/>
          </w:tcPr>
          <w:p w14:paraId="7F4FD978">
            <w:pPr>
              <w:snapToGrid w:val="0"/>
              <w:spacing w:line="276" w:lineRule="auto"/>
              <w:jc w:val="center"/>
              <w:rPr>
                <w:rFonts w:ascii="宋体" w:hAnsi="宋体"/>
                <w:color w:val="auto"/>
                <w:szCs w:val="21"/>
                <w:highlight w:val="none"/>
              </w:rPr>
            </w:pPr>
          </w:p>
        </w:tc>
        <w:tc>
          <w:tcPr>
            <w:tcW w:w="2160" w:type="dxa"/>
            <w:vMerge w:val="continue"/>
            <w:vAlign w:val="center"/>
          </w:tcPr>
          <w:p w14:paraId="61CDF6E5">
            <w:pPr>
              <w:snapToGrid w:val="0"/>
              <w:spacing w:line="276" w:lineRule="auto"/>
              <w:jc w:val="center"/>
              <w:rPr>
                <w:rFonts w:ascii="宋体" w:hAnsi="宋体"/>
                <w:color w:val="auto"/>
                <w:szCs w:val="21"/>
                <w:highlight w:val="none"/>
              </w:rPr>
            </w:pPr>
          </w:p>
        </w:tc>
        <w:tc>
          <w:tcPr>
            <w:tcW w:w="7200" w:type="dxa"/>
            <w:vAlign w:val="center"/>
          </w:tcPr>
          <w:p w14:paraId="6F53AA3B">
            <w:pPr>
              <w:snapToGrid w:val="0"/>
              <w:spacing w:line="276" w:lineRule="auto"/>
              <w:rPr>
                <w:rFonts w:hint="eastAsia" w:ascii="宋体" w:hAnsi="宋体" w:eastAsia="宋体"/>
                <w:color w:val="auto"/>
                <w:szCs w:val="21"/>
                <w:highlight w:val="none"/>
                <w:lang w:eastAsia="zh-CN"/>
              </w:rPr>
            </w:pPr>
            <w:r>
              <w:rPr>
                <w:rFonts w:hint="eastAsia" w:ascii="宋体" w:hAnsi="宋体"/>
                <w:color w:val="auto"/>
                <w:szCs w:val="21"/>
                <w:highlight w:val="none"/>
              </w:rPr>
              <w:t>形式：</w:t>
            </w:r>
            <w:r>
              <w:rPr>
                <w:rFonts w:ascii="宋体" w:hAnsi="宋体"/>
                <w:color w:val="auto"/>
                <w:szCs w:val="21"/>
                <w:highlight w:val="none"/>
                <w:u w:val="single"/>
              </w:rPr>
              <w:t xml:space="preserve"> / </w:t>
            </w:r>
            <w:r>
              <w:rPr>
                <w:rFonts w:hint="eastAsia" w:ascii="宋体" w:hAnsi="宋体"/>
                <w:color w:val="auto"/>
                <w:szCs w:val="21"/>
                <w:highlight w:val="none"/>
                <w:u w:val="single"/>
                <w:lang w:eastAsia="zh-CN"/>
              </w:rPr>
              <w:t>。</w:t>
            </w:r>
          </w:p>
        </w:tc>
      </w:tr>
      <w:tr w14:paraId="7B3AEB6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866" w:type="dxa"/>
            <w:vAlign w:val="center"/>
          </w:tcPr>
          <w:p w14:paraId="00169B25">
            <w:pPr>
              <w:snapToGrid w:val="0"/>
              <w:spacing w:line="276" w:lineRule="auto"/>
              <w:jc w:val="center"/>
              <w:rPr>
                <w:rFonts w:ascii="宋体" w:hAnsi="宋体"/>
                <w:color w:val="auto"/>
                <w:szCs w:val="21"/>
                <w:highlight w:val="none"/>
              </w:rPr>
            </w:pPr>
            <w:r>
              <w:rPr>
                <w:rFonts w:ascii="宋体" w:hAnsi="宋体"/>
                <w:color w:val="auto"/>
                <w:szCs w:val="21"/>
                <w:highlight w:val="none"/>
              </w:rPr>
              <w:t>1.10.3</w:t>
            </w:r>
          </w:p>
        </w:tc>
        <w:tc>
          <w:tcPr>
            <w:tcW w:w="2160" w:type="dxa"/>
            <w:vAlign w:val="center"/>
          </w:tcPr>
          <w:p w14:paraId="0EDCCE96">
            <w:pPr>
              <w:snapToGrid w:val="0"/>
              <w:spacing w:line="276" w:lineRule="auto"/>
              <w:jc w:val="center"/>
              <w:rPr>
                <w:rFonts w:ascii="宋体" w:hAnsi="宋体"/>
                <w:color w:val="auto"/>
                <w:szCs w:val="21"/>
                <w:highlight w:val="none"/>
              </w:rPr>
            </w:pPr>
            <w:r>
              <w:rPr>
                <w:rFonts w:hint="eastAsia" w:ascii="宋体" w:hAnsi="宋体"/>
                <w:color w:val="auto"/>
                <w:szCs w:val="21"/>
                <w:highlight w:val="none"/>
              </w:rPr>
              <w:t>招标文件澄清发出的形式</w:t>
            </w:r>
          </w:p>
        </w:tc>
        <w:tc>
          <w:tcPr>
            <w:tcW w:w="7200" w:type="dxa"/>
            <w:vAlign w:val="center"/>
          </w:tcPr>
          <w:p w14:paraId="5ECC12C7">
            <w:pPr>
              <w:snapToGrid w:val="0"/>
              <w:spacing w:line="276" w:lineRule="auto"/>
              <w:rPr>
                <w:rFonts w:ascii="宋体" w:hAnsi="宋体"/>
                <w:color w:val="auto"/>
                <w:szCs w:val="21"/>
                <w:highlight w:val="none"/>
              </w:rPr>
            </w:pPr>
            <w:r>
              <w:rPr>
                <w:rFonts w:ascii="宋体" w:hAnsi="宋体"/>
                <w:color w:val="auto"/>
                <w:szCs w:val="21"/>
                <w:highlight w:val="none"/>
                <w:u w:val="single"/>
              </w:rPr>
              <w:t xml:space="preserve"> / </w:t>
            </w:r>
            <w:r>
              <w:rPr>
                <w:rFonts w:hint="eastAsia" w:ascii="宋体" w:hAnsi="宋体"/>
                <w:color w:val="auto"/>
                <w:szCs w:val="21"/>
                <w:highlight w:val="none"/>
                <w:u w:val="single"/>
                <w:lang w:eastAsia="zh-CN"/>
              </w:rPr>
              <w:t>。</w:t>
            </w:r>
            <w:r>
              <w:rPr>
                <w:rFonts w:ascii="宋体" w:hAnsi="宋体"/>
                <w:color w:val="auto"/>
                <w:szCs w:val="21"/>
                <w:highlight w:val="none"/>
              </w:rPr>
              <w:t xml:space="preserve"> </w:t>
            </w:r>
            <w:r>
              <w:rPr>
                <w:rFonts w:hint="eastAsia" w:ascii="宋体" w:hAnsi="宋体"/>
                <w:color w:val="auto"/>
                <w:szCs w:val="21"/>
                <w:highlight w:val="none"/>
              </w:rPr>
              <w:t>（此为投标预备会的答疑澄清）</w:t>
            </w:r>
          </w:p>
        </w:tc>
      </w:tr>
      <w:tr w14:paraId="1C0C7E8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866" w:type="dxa"/>
            <w:vAlign w:val="center"/>
          </w:tcPr>
          <w:p w14:paraId="3D45E1B6">
            <w:pPr>
              <w:snapToGrid w:val="0"/>
              <w:spacing w:line="276" w:lineRule="auto"/>
              <w:jc w:val="center"/>
              <w:rPr>
                <w:rFonts w:ascii="宋体" w:hAnsi="宋体"/>
                <w:color w:val="auto"/>
                <w:szCs w:val="21"/>
                <w:highlight w:val="none"/>
              </w:rPr>
            </w:pPr>
            <w:r>
              <w:rPr>
                <w:rFonts w:ascii="宋体" w:hAnsi="宋体"/>
                <w:color w:val="auto"/>
                <w:szCs w:val="21"/>
                <w:highlight w:val="none"/>
              </w:rPr>
              <w:t>1.12.1</w:t>
            </w:r>
          </w:p>
        </w:tc>
        <w:tc>
          <w:tcPr>
            <w:tcW w:w="2160" w:type="dxa"/>
            <w:vAlign w:val="center"/>
          </w:tcPr>
          <w:p w14:paraId="0ECB2FE2">
            <w:pPr>
              <w:snapToGrid w:val="0"/>
              <w:spacing w:line="276" w:lineRule="auto"/>
              <w:jc w:val="center"/>
              <w:rPr>
                <w:rFonts w:ascii="宋体" w:hAnsi="宋体"/>
                <w:color w:val="auto"/>
                <w:szCs w:val="21"/>
                <w:highlight w:val="none"/>
              </w:rPr>
            </w:pPr>
            <w:r>
              <w:rPr>
                <w:rFonts w:hint="eastAsia" w:ascii="宋体" w:hAnsi="宋体"/>
                <w:color w:val="auto"/>
                <w:szCs w:val="21"/>
                <w:highlight w:val="none"/>
              </w:rPr>
              <w:t>实质性要求和条件</w:t>
            </w:r>
          </w:p>
        </w:tc>
        <w:tc>
          <w:tcPr>
            <w:tcW w:w="7200" w:type="dxa"/>
            <w:vAlign w:val="center"/>
          </w:tcPr>
          <w:p w14:paraId="571590C5">
            <w:pPr>
              <w:pStyle w:val="11"/>
              <w:topLinePunct/>
              <w:snapToGrid w:val="0"/>
              <w:spacing w:line="276" w:lineRule="auto"/>
              <w:rPr>
                <w:rFonts w:hAnsi="宋体"/>
                <w:color w:val="auto"/>
                <w:sz w:val="21"/>
                <w:szCs w:val="21"/>
                <w:highlight w:val="none"/>
              </w:rPr>
            </w:pPr>
            <w:r>
              <w:rPr>
                <w:rFonts w:ascii="宋体" w:hAnsi="宋体"/>
                <w:color w:val="auto"/>
                <w:szCs w:val="21"/>
                <w:highlight w:val="none"/>
                <w:u w:val="single"/>
              </w:rPr>
              <w:t xml:space="preserve"> / </w:t>
            </w:r>
            <w:r>
              <w:rPr>
                <w:rFonts w:hint="eastAsia" w:hAnsi="宋体"/>
                <w:color w:val="auto"/>
                <w:szCs w:val="21"/>
                <w:highlight w:val="none"/>
                <w:u w:val="single"/>
                <w:lang w:eastAsia="zh-CN"/>
              </w:rPr>
              <w:t>。</w:t>
            </w:r>
          </w:p>
        </w:tc>
      </w:tr>
      <w:tr w14:paraId="0175F15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866" w:type="dxa"/>
            <w:vAlign w:val="center"/>
          </w:tcPr>
          <w:p w14:paraId="15A8E200">
            <w:pPr>
              <w:snapToGrid w:val="0"/>
              <w:spacing w:line="276" w:lineRule="auto"/>
              <w:jc w:val="center"/>
              <w:rPr>
                <w:rFonts w:ascii="宋体" w:hAnsi="宋体"/>
                <w:color w:val="auto"/>
                <w:szCs w:val="21"/>
                <w:highlight w:val="none"/>
              </w:rPr>
            </w:pPr>
            <w:r>
              <w:rPr>
                <w:rFonts w:ascii="宋体" w:hAnsi="宋体"/>
                <w:color w:val="auto"/>
                <w:szCs w:val="21"/>
                <w:highlight w:val="none"/>
              </w:rPr>
              <w:t>1.12.3</w:t>
            </w:r>
          </w:p>
        </w:tc>
        <w:tc>
          <w:tcPr>
            <w:tcW w:w="2160" w:type="dxa"/>
            <w:vAlign w:val="center"/>
          </w:tcPr>
          <w:p w14:paraId="7DE3F570">
            <w:pPr>
              <w:snapToGrid w:val="0"/>
              <w:spacing w:line="276" w:lineRule="auto"/>
              <w:jc w:val="center"/>
              <w:rPr>
                <w:rFonts w:ascii="宋体" w:hAnsi="宋体"/>
                <w:color w:val="auto"/>
                <w:szCs w:val="21"/>
                <w:highlight w:val="none"/>
              </w:rPr>
            </w:pPr>
            <w:r>
              <w:rPr>
                <w:rFonts w:hint="eastAsia" w:ascii="宋体" w:hAnsi="宋体"/>
                <w:color w:val="auto"/>
                <w:szCs w:val="21"/>
                <w:highlight w:val="none"/>
              </w:rPr>
              <w:t>偏差</w:t>
            </w:r>
          </w:p>
        </w:tc>
        <w:tc>
          <w:tcPr>
            <w:tcW w:w="7200" w:type="dxa"/>
            <w:vAlign w:val="center"/>
          </w:tcPr>
          <w:p w14:paraId="7276CE7E">
            <w:pPr>
              <w:snapToGrid w:val="0"/>
              <w:spacing w:line="276" w:lineRule="auto"/>
              <w:rPr>
                <w:rFonts w:ascii="宋体" w:hAnsi="宋体"/>
                <w:color w:val="auto"/>
                <w:szCs w:val="21"/>
                <w:highlight w:val="none"/>
              </w:rPr>
            </w:pPr>
            <w:r>
              <w:rPr>
                <w:rFonts w:hint="eastAsia" w:ascii="宋体" w:hAnsi="宋体"/>
                <w:color w:val="auto"/>
                <w:spacing w:val="-1"/>
                <w:szCs w:val="21"/>
                <w:highlight w:val="none"/>
              </w:rPr>
              <w:t>■</w:t>
            </w:r>
            <w:r>
              <w:rPr>
                <w:rFonts w:hint="eastAsia" w:ascii="宋体" w:hAnsi="宋体"/>
                <w:color w:val="auto"/>
                <w:szCs w:val="21"/>
                <w:highlight w:val="none"/>
              </w:rPr>
              <w:t>不允许</w:t>
            </w:r>
          </w:p>
          <w:p w14:paraId="337CADC6">
            <w:pPr>
              <w:pStyle w:val="11"/>
              <w:topLinePunct/>
              <w:snapToGrid w:val="0"/>
              <w:spacing w:line="276" w:lineRule="auto"/>
              <w:rPr>
                <w:rFonts w:hAnsi="宋体"/>
                <w:color w:val="auto"/>
                <w:sz w:val="21"/>
                <w:szCs w:val="21"/>
                <w:highlight w:val="none"/>
              </w:rPr>
            </w:pPr>
            <w:r>
              <w:rPr>
                <w:rFonts w:hint="eastAsia" w:hAnsi="宋体"/>
                <w:color w:val="auto"/>
                <w:sz w:val="21"/>
                <w:szCs w:val="21"/>
                <w:highlight w:val="none"/>
              </w:rPr>
              <w:t>□允许，偏差范围：</w:t>
            </w:r>
            <w:r>
              <w:rPr>
                <w:rFonts w:ascii="宋体" w:hAnsi="宋体"/>
                <w:color w:val="auto"/>
                <w:szCs w:val="21"/>
                <w:highlight w:val="none"/>
                <w:u w:val="single"/>
              </w:rPr>
              <w:t xml:space="preserve"> / </w:t>
            </w:r>
            <w:r>
              <w:rPr>
                <w:rFonts w:hint="eastAsia" w:hAnsi="宋体"/>
                <w:color w:val="auto"/>
                <w:szCs w:val="21"/>
                <w:highlight w:val="none"/>
                <w:u w:val="single"/>
                <w:lang w:eastAsia="zh-CN"/>
              </w:rPr>
              <w:t>。</w:t>
            </w:r>
          </w:p>
          <w:p w14:paraId="5C2CC66D">
            <w:pPr>
              <w:pStyle w:val="11"/>
              <w:topLinePunct/>
              <w:snapToGrid w:val="0"/>
              <w:spacing w:line="276" w:lineRule="auto"/>
              <w:ind w:firstLine="840" w:firstLineChars="400"/>
              <w:rPr>
                <w:rFonts w:hAnsi="宋体"/>
                <w:color w:val="auto"/>
                <w:sz w:val="21"/>
                <w:szCs w:val="21"/>
                <w:highlight w:val="none"/>
              </w:rPr>
            </w:pPr>
            <w:r>
              <w:rPr>
                <w:rFonts w:hint="eastAsia" w:hAnsi="宋体"/>
                <w:color w:val="auto"/>
                <w:sz w:val="21"/>
                <w:szCs w:val="21"/>
                <w:highlight w:val="none"/>
              </w:rPr>
              <w:t>偏差幅度：</w:t>
            </w:r>
            <w:r>
              <w:rPr>
                <w:rFonts w:ascii="宋体" w:hAnsi="宋体"/>
                <w:color w:val="auto"/>
                <w:szCs w:val="21"/>
                <w:highlight w:val="none"/>
                <w:u w:val="single"/>
              </w:rPr>
              <w:t xml:space="preserve"> / </w:t>
            </w:r>
            <w:r>
              <w:rPr>
                <w:rFonts w:hint="eastAsia" w:hAnsi="宋体"/>
                <w:color w:val="auto"/>
                <w:szCs w:val="21"/>
                <w:highlight w:val="none"/>
                <w:u w:val="single"/>
                <w:lang w:eastAsia="zh-CN"/>
              </w:rPr>
              <w:t>。</w:t>
            </w:r>
          </w:p>
        </w:tc>
      </w:tr>
      <w:tr w14:paraId="17DD7C9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866" w:type="dxa"/>
            <w:vAlign w:val="center"/>
          </w:tcPr>
          <w:p w14:paraId="6CE87B47">
            <w:pPr>
              <w:snapToGrid w:val="0"/>
              <w:spacing w:line="276" w:lineRule="auto"/>
              <w:jc w:val="center"/>
              <w:rPr>
                <w:rFonts w:ascii="宋体" w:hAnsi="宋体"/>
                <w:color w:val="auto"/>
                <w:szCs w:val="21"/>
                <w:highlight w:val="none"/>
              </w:rPr>
            </w:pPr>
            <w:r>
              <w:rPr>
                <w:rFonts w:ascii="宋体" w:hAnsi="宋体"/>
                <w:color w:val="auto"/>
                <w:szCs w:val="21"/>
                <w:highlight w:val="none"/>
              </w:rPr>
              <w:t>2.1</w:t>
            </w:r>
          </w:p>
        </w:tc>
        <w:tc>
          <w:tcPr>
            <w:tcW w:w="2160" w:type="dxa"/>
            <w:vAlign w:val="center"/>
          </w:tcPr>
          <w:p w14:paraId="0E1C1DE2">
            <w:pPr>
              <w:snapToGrid w:val="0"/>
              <w:spacing w:line="276" w:lineRule="auto"/>
              <w:jc w:val="center"/>
              <w:rPr>
                <w:rFonts w:ascii="宋体" w:hAnsi="宋体"/>
                <w:color w:val="auto"/>
                <w:szCs w:val="21"/>
                <w:highlight w:val="none"/>
              </w:rPr>
            </w:pPr>
            <w:r>
              <w:rPr>
                <w:rFonts w:hint="eastAsia" w:ascii="宋体" w:hAnsi="宋体"/>
                <w:color w:val="auto"/>
                <w:szCs w:val="21"/>
                <w:highlight w:val="none"/>
              </w:rPr>
              <w:t>构成招标文件的其他资料</w:t>
            </w:r>
          </w:p>
        </w:tc>
        <w:tc>
          <w:tcPr>
            <w:tcW w:w="7200" w:type="dxa"/>
            <w:vAlign w:val="center"/>
          </w:tcPr>
          <w:p w14:paraId="5CBAA663">
            <w:pPr>
              <w:snapToGrid w:val="0"/>
              <w:spacing w:line="276" w:lineRule="auto"/>
              <w:rPr>
                <w:rFonts w:ascii="宋体" w:hAnsi="宋体"/>
                <w:color w:val="auto"/>
                <w:szCs w:val="21"/>
                <w:highlight w:val="none"/>
              </w:rPr>
            </w:pPr>
            <w:r>
              <w:rPr>
                <w:rFonts w:ascii="宋体" w:hAnsi="宋体"/>
                <w:color w:val="auto"/>
                <w:szCs w:val="21"/>
                <w:highlight w:val="none"/>
                <w:u w:val="single"/>
              </w:rPr>
              <w:t xml:space="preserve"> / </w:t>
            </w:r>
            <w:r>
              <w:rPr>
                <w:rFonts w:hint="eastAsia" w:hAnsi="宋体"/>
                <w:color w:val="auto"/>
                <w:szCs w:val="21"/>
                <w:highlight w:val="none"/>
                <w:u w:val="single"/>
                <w:lang w:eastAsia="zh-CN"/>
              </w:rPr>
              <w:t>。</w:t>
            </w:r>
          </w:p>
        </w:tc>
      </w:tr>
      <w:tr w14:paraId="20BA800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38" w:hRule="atLeast"/>
        </w:trPr>
        <w:tc>
          <w:tcPr>
            <w:tcW w:w="866" w:type="dxa"/>
            <w:vMerge w:val="restart"/>
            <w:vAlign w:val="center"/>
          </w:tcPr>
          <w:p w14:paraId="534459BD">
            <w:pPr>
              <w:snapToGrid w:val="0"/>
              <w:spacing w:line="276" w:lineRule="auto"/>
              <w:jc w:val="center"/>
              <w:rPr>
                <w:rFonts w:ascii="宋体" w:hAnsi="宋体"/>
                <w:color w:val="auto"/>
                <w:szCs w:val="21"/>
                <w:highlight w:val="none"/>
              </w:rPr>
            </w:pPr>
            <w:r>
              <w:rPr>
                <w:rFonts w:ascii="宋体" w:hAnsi="宋体"/>
                <w:color w:val="auto"/>
                <w:szCs w:val="21"/>
                <w:highlight w:val="none"/>
              </w:rPr>
              <w:t>2.2.1</w:t>
            </w:r>
          </w:p>
        </w:tc>
        <w:tc>
          <w:tcPr>
            <w:tcW w:w="2160" w:type="dxa"/>
            <w:vMerge w:val="restart"/>
            <w:vAlign w:val="center"/>
          </w:tcPr>
          <w:p w14:paraId="20230A5C">
            <w:pPr>
              <w:snapToGrid w:val="0"/>
              <w:spacing w:line="276" w:lineRule="auto"/>
              <w:jc w:val="center"/>
              <w:rPr>
                <w:rFonts w:ascii="宋体" w:hAnsi="宋体"/>
                <w:color w:val="auto"/>
                <w:szCs w:val="21"/>
                <w:highlight w:val="none"/>
              </w:rPr>
            </w:pPr>
            <w:r>
              <w:rPr>
                <w:rFonts w:hint="eastAsia" w:ascii="宋体" w:hAnsi="宋体"/>
                <w:color w:val="auto"/>
                <w:szCs w:val="21"/>
                <w:highlight w:val="none"/>
              </w:rPr>
              <w:t>投标人要求澄清招标文件</w:t>
            </w:r>
          </w:p>
        </w:tc>
        <w:tc>
          <w:tcPr>
            <w:tcW w:w="7200" w:type="dxa"/>
            <w:vAlign w:val="center"/>
          </w:tcPr>
          <w:p w14:paraId="7CEE9B50">
            <w:pPr>
              <w:snapToGrid w:val="0"/>
              <w:spacing w:line="276" w:lineRule="auto"/>
              <w:rPr>
                <w:rFonts w:ascii="宋体" w:hAnsi="宋体"/>
                <w:color w:val="auto"/>
                <w:szCs w:val="21"/>
                <w:highlight w:val="none"/>
              </w:rPr>
            </w:pPr>
            <w:r>
              <w:rPr>
                <w:rFonts w:hint="eastAsia" w:ascii="宋体" w:hAnsi="宋体"/>
                <w:color w:val="auto"/>
                <w:szCs w:val="21"/>
                <w:highlight w:val="none"/>
              </w:rPr>
              <w:t>时间：投标人在递交投标文件截止时间</w:t>
            </w:r>
            <w:r>
              <w:rPr>
                <w:rFonts w:ascii="宋体" w:hAnsi="宋体"/>
                <w:color w:val="auto"/>
                <w:szCs w:val="21"/>
                <w:highlight w:val="none"/>
              </w:rPr>
              <w:t>18</w:t>
            </w:r>
            <w:r>
              <w:rPr>
                <w:rFonts w:hint="eastAsia" w:ascii="宋体" w:hAnsi="宋体"/>
                <w:color w:val="auto"/>
                <w:szCs w:val="21"/>
                <w:highlight w:val="none"/>
              </w:rPr>
              <w:t>天前提出；</w:t>
            </w:r>
          </w:p>
        </w:tc>
      </w:tr>
      <w:tr w14:paraId="483D1BB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866" w:type="dxa"/>
            <w:vMerge w:val="continue"/>
            <w:vAlign w:val="center"/>
          </w:tcPr>
          <w:p w14:paraId="5B408450">
            <w:pPr>
              <w:snapToGrid w:val="0"/>
              <w:spacing w:line="276" w:lineRule="auto"/>
              <w:jc w:val="center"/>
              <w:rPr>
                <w:rFonts w:ascii="宋体" w:hAnsi="宋体"/>
                <w:color w:val="auto"/>
                <w:szCs w:val="21"/>
                <w:highlight w:val="none"/>
              </w:rPr>
            </w:pPr>
          </w:p>
        </w:tc>
        <w:tc>
          <w:tcPr>
            <w:tcW w:w="2160" w:type="dxa"/>
            <w:vMerge w:val="continue"/>
            <w:vAlign w:val="center"/>
          </w:tcPr>
          <w:p w14:paraId="2FA1B625">
            <w:pPr>
              <w:snapToGrid w:val="0"/>
              <w:spacing w:line="276" w:lineRule="auto"/>
              <w:jc w:val="center"/>
              <w:rPr>
                <w:rFonts w:ascii="宋体" w:hAnsi="宋体"/>
                <w:color w:val="auto"/>
                <w:szCs w:val="21"/>
                <w:highlight w:val="none"/>
              </w:rPr>
            </w:pPr>
          </w:p>
        </w:tc>
        <w:tc>
          <w:tcPr>
            <w:tcW w:w="7200" w:type="dxa"/>
            <w:vAlign w:val="center"/>
          </w:tcPr>
          <w:p w14:paraId="211C2AB8">
            <w:pPr>
              <w:pStyle w:val="25"/>
              <w:snapToGrid w:val="0"/>
              <w:spacing w:line="276" w:lineRule="auto"/>
              <w:ind w:right="174" w:rightChars="83" w:firstLine="0"/>
              <w:rPr>
                <w:rFonts w:ascii="宋体" w:hAnsi="宋体" w:cs="宋体"/>
                <w:color w:val="auto"/>
                <w:szCs w:val="21"/>
                <w:highlight w:val="none"/>
              </w:rPr>
            </w:pPr>
            <w:r>
              <w:rPr>
                <w:rFonts w:hint="eastAsia" w:ascii="宋体" w:hAnsi="宋体"/>
                <w:color w:val="auto"/>
                <w:szCs w:val="21"/>
                <w:highlight w:val="none"/>
              </w:rPr>
              <w:t>形式：</w:t>
            </w:r>
            <w:r>
              <w:rPr>
                <w:rFonts w:hint="eastAsia" w:ascii="宋体" w:hAnsi="宋体" w:cs="宋体"/>
                <w:color w:val="auto"/>
                <w:szCs w:val="21"/>
                <w:highlight w:val="none"/>
              </w:rPr>
              <w:t>招标答疑采用网上答疑方式进行。投标人若对招标文件（包括图纸、合同版本、最高投标限价等）有疑问的，可在规定的时间内通过</w:t>
            </w:r>
            <w:r>
              <w:rPr>
                <w:rFonts w:hint="eastAsia" w:ascii="宋体" w:hAnsi="宋体" w:cs="宋体"/>
                <w:color w:val="auto"/>
                <w:szCs w:val="21"/>
                <w:highlight w:val="none"/>
                <w:lang w:eastAsia="zh-CN"/>
              </w:rPr>
              <w:t>广州交易集团有限公司（广州公共资源交易中心）</w:t>
            </w:r>
            <w:r>
              <w:rPr>
                <w:rFonts w:hint="eastAsia" w:ascii="宋体" w:hAnsi="宋体" w:cs="宋体"/>
                <w:color w:val="auto"/>
                <w:szCs w:val="21"/>
                <w:highlight w:val="none"/>
              </w:rPr>
              <w:t>网站将问题提交给招标人或招标代理人。</w:t>
            </w:r>
          </w:p>
          <w:p w14:paraId="37A50C1C">
            <w:pPr>
              <w:pStyle w:val="25"/>
              <w:snapToGrid w:val="0"/>
              <w:spacing w:line="276" w:lineRule="auto"/>
              <w:ind w:right="174" w:rightChars="83" w:firstLine="0"/>
              <w:rPr>
                <w:rFonts w:ascii="宋体" w:hAnsi="宋体" w:cs="宋体"/>
                <w:color w:val="auto"/>
                <w:szCs w:val="21"/>
                <w:highlight w:val="none"/>
              </w:rPr>
            </w:pPr>
            <w:r>
              <w:rPr>
                <w:rFonts w:hint="eastAsia" w:ascii="宋体" w:hAnsi="宋体" w:cs="宋体"/>
                <w:color w:val="auto"/>
                <w:szCs w:val="21"/>
                <w:highlight w:val="none"/>
              </w:rPr>
              <w:t>网上答疑的操作指南为：登陆</w:t>
            </w:r>
            <w:r>
              <w:rPr>
                <w:rFonts w:hint="eastAsia" w:ascii="宋体" w:hAnsi="宋体" w:cs="宋体"/>
                <w:color w:val="auto"/>
                <w:szCs w:val="21"/>
                <w:highlight w:val="none"/>
                <w:lang w:eastAsia="zh-CN"/>
              </w:rPr>
              <w:t>广州交易集团有限公司（广州公共资源交易中心）</w:t>
            </w:r>
            <w:r>
              <w:rPr>
                <w:rFonts w:hint="eastAsia" w:ascii="宋体" w:hAnsi="宋体" w:cs="宋体"/>
                <w:color w:val="auto"/>
                <w:szCs w:val="21"/>
                <w:highlight w:val="none"/>
              </w:rPr>
              <w:t>网站→进入“我是投标人”→进入“新建设工程交易平台”→进入“我的投标”→进入“招标答疑提问”→通过项目编号或名称找到所需的项目→在上述的答疑时间内点击“答疑提问”进入到提问区域→无记名或匿名提出问题</w:t>
            </w:r>
          </w:p>
        </w:tc>
      </w:tr>
      <w:tr w14:paraId="3DA63C1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761" w:hRule="atLeast"/>
        </w:trPr>
        <w:tc>
          <w:tcPr>
            <w:tcW w:w="866" w:type="dxa"/>
            <w:vAlign w:val="center"/>
          </w:tcPr>
          <w:p w14:paraId="4C3CAFBA">
            <w:pPr>
              <w:snapToGrid w:val="0"/>
              <w:spacing w:line="276" w:lineRule="auto"/>
              <w:jc w:val="center"/>
              <w:rPr>
                <w:rFonts w:ascii="宋体" w:hAnsi="宋体"/>
                <w:color w:val="auto"/>
                <w:szCs w:val="21"/>
                <w:highlight w:val="none"/>
              </w:rPr>
            </w:pPr>
            <w:r>
              <w:rPr>
                <w:rFonts w:ascii="宋体" w:hAnsi="宋体"/>
                <w:color w:val="auto"/>
                <w:szCs w:val="21"/>
                <w:highlight w:val="none"/>
              </w:rPr>
              <w:t>2.2.2</w:t>
            </w:r>
          </w:p>
        </w:tc>
        <w:tc>
          <w:tcPr>
            <w:tcW w:w="2160" w:type="dxa"/>
            <w:vAlign w:val="center"/>
          </w:tcPr>
          <w:p w14:paraId="09217346">
            <w:pPr>
              <w:snapToGrid w:val="0"/>
              <w:spacing w:line="276" w:lineRule="auto"/>
              <w:jc w:val="center"/>
              <w:rPr>
                <w:rFonts w:ascii="宋体" w:hAnsi="宋体"/>
                <w:color w:val="auto"/>
                <w:szCs w:val="21"/>
                <w:highlight w:val="none"/>
              </w:rPr>
            </w:pPr>
            <w:r>
              <w:rPr>
                <w:rFonts w:hint="eastAsia" w:ascii="宋体" w:hAnsi="宋体"/>
                <w:color w:val="auto"/>
                <w:szCs w:val="21"/>
                <w:highlight w:val="none"/>
              </w:rPr>
              <w:t>招标文件澄清发出的形式</w:t>
            </w:r>
          </w:p>
        </w:tc>
        <w:tc>
          <w:tcPr>
            <w:tcW w:w="7200" w:type="dxa"/>
            <w:vAlign w:val="center"/>
          </w:tcPr>
          <w:p w14:paraId="7D3B067E">
            <w:pPr>
              <w:snapToGrid w:val="0"/>
              <w:spacing w:line="276" w:lineRule="auto"/>
              <w:rPr>
                <w:rFonts w:ascii="宋体" w:hAnsi="宋体"/>
                <w:color w:val="auto"/>
                <w:szCs w:val="21"/>
                <w:highlight w:val="none"/>
              </w:rPr>
            </w:pPr>
            <w:r>
              <w:rPr>
                <w:rFonts w:hint="eastAsia" w:ascii="宋体" w:hAnsi="宋体"/>
                <w:color w:val="auto"/>
                <w:szCs w:val="21"/>
                <w:highlight w:val="none"/>
              </w:rPr>
              <w:t>在递交投标文件截止时间</w:t>
            </w:r>
            <w:r>
              <w:rPr>
                <w:rFonts w:ascii="宋体" w:hAnsi="宋体"/>
                <w:color w:val="auto"/>
                <w:szCs w:val="21"/>
                <w:highlight w:val="none"/>
              </w:rPr>
              <w:t>15</w:t>
            </w:r>
            <w:r>
              <w:rPr>
                <w:rFonts w:hint="eastAsia" w:ascii="宋体" w:hAnsi="宋体"/>
                <w:color w:val="auto"/>
                <w:szCs w:val="21"/>
                <w:highlight w:val="none"/>
              </w:rPr>
              <w:t>天前；在</w:t>
            </w:r>
            <w:r>
              <w:rPr>
                <w:rFonts w:hint="eastAsia" w:ascii="宋体" w:hAnsi="宋体"/>
                <w:color w:val="auto"/>
                <w:szCs w:val="21"/>
                <w:highlight w:val="none"/>
                <w:lang w:eastAsia="zh-CN"/>
              </w:rPr>
              <w:t>广州交易集团有限公司（广州公共资源交易中心）</w:t>
            </w:r>
            <w:r>
              <w:rPr>
                <w:rFonts w:hint="eastAsia" w:ascii="宋体" w:hAnsi="宋体"/>
                <w:color w:val="auto"/>
                <w:szCs w:val="21"/>
                <w:highlight w:val="none"/>
              </w:rPr>
              <w:t>网站通过“建设工程-项目查询（日程安排、答疑纪要）”专区网上公开发布。</w:t>
            </w:r>
          </w:p>
        </w:tc>
      </w:tr>
      <w:tr w14:paraId="0032381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97" w:hRule="atLeast"/>
        </w:trPr>
        <w:tc>
          <w:tcPr>
            <w:tcW w:w="866" w:type="dxa"/>
            <w:vMerge w:val="restart"/>
            <w:vAlign w:val="center"/>
          </w:tcPr>
          <w:p w14:paraId="54C04C97">
            <w:pPr>
              <w:snapToGrid w:val="0"/>
              <w:spacing w:line="276" w:lineRule="auto"/>
              <w:jc w:val="center"/>
              <w:rPr>
                <w:rFonts w:ascii="宋体" w:hAnsi="宋体"/>
                <w:color w:val="auto"/>
                <w:szCs w:val="21"/>
                <w:highlight w:val="none"/>
              </w:rPr>
            </w:pPr>
            <w:r>
              <w:rPr>
                <w:rFonts w:ascii="宋体" w:hAnsi="宋体"/>
                <w:color w:val="auto"/>
                <w:szCs w:val="21"/>
                <w:highlight w:val="none"/>
              </w:rPr>
              <w:t>2.2.3</w:t>
            </w:r>
          </w:p>
        </w:tc>
        <w:tc>
          <w:tcPr>
            <w:tcW w:w="2160" w:type="dxa"/>
            <w:vMerge w:val="restart"/>
            <w:vAlign w:val="center"/>
          </w:tcPr>
          <w:p w14:paraId="5F118772">
            <w:pPr>
              <w:snapToGrid w:val="0"/>
              <w:spacing w:line="276" w:lineRule="auto"/>
              <w:jc w:val="center"/>
              <w:rPr>
                <w:rFonts w:ascii="宋体" w:hAnsi="宋体"/>
                <w:color w:val="auto"/>
                <w:szCs w:val="21"/>
                <w:highlight w:val="none"/>
              </w:rPr>
            </w:pPr>
            <w:r>
              <w:rPr>
                <w:rFonts w:hint="eastAsia" w:ascii="宋体" w:hAnsi="宋体"/>
                <w:color w:val="auto"/>
                <w:szCs w:val="21"/>
                <w:highlight w:val="none"/>
              </w:rPr>
              <w:t>投标人确认收到招标文件澄清</w:t>
            </w:r>
          </w:p>
        </w:tc>
        <w:tc>
          <w:tcPr>
            <w:tcW w:w="7200" w:type="dxa"/>
            <w:vAlign w:val="center"/>
          </w:tcPr>
          <w:p w14:paraId="5F3DD4CD">
            <w:pPr>
              <w:spacing w:line="276" w:lineRule="auto"/>
              <w:rPr>
                <w:rFonts w:ascii="宋体" w:hAnsi="宋体"/>
                <w:color w:val="auto"/>
                <w:szCs w:val="21"/>
                <w:highlight w:val="none"/>
              </w:rPr>
            </w:pPr>
            <w:r>
              <w:rPr>
                <w:rFonts w:hint="eastAsia" w:ascii="宋体" w:hAnsi="宋体"/>
                <w:color w:val="auto"/>
                <w:szCs w:val="21"/>
                <w:highlight w:val="none"/>
              </w:rPr>
              <w:t>时间：发出即视作收到</w:t>
            </w:r>
          </w:p>
        </w:tc>
      </w:tr>
      <w:tr w14:paraId="38889E7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866" w:type="dxa"/>
            <w:vMerge w:val="continue"/>
            <w:vAlign w:val="center"/>
          </w:tcPr>
          <w:p w14:paraId="31D949F3">
            <w:pPr>
              <w:snapToGrid w:val="0"/>
              <w:spacing w:line="276" w:lineRule="auto"/>
              <w:jc w:val="center"/>
              <w:rPr>
                <w:rFonts w:ascii="宋体" w:hAnsi="宋体"/>
                <w:color w:val="auto"/>
                <w:szCs w:val="21"/>
                <w:highlight w:val="none"/>
              </w:rPr>
            </w:pPr>
          </w:p>
        </w:tc>
        <w:tc>
          <w:tcPr>
            <w:tcW w:w="2160" w:type="dxa"/>
            <w:vMerge w:val="continue"/>
            <w:vAlign w:val="center"/>
          </w:tcPr>
          <w:p w14:paraId="44D16284">
            <w:pPr>
              <w:snapToGrid w:val="0"/>
              <w:spacing w:line="276" w:lineRule="auto"/>
              <w:jc w:val="center"/>
              <w:rPr>
                <w:rFonts w:ascii="宋体" w:hAnsi="宋体"/>
                <w:color w:val="auto"/>
                <w:szCs w:val="21"/>
                <w:highlight w:val="none"/>
              </w:rPr>
            </w:pPr>
          </w:p>
        </w:tc>
        <w:tc>
          <w:tcPr>
            <w:tcW w:w="7200" w:type="dxa"/>
            <w:vAlign w:val="center"/>
          </w:tcPr>
          <w:p w14:paraId="376BF1EF">
            <w:pPr>
              <w:spacing w:line="400" w:lineRule="exact"/>
              <w:rPr>
                <w:rFonts w:ascii="宋体" w:hAnsi="宋体"/>
                <w:color w:val="auto"/>
                <w:szCs w:val="21"/>
                <w:highlight w:val="none"/>
              </w:rPr>
            </w:pPr>
            <w:r>
              <w:rPr>
                <w:rFonts w:hint="eastAsia" w:ascii="宋体" w:hAnsi="宋体"/>
                <w:color w:val="auto"/>
                <w:szCs w:val="21"/>
                <w:highlight w:val="none"/>
              </w:rPr>
              <w:t>形式：招标文件澄清（招标答疑纪要）一经在</w:t>
            </w:r>
            <w:r>
              <w:rPr>
                <w:rFonts w:hint="eastAsia" w:ascii="宋体" w:hAnsi="宋体"/>
                <w:color w:val="auto"/>
                <w:szCs w:val="21"/>
                <w:highlight w:val="none"/>
                <w:lang w:eastAsia="zh-CN"/>
              </w:rPr>
              <w:t>广州交易集团有限公司（广州公共资源交易中心）</w:t>
            </w:r>
            <w:r>
              <w:rPr>
                <w:rFonts w:hint="eastAsia" w:ascii="宋体" w:hAnsi="宋体"/>
                <w:color w:val="auto"/>
                <w:szCs w:val="21"/>
                <w:highlight w:val="none"/>
              </w:rPr>
              <w:t>网站发布，视作已发放给所有投标人。</w:t>
            </w:r>
          </w:p>
        </w:tc>
      </w:tr>
      <w:tr w14:paraId="6B1B25C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866" w:type="dxa"/>
            <w:vAlign w:val="center"/>
          </w:tcPr>
          <w:p w14:paraId="3CCA08E8">
            <w:pPr>
              <w:snapToGrid w:val="0"/>
              <w:spacing w:line="276" w:lineRule="auto"/>
              <w:jc w:val="center"/>
              <w:rPr>
                <w:rFonts w:ascii="宋体" w:hAnsi="宋体"/>
                <w:color w:val="auto"/>
                <w:szCs w:val="21"/>
                <w:highlight w:val="none"/>
              </w:rPr>
            </w:pPr>
            <w:r>
              <w:rPr>
                <w:rFonts w:ascii="宋体" w:hAnsi="宋体"/>
                <w:color w:val="auto"/>
                <w:szCs w:val="21"/>
                <w:highlight w:val="none"/>
              </w:rPr>
              <w:t>2.3.1</w:t>
            </w:r>
          </w:p>
        </w:tc>
        <w:tc>
          <w:tcPr>
            <w:tcW w:w="2160" w:type="dxa"/>
            <w:vAlign w:val="center"/>
          </w:tcPr>
          <w:p w14:paraId="02BB7AD0">
            <w:pPr>
              <w:snapToGrid w:val="0"/>
              <w:spacing w:line="276" w:lineRule="auto"/>
              <w:jc w:val="center"/>
              <w:rPr>
                <w:rFonts w:ascii="宋体" w:hAnsi="宋体"/>
                <w:color w:val="auto"/>
                <w:szCs w:val="21"/>
                <w:highlight w:val="none"/>
              </w:rPr>
            </w:pPr>
            <w:r>
              <w:rPr>
                <w:rFonts w:hint="eastAsia" w:ascii="宋体" w:hAnsi="宋体"/>
                <w:color w:val="auto"/>
                <w:szCs w:val="21"/>
                <w:highlight w:val="none"/>
              </w:rPr>
              <w:t>招标文件修改发出的形式</w:t>
            </w:r>
          </w:p>
        </w:tc>
        <w:tc>
          <w:tcPr>
            <w:tcW w:w="7200" w:type="dxa"/>
            <w:vAlign w:val="center"/>
          </w:tcPr>
          <w:p w14:paraId="0447359D">
            <w:pPr>
              <w:snapToGrid w:val="0"/>
              <w:spacing w:line="276" w:lineRule="auto"/>
              <w:rPr>
                <w:rFonts w:ascii="宋体" w:hAnsi="宋体"/>
                <w:color w:val="auto"/>
                <w:szCs w:val="21"/>
                <w:highlight w:val="none"/>
              </w:rPr>
            </w:pPr>
            <w:r>
              <w:rPr>
                <w:rFonts w:hint="eastAsia" w:ascii="宋体" w:hAnsi="宋体"/>
                <w:color w:val="auto"/>
                <w:szCs w:val="21"/>
                <w:highlight w:val="none"/>
              </w:rPr>
              <w:t>以补充公告或项目答疑澄清的方式在</w:t>
            </w:r>
            <w:r>
              <w:rPr>
                <w:rFonts w:hint="eastAsia" w:ascii="宋体" w:hAnsi="宋体"/>
                <w:color w:val="auto"/>
                <w:szCs w:val="21"/>
                <w:highlight w:val="none"/>
                <w:lang w:eastAsia="zh-CN"/>
              </w:rPr>
              <w:t>广州交易集团有限公司（广州公共资源交易中心）</w:t>
            </w:r>
            <w:r>
              <w:rPr>
                <w:rFonts w:hint="eastAsia" w:ascii="宋体" w:hAnsi="宋体"/>
                <w:color w:val="auto"/>
                <w:szCs w:val="21"/>
                <w:highlight w:val="none"/>
              </w:rPr>
              <w:t>网站发布</w:t>
            </w:r>
          </w:p>
        </w:tc>
      </w:tr>
      <w:tr w14:paraId="2DC7F0D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78" w:hRule="atLeast"/>
        </w:trPr>
        <w:tc>
          <w:tcPr>
            <w:tcW w:w="866" w:type="dxa"/>
            <w:vMerge w:val="restart"/>
            <w:vAlign w:val="center"/>
          </w:tcPr>
          <w:p w14:paraId="42225F87">
            <w:pPr>
              <w:snapToGrid w:val="0"/>
              <w:spacing w:line="276" w:lineRule="auto"/>
              <w:jc w:val="center"/>
              <w:rPr>
                <w:rFonts w:ascii="宋体" w:hAnsi="宋体"/>
                <w:color w:val="auto"/>
                <w:szCs w:val="21"/>
                <w:highlight w:val="none"/>
              </w:rPr>
            </w:pPr>
            <w:r>
              <w:rPr>
                <w:rFonts w:ascii="宋体" w:hAnsi="宋体"/>
                <w:color w:val="auto"/>
                <w:szCs w:val="21"/>
                <w:highlight w:val="none"/>
              </w:rPr>
              <w:t>2.3.2</w:t>
            </w:r>
          </w:p>
        </w:tc>
        <w:tc>
          <w:tcPr>
            <w:tcW w:w="2160" w:type="dxa"/>
            <w:vMerge w:val="restart"/>
            <w:vAlign w:val="center"/>
          </w:tcPr>
          <w:p w14:paraId="51804BA0">
            <w:pPr>
              <w:snapToGrid w:val="0"/>
              <w:spacing w:line="276" w:lineRule="auto"/>
              <w:jc w:val="center"/>
              <w:rPr>
                <w:rFonts w:ascii="宋体" w:hAnsi="宋体"/>
                <w:color w:val="auto"/>
                <w:szCs w:val="21"/>
                <w:highlight w:val="none"/>
              </w:rPr>
            </w:pPr>
            <w:r>
              <w:rPr>
                <w:rFonts w:hint="eastAsia" w:ascii="宋体" w:hAnsi="宋体"/>
                <w:color w:val="auto"/>
                <w:szCs w:val="21"/>
                <w:highlight w:val="none"/>
              </w:rPr>
              <w:t>投标人确认收到招标文件修改</w:t>
            </w:r>
          </w:p>
        </w:tc>
        <w:tc>
          <w:tcPr>
            <w:tcW w:w="7200" w:type="dxa"/>
            <w:vAlign w:val="center"/>
          </w:tcPr>
          <w:p w14:paraId="389AAA32">
            <w:pPr>
              <w:spacing w:line="276" w:lineRule="auto"/>
              <w:rPr>
                <w:rFonts w:ascii="宋体" w:hAnsi="宋体"/>
                <w:color w:val="auto"/>
                <w:szCs w:val="21"/>
                <w:highlight w:val="none"/>
              </w:rPr>
            </w:pPr>
            <w:r>
              <w:rPr>
                <w:rFonts w:hint="eastAsia" w:ascii="宋体" w:hAnsi="宋体"/>
                <w:color w:val="auto"/>
                <w:szCs w:val="21"/>
                <w:highlight w:val="none"/>
              </w:rPr>
              <w:t>时间：发出即视作收到</w:t>
            </w:r>
          </w:p>
        </w:tc>
      </w:tr>
      <w:tr w14:paraId="02ABD65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124" w:hRule="atLeast"/>
        </w:trPr>
        <w:tc>
          <w:tcPr>
            <w:tcW w:w="866" w:type="dxa"/>
            <w:vMerge w:val="continue"/>
            <w:vAlign w:val="center"/>
          </w:tcPr>
          <w:p w14:paraId="38FA226F">
            <w:pPr>
              <w:snapToGrid w:val="0"/>
              <w:spacing w:line="276" w:lineRule="auto"/>
              <w:jc w:val="center"/>
              <w:rPr>
                <w:rFonts w:ascii="宋体" w:hAnsi="宋体"/>
                <w:color w:val="auto"/>
                <w:szCs w:val="21"/>
                <w:highlight w:val="none"/>
              </w:rPr>
            </w:pPr>
          </w:p>
        </w:tc>
        <w:tc>
          <w:tcPr>
            <w:tcW w:w="2160" w:type="dxa"/>
            <w:vMerge w:val="continue"/>
            <w:vAlign w:val="center"/>
          </w:tcPr>
          <w:p w14:paraId="6FD24010">
            <w:pPr>
              <w:snapToGrid w:val="0"/>
              <w:spacing w:line="276" w:lineRule="auto"/>
              <w:jc w:val="center"/>
              <w:rPr>
                <w:rFonts w:ascii="宋体" w:hAnsi="宋体"/>
                <w:color w:val="auto"/>
                <w:szCs w:val="21"/>
                <w:highlight w:val="none"/>
              </w:rPr>
            </w:pPr>
          </w:p>
        </w:tc>
        <w:tc>
          <w:tcPr>
            <w:tcW w:w="7200" w:type="dxa"/>
            <w:vAlign w:val="center"/>
          </w:tcPr>
          <w:p w14:paraId="5B525B92">
            <w:pPr>
              <w:spacing w:line="380" w:lineRule="exact"/>
              <w:rPr>
                <w:rFonts w:ascii="宋体" w:hAnsi="宋体"/>
                <w:color w:val="auto"/>
                <w:szCs w:val="21"/>
                <w:highlight w:val="none"/>
              </w:rPr>
            </w:pPr>
            <w:r>
              <w:rPr>
                <w:rFonts w:hint="eastAsia" w:ascii="宋体" w:hAnsi="宋体"/>
                <w:color w:val="auto"/>
                <w:szCs w:val="21"/>
                <w:highlight w:val="none"/>
              </w:rPr>
              <w:t>形式：招标文件修改一经在</w:t>
            </w:r>
            <w:r>
              <w:rPr>
                <w:rFonts w:hint="eastAsia" w:ascii="宋体" w:hAnsi="宋体"/>
                <w:color w:val="auto"/>
                <w:szCs w:val="21"/>
                <w:highlight w:val="none"/>
                <w:lang w:eastAsia="zh-CN"/>
              </w:rPr>
              <w:t>广州交易集团有限公司（广州公共资源交易中心）</w:t>
            </w:r>
            <w:r>
              <w:rPr>
                <w:rFonts w:hint="eastAsia" w:ascii="宋体" w:hAnsi="宋体"/>
                <w:color w:val="auto"/>
                <w:szCs w:val="21"/>
                <w:highlight w:val="none"/>
              </w:rPr>
              <w:t>网站发布，视作已发放给所有投标人，无需确认。潜在投标人应自行关注招标公告公布的网站公告，招标人不再一一通知。投标人因自身贻误行为导致投标失败的，责任自负。</w:t>
            </w:r>
          </w:p>
        </w:tc>
      </w:tr>
      <w:tr w14:paraId="6EFF41A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866" w:type="dxa"/>
            <w:vAlign w:val="center"/>
          </w:tcPr>
          <w:p w14:paraId="5AB4502E">
            <w:pPr>
              <w:snapToGrid w:val="0"/>
              <w:spacing w:line="276" w:lineRule="auto"/>
              <w:jc w:val="center"/>
              <w:rPr>
                <w:rFonts w:ascii="宋体" w:hAnsi="宋体"/>
                <w:color w:val="auto"/>
                <w:szCs w:val="21"/>
                <w:highlight w:val="none"/>
              </w:rPr>
            </w:pPr>
            <w:r>
              <w:rPr>
                <w:rFonts w:ascii="宋体" w:hAnsi="宋体"/>
                <w:color w:val="auto"/>
                <w:szCs w:val="21"/>
                <w:highlight w:val="none"/>
              </w:rPr>
              <w:t>3.1.1</w:t>
            </w:r>
          </w:p>
        </w:tc>
        <w:tc>
          <w:tcPr>
            <w:tcW w:w="2160" w:type="dxa"/>
            <w:vAlign w:val="center"/>
          </w:tcPr>
          <w:p w14:paraId="39309976">
            <w:pPr>
              <w:snapToGrid w:val="0"/>
              <w:spacing w:line="276" w:lineRule="auto"/>
              <w:jc w:val="center"/>
              <w:rPr>
                <w:rFonts w:ascii="宋体" w:hAnsi="宋体"/>
                <w:color w:val="auto"/>
                <w:szCs w:val="21"/>
                <w:highlight w:val="none"/>
              </w:rPr>
            </w:pPr>
            <w:r>
              <w:rPr>
                <w:rFonts w:hint="eastAsia" w:ascii="宋体" w:hAnsi="宋体"/>
                <w:color w:val="auto"/>
                <w:szCs w:val="21"/>
                <w:highlight w:val="none"/>
              </w:rPr>
              <w:t>构成投标文件的其他资料</w:t>
            </w:r>
          </w:p>
        </w:tc>
        <w:tc>
          <w:tcPr>
            <w:tcW w:w="7200" w:type="dxa"/>
            <w:vAlign w:val="center"/>
          </w:tcPr>
          <w:p w14:paraId="1F6E42C9">
            <w:pPr>
              <w:snapToGrid w:val="0"/>
              <w:spacing w:line="276" w:lineRule="auto"/>
              <w:rPr>
                <w:rFonts w:ascii="宋体" w:hAnsi="宋体"/>
                <w:color w:val="auto"/>
                <w:szCs w:val="21"/>
                <w:highlight w:val="none"/>
              </w:rPr>
            </w:pPr>
            <w:r>
              <w:rPr>
                <w:rFonts w:hint="eastAsia" w:ascii="宋体" w:hAnsi="宋体"/>
                <w:color w:val="auto"/>
                <w:szCs w:val="21"/>
                <w:highlight w:val="none"/>
              </w:rPr>
              <w:t>详见招标文件第六章投标文件格式</w:t>
            </w:r>
          </w:p>
        </w:tc>
      </w:tr>
      <w:tr w14:paraId="7F7F2BB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866" w:type="dxa"/>
            <w:vAlign w:val="center"/>
          </w:tcPr>
          <w:p w14:paraId="1A5F3329">
            <w:pPr>
              <w:snapToGrid w:val="0"/>
              <w:spacing w:line="276" w:lineRule="auto"/>
              <w:jc w:val="center"/>
              <w:rPr>
                <w:rFonts w:ascii="宋体" w:hAnsi="宋体"/>
                <w:color w:val="auto"/>
                <w:szCs w:val="21"/>
                <w:highlight w:val="none"/>
              </w:rPr>
            </w:pPr>
            <w:r>
              <w:rPr>
                <w:rFonts w:ascii="宋体" w:hAnsi="宋体"/>
                <w:color w:val="auto"/>
                <w:szCs w:val="21"/>
                <w:highlight w:val="none"/>
              </w:rPr>
              <w:t>3.2.1</w:t>
            </w:r>
          </w:p>
        </w:tc>
        <w:tc>
          <w:tcPr>
            <w:tcW w:w="2160" w:type="dxa"/>
            <w:vAlign w:val="center"/>
          </w:tcPr>
          <w:p w14:paraId="03BC8ABD">
            <w:pPr>
              <w:snapToGrid w:val="0"/>
              <w:spacing w:line="276" w:lineRule="auto"/>
              <w:jc w:val="center"/>
              <w:rPr>
                <w:rFonts w:ascii="宋体" w:hAnsi="宋体"/>
                <w:color w:val="auto"/>
                <w:szCs w:val="21"/>
                <w:highlight w:val="none"/>
              </w:rPr>
            </w:pPr>
            <w:r>
              <w:rPr>
                <w:rFonts w:hint="eastAsia" w:ascii="宋体" w:hAnsi="宋体"/>
                <w:color w:val="auto"/>
                <w:szCs w:val="21"/>
                <w:highlight w:val="none"/>
              </w:rPr>
              <w:t>增值税税金的计算方法</w:t>
            </w:r>
          </w:p>
        </w:tc>
        <w:tc>
          <w:tcPr>
            <w:tcW w:w="7200" w:type="dxa"/>
            <w:vAlign w:val="center"/>
          </w:tcPr>
          <w:p w14:paraId="0DCA16E0">
            <w:pPr>
              <w:snapToGrid w:val="0"/>
              <w:spacing w:line="276" w:lineRule="auto"/>
              <w:rPr>
                <w:rFonts w:ascii="宋体" w:hAnsi="宋体"/>
                <w:color w:val="auto"/>
                <w:szCs w:val="21"/>
                <w:highlight w:val="none"/>
              </w:rPr>
            </w:pPr>
            <w:r>
              <w:rPr>
                <w:rFonts w:hint="eastAsia" w:ascii="宋体" w:hAnsi="宋体"/>
                <w:color w:val="auto"/>
                <w:szCs w:val="21"/>
                <w:highlight w:val="none"/>
                <w:u w:val="single"/>
              </w:rPr>
              <w:t>一般计税方法计算</w:t>
            </w:r>
          </w:p>
        </w:tc>
      </w:tr>
      <w:tr w14:paraId="305C55B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57" w:hRule="atLeast"/>
        </w:trPr>
        <w:tc>
          <w:tcPr>
            <w:tcW w:w="866" w:type="dxa"/>
            <w:vAlign w:val="center"/>
          </w:tcPr>
          <w:p w14:paraId="7C8DB7C8">
            <w:pPr>
              <w:snapToGrid w:val="0"/>
              <w:spacing w:line="276" w:lineRule="auto"/>
              <w:jc w:val="center"/>
              <w:rPr>
                <w:rFonts w:ascii="宋体" w:hAnsi="宋体"/>
                <w:color w:val="auto"/>
                <w:szCs w:val="21"/>
                <w:highlight w:val="none"/>
              </w:rPr>
            </w:pPr>
            <w:r>
              <w:rPr>
                <w:rFonts w:ascii="宋体" w:hAnsi="宋体"/>
                <w:color w:val="auto"/>
                <w:szCs w:val="21"/>
                <w:highlight w:val="none"/>
              </w:rPr>
              <w:t>3.2.3</w:t>
            </w:r>
          </w:p>
        </w:tc>
        <w:tc>
          <w:tcPr>
            <w:tcW w:w="2160" w:type="dxa"/>
            <w:vAlign w:val="center"/>
          </w:tcPr>
          <w:p w14:paraId="445D78D4">
            <w:pPr>
              <w:snapToGrid w:val="0"/>
              <w:spacing w:line="276" w:lineRule="auto"/>
              <w:jc w:val="center"/>
              <w:rPr>
                <w:rFonts w:ascii="宋体" w:hAnsi="宋体"/>
                <w:color w:val="auto"/>
                <w:szCs w:val="21"/>
                <w:highlight w:val="none"/>
              </w:rPr>
            </w:pPr>
            <w:r>
              <w:rPr>
                <w:rFonts w:hint="eastAsia" w:ascii="宋体" w:hAnsi="宋体"/>
                <w:color w:val="auto"/>
                <w:szCs w:val="21"/>
                <w:highlight w:val="none"/>
              </w:rPr>
              <w:t>报价方式</w:t>
            </w:r>
          </w:p>
        </w:tc>
        <w:tc>
          <w:tcPr>
            <w:tcW w:w="7200" w:type="dxa"/>
            <w:vAlign w:val="center"/>
          </w:tcPr>
          <w:p w14:paraId="5EE9C967">
            <w:pPr>
              <w:snapToGrid w:val="0"/>
              <w:spacing w:line="276" w:lineRule="auto"/>
              <w:rPr>
                <w:rFonts w:ascii="宋体" w:hAnsi="宋体"/>
                <w:color w:val="auto"/>
                <w:szCs w:val="21"/>
                <w:highlight w:val="none"/>
              </w:rPr>
            </w:pPr>
            <w:r>
              <w:rPr>
                <w:rFonts w:hint="eastAsia" w:ascii="宋体" w:hAnsi="宋体" w:cs="宋体"/>
                <w:color w:val="auto"/>
                <w:szCs w:val="21"/>
                <w:highlight w:val="none"/>
              </w:rPr>
              <w:t>本项目实行综合单价包干。（以元为单位，精确到小数点后2位）</w:t>
            </w:r>
          </w:p>
        </w:tc>
      </w:tr>
      <w:tr w14:paraId="11F8F2D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866" w:type="dxa"/>
            <w:vAlign w:val="center"/>
          </w:tcPr>
          <w:p w14:paraId="010BAFED">
            <w:pPr>
              <w:snapToGrid w:val="0"/>
              <w:spacing w:line="276" w:lineRule="auto"/>
              <w:jc w:val="center"/>
              <w:rPr>
                <w:rFonts w:ascii="宋体" w:hAnsi="宋体"/>
                <w:color w:val="auto"/>
                <w:szCs w:val="21"/>
                <w:highlight w:val="none"/>
              </w:rPr>
            </w:pPr>
            <w:r>
              <w:rPr>
                <w:rFonts w:ascii="宋体" w:hAnsi="宋体"/>
                <w:color w:val="auto"/>
                <w:szCs w:val="21"/>
                <w:highlight w:val="none"/>
              </w:rPr>
              <w:t>3.2.4</w:t>
            </w:r>
          </w:p>
        </w:tc>
        <w:tc>
          <w:tcPr>
            <w:tcW w:w="2160" w:type="dxa"/>
            <w:vAlign w:val="center"/>
          </w:tcPr>
          <w:p w14:paraId="4D72521C">
            <w:pPr>
              <w:snapToGrid w:val="0"/>
              <w:spacing w:line="276" w:lineRule="auto"/>
              <w:jc w:val="center"/>
              <w:rPr>
                <w:rFonts w:ascii="宋体" w:hAnsi="宋体"/>
                <w:color w:val="auto"/>
                <w:szCs w:val="21"/>
                <w:highlight w:val="none"/>
              </w:rPr>
            </w:pPr>
            <w:r>
              <w:rPr>
                <w:rFonts w:hint="eastAsia" w:ascii="宋体" w:hAnsi="宋体"/>
                <w:color w:val="auto"/>
                <w:szCs w:val="21"/>
                <w:highlight w:val="none"/>
              </w:rPr>
              <w:t>最高投标限价</w:t>
            </w:r>
          </w:p>
        </w:tc>
        <w:tc>
          <w:tcPr>
            <w:tcW w:w="7200" w:type="dxa"/>
            <w:vAlign w:val="center"/>
          </w:tcPr>
          <w:p w14:paraId="236EDE4E">
            <w:pPr>
              <w:snapToGrid w:val="0"/>
              <w:spacing w:line="400" w:lineRule="exact"/>
              <w:rPr>
                <w:rFonts w:ascii="宋体" w:hAnsi="宋体"/>
                <w:color w:val="auto"/>
                <w:szCs w:val="21"/>
                <w:highlight w:val="none"/>
              </w:rPr>
            </w:pPr>
            <w:r>
              <w:rPr>
                <w:rFonts w:hint="eastAsia" w:ascii="宋体" w:hAnsi="宋体"/>
                <w:color w:val="auto"/>
                <w:szCs w:val="21"/>
                <w:highlight w:val="none"/>
              </w:rPr>
              <w:t>□无</w:t>
            </w:r>
          </w:p>
          <w:p w14:paraId="7EE7115F">
            <w:pPr>
              <w:spacing w:line="400" w:lineRule="exact"/>
              <w:rPr>
                <w:rFonts w:ascii="宋体" w:hAnsi="宋体" w:cs="宋体"/>
                <w:color w:val="auto"/>
                <w:szCs w:val="21"/>
                <w:highlight w:val="none"/>
              </w:rPr>
            </w:pPr>
            <w:r>
              <w:rPr>
                <w:rFonts w:hint="eastAsia" w:ascii="宋体" w:hAnsi="宋体"/>
                <w:color w:val="auto"/>
                <w:spacing w:val="-1"/>
                <w:szCs w:val="21"/>
                <w:highlight w:val="none"/>
              </w:rPr>
              <w:t>■</w:t>
            </w:r>
            <w:r>
              <w:rPr>
                <w:rFonts w:hint="eastAsia" w:ascii="宋体" w:hAnsi="宋体"/>
                <w:color w:val="auto"/>
                <w:szCs w:val="21"/>
                <w:highlight w:val="none"/>
              </w:rPr>
              <w:t>有，最高投标限价：人民币</w:t>
            </w:r>
            <w:r>
              <w:rPr>
                <w:rFonts w:hint="eastAsia" w:ascii="宋体" w:hAnsi="宋体"/>
                <w:color w:val="auto"/>
                <w:szCs w:val="21"/>
                <w:highlight w:val="none"/>
                <w:u w:val="single"/>
                <w:lang w:val="en-US" w:eastAsia="zh-CN"/>
              </w:rPr>
              <w:t xml:space="preserve"> 13,753,390.50 </w:t>
            </w:r>
            <w:r>
              <w:rPr>
                <w:rFonts w:hint="eastAsia" w:ascii="宋体" w:hAnsi="宋体"/>
                <w:color w:val="auto"/>
                <w:szCs w:val="21"/>
                <w:highlight w:val="none"/>
              </w:rPr>
              <w:t>元</w:t>
            </w:r>
            <w:r>
              <w:rPr>
                <w:rFonts w:hint="eastAsia" w:ascii="宋体" w:hAnsi="宋体"/>
                <w:color w:val="auto"/>
                <w:szCs w:val="21"/>
                <w:highlight w:val="none"/>
                <w:lang w:eastAsia="zh-CN"/>
              </w:rPr>
              <w:t>。</w:t>
            </w:r>
          </w:p>
          <w:p w14:paraId="405377EA">
            <w:pPr>
              <w:tabs>
                <w:tab w:val="left" w:pos="7513"/>
              </w:tabs>
              <w:spacing w:line="400" w:lineRule="exact"/>
              <w:rPr>
                <w:rFonts w:ascii="宋体" w:hAnsi="宋体"/>
                <w:color w:val="auto"/>
                <w:szCs w:val="21"/>
                <w:highlight w:val="none"/>
              </w:rPr>
            </w:pPr>
            <w:r>
              <w:rPr>
                <w:rFonts w:hint="eastAsia" w:ascii="宋体" w:hAnsi="宋体"/>
                <w:color w:val="auto"/>
                <w:szCs w:val="21"/>
                <w:highlight w:val="none"/>
              </w:rPr>
              <w:t>本项目最高投标限价只作为招标的依据，投标金额及下浮率（%）作为签订合同的依据。中标价不作为竣工结算的依据。</w:t>
            </w:r>
          </w:p>
        </w:tc>
      </w:tr>
      <w:tr w14:paraId="0E4763A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866" w:type="dxa"/>
            <w:tcBorders>
              <w:bottom w:val="single" w:color="auto" w:sz="4" w:space="0"/>
            </w:tcBorders>
            <w:vAlign w:val="center"/>
          </w:tcPr>
          <w:p w14:paraId="22D9B17C">
            <w:pPr>
              <w:snapToGrid w:val="0"/>
              <w:spacing w:line="276" w:lineRule="auto"/>
              <w:jc w:val="center"/>
              <w:rPr>
                <w:rFonts w:ascii="宋体" w:hAnsi="宋体"/>
                <w:color w:val="auto"/>
                <w:szCs w:val="21"/>
                <w:highlight w:val="none"/>
              </w:rPr>
            </w:pPr>
            <w:r>
              <w:rPr>
                <w:rFonts w:hint="eastAsia" w:ascii="宋体" w:hAnsi="宋体"/>
                <w:color w:val="auto"/>
                <w:szCs w:val="21"/>
                <w:highlight w:val="none"/>
              </w:rPr>
              <w:t>3.2.5</w:t>
            </w:r>
          </w:p>
        </w:tc>
        <w:tc>
          <w:tcPr>
            <w:tcW w:w="2160" w:type="dxa"/>
            <w:tcBorders>
              <w:bottom w:val="single" w:color="auto" w:sz="4" w:space="0"/>
            </w:tcBorders>
            <w:vAlign w:val="center"/>
          </w:tcPr>
          <w:p w14:paraId="6A4A596E">
            <w:pPr>
              <w:snapToGrid w:val="0"/>
              <w:spacing w:line="276" w:lineRule="auto"/>
              <w:jc w:val="center"/>
              <w:rPr>
                <w:rFonts w:ascii="宋体" w:hAnsi="宋体"/>
                <w:color w:val="auto"/>
                <w:szCs w:val="21"/>
                <w:highlight w:val="none"/>
              </w:rPr>
            </w:pPr>
            <w:r>
              <w:rPr>
                <w:rFonts w:hint="eastAsia" w:ascii="宋体" w:hAnsi="宋体"/>
                <w:color w:val="auto"/>
                <w:szCs w:val="21"/>
                <w:highlight w:val="none"/>
              </w:rPr>
              <w:t>投标报价的其他要求</w:t>
            </w:r>
          </w:p>
        </w:tc>
        <w:tc>
          <w:tcPr>
            <w:tcW w:w="7200" w:type="dxa"/>
            <w:tcBorders>
              <w:bottom w:val="single" w:color="auto" w:sz="4" w:space="0"/>
            </w:tcBorders>
            <w:vAlign w:val="center"/>
          </w:tcPr>
          <w:p w14:paraId="7AD5701B">
            <w:pPr>
              <w:pStyle w:val="26"/>
              <w:spacing w:after="0" w:line="440" w:lineRule="exact"/>
              <w:ind w:left="0" w:leftChars="0" w:firstLine="375" w:firstLineChars="179"/>
              <w:rPr>
                <w:rFonts w:ascii="Calibri" w:hAnsi="Calibri"/>
                <w:color w:val="auto"/>
                <w:highlight w:val="none"/>
                <w:u w:val="single"/>
              </w:rPr>
            </w:pPr>
            <w:r>
              <w:rPr>
                <w:rFonts w:hint="eastAsia" w:ascii="Calibri" w:hAnsi="Calibri"/>
                <w:color w:val="auto"/>
                <w:highlight w:val="none"/>
                <w:u w:val="single"/>
              </w:rPr>
              <w:t>投标人必须详细审阅全部招标文件，充分考虑职责和义务，全面地理解招标文件对投标报价的要求，并按招标人提出的条件及内容进行报价。</w:t>
            </w:r>
          </w:p>
          <w:p w14:paraId="40853AD8">
            <w:pPr>
              <w:pStyle w:val="26"/>
              <w:spacing w:after="0" w:line="440" w:lineRule="exact"/>
              <w:ind w:left="0" w:leftChars="0" w:firstLine="375" w:firstLineChars="179"/>
              <w:rPr>
                <w:rFonts w:ascii="宋体" w:hAnsi="宋体" w:cs="宋体"/>
                <w:color w:val="auto"/>
                <w:highlight w:val="none"/>
                <w:u w:val="single"/>
              </w:rPr>
            </w:pPr>
            <w:r>
              <w:rPr>
                <w:rFonts w:hint="eastAsia" w:ascii="宋体" w:hAnsi="宋体" w:cs="宋体"/>
                <w:color w:val="auto"/>
                <w:highlight w:val="none"/>
                <w:u w:val="single"/>
              </w:rPr>
              <w:t>1、各投标人自行报价，投标报价超过最高投标限价的，一律视为废标。</w:t>
            </w:r>
          </w:p>
          <w:p w14:paraId="15952940">
            <w:pPr>
              <w:pStyle w:val="26"/>
              <w:spacing w:after="0" w:line="440" w:lineRule="exact"/>
              <w:ind w:left="0" w:leftChars="0" w:firstLine="375" w:firstLineChars="179"/>
              <w:rPr>
                <w:rFonts w:ascii="宋体" w:hAnsi="宋体" w:cs="宋体"/>
                <w:color w:val="auto"/>
                <w:highlight w:val="none"/>
                <w:u w:val="single"/>
              </w:rPr>
            </w:pPr>
            <w:r>
              <w:rPr>
                <w:rFonts w:hint="eastAsia" w:ascii="宋体" w:hAnsi="宋体" w:cs="宋体"/>
                <w:color w:val="auto"/>
                <w:highlight w:val="none"/>
                <w:u w:val="single"/>
              </w:rPr>
              <w:t>2、投标报价及费用计算方式：</w:t>
            </w:r>
          </w:p>
          <w:p w14:paraId="4C85F1B9">
            <w:pPr>
              <w:snapToGrid w:val="0"/>
              <w:spacing w:line="440" w:lineRule="exact"/>
              <w:ind w:left="199" w:leftChars="95" w:firstLine="210" w:firstLineChars="100"/>
              <w:rPr>
                <w:rFonts w:hint="eastAsia" w:ascii="Calibri" w:hAnsi="Calibri"/>
                <w:color w:val="auto"/>
                <w:highlight w:val="none"/>
                <w:u w:val="single"/>
              </w:rPr>
            </w:pPr>
            <w:r>
              <w:rPr>
                <w:rFonts w:hint="eastAsia" w:ascii="Calibri" w:hAnsi="Calibri"/>
                <w:color w:val="auto"/>
                <w:highlight w:val="none"/>
                <w:u w:val="single"/>
                <w:lang w:val="en-US" w:eastAsia="zh-CN"/>
              </w:rPr>
              <w:t>①</w:t>
            </w:r>
            <w:r>
              <w:rPr>
                <w:rFonts w:hint="eastAsia" w:ascii="Calibri" w:hAnsi="Calibri"/>
                <w:color w:val="auto"/>
                <w:highlight w:val="none"/>
                <w:u w:val="single"/>
              </w:rPr>
              <w:t>投标基准价为本项目检测监测清单根据相关计费文件</w:t>
            </w:r>
            <w:r>
              <w:rPr>
                <w:rFonts w:hint="eastAsia" w:ascii="Calibri" w:hAnsi="Calibri"/>
                <w:color w:val="auto"/>
                <w:highlight w:val="none"/>
                <w:u w:val="single"/>
                <w:lang w:eastAsia="zh-CN"/>
              </w:rPr>
              <w:t>计取</w:t>
            </w:r>
            <w:r>
              <w:rPr>
                <w:rFonts w:hint="eastAsia" w:ascii="Calibri" w:hAnsi="Calibri"/>
                <w:color w:val="auto"/>
                <w:highlight w:val="none"/>
                <w:u w:val="single"/>
              </w:rPr>
              <w:t>，即</w:t>
            </w:r>
            <w:r>
              <w:rPr>
                <w:rFonts w:hint="eastAsia" w:ascii="宋体" w:hAnsi="宋体" w:eastAsia="宋体" w:cs="宋体"/>
                <w:b/>
                <w:bCs/>
                <w:i w:val="0"/>
                <w:iCs w:val="0"/>
                <w:color w:val="auto"/>
                <w:kern w:val="0"/>
                <w:sz w:val="20"/>
                <w:szCs w:val="20"/>
                <w:highlight w:val="none"/>
                <w:u w:val="none"/>
                <w:lang w:val="en-US" w:eastAsia="zh-CN" w:bidi="ar"/>
              </w:rPr>
              <w:t xml:space="preserve"> </w:t>
            </w:r>
            <w:r>
              <w:rPr>
                <w:rFonts w:hint="eastAsia" w:ascii="宋体" w:hAnsi="宋体"/>
                <w:color w:val="auto"/>
                <w:szCs w:val="21"/>
                <w:highlight w:val="none"/>
                <w:u w:val="single"/>
                <w:lang w:val="en-US" w:eastAsia="zh-CN"/>
              </w:rPr>
              <w:t>18,337,854.00</w:t>
            </w:r>
            <w:r>
              <w:rPr>
                <w:rFonts w:hint="eastAsia" w:ascii="宋体" w:hAnsi="宋体"/>
                <w:color w:val="auto"/>
                <w:szCs w:val="21"/>
                <w:highlight w:val="none"/>
                <w:u w:val="single"/>
              </w:rPr>
              <w:t>元；最高投标限价</w:t>
            </w:r>
            <w:r>
              <w:rPr>
                <w:rFonts w:hint="eastAsia" w:ascii="宋体" w:hAnsi="宋体"/>
                <w:color w:val="auto"/>
                <w:szCs w:val="21"/>
                <w:highlight w:val="none"/>
                <w:u w:val="single"/>
                <w:lang w:eastAsia="zh-CN"/>
              </w:rPr>
              <w:t>计取</w:t>
            </w:r>
            <w:r>
              <w:rPr>
                <w:rFonts w:hint="eastAsia" w:ascii="宋体" w:hAnsi="宋体"/>
                <w:color w:val="auto"/>
                <w:szCs w:val="21"/>
                <w:highlight w:val="none"/>
                <w:u w:val="single"/>
              </w:rPr>
              <w:t>为</w:t>
            </w:r>
            <w:r>
              <w:rPr>
                <w:rFonts w:hint="eastAsia" w:ascii="宋体" w:hAnsi="宋体"/>
                <w:b w:val="0"/>
                <w:bCs w:val="0"/>
                <w:color w:val="auto"/>
                <w:szCs w:val="21"/>
                <w:highlight w:val="none"/>
                <w:u w:val="single"/>
                <w:lang w:val="en-US" w:eastAsia="zh-CN"/>
              </w:rPr>
              <w:t>投标基准价</w:t>
            </w:r>
            <w:r>
              <w:rPr>
                <w:rFonts w:hint="eastAsia" w:ascii="宋体" w:hAnsi="宋体"/>
                <w:color w:val="auto"/>
                <w:szCs w:val="21"/>
                <w:highlight w:val="none"/>
                <w:u w:val="single"/>
              </w:rPr>
              <w:t>下浮</w:t>
            </w:r>
            <w:r>
              <w:rPr>
                <w:rFonts w:hint="eastAsia" w:ascii="宋体" w:hAnsi="宋体"/>
                <w:color w:val="auto"/>
                <w:szCs w:val="21"/>
                <w:highlight w:val="none"/>
                <w:u w:val="single"/>
                <w:lang w:val="en-US" w:eastAsia="zh-CN"/>
              </w:rPr>
              <w:t>25</w:t>
            </w:r>
            <w:r>
              <w:rPr>
                <w:rFonts w:hint="eastAsia" w:ascii="宋体" w:hAnsi="宋体"/>
                <w:color w:val="auto"/>
                <w:szCs w:val="21"/>
                <w:highlight w:val="none"/>
                <w:u w:val="single"/>
              </w:rPr>
              <w:t>%，即</w:t>
            </w:r>
            <w:r>
              <w:rPr>
                <w:rFonts w:hint="eastAsia" w:ascii="宋体" w:hAnsi="宋体"/>
                <w:color w:val="auto"/>
                <w:szCs w:val="21"/>
                <w:highlight w:val="none"/>
                <w:u w:val="single"/>
                <w:lang w:val="en-US" w:eastAsia="zh-CN"/>
              </w:rPr>
              <w:t xml:space="preserve">13,753,390.50 </w:t>
            </w:r>
            <w:r>
              <w:rPr>
                <w:rFonts w:hint="eastAsia" w:ascii="宋体" w:hAnsi="宋体"/>
                <w:color w:val="auto"/>
                <w:szCs w:val="21"/>
                <w:highlight w:val="none"/>
                <w:u w:val="single"/>
              </w:rPr>
              <w:t>元。</w:t>
            </w:r>
          </w:p>
          <w:p w14:paraId="35DFFD6F">
            <w:pPr>
              <w:snapToGrid w:val="0"/>
              <w:spacing w:line="440" w:lineRule="exact"/>
              <w:ind w:firstLine="420" w:firstLineChars="200"/>
              <w:rPr>
                <w:rFonts w:hint="eastAsia" w:ascii="宋体" w:hAnsi="宋体" w:cs="宋体"/>
                <w:color w:val="auto"/>
                <w:highlight w:val="none"/>
                <w:u w:val="single"/>
              </w:rPr>
            </w:pPr>
            <w:r>
              <w:rPr>
                <w:rFonts w:hint="eastAsia" w:ascii="Calibri" w:hAnsi="Calibri"/>
                <w:color w:val="auto"/>
                <w:highlight w:val="none"/>
                <w:u w:val="single"/>
                <w:lang w:val="en-US" w:eastAsia="zh-CN"/>
              </w:rPr>
              <w:t>②</w:t>
            </w:r>
            <w:r>
              <w:rPr>
                <w:rFonts w:hint="eastAsia" w:ascii="宋体" w:hAnsi="宋体" w:cs="宋体"/>
                <w:color w:val="auto"/>
                <w:highlight w:val="none"/>
                <w:u w:val="single"/>
              </w:rPr>
              <w:t>投标下浮率以投标基准价为下浮基数。投标报价=</w:t>
            </w:r>
            <w:r>
              <w:rPr>
                <w:rFonts w:hint="eastAsia" w:ascii="宋体" w:hAnsi="宋体" w:cs="宋体"/>
                <w:b w:val="0"/>
                <w:bCs/>
                <w:color w:val="auto"/>
                <w:highlight w:val="none"/>
                <w:u w:val="single"/>
                <w:lang w:val="en-US" w:eastAsia="zh-CN"/>
              </w:rPr>
              <w:t>投标基准价</w:t>
            </w:r>
            <w:r>
              <w:rPr>
                <w:rFonts w:hint="eastAsia" w:ascii="宋体" w:hAnsi="宋体" w:cs="宋体"/>
                <w:color w:val="auto"/>
                <w:highlight w:val="none"/>
                <w:u w:val="single"/>
              </w:rPr>
              <w:t>*（1-投标下浮率）。投标下浮率=【1-（投标报价/</w:t>
            </w:r>
            <w:r>
              <w:rPr>
                <w:rFonts w:hint="eastAsia" w:ascii="宋体" w:hAnsi="宋体" w:cs="宋体"/>
                <w:b w:val="0"/>
                <w:bCs/>
                <w:color w:val="auto"/>
                <w:highlight w:val="none"/>
                <w:u w:val="single"/>
                <w:lang w:val="en-US" w:eastAsia="zh-CN"/>
              </w:rPr>
              <w:t>投标基准价</w:t>
            </w:r>
            <w:r>
              <w:rPr>
                <w:rFonts w:hint="eastAsia" w:ascii="宋体" w:hAnsi="宋体" w:cs="宋体"/>
                <w:color w:val="auto"/>
                <w:highlight w:val="none"/>
                <w:u w:val="single"/>
              </w:rPr>
              <w:t>）】×100%，（1-投标下浮率）与</w:t>
            </w:r>
            <w:r>
              <w:rPr>
                <w:rFonts w:hint="eastAsia" w:ascii="宋体" w:hAnsi="宋体" w:cs="宋体"/>
                <w:b w:val="0"/>
                <w:bCs/>
                <w:color w:val="auto"/>
                <w:highlight w:val="none"/>
                <w:u w:val="single"/>
                <w:lang w:val="en-US" w:eastAsia="zh-CN"/>
              </w:rPr>
              <w:t>投标基准价</w:t>
            </w:r>
            <w:r>
              <w:rPr>
                <w:rFonts w:hint="eastAsia" w:ascii="宋体" w:hAnsi="宋体" w:cs="宋体"/>
                <w:color w:val="auto"/>
                <w:highlight w:val="none"/>
                <w:u w:val="single"/>
              </w:rPr>
              <w:t>乘积不等于投标报价的，按</w:t>
            </w:r>
            <w:r>
              <w:rPr>
                <w:rFonts w:hint="eastAsia" w:ascii="宋体" w:hAnsi="宋体" w:cs="宋体"/>
                <w:b w:val="0"/>
                <w:bCs/>
                <w:color w:val="auto"/>
                <w:highlight w:val="none"/>
                <w:u w:val="single"/>
                <w:lang w:val="en-US" w:eastAsia="zh-CN"/>
              </w:rPr>
              <w:t>投标基准价</w:t>
            </w:r>
            <w:r>
              <w:rPr>
                <w:rFonts w:hint="eastAsia" w:ascii="宋体" w:hAnsi="宋体" w:cs="宋体"/>
                <w:color w:val="auto"/>
                <w:highlight w:val="none"/>
                <w:u w:val="single"/>
              </w:rPr>
              <w:t>*（1-投标下浮率）修正投标报价。投标总价及各项综合单价均按同等投标下浮率执行，投标报价（含下浮率）精确到小数点后两位。</w:t>
            </w:r>
          </w:p>
          <w:p w14:paraId="4757A4B8">
            <w:pPr>
              <w:snapToGrid w:val="0"/>
              <w:spacing w:line="440" w:lineRule="exact"/>
              <w:ind w:firstLine="420" w:firstLineChars="200"/>
              <w:rPr>
                <w:color w:val="auto"/>
                <w:szCs w:val="21"/>
                <w:highlight w:val="none"/>
              </w:rPr>
            </w:pPr>
            <w:r>
              <w:rPr>
                <w:rFonts w:hint="eastAsia" w:ascii="宋体" w:hAnsi="宋体" w:cs="宋体"/>
                <w:color w:val="auto"/>
                <w:highlight w:val="none"/>
                <w:u w:val="single"/>
              </w:rPr>
              <w:t>3、成本警戒价为</w:t>
            </w:r>
            <w:r>
              <w:rPr>
                <w:rFonts w:hint="eastAsia" w:ascii="宋体" w:hAnsi="宋体" w:cs="宋体"/>
                <w:color w:val="auto"/>
                <w:highlight w:val="none"/>
                <w:u w:val="single"/>
                <w:lang w:val="en-US" w:eastAsia="zh-CN"/>
              </w:rPr>
              <w:t>11,002,712.40</w:t>
            </w:r>
            <w:r>
              <w:rPr>
                <w:rFonts w:hint="eastAsia" w:ascii="宋体" w:hAnsi="宋体" w:cs="宋体"/>
                <w:color w:val="auto"/>
                <w:highlight w:val="none"/>
                <w:u w:val="single"/>
              </w:rPr>
              <w:t>元。（按最高投标限价的80%设置）。对低于该警戒价的投标报价，投标人必须提供详细的投标人成本分析供评标委员会评审，由评标委员会判定其是否低于企业自身成本。在评标过程中，评标委员会发现投标人的报价明显低于其他投标报价或者低于成本警戒价，使得其投标报价可能低于其个别成本的，应当要求该投标人作出书面说明并提供相关证明材料。投标人不能合理说明或者不能提供相关证明材料的，由评标委员会认定该投标人以低于成本报价竞标，应当否决其投标。</w:t>
            </w:r>
          </w:p>
        </w:tc>
      </w:tr>
      <w:tr w14:paraId="663A156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847" w:hRule="atLeast"/>
        </w:trPr>
        <w:tc>
          <w:tcPr>
            <w:tcW w:w="866" w:type="dxa"/>
            <w:tcBorders>
              <w:top w:val="single" w:color="auto" w:sz="4" w:space="0"/>
              <w:bottom w:val="single" w:color="auto" w:sz="4" w:space="0"/>
              <w:right w:val="single" w:color="auto" w:sz="4" w:space="0"/>
            </w:tcBorders>
            <w:vAlign w:val="center"/>
          </w:tcPr>
          <w:p w14:paraId="32CAE61D">
            <w:pPr>
              <w:snapToGrid w:val="0"/>
              <w:spacing w:line="276" w:lineRule="auto"/>
              <w:jc w:val="center"/>
              <w:rPr>
                <w:rFonts w:ascii="宋体" w:hAnsi="宋体"/>
                <w:color w:val="auto"/>
                <w:szCs w:val="21"/>
                <w:highlight w:val="none"/>
              </w:rPr>
            </w:pPr>
            <w:r>
              <w:rPr>
                <w:rFonts w:ascii="宋体" w:hAnsi="宋体"/>
                <w:color w:val="auto"/>
                <w:szCs w:val="21"/>
                <w:highlight w:val="none"/>
              </w:rPr>
              <w:t>3.3.1</w:t>
            </w:r>
          </w:p>
        </w:tc>
        <w:tc>
          <w:tcPr>
            <w:tcW w:w="2160" w:type="dxa"/>
            <w:tcBorders>
              <w:top w:val="single" w:color="auto" w:sz="4" w:space="0"/>
              <w:left w:val="single" w:color="auto" w:sz="4" w:space="0"/>
              <w:bottom w:val="single" w:color="auto" w:sz="4" w:space="0"/>
              <w:right w:val="single" w:color="auto" w:sz="4" w:space="0"/>
            </w:tcBorders>
            <w:vAlign w:val="center"/>
          </w:tcPr>
          <w:p w14:paraId="4CD78304">
            <w:pPr>
              <w:snapToGrid w:val="0"/>
              <w:spacing w:line="276" w:lineRule="auto"/>
              <w:jc w:val="center"/>
              <w:rPr>
                <w:rFonts w:ascii="宋体" w:hAnsi="宋体"/>
                <w:color w:val="auto"/>
                <w:szCs w:val="21"/>
                <w:highlight w:val="none"/>
              </w:rPr>
            </w:pPr>
            <w:r>
              <w:rPr>
                <w:rFonts w:hint="eastAsia" w:ascii="宋体" w:hAnsi="宋体"/>
                <w:color w:val="auto"/>
                <w:szCs w:val="21"/>
                <w:highlight w:val="none"/>
              </w:rPr>
              <w:t>投标有效期</w:t>
            </w:r>
          </w:p>
        </w:tc>
        <w:tc>
          <w:tcPr>
            <w:tcW w:w="7200" w:type="dxa"/>
            <w:tcBorders>
              <w:top w:val="single" w:color="auto" w:sz="4" w:space="0"/>
              <w:left w:val="single" w:color="auto" w:sz="4" w:space="0"/>
              <w:bottom w:val="single" w:color="auto" w:sz="4" w:space="0"/>
            </w:tcBorders>
            <w:vAlign w:val="center"/>
          </w:tcPr>
          <w:p w14:paraId="12DCBAAC">
            <w:pPr>
              <w:snapToGrid w:val="0"/>
              <w:spacing w:line="276" w:lineRule="auto"/>
              <w:rPr>
                <w:rFonts w:ascii="宋体" w:hAnsi="宋体"/>
                <w:color w:val="auto"/>
                <w:szCs w:val="21"/>
                <w:highlight w:val="none"/>
                <w:u w:val="single"/>
              </w:rPr>
            </w:pPr>
            <w:r>
              <w:rPr>
                <w:rFonts w:ascii="宋体" w:hAnsi="宋体"/>
                <w:color w:val="auto"/>
                <w:szCs w:val="21"/>
                <w:highlight w:val="none"/>
                <w:u w:val="single"/>
              </w:rPr>
              <w:t>90</w:t>
            </w:r>
            <w:r>
              <w:rPr>
                <w:rFonts w:hint="eastAsia" w:ascii="宋体" w:hAnsi="宋体"/>
                <w:color w:val="auto"/>
                <w:szCs w:val="21"/>
                <w:highlight w:val="none"/>
                <w:u w:val="single"/>
              </w:rPr>
              <w:t>日历天（从提交投标截止之日起计算。如出现异议或投诉，则投标有效期自动延长至异议或投诉处理结束）。</w:t>
            </w:r>
          </w:p>
        </w:tc>
      </w:tr>
      <w:tr w14:paraId="19F33D7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866" w:type="dxa"/>
            <w:tcBorders>
              <w:top w:val="single" w:color="auto" w:sz="4" w:space="0"/>
            </w:tcBorders>
            <w:vAlign w:val="center"/>
          </w:tcPr>
          <w:p w14:paraId="25439E2D">
            <w:pPr>
              <w:snapToGrid w:val="0"/>
              <w:spacing w:line="276" w:lineRule="auto"/>
              <w:jc w:val="center"/>
              <w:rPr>
                <w:rFonts w:ascii="宋体" w:hAnsi="宋体"/>
                <w:color w:val="auto"/>
                <w:szCs w:val="21"/>
                <w:highlight w:val="none"/>
              </w:rPr>
            </w:pPr>
            <w:r>
              <w:rPr>
                <w:rFonts w:ascii="宋体" w:hAnsi="宋体"/>
                <w:color w:val="auto"/>
                <w:szCs w:val="21"/>
                <w:highlight w:val="none"/>
              </w:rPr>
              <w:t>3.4.1</w:t>
            </w:r>
          </w:p>
        </w:tc>
        <w:tc>
          <w:tcPr>
            <w:tcW w:w="2160" w:type="dxa"/>
            <w:tcBorders>
              <w:top w:val="single" w:color="auto" w:sz="4" w:space="0"/>
            </w:tcBorders>
            <w:vAlign w:val="center"/>
          </w:tcPr>
          <w:p w14:paraId="00A46A6C">
            <w:pPr>
              <w:snapToGrid w:val="0"/>
              <w:spacing w:line="276" w:lineRule="auto"/>
              <w:jc w:val="center"/>
              <w:rPr>
                <w:rFonts w:ascii="宋体" w:hAnsi="宋体"/>
                <w:color w:val="auto"/>
                <w:szCs w:val="21"/>
                <w:highlight w:val="none"/>
              </w:rPr>
            </w:pPr>
            <w:r>
              <w:rPr>
                <w:rFonts w:hint="eastAsia" w:ascii="宋体" w:hAnsi="宋体"/>
                <w:color w:val="auto"/>
                <w:szCs w:val="21"/>
                <w:highlight w:val="none"/>
              </w:rPr>
              <w:t>投标保证金</w:t>
            </w:r>
          </w:p>
        </w:tc>
        <w:tc>
          <w:tcPr>
            <w:tcW w:w="7200" w:type="dxa"/>
            <w:tcBorders>
              <w:top w:val="single" w:color="auto" w:sz="4" w:space="0"/>
            </w:tcBorders>
            <w:vAlign w:val="center"/>
          </w:tcPr>
          <w:p w14:paraId="5A7A1568">
            <w:pPr>
              <w:pStyle w:val="11"/>
              <w:rPr>
                <w:rFonts w:hAnsi="宋体"/>
                <w:color w:val="auto"/>
                <w:sz w:val="21"/>
                <w:szCs w:val="21"/>
                <w:highlight w:val="none"/>
                <w:u w:val="single"/>
              </w:rPr>
            </w:pPr>
            <w:r>
              <w:rPr>
                <w:rFonts w:hint="eastAsia" w:hAnsi="宋体"/>
                <w:color w:val="auto"/>
                <w:sz w:val="21"/>
                <w:szCs w:val="21"/>
                <w:highlight w:val="none"/>
                <w:u w:val="single"/>
              </w:rPr>
              <w:t>是否要求投标人递交投标保证金：</w:t>
            </w:r>
          </w:p>
          <w:p w14:paraId="57EAC354">
            <w:pPr>
              <w:pStyle w:val="11"/>
              <w:rPr>
                <w:rFonts w:hAnsi="宋体"/>
                <w:color w:val="auto"/>
                <w:sz w:val="21"/>
                <w:szCs w:val="21"/>
                <w:highlight w:val="none"/>
                <w:u w:val="single"/>
              </w:rPr>
            </w:pPr>
            <w:r>
              <w:rPr>
                <w:rFonts w:hint="eastAsia" w:hAnsi="宋体"/>
                <w:color w:val="auto"/>
                <w:sz w:val="21"/>
                <w:szCs w:val="21"/>
                <w:highlight w:val="none"/>
                <w:u w:val="single"/>
              </w:rPr>
              <w:t>□不要求</w:t>
            </w:r>
          </w:p>
          <w:p w14:paraId="7AE8B447">
            <w:pPr>
              <w:pStyle w:val="11"/>
              <w:rPr>
                <w:rFonts w:hAnsi="宋体"/>
                <w:color w:val="auto"/>
                <w:sz w:val="21"/>
                <w:szCs w:val="21"/>
                <w:highlight w:val="none"/>
                <w:u w:val="single"/>
              </w:rPr>
            </w:pPr>
            <w:r>
              <w:rPr>
                <w:rFonts w:hint="eastAsia" w:hAnsi="宋体"/>
                <w:color w:val="auto"/>
                <w:sz w:val="21"/>
                <w:szCs w:val="21"/>
                <w:highlight w:val="none"/>
                <w:u w:val="single"/>
              </w:rPr>
              <w:t>■要求，投标保证金的形式：投标保证金可采用现金、支票、投标保证保险、投标保函（银行或专业担保公司出具）的形式，须在递交投标文件截止时间前完成缴纳。</w:t>
            </w:r>
          </w:p>
          <w:p w14:paraId="770A723A">
            <w:pPr>
              <w:pStyle w:val="11"/>
              <w:rPr>
                <w:rFonts w:hint="default" w:hAnsi="宋体" w:eastAsia="宋体"/>
                <w:b/>
                <w:color w:val="auto"/>
                <w:sz w:val="21"/>
                <w:szCs w:val="21"/>
                <w:highlight w:val="none"/>
                <w:u w:val="single"/>
                <w:lang w:val="en-US" w:eastAsia="zh-CN"/>
              </w:rPr>
            </w:pPr>
            <w:r>
              <w:rPr>
                <w:rFonts w:hint="eastAsia" w:hAnsi="宋体"/>
                <w:b/>
                <w:color w:val="auto"/>
                <w:sz w:val="21"/>
                <w:szCs w:val="21"/>
                <w:highlight w:val="none"/>
                <w:u w:val="single"/>
              </w:rPr>
              <w:t>投标保证金额度：人民币</w:t>
            </w:r>
            <w:r>
              <w:rPr>
                <w:rFonts w:hint="eastAsia" w:hAnsi="宋体"/>
                <w:b/>
                <w:color w:val="auto"/>
                <w:sz w:val="21"/>
                <w:szCs w:val="21"/>
                <w:highlight w:val="none"/>
                <w:u w:val="single"/>
                <w:lang w:val="en-US" w:eastAsia="zh-CN"/>
              </w:rPr>
              <w:t>5</w:t>
            </w:r>
            <w:r>
              <w:rPr>
                <w:rFonts w:hint="eastAsia" w:hAnsi="宋体"/>
                <w:b/>
                <w:color w:val="auto"/>
                <w:sz w:val="21"/>
                <w:szCs w:val="21"/>
                <w:highlight w:val="none"/>
                <w:u w:val="single"/>
              </w:rPr>
              <w:t>万</w:t>
            </w:r>
            <w:r>
              <w:rPr>
                <w:rFonts w:hint="eastAsia" w:hAnsi="宋体"/>
                <w:b/>
                <w:color w:val="auto"/>
                <w:sz w:val="21"/>
                <w:szCs w:val="21"/>
                <w:highlight w:val="none"/>
                <w:u w:val="single"/>
                <w:lang w:val="en-US" w:eastAsia="zh-CN"/>
              </w:rPr>
              <w:t>元。</w:t>
            </w:r>
          </w:p>
          <w:p w14:paraId="6D484375">
            <w:pPr>
              <w:rPr>
                <w:rFonts w:ascii="宋体" w:hAnsi="宋体" w:cs="宋体"/>
                <w:color w:val="auto"/>
                <w:szCs w:val="21"/>
                <w:highlight w:val="none"/>
                <w:u w:val="single"/>
              </w:rPr>
            </w:pPr>
            <w:r>
              <w:rPr>
                <w:rFonts w:hint="eastAsia" w:ascii="宋体" w:hAnsi="宋体"/>
                <w:b/>
                <w:color w:val="auto"/>
                <w:szCs w:val="21"/>
                <w:highlight w:val="none"/>
                <w:u w:val="single"/>
              </w:rPr>
              <w:t>投标保证金有效期：与投标有效期一致</w:t>
            </w:r>
          </w:p>
          <w:p w14:paraId="779604C3">
            <w:pPr>
              <w:rPr>
                <w:rFonts w:ascii="宋体" w:hAnsi="宋体" w:cs="宋体"/>
                <w:color w:val="auto"/>
                <w:szCs w:val="21"/>
                <w:highlight w:val="none"/>
                <w:u w:val="single"/>
              </w:rPr>
            </w:pPr>
            <w:r>
              <w:rPr>
                <w:rFonts w:hint="eastAsia" w:ascii="宋体" w:hAnsi="宋体" w:cs="宋体"/>
                <w:color w:val="auto"/>
                <w:szCs w:val="21"/>
                <w:highlight w:val="none"/>
                <w:u w:val="single"/>
              </w:rPr>
              <w:t>1.如采用现金或者支票方式提交的，由</w:t>
            </w:r>
            <w:r>
              <w:rPr>
                <w:rFonts w:hint="eastAsia" w:ascii="宋体" w:hAnsi="宋体" w:cs="宋体"/>
                <w:color w:val="auto"/>
                <w:szCs w:val="21"/>
                <w:highlight w:val="none"/>
                <w:u w:val="single"/>
                <w:lang w:eastAsia="zh-CN"/>
              </w:rPr>
              <w:t>广州交易集团有限公司（广州公共资源交易中心）</w:t>
            </w:r>
            <w:r>
              <w:rPr>
                <w:rFonts w:hint="eastAsia" w:ascii="宋体" w:hAnsi="宋体" w:cs="宋体"/>
                <w:color w:val="auto"/>
                <w:szCs w:val="21"/>
                <w:highlight w:val="none"/>
                <w:u w:val="single"/>
              </w:rPr>
              <w:t>代收。保证金从投标人基本账户转账至</w:t>
            </w:r>
            <w:r>
              <w:rPr>
                <w:rFonts w:hint="eastAsia" w:ascii="宋体" w:hAnsi="宋体" w:cs="宋体"/>
                <w:color w:val="auto"/>
                <w:szCs w:val="21"/>
                <w:highlight w:val="none"/>
                <w:u w:val="single"/>
                <w:lang w:eastAsia="zh-CN"/>
              </w:rPr>
              <w:t>广州交易集团有限公司（广州公共资源交易中心）</w:t>
            </w:r>
            <w:r>
              <w:rPr>
                <w:rFonts w:hint="eastAsia" w:ascii="宋体" w:hAnsi="宋体" w:cs="宋体"/>
                <w:color w:val="auto"/>
                <w:szCs w:val="21"/>
                <w:highlight w:val="none"/>
                <w:u w:val="single"/>
              </w:rPr>
              <w:t>。其缴纳情况以开标时</w:t>
            </w:r>
            <w:r>
              <w:rPr>
                <w:rFonts w:hint="eastAsia" w:ascii="宋体" w:hAnsi="宋体" w:cs="宋体"/>
                <w:color w:val="auto"/>
                <w:szCs w:val="21"/>
                <w:highlight w:val="none"/>
                <w:u w:val="single"/>
                <w:lang w:eastAsia="zh-CN"/>
              </w:rPr>
              <w:t>广州交易集团有限公司（广州公共资源交易中心）</w:t>
            </w:r>
            <w:r>
              <w:rPr>
                <w:rFonts w:hint="eastAsia" w:ascii="宋体" w:hAnsi="宋体" w:cs="宋体"/>
                <w:color w:val="auto"/>
                <w:szCs w:val="21"/>
                <w:highlight w:val="none"/>
                <w:u w:val="single"/>
              </w:rPr>
              <w:t>数据库查询信息为准。缴纳时间：递交投标文件开始时至递交投标文件截止时间前。具体操作步骤参见</w:t>
            </w:r>
            <w:r>
              <w:rPr>
                <w:rFonts w:hint="eastAsia" w:ascii="宋体" w:hAnsi="宋体" w:cs="宋体"/>
                <w:color w:val="auto"/>
                <w:szCs w:val="21"/>
                <w:highlight w:val="none"/>
                <w:u w:val="single"/>
                <w:lang w:eastAsia="zh-CN"/>
              </w:rPr>
              <w:t>广州交易集团有限公司（广州公共资源交易中心）</w:t>
            </w:r>
            <w:r>
              <w:rPr>
                <w:rFonts w:hint="eastAsia" w:ascii="宋体" w:hAnsi="宋体" w:cs="宋体"/>
                <w:color w:val="auto"/>
                <w:szCs w:val="21"/>
                <w:highlight w:val="none"/>
                <w:u w:val="single"/>
              </w:rPr>
              <w:t>最新的投标保证金缴纳操作流程。</w:t>
            </w:r>
          </w:p>
          <w:p w14:paraId="0FCB4D48">
            <w:pPr>
              <w:pStyle w:val="26"/>
              <w:ind w:left="0" w:leftChars="0" w:firstLine="0" w:firstLineChars="0"/>
              <w:rPr>
                <w:rFonts w:ascii="宋体" w:hAnsi="宋体"/>
                <w:color w:val="auto"/>
                <w:szCs w:val="21"/>
                <w:highlight w:val="none"/>
                <w:u w:val="single"/>
              </w:rPr>
            </w:pPr>
            <w:r>
              <w:rPr>
                <w:rFonts w:hint="eastAsia" w:ascii="宋体" w:hAnsi="宋体" w:cs="宋体"/>
                <w:color w:val="auto"/>
                <w:szCs w:val="21"/>
                <w:highlight w:val="none"/>
                <w:u w:val="single"/>
              </w:rPr>
              <w:t>2.如采用投标保函或投标保证保险的方式提交的，投标保函需开具给招标人；保证保险需开具给招标人（受益人也必须是招标人）。在开标前不需要提交纸质原件，投标人应在投标文件中提交投标保函或投标保险等的扫描件并加盖投标人电子印章。完成评标后，由中标候选人在中标候选人公示前提交纸质原件给招标代理单位，纸质原件将在网上公示。若以交易系统支持的电子保函或电子投标保证保险递交的，到账情况以开标时</w:t>
            </w:r>
            <w:r>
              <w:rPr>
                <w:rFonts w:hint="eastAsia" w:ascii="宋体" w:hAnsi="宋体" w:cs="宋体"/>
                <w:color w:val="auto"/>
                <w:szCs w:val="21"/>
                <w:highlight w:val="none"/>
                <w:u w:val="single"/>
                <w:lang w:eastAsia="zh-CN"/>
              </w:rPr>
              <w:t>广州交易集团有限公司（广州公共资源交易中心）</w:t>
            </w:r>
            <w:r>
              <w:rPr>
                <w:rFonts w:hint="eastAsia" w:ascii="宋体" w:hAnsi="宋体" w:cs="宋体"/>
                <w:color w:val="auto"/>
                <w:szCs w:val="21"/>
                <w:highlight w:val="none"/>
                <w:u w:val="single"/>
              </w:rPr>
              <w:t>数据库查询信息为准。具体操作步骤参见</w:t>
            </w:r>
            <w:r>
              <w:rPr>
                <w:rFonts w:hint="eastAsia" w:ascii="宋体" w:hAnsi="宋体" w:cs="宋体"/>
                <w:color w:val="auto"/>
                <w:szCs w:val="21"/>
                <w:highlight w:val="none"/>
                <w:u w:val="single"/>
                <w:lang w:eastAsia="zh-CN"/>
              </w:rPr>
              <w:t>广州交易集团有限公司（广州公共资源交易中心）</w:t>
            </w:r>
            <w:r>
              <w:rPr>
                <w:rFonts w:hint="eastAsia" w:ascii="宋体" w:hAnsi="宋体" w:cs="宋体"/>
                <w:color w:val="auto"/>
                <w:szCs w:val="21"/>
                <w:highlight w:val="none"/>
                <w:u w:val="single"/>
              </w:rPr>
              <w:t>最新的建设工程电子投标保函操作指引。</w:t>
            </w:r>
          </w:p>
        </w:tc>
      </w:tr>
      <w:tr w14:paraId="60EA872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866" w:type="dxa"/>
            <w:tcBorders>
              <w:top w:val="single" w:color="auto" w:sz="4" w:space="0"/>
            </w:tcBorders>
            <w:vAlign w:val="center"/>
          </w:tcPr>
          <w:p w14:paraId="07A44A6C">
            <w:pPr>
              <w:snapToGrid w:val="0"/>
              <w:spacing w:line="276" w:lineRule="auto"/>
              <w:jc w:val="center"/>
              <w:rPr>
                <w:rFonts w:ascii="宋体" w:hAnsi="宋体"/>
                <w:color w:val="auto"/>
                <w:szCs w:val="21"/>
                <w:highlight w:val="none"/>
              </w:rPr>
            </w:pPr>
            <w:r>
              <w:rPr>
                <w:rFonts w:hint="eastAsia" w:ascii="宋体" w:hAnsi="宋体"/>
                <w:color w:val="auto"/>
                <w:szCs w:val="21"/>
                <w:highlight w:val="none"/>
              </w:rPr>
              <w:t>3.5</w:t>
            </w:r>
          </w:p>
        </w:tc>
        <w:tc>
          <w:tcPr>
            <w:tcW w:w="2160" w:type="dxa"/>
            <w:tcBorders>
              <w:top w:val="single" w:color="auto" w:sz="4" w:space="0"/>
            </w:tcBorders>
            <w:vAlign w:val="center"/>
          </w:tcPr>
          <w:p w14:paraId="3FB5756E">
            <w:pPr>
              <w:snapToGrid w:val="0"/>
              <w:spacing w:line="276" w:lineRule="auto"/>
              <w:jc w:val="center"/>
              <w:rPr>
                <w:rFonts w:ascii="宋体" w:hAnsi="宋体"/>
                <w:color w:val="auto"/>
                <w:szCs w:val="21"/>
                <w:highlight w:val="none"/>
              </w:rPr>
            </w:pPr>
            <w:r>
              <w:rPr>
                <w:rFonts w:hint="eastAsia" w:ascii="宋体" w:hAnsi="宋体"/>
                <w:color w:val="auto"/>
                <w:szCs w:val="21"/>
                <w:highlight w:val="none"/>
              </w:rPr>
              <w:t>资格审查资料的特殊要求</w:t>
            </w:r>
          </w:p>
        </w:tc>
        <w:tc>
          <w:tcPr>
            <w:tcW w:w="7200" w:type="dxa"/>
            <w:tcBorders>
              <w:top w:val="single" w:color="auto" w:sz="4" w:space="0"/>
            </w:tcBorders>
            <w:vAlign w:val="center"/>
          </w:tcPr>
          <w:p w14:paraId="68DFC982">
            <w:pPr>
              <w:pStyle w:val="11"/>
              <w:topLinePunct/>
              <w:snapToGrid w:val="0"/>
              <w:spacing w:line="276" w:lineRule="auto"/>
              <w:rPr>
                <w:rFonts w:hAnsi="宋体"/>
                <w:color w:val="auto"/>
                <w:spacing w:val="-1"/>
                <w:sz w:val="21"/>
                <w:szCs w:val="21"/>
                <w:highlight w:val="none"/>
              </w:rPr>
            </w:pPr>
            <w:r>
              <w:rPr>
                <w:rFonts w:hint="eastAsia" w:hAnsi="宋体"/>
                <w:color w:val="auto"/>
                <w:spacing w:val="-1"/>
                <w:sz w:val="21"/>
                <w:szCs w:val="21"/>
                <w:highlight w:val="none"/>
              </w:rPr>
              <w:t>□无</w:t>
            </w:r>
          </w:p>
          <w:p w14:paraId="0A98D66C">
            <w:pPr>
              <w:pStyle w:val="11"/>
              <w:topLinePunct/>
              <w:snapToGrid w:val="0"/>
              <w:spacing w:line="276" w:lineRule="auto"/>
              <w:rPr>
                <w:rFonts w:hAnsi="宋体"/>
                <w:color w:val="auto"/>
                <w:spacing w:val="-1"/>
                <w:sz w:val="21"/>
                <w:szCs w:val="21"/>
                <w:highlight w:val="none"/>
              </w:rPr>
            </w:pPr>
            <w:r>
              <w:rPr>
                <w:rFonts w:hint="eastAsia" w:hAnsi="宋体"/>
                <w:color w:val="auto"/>
                <w:spacing w:val="-1"/>
                <w:sz w:val="21"/>
                <w:szCs w:val="21"/>
                <w:highlight w:val="none"/>
              </w:rPr>
              <w:t>■有，具体要求：</w:t>
            </w:r>
          </w:p>
          <w:p w14:paraId="2AA01EE2">
            <w:pPr>
              <w:pStyle w:val="11"/>
              <w:topLinePunct/>
              <w:snapToGrid w:val="0"/>
              <w:spacing w:line="276" w:lineRule="auto"/>
              <w:rPr>
                <w:rFonts w:hAnsi="宋体"/>
                <w:color w:val="auto"/>
                <w:spacing w:val="-1"/>
                <w:sz w:val="21"/>
                <w:szCs w:val="21"/>
                <w:highlight w:val="none"/>
              </w:rPr>
            </w:pPr>
            <w:r>
              <w:rPr>
                <w:rFonts w:hint="eastAsia" w:hAnsi="宋体"/>
                <w:color w:val="auto"/>
                <w:spacing w:val="-1"/>
                <w:sz w:val="21"/>
                <w:szCs w:val="21"/>
                <w:highlight w:val="none"/>
              </w:rPr>
              <w:t>1、本招标项目资格审查不要求提供“近年财务状况表”、“正在检测、监测和新承接的项目情况表”、“近年发生的诉讼及仲裁情况”、“拟委任的主要人员汇总表”、“拟投入本项目的主要试验检测仪器设备表”，以上内容不作为本项目资格审查的依据；</w:t>
            </w:r>
          </w:p>
          <w:p w14:paraId="3BA8C4B0">
            <w:pPr>
              <w:pStyle w:val="11"/>
              <w:topLinePunct/>
              <w:snapToGrid w:val="0"/>
              <w:spacing w:line="276" w:lineRule="auto"/>
              <w:rPr>
                <w:rFonts w:hAnsi="宋体"/>
                <w:color w:val="auto"/>
                <w:sz w:val="21"/>
                <w:szCs w:val="21"/>
                <w:highlight w:val="none"/>
                <w:u w:val="single"/>
              </w:rPr>
            </w:pPr>
            <w:r>
              <w:rPr>
                <w:rFonts w:hint="eastAsia" w:hAnsi="宋体"/>
                <w:color w:val="auto"/>
                <w:spacing w:val="-1"/>
                <w:sz w:val="21"/>
                <w:szCs w:val="21"/>
                <w:highlight w:val="none"/>
              </w:rPr>
              <w:t>2、提交的资格审查资料要求详见招标文件第二章3.5款规定；</w:t>
            </w:r>
          </w:p>
        </w:tc>
      </w:tr>
      <w:tr w14:paraId="78489EF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844" w:hRule="atLeast"/>
        </w:trPr>
        <w:tc>
          <w:tcPr>
            <w:tcW w:w="866" w:type="dxa"/>
            <w:vAlign w:val="center"/>
          </w:tcPr>
          <w:p w14:paraId="04957668">
            <w:pPr>
              <w:snapToGrid w:val="0"/>
              <w:spacing w:line="276" w:lineRule="auto"/>
              <w:jc w:val="center"/>
              <w:rPr>
                <w:rFonts w:ascii="宋体" w:hAnsi="宋体"/>
                <w:color w:val="auto"/>
                <w:szCs w:val="21"/>
                <w:highlight w:val="none"/>
              </w:rPr>
            </w:pPr>
            <w:r>
              <w:rPr>
                <w:rFonts w:ascii="宋体" w:hAnsi="宋体"/>
                <w:color w:val="auto"/>
                <w:szCs w:val="21"/>
                <w:highlight w:val="none"/>
              </w:rPr>
              <w:t>3.5.2</w:t>
            </w:r>
          </w:p>
        </w:tc>
        <w:tc>
          <w:tcPr>
            <w:tcW w:w="2160" w:type="dxa"/>
            <w:vAlign w:val="center"/>
          </w:tcPr>
          <w:p w14:paraId="40250B27">
            <w:pPr>
              <w:snapToGrid w:val="0"/>
              <w:spacing w:line="276" w:lineRule="auto"/>
              <w:jc w:val="center"/>
              <w:rPr>
                <w:rFonts w:ascii="宋体" w:hAnsi="宋体"/>
                <w:color w:val="auto"/>
                <w:szCs w:val="21"/>
                <w:highlight w:val="none"/>
              </w:rPr>
            </w:pPr>
            <w:r>
              <w:rPr>
                <w:rFonts w:hint="eastAsia" w:ascii="宋体" w:hAnsi="宋体"/>
                <w:color w:val="auto"/>
                <w:szCs w:val="21"/>
                <w:highlight w:val="none"/>
              </w:rPr>
              <w:t>近年财务状况的年份要求</w:t>
            </w:r>
          </w:p>
        </w:tc>
        <w:tc>
          <w:tcPr>
            <w:tcW w:w="7200" w:type="dxa"/>
            <w:vAlign w:val="center"/>
          </w:tcPr>
          <w:p w14:paraId="7250F431">
            <w:pPr>
              <w:spacing w:line="276" w:lineRule="auto"/>
              <w:ind w:firstLine="105" w:firstLineChars="50"/>
              <w:rPr>
                <w:rFonts w:ascii="宋体" w:hAnsi="宋体"/>
                <w:color w:val="auto"/>
                <w:szCs w:val="21"/>
                <w:highlight w:val="none"/>
                <w:u w:val="single"/>
              </w:rPr>
            </w:pPr>
            <w:r>
              <w:rPr>
                <w:rFonts w:hint="eastAsia" w:ascii="宋体" w:hAnsi="宋体"/>
                <w:color w:val="auto"/>
                <w:szCs w:val="21"/>
                <w:highlight w:val="none"/>
                <w:u w:val="single"/>
              </w:rPr>
              <w:t>/</w:t>
            </w:r>
            <w:r>
              <w:rPr>
                <w:rFonts w:hint="eastAsia" w:ascii="宋体" w:hAnsi="宋体"/>
                <w:color w:val="auto"/>
                <w:szCs w:val="21"/>
                <w:highlight w:val="none"/>
              </w:rPr>
              <w:t>年至</w:t>
            </w:r>
            <w:r>
              <w:rPr>
                <w:rFonts w:hint="eastAsia" w:ascii="宋体" w:hAnsi="宋体"/>
                <w:color w:val="auto"/>
                <w:szCs w:val="21"/>
                <w:highlight w:val="none"/>
                <w:u w:val="single"/>
              </w:rPr>
              <w:t>/</w:t>
            </w:r>
            <w:r>
              <w:rPr>
                <w:rFonts w:hint="eastAsia" w:ascii="宋体" w:hAnsi="宋体"/>
                <w:color w:val="auto"/>
                <w:szCs w:val="21"/>
                <w:highlight w:val="none"/>
              </w:rPr>
              <w:t>年</w:t>
            </w:r>
          </w:p>
        </w:tc>
      </w:tr>
      <w:tr w14:paraId="7EC6D45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866" w:type="dxa"/>
            <w:vAlign w:val="center"/>
          </w:tcPr>
          <w:p w14:paraId="76F06329">
            <w:pPr>
              <w:snapToGrid w:val="0"/>
              <w:spacing w:line="276" w:lineRule="auto"/>
              <w:jc w:val="center"/>
              <w:rPr>
                <w:rFonts w:ascii="宋体" w:hAnsi="宋体"/>
                <w:color w:val="auto"/>
                <w:szCs w:val="21"/>
                <w:highlight w:val="none"/>
              </w:rPr>
            </w:pPr>
            <w:r>
              <w:rPr>
                <w:rFonts w:ascii="宋体" w:hAnsi="宋体"/>
                <w:color w:val="auto"/>
                <w:szCs w:val="21"/>
                <w:highlight w:val="none"/>
              </w:rPr>
              <w:t>3.5.3</w:t>
            </w:r>
          </w:p>
        </w:tc>
        <w:tc>
          <w:tcPr>
            <w:tcW w:w="2160" w:type="dxa"/>
            <w:vAlign w:val="center"/>
          </w:tcPr>
          <w:p w14:paraId="206A566F">
            <w:pPr>
              <w:snapToGrid w:val="0"/>
              <w:spacing w:line="276" w:lineRule="auto"/>
              <w:jc w:val="center"/>
              <w:rPr>
                <w:rFonts w:ascii="宋体" w:hAnsi="宋体"/>
                <w:color w:val="auto"/>
                <w:szCs w:val="21"/>
                <w:highlight w:val="none"/>
              </w:rPr>
            </w:pPr>
            <w:r>
              <w:rPr>
                <w:rFonts w:hint="eastAsia" w:ascii="宋体" w:hAnsi="宋体"/>
                <w:color w:val="auto"/>
                <w:szCs w:val="21"/>
                <w:highlight w:val="none"/>
              </w:rPr>
              <w:t>近年完成的类似项目情况的时间要求</w:t>
            </w:r>
          </w:p>
        </w:tc>
        <w:tc>
          <w:tcPr>
            <w:tcW w:w="7200" w:type="dxa"/>
            <w:vAlign w:val="center"/>
          </w:tcPr>
          <w:p w14:paraId="099A4D2C">
            <w:pPr>
              <w:spacing w:line="276" w:lineRule="auto"/>
              <w:ind w:firstLine="105" w:firstLineChars="50"/>
              <w:rPr>
                <w:rFonts w:ascii="宋体" w:hAnsi="宋体"/>
                <w:color w:val="auto"/>
                <w:szCs w:val="21"/>
                <w:highlight w:val="none"/>
              </w:rPr>
            </w:pPr>
            <w:r>
              <w:rPr>
                <w:rFonts w:hint="eastAsia" w:ascii="宋体" w:hAnsi="宋体"/>
                <w:color w:val="auto"/>
                <w:szCs w:val="21"/>
                <w:highlight w:val="none"/>
                <w:u w:val="single"/>
              </w:rPr>
              <w:t>/</w:t>
            </w:r>
            <w:r>
              <w:rPr>
                <w:rFonts w:hint="eastAsia" w:ascii="宋体" w:hAnsi="宋体"/>
                <w:color w:val="auto"/>
                <w:szCs w:val="21"/>
                <w:highlight w:val="none"/>
              </w:rPr>
              <w:t>年</w:t>
            </w:r>
            <w:r>
              <w:rPr>
                <w:rFonts w:hint="eastAsia" w:ascii="宋体" w:hAnsi="宋体"/>
                <w:color w:val="auto"/>
                <w:szCs w:val="21"/>
                <w:highlight w:val="none"/>
                <w:u w:val="single"/>
              </w:rPr>
              <w:t>/</w:t>
            </w:r>
            <w:r>
              <w:rPr>
                <w:rFonts w:hint="eastAsia" w:ascii="宋体" w:hAnsi="宋体"/>
                <w:color w:val="auto"/>
                <w:szCs w:val="21"/>
                <w:highlight w:val="none"/>
              </w:rPr>
              <w:t>月</w:t>
            </w:r>
            <w:r>
              <w:rPr>
                <w:rFonts w:hint="eastAsia" w:ascii="宋体" w:hAnsi="宋体"/>
                <w:color w:val="auto"/>
                <w:szCs w:val="21"/>
                <w:highlight w:val="none"/>
                <w:u w:val="single"/>
              </w:rPr>
              <w:t>/</w:t>
            </w:r>
            <w:r>
              <w:rPr>
                <w:rFonts w:hint="eastAsia" w:ascii="宋体" w:hAnsi="宋体"/>
                <w:color w:val="auto"/>
                <w:szCs w:val="21"/>
                <w:highlight w:val="none"/>
              </w:rPr>
              <w:t>日至今（</w:t>
            </w:r>
            <w:r>
              <w:rPr>
                <w:rFonts w:hint="eastAsia" w:ascii="宋体" w:hAnsi="宋体" w:cs="宋体"/>
                <w:color w:val="auto"/>
                <w:szCs w:val="21"/>
                <w:highlight w:val="none"/>
              </w:rPr>
              <w:t>完成时间以检测报告为准）</w:t>
            </w:r>
          </w:p>
        </w:tc>
      </w:tr>
      <w:tr w14:paraId="558515B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819" w:hRule="atLeast"/>
        </w:trPr>
        <w:tc>
          <w:tcPr>
            <w:tcW w:w="866" w:type="dxa"/>
            <w:vAlign w:val="center"/>
          </w:tcPr>
          <w:p w14:paraId="3DE00D38">
            <w:pPr>
              <w:snapToGrid w:val="0"/>
              <w:spacing w:line="276" w:lineRule="auto"/>
              <w:jc w:val="center"/>
              <w:rPr>
                <w:rFonts w:ascii="宋体" w:hAnsi="宋体"/>
                <w:color w:val="auto"/>
                <w:szCs w:val="21"/>
                <w:highlight w:val="none"/>
              </w:rPr>
            </w:pPr>
            <w:r>
              <w:rPr>
                <w:rFonts w:ascii="宋体" w:hAnsi="宋体"/>
                <w:color w:val="auto"/>
                <w:szCs w:val="21"/>
                <w:highlight w:val="none"/>
              </w:rPr>
              <w:t>3.5.5</w:t>
            </w:r>
          </w:p>
        </w:tc>
        <w:tc>
          <w:tcPr>
            <w:tcW w:w="2160" w:type="dxa"/>
            <w:vAlign w:val="center"/>
          </w:tcPr>
          <w:p w14:paraId="09A191AA">
            <w:pPr>
              <w:snapToGrid w:val="0"/>
              <w:spacing w:line="276" w:lineRule="auto"/>
              <w:jc w:val="center"/>
              <w:rPr>
                <w:rFonts w:ascii="宋体" w:hAnsi="宋体"/>
                <w:color w:val="auto"/>
                <w:szCs w:val="21"/>
                <w:highlight w:val="none"/>
              </w:rPr>
            </w:pPr>
            <w:r>
              <w:rPr>
                <w:rFonts w:hint="eastAsia" w:ascii="宋体" w:hAnsi="宋体"/>
                <w:color w:val="auto"/>
                <w:szCs w:val="21"/>
                <w:highlight w:val="none"/>
              </w:rPr>
              <w:t>近年发生的诉讼及仲裁情况的时间要求</w:t>
            </w:r>
          </w:p>
        </w:tc>
        <w:tc>
          <w:tcPr>
            <w:tcW w:w="7200" w:type="dxa"/>
            <w:vAlign w:val="center"/>
          </w:tcPr>
          <w:p w14:paraId="2A9A554A">
            <w:pPr>
              <w:snapToGrid w:val="0"/>
              <w:spacing w:line="276" w:lineRule="auto"/>
              <w:ind w:firstLine="105" w:firstLineChars="50"/>
              <w:rPr>
                <w:rFonts w:ascii="宋体" w:hAnsi="宋体"/>
                <w:color w:val="auto"/>
                <w:szCs w:val="21"/>
                <w:highlight w:val="none"/>
              </w:rPr>
            </w:pPr>
            <w:r>
              <w:rPr>
                <w:rFonts w:ascii="宋体" w:hAnsi="宋体"/>
                <w:color w:val="auto"/>
                <w:szCs w:val="21"/>
                <w:highlight w:val="none"/>
                <w:u w:val="single"/>
              </w:rPr>
              <w:t>/</w:t>
            </w:r>
            <w:r>
              <w:rPr>
                <w:rFonts w:hint="eastAsia" w:ascii="宋体" w:hAnsi="宋体"/>
                <w:color w:val="auto"/>
                <w:szCs w:val="21"/>
                <w:highlight w:val="none"/>
              </w:rPr>
              <w:t>年</w:t>
            </w:r>
            <w:r>
              <w:rPr>
                <w:rFonts w:ascii="宋体" w:hAnsi="宋体"/>
                <w:color w:val="auto"/>
                <w:szCs w:val="21"/>
                <w:highlight w:val="none"/>
                <w:u w:val="single"/>
              </w:rPr>
              <w:t>/</w:t>
            </w:r>
            <w:r>
              <w:rPr>
                <w:rFonts w:hint="eastAsia" w:ascii="宋体" w:hAnsi="宋体"/>
                <w:color w:val="auto"/>
                <w:szCs w:val="21"/>
                <w:highlight w:val="none"/>
              </w:rPr>
              <w:t>月</w:t>
            </w:r>
            <w:r>
              <w:rPr>
                <w:rFonts w:ascii="宋体" w:hAnsi="宋体"/>
                <w:color w:val="auto"/>
                <w:szCs w:val="21"/>
                <w:highlight w:val="none"/>
                <w:u w:val="single"/>
              </w:rPr>
              <w:t>/</w:t>
            </w:r>
            <w:r>
              <w:rPr>
                <w:rFonts w:hint="eastAsia" w:ascii="宋体" w:hAnsi="宋体"/>
                <w:color w:val="auto"/>
                <w:szCs w:val="21"/>
                <w:highlight w:val="none"/>
              </w:rPr>
              <w:t>日至</w:t>
            </w:r>
            <w:r>
              <w:rPr>
                <w:rFonts w:ascii="宋体" w:hAnsi="宋体"/>
                <w:color w:val="auto"/>
                <w:szCs w:val="21"/>
                <w:highlight w:val="none"/>
                <w:u w:val="single"/>
              </w:rPr>
              <w:t>/</w:t>
            </w:r>
            <w:r>
              <w:rPr>
                <w:rFonts w:hint="eastAsia" w:ascii="宋体" w:hAnsi="宋体"/>
                <w:color w:val="auto"/>
                <w:szCs w:val="21"/>
                <w:highlight w:val="none"/>
              </w:rPr>
              <w:t>年</w:t>
            </w:r>
            <w:r>
              <w:rPr>
                <w:rFonts w:ascii="宋体" w:hAnsi="宋体"/>
                <w:color w:val="auto"/>
                <w:szCs w:val="21"/>
                <w:highlight w:val="none"/>
                <w:u w:val="single"/>
              </w:rPr>
              <w:t>/</w:t>
            </w:r>
            <w:r>
              <w:rPr>
                <w:rFonts w:hint="eastAsia" w:ascii="宋体" w:hAnsi="宋体"/>
                <w:color w:val="auto"/>
                <w:szCs w:val="21"/>
                <w:highlight w:val="none"/>
              </w:rPr>
              <w:t>月</w:t>
            </w:r>
            <w:r>
              <w:rPr>
                <w:rFonts w:ascii="宋体" w:hAnsi="宋体"/>
                <w:color w:val="auto"/>
                <w:szCs w:val="21"/>
                <w:highlight w:val="none"/>
                <w:u w:val="single"/>
              </w:rPr>
              <w:t>/</w:t>
            </w:r>
            <w:r>
              <w:rPr>
                <w:rFonts w:hint="eastAsia" w:ascii="宋体" w:hAnsi="宋体"/>
                <w:color w:val="auto"/>
                <w:szCs w:val="21"/>
                <w:highlight w:val="none"/>
              </w:rPr>
              <w:t>日</w:t>
            </w:r>
          </w:p>
        </w:tc>
      </w:tr>
      <w:tr w14:paraId="25FA681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866" w:type="dxa"/>
            <w:vAlign w:val="center"/>
          </w:tcPr>
          <w:p w14:paraId="091D35E8">
            <w:pPr>
              <w:snapToGrid w:val="0"/>
              <w:spacing w:line="276" w:lineRule="auto"/>
              <w:jc w:val="center"/>
              <w:rPr>
                <w:rFonts w:ascii="宋体" w:hAnsi="宋体"/>
                <w:color w:val="auto"/>
                <w:szCs w:val="21"/>
                <w:highlight w:val="none"/>
              </w:rPr>
            </w:pPr>
            <w:r>
              <w:rPr>
                <w:rFonts w:ascii="宋体" w:hAnsi="宋体"/>
                <w:color w:val="auto"/>
                <w:szCs w:val="21"/>
                <w:highlight w:val="none"/>
              </w:rPr>
              <w:t>3.6.1</w:t>
            </w:r>
          </w:p>
        </w:tc>
        <w:tc>
          <w:tcPr>
            <w:tcW w:w="2160" w:type="dxa"/>
            <w:vAlign w:val="center"/>
          </w:tcPr>
          <w:p w14:paraId="20B9E0D3">
            <w:pPr>
              <w:snapToGrid w:val="0"/>
              <w:spacing w:line="276" w:lineRule="auto"/>
              <w:jc w:val="center"/>
              <w:rPr>
                <w:rFonts w:ascii="宋体" w:hAnsi="宋体"/>
                <w:color w:val="auto"/>
                <w:szCs w:val="21"/>
                <w:highlight w:val="none"/>
              </w:rPr>
            </w:pPr>
            <w:r>
              <w:rPr>
                <w:rFonts w:hint="eastAsia" w:ascii="宋体" w:hAnsi="宋体"/>
                <w:color w:val="auto"/>
                <w:szCs w:val="21"/>
                <w:highlight w:val="none"/>
              </w:rPr>
              <w:t>是否允许递交备选投标方案</w:t>
            </w:r>
          </w:p>
        </w:tc>
        <w:tc>
          <w:tcPr>
            <w:tcW w:w="7200" w:type="dxa"/>
            <w:vAlign w:val="center"/>
          </w:tcPr>
          <w:p w14:paraId="2491DD68">
            <w:pPr>
              <w:pStyle w:val="11"/>
              <w:topLinePunct/>
              <w:snapToGrid w:val="0"/>
              <w:spacing w:line="276" w:lineRule="auto"/>
              <w:rPr>
                <w:rFonts w:hAnsi="宋体"/>
                <w:color w:val="auto"/>
                <w:sz w:val="21"/>
                <w:szCs w:val="21"/>
                <w:highlight w:val="none"/>
              </w:rPr>
            </w:pPr>
            <w:r>
              <w:rPr>
                <w:rFonts w:hint="eastAsia" w:hAnsi="宋体"/>
                <w:color w:val="auto"/>
                <w:spacing w:val="-1"/>
                <w:sz w:val="21"/>
                <w:szCs w:val="21"/>
                <w:highlight w:val="none"/>
              </w:rPr>
              <w:t>■</w:t>
            </w:r>
            <w:r>
              <w:rPr>
                <w:rFonts w:hint="eastAsia" w:hAnsi="宋体"/>
                <w:color w:val="auto"/>
                <w:sz w:val="21"/>
                <w:szCs w:val="21"/>
                <w:highlight w:val="none"/>
              </w:rPr>
              <w:t>不允许</w:t>
            </w:r>
          </w:p>
          <w:p w14:paraId="4E5CC5AF">
            <w:pPr>
              <w:snapToGrid w:val="0"/>
              <w:spacing w:line="276" w:lineRule="auto"/>
              <w:rPr>
                <w:rFonts w:ascii="宋体" w:hAnsi="宋体"/>
                <w:color w:val="auto"/>
                <w:szCs w:val="21"/>
                <w:highlight w:val="none"/>
              </w:rPr>
            </w:pPr>
            <w:r>
              <w:rPr>
                <w:rFonts w:hint="eastAsia" w:ascii="宋体" w:hAnsi="宋体"/>
                <w:color w:val="auto"/>
                <w:szCs w:val="21"/>
                <w:highlight w:val="none"/>
              </w:rPr>
              <w:t>□允许</w:t>
            </w:r>
          </w:p>
        </w:tc>
      </w:tr>
      <w:tr w14:paraId="2B5496A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823" w:hRule="atLeast"/>
        </w:trPr>
        <w:tc>
          <w:tcPr>
            <w:tcW w:w="866" w:type="dxa"/>
            <w:vAlign w:val="center"/>
          </w:tcPr>
          <w:p w14:paraId="52C645BE">
            <w:pPr>
              <w:snapToGrid w:val="0"/>
              <w:spacing w:line="276" w:lineRule="auto"/>
              <w:jc w:val="center"/>
              <w:rPr>
                <w:rFonts w:ascii="宋体" w:hAnsi="宋体"/>
                <w:color w:val="auto"/>
                <w:szCs w:val="21"/>
                <w:highlight w:val="none"/>
              </w:rPr>
            </w:pPr>
            <w:r>
              <w:rPr>
                <w:rFonts w:ascii="宋体" w:hAnsi="宋体"/>
                <w:color w:val="auto"/>
                <w:szCs w:val="21"/>
                <w:highlight w:val="none"/>
              </w:rPr>
              <w:t>3.7.3</w:t>
            </w:r>
          </w:p>
        </w:tc>
        <w:tc>
          <w:tcPr>
            <w:tcW w:w="2160" w:type="dxa"/>
            <w:vAlign w:val="center"/>
          </w:tcPr>
          <w:p w14:paraId="1EA9B939">
            <w:pPr>
              <w:snapToGrid w:val="0"/>
              <w:spacing w:line="276" w:lineRule="auto"/>
              <w:jc w:val="center"/>
              <w:rPr>
                <w:rFonts w:ascii="宋体" w:hAnsi="宋体"/>
                <w:color w:val="auto"/>
                <w:szCs w:val="21"/>
                <w:highlight w:val="none"/>
              </w:rPr>
            </w:pPr>
            <w:r>
              <w:rPr>
                <w:rFonts w:hint="eastAsia" w:ascii="宋体" w:hAnsi="宋体"/>
                <w:color w:val="auto"/>
                <w:szCs w:val="21"/>
                <w:highlight w:val="none"/>
              </w:rPr>
              <w:t>投标文件所附证书证件要求</w:t>
            </w:r>
          </w:p>
        </w:tc>
        <w:tc>
          <w:tcPr>
            <w:tcW w:w="7200" w:type="dxa"/>
            <w:vAlign w:val="center"/>
          </w:tcPr>
          <w:p w14:paraId="53EF64A7">
            <w:pPr>
              <w:snapToGrid w:val="0"/>
              <w:spacing w:line="276" w:lineRule="auto"/>
              <w:rPr>
                <w:rFonts w:ascii="宋体" w:hAnsi="宋体"/>
                <w:color w:val="auto"/>
                <w:szCs w:val="21"/>
                <w:highlight w:val="none"/>
                <w:u w:val="single"/>
              </w:rPr>
            </w:pPr>
            <w:r>
              <w:rPr>
                <w:rFonts w:hint="eastAsia" w:ascii="宋体" w:hAnsi="宋体"/>
                <w:color w:val="auto"/>
                <w:szCs w:val="21"/>
                <w:highlight w:val="none"/>
              </w:rPr>
              <w:t>证书证件需为</w:t>
            </w:r>
            <w:r>
              <w:rPr>
                <w:rFonts w:hint="eastAsia" w:ascii="宋体" w:hAnsi="宋体"/>
                <w:b/>
                <w:color w:val="auto"/>
                <w:szCs w:val="21"/>
                <w:highlight w:val="none"/>
              </w:rPr>
              <w:t>原件清晰扫描件</w:t>
            </w:r>
            <w:r>
              <w:rPr>
                <w:rFonts w:hint="eastAsia" w:ascii="宋体" w:hAnsi="宋体"/>
                <w:color w:val="auto"/>
                <w:szCs w:val="21"/>
                <w:highlight w:val="none"/>
              </w:rPr>
              <w:t>，并采用单位数字证书，按照招标文件要求在相应位置加盖电子印章。</w:t>
            </w:r>
          </w:p>
        </w:tc>
      </w:tr>
      <w:tr w14:paraId="7824F2B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396" w:hRule="atLeast"/>
        </w:trPr>
        <w:tc>
          <w:tcPr>
            <w:tcW w:w="866" w:type="dxa"/>
            <w:vAlign w:val="center"/>
          </w:tcPr>
          <w:p w14:paraId="700E6F90">
            <w:pPr>
              <w:snapToGrid w:val="0"/>
              <w:spacing w:line="276" w:lineRule="auto"/>
              <w:jc w:val="center"/>
              <w:rPr>
                <w:rFonts w:ascii="宋体" w:hAnsi="宋体"/>
                <w:color w:val="auto"/>
                <w:szCs w:val="21"/>
                <w:highlight w:val="none"/>
              </w:rPr>
            </w:pPr>
            <w:r>
              <w:rPr>
                <w:rFonts w:ascii="宋体" w:hAnsi="宋体"/>
                <w:color w:val="auto"/>
                <w:szCs w:val="21"/>
                <w:highlight w:val="none"/>
              </w:rPr>
              <w:t>3.7.3</w:t>
            </w:r>
          </w:p>
        </w:tc>
        <w:tc>
          <w:tcPr>
            <w:tcW w:w="2160" w:type="dxa"/>
            <w:vAlign w:val="center"/>
          </w:tcPr>
          <w:p w14:paraId="2840DC70">
            <w:pPr>
              <w:snapToGrid w:val="0"/>
              <w:spacing w:line="276" w:lineRule="auto"/>
              <w:jc w:val="center"/>
              <w:rPr>
                <w:rFonts w:ascii="宋体" w:hAnsi="宋体"/>
                <w:color w:val="auto"/>
                <w:szCs w:val="21"/>
                <w:highlight w:val="none"/>
              </w:rPr>
            </w:pPr>
            <w:r>
              <w:rPr>
                <w:rFonts w:hint="eastAsia" w:ascii="宋体" w:hAnsi="宋体"/>
                <w:color w:val="auto"/>
                <w:szCs w:val="21"/>
                <w:highlight w:val="none"/>
              </w:rPr>
              <w:t>投标文件签字或盖章要求</w:t>
            </w:r>
          </w:p>
        </w:tc>
        <w:tc>
          <w:tcPr>
            <w:tcW w:w="7200" w:type="dxa"/>
            <w:vAlign w:val="center"/>
          </w:tcPr>
          <w:p w14:paraId="4FB91E67">
            <w:pPr>
              <w:pStyle w:val="11"/>
              <w:topLinePunct/>
              <w:snapToGrid w:val="0"/>
              <w:spacing w:line="276" w:lineRule="auto"/>
              <w:ind w:right="174" w:rightChars="83"/>
              <w:rPr>
                <w:rFonts w:hAnsi="宋体" w:cs="宋体"/>
                <w:color w:val="auto"/>
                <w:sz w:val="21"/>
                <w:szCs w:val="21"/>
                <w:highlight w:val="none"/>
                <w:u w:val="single"/>
              </w:rPr>
            </w:pPr>
            <w:r>
              <w:rPr>
                <w:rFonts w:hint="eastAsia" w:hAnsi="宋体" w:cs="宋体"/>
                <w:color w:val="auto"/>
                <w:sz w:val="21"/>
                <w:szCs w:val="21"/>
                <w:highlight w:val="none"/>
                <w:u w:val="single"/>
              </w:rPr>
              <w:t>投标文件中需个人签字或盖章的，应加盖个人电子印章或在线下完成后扫描上传。投标文件按招标文件要求加盖单位电子印章。相关操作详见</w:t>
            </w:r>
            <w:r>
              <w:rPr>
                <w:rFonts w:hint="eastAsia" w:hAnsi="宋体" w:cs="宋体"/>
                <w:color w:val="auto"/>
                <w:sz w:val="21"/>
                <w:szCs w:val="21"/>
                <w:highlight w:val="none"/>
                <w:u w:val="single"/>
                <w:lang w:eastAsia="zh-CN"/>
              </w:rPr>
              <w:t>广州交易集团有限公司（广州公共资源交易中心）</w:t>
            </w:r>
            <w:r>
              <w:rPr>
                <w:rFonts w:hint="eastAsia" w:hAnsi="宋体" w:cs="宋体"/>
                <w:color w:val="auto"/>
                <w:sz w:val="21"/>
                <w:szCs w:val="21"/>
                <w:highlight w:val="none"/>
                <w:u w:val="single"/>
              </w:rPr>
              <w:t>网站最新发布的指引。</w:t>
            </w:r>
          </w:p>
        </w:tc>
      </w:tr>
      <w:tr w14:paraId="3B30D71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890" w:hRule="atLeast"/>
        </w:trPr>
        <w:tc>
          <w:tcPr>
            <w:tcW w:w="866" w:type="dxa"/>
            <w:vAlign w:val="center"/>
          </w:tcPr>
          <w:p w14:paraId="23B84DE1">
            <w:pPr>
              <w:snapToGrid w:val="0"/>
              <w:spacing w:line="276" w:lineRule="auto"/>
              <w:jc w:val="center"/>
              <w:rPr>
                <w:rFonts w:ascii="宋体" w:hAnsi="宋体"/>
                <w:color w:val="auto"/>
                <w:szCs w:val="21"/>
                <w:highlight w:val="none"/>
              </w:rPr>
            </w:pPr>
            <w:r>
              <w:rPr>
                <w:rFonts w:ascii="宋体" w:hAnsi="宋体"/>
                <w:color w:val="auto"/>
                <w:szCs w:val="21"/>
                <w:highlight w:val="none"/>
              </w:rPr>
              <w:t>4.1.1</w:t>
            </w:r>
          </w:p>
        </w:tc>
        <w:tc>
          <w:tcPr>
            <w:tcW w:w="2160" w:type="dxa"/>
            <w:vAlign w:val="center"/>
          </w:tcPr>
          <w:p w14:paraId="1B181A7F">
            <w:pPr>
              <w:snapToGrid w:val="0"/>
              <w:spacing w:line="276" w:lineRule="auto"/>
              <w:jc w:val="center"/>
              <w:rPr>
                <w:rFonts w:ascii="宋体" w:hAnsi="宋体"/>
                <w:color w:val="auto"/>
                <w:szCs w:val="21"/>
                <w:highlight w:val="none"/>
              </w:rPr>
            </w:pPr>
            <w:r>
              <w:rPr>
                <w:rFonts w:hint="eastAsia" w:ascii="宋体" w:hAnsi="宋体"/>
                <w:color w:val="auto"/>
                <w:szCs w:val="21"/>
                <w:highlight w:val="none"/>
              </w:rPr>
              <w:t>投标文件加密要求</w:t>
            </w:r>
          </w:p>
        </w:tc>
        <w:tc>
          <w:tcPr>
            <w:tcW w:w="7200" w:type="dxa"/>
            <w:vAlign w:val="center"/>
          </w:tcPr>
          <w:p w14:paraId="4FD8D21A">
            <w:pPr>
              <w:pStyle w:val="11"/>
              <w:topLinePunct/>
              <w:snapToGrid w:val="0"/>
              <w:spacing w:line="276" w:lineRule="auto"/>
              <w:rPr>
                <w:rFonts w:hAnsi="宋体"/>
                <w:color w:val="auto"/>
                <w:sz w:val="21"/>
                <w:szCs w:val="21"/>
                <w:highlight w:val="none"/>
                <w:u w:val="single"/>
              </w:rPr>
            </w:pPr>
            <w:r>
              <w:rPr>
                <w:rFonts w:hint="eastAsia" w:hAnsi="宋体"/>
                <w:color w:val="auto"/>
                <w:sz w:val="21"/>
                <w:szCs w:val="21"/>
                <w:highlight w:val="none"/>
              </w:rPr>
              <w:t>网上递交的电子投标文件须进行加密。具体操作</w:t>
            </w:r>
            <w:r>
              <w:rPr>
                <w:rFonts w:hint="eastAsia" w:hAnsi="宋体" w:cs="宋体"/>
                <w:color w:val="auto"/>
                <w:sz w:val="21"/>
                <w:szCs w:val="21"/>
                <w:highlight w:val="none"/>
                <w:u w:val="single"/>
              </w:rPr>
              <w:t>详见</w:t>
            </w:r>
            <w:r>
              <w:rPr>
                <w:rFonts w:hint="eastAsia" w:hAnsi="宋体" w:cs="宋体"/>
                <w:color w:val="auto"/>
                <w:sz w:val="21"/>
                <w:szCs w:val="21"/>
                <w:highlight w:val="none"/>
                <w:u w:val="single"/>
                <w:lang w:eastAsia="zh-CN"/>
              </w:rPr>
              <w:t>广州交易集团有限公司（广州公共资源交易中心）</w:t>
            </w:r>
            <w:r>
              <w:rPr>
                <w:rFonts w:hint="eastAsia" w:hAnsi="宋体" w:cs="宋体"/>
                <w:color w:val="auto"/>
                <w:sz w:val="21"/>
                <w:szCs w:val="21"/>
                <w:highlight w:val="none"/>
                <w:u w:val="single"/>
              </w:rPr>
              <w:t>网站最新发布的指引。</w:t>
            </w:r>
          </w:p>
        </w:tc>
      </w:tr>
      <w:tr w14:paraId="2C19370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830" w:hRule="atLeast"/>
        </w:trPr>
        <w:tc>
          <w:tcPr>
            <w:tcW w:w="866" w:type="dxa"/>
            <w:vAlign w:val="center"/>
          </w:tcPr>
          <w:p w14:paraId="5C2401FC">
            <w:pPr>
              <w:snapToGrid w:val="0"/>
              <w:spacing w:line="276" w:lineRule="auto"/>
              <w:jc w:val="center"/>
              <w:rPr>
                <w:rFonts w:ascii="宋体" w:hAnsi="宋体"/>
                <w:color w:val="auto"/>
                <w:szCs w:val="21"/>
                <w:highlight w:val="none"/>
              </w:rPr>
            </w:pPr>
            <w:r>
              <w:rPr>
                <w:rFonts w:ascii="宋体" w:hAnsi="宋体"/>
                <w:color w:val="auto"/>
                <w:szCs w:val="21"/>
                <w:highlight w:val="none"/>
              </w:rPr>
              <w:t>4.1.2</w:t>
            </w:r>
          </w:p>
        </w:tc>
        <w:tc>
          <w:tcPr>
            <w:tcW w:w="2160" w:type="dxa"/>
            <w:tcBorders>
              <w:bottom w:val="single" w:color="auto" w:sz="4" w:space="0"/>
            </w:tcBorders>
            <w:vAlign w:val="center"/>
          </w:tcPr>
          <w:p w14:paraId="185E0720">
            <w:pPr>
              <w:snapToGrid w:val="0"/>
              <w:spacing w:line="276" w:lineRule="auto"/>
              <w:jc w:val="center"/>
              <w:rPr>
                <w:rFonts w:ascii="宋体" w:hAnsi="宋体"/>
                <w:color w:val="auto"/>
                <w:szCs w:val="21"/>
                <w:highlight w:val="none"/>
                <w:shd w:val="clear" w:color="FFFFFF" w:fill="D9D9D9"/>
              </w:rPr>
            </w:pPr>
            <w:r>
              <w:rPr>
                <w:rFonts w:hint="eastAsia" w:ascii="宋体" w:hAnsi="宋体"/>
                <w:color w:val="auto"/>
                <w:szCs w:val="21"/>
                <w:highlight w:val="none"/>
              </w:rPr>
              <w:t>封套上应载明的信息</w:t>
            </w:r>
          </w:p>
        </w:tc>
        <w:tc>
          <w:tcPr>
            <w:tcW w:w="7200" w:type="dxa"/>
            <w:tcBorders>
              <w:bottom w:val="single" w:color="auto" w:sz="4" w:space="0"/>
            </w:tcBorders>
            <w:vAlign w:val="center"/>
          </w:tcPr>
          <w:p w14:paraId="3C77E638">
            <w:pPr>
              <w:pStyle w:val="11"/>
              <w:topLinePunct/>
              <w:snapToGrid w:val="0"/>
              <w:rPr>
                <w:rFonts w:hAnsi="宋体"/>
                <w:color w:val="auto"/>
                <w:sz w:val="21"/>
                <w:szCs w:val="21"/>
                <w:highlight w:val="none"/>
              </w:rPr>
            </w:pPr>
            <w:r>
              <w:rPr>
                <w:rFonts w:hint="eastAsia" w:hAnsi="宋体"/>
                <w:color w:val="auto"/>
                <w:sz w:val="21"/>
                <w:szCs w:val="21"/>
                <w:highlight w:val="none"/>
              </w:rPr>
              <w:t>如有提交投标文件光盘备用，封套上应注明如下信息：</w:t>
            </w:r>
          </w:p>
          <w:p w14:paraId="6685F6B3">
            <w:pPr>
              <w:pStyle w:val="11"/>
              <w:topLinePunct/>
              <w:rPr>
                <w:rFonts w:hAnsi="宋体"/>
                <w:color w:val="auto"/>
                <w:sz w:val="21"/>
                <w:szCs w:val="21"/>
                <w:highlight w:val="none"/>
              </w:rPr>
            </w:pPr>
            <w:r>
              <w:rPr>
                <w:rFonts w:hint="eastAsia" w:hAnsi="宋体"/>
                <w:color w:val="auto"/>
                <w:sz w:val="21"/>
                <w:szCs w:val="21"/>
                <w:highlight w:val="none"/>
              </w:rPr>
              <w:t>招标人名称：</w:t>
            </w:r>
            <w:r>
              <w:rPr>
                <w:rFonts w:hint="eastAsia" w:hAnsi="宋体"/>
                <w:color w:val="auto"/>
                <w:sz w:val="21"/>
                <w:szCs w:val="21"/>
                <w:highlight w:val="none"/>
                <w:u w:val="single"/>
              </w:rPr>
              <w:t xml:space="preserve">                     </w:t>
            </w:r>
          </w:p>
          <w:p w14:paraId="6CF53729">
            <w:pPr>
              <w:pStyle w:val="11"/>
              <w:topLinePunct/>
              <w:rPr>
                <w:rFonts w:hAnsi="宋体"/>
                <w:color w:val="auto"/>
                <w:sz w:val="21"/>
                <w:szCs w:val="21"/>
                <w:highlight w:val="none"/>
              </w:rPr>
            </w:pPr>
            <w:r>
              <w:rPr>
                <w:rFonts w:hint="eastAsia" w:hAnsi="宋体"/>
                <w:color w:val="auto"/>
                <w:sz w:val="21"/>
                <w:szCs w:val="21"/>
                <w:highlight w:val="none"/>
              </w:rPr>
              <w:t>招标人地址：</w:t>
            </w:r>
            <w:r>
              <w:rPr>
                <w:rFonts w:hint="eastAsia" w:hAnsi="宋体"/>
                <w:color w:val="auto"/>
                <w:sz w:val="21"/>
                <w:szCs w:val="21"/>
                <w:highlight w:val="none"/>
                <w:u w:val="single"/>
              </w:rPr>
              <w:t xml:space="preserve">                     </w:t>
            </w:r>
          </w:p>
          <w:p w14:paraId="18BAE0AA">
            <w:pPr>
              <w:pStyle w:val="11"/>
              <w:topLinePunct/>
              <w:rPr>
                <w:rFonts w:hAnsi="宋体"/>
                <w:color w:val="auto"/>
                <w:sz w:val="21"/>
                <w:szCs w:val="21"/>
                <w:highlight w:val="none"/>
              </w:rPr>
            </w:pPr>
            <w:r>
              <w:rPr>
                <w:rFonts w:hint="eastAsia" w:hAnsi="宋体"/>
                <w:color w:val="auto"/>
                <w:sz w:val="21"/>
                <w:szCs w:val="21"/>
                <w:highlight w:val="none"/>
                <w:lang w:eastAsia="zh-CN"/>
              </w:rPr>
              <w:t>广州市黄埔区龙湖街旺村城中村改造项目北地块（北AZ-03地块）检测监测服务</w:t>
            </w:r>
            <w:r>
              <w:rPr>
                <w:rFonts w:hint="eastAsia" w:hAnsi="宋体"/>
                <w:color w:val="auto"/>
                <w:sz w:val="21"/>
                <w:szCs w:val="21"/>
                <w:highlight w:val="none"/>
              </w:rPr>
              <w:t>招标项目投标文件</w:t>
            </w:r>
          </w:p>
          <w:p w14:paraId="48C3C858">
            <w:pPr>
              <w:pStyle w:val="11"/>
              <w:topLinePunct/>
              <w:rPr>
                <w:rFonts w:hAnsi="宋体"/>
                <w:color w:val="auto"/>
                <w:sz w:val="21"/>
                <w:szCs w:val="21"/>
                <w:highlight w:val="none"/>
              </w:rPr>
            </w:pPr>
            <w:r>
              <w:rPr>
                <w:rFonts w:hint="eastAsia" w:hAnsi="宋体"/>
                <w:color w:val="auto"/>
                <w:sz w:val="21"/>
                <w:szCs w:val="21"/>
                <w:highlight w:val="none"/>
              </w:rPr>
              <w:t>招标项目编号：</w:t>
            </w:r>
            <w:r>
              <w:rPr>
                <w:rFonts w:hint="eastAsia" w:hAnsi="宋体"/>
                <w:color w:val="auto"/>
                <w:sz w:val="21"/>
                <w:szCs w:val="21"/>
                <w:highlight w:val="none"/>
                <w:u w:val="single"/>
              </w:rPr>
              <w:t xml:space="preserve">                   </w:t>
            </w:r>
          </w:p>
          <w:p w14:paraId="06989A49">
            <w:pPr>
              <w:pStyle w:val="11"/>
              <w:topLinePunct/>
              <w:snapToGrid w:val="0"/>
              <w:rPr>
                <w:rFonts w:hAnsi="宋体"/>
                <w:color w:val="auto"/>
                <w:sz w:val="21"/>
                <w:szCs w:val="21"/>
                <w:highlight w:val="none"/>
              </w:rPr>
            </w:pPr>
            <w:r>
              <w:rPr>
                <w:rFonts w:hint="eastAsia" w:hAnsi="宋体" w:cs="宋体"/>
                <w:color w:val="auto"/>
                <w:sz w:val="21"/>
                <w:szCs w:val="21"/>
                <w:highlight w:val="none"/>
              </w:rPr>
              <w:t>在</w:t>
            </w:r>
            <w:r>
              <w:rPr>
                <w:rFonts w:hint="eastAsia" w:hAnsi="宋体" w:cs="宋体"/>
                <w:color w:val="auto"/>
                <w:sz w:val="21"/>
                <w:szCs w:val="21"/>
                <w:highlight w:val="none"/>
                <w:u w:val="single"/>
              </w:rPr>
              <w:t xml:space="preserve">     </w:t>
            </w:r>
            <w:r>
              <w:rPr>
                <w:rFonts w:hint="eastAsia" w:hAnsi="宋体" w:cs="宋体"/>
                <w:color w:val="auto"/>
                <w:sz w:val="21"/>
                <w:szCs w:val="21"/>
                <w:highlight w:val="none"/>
              </w:rPr>
              <w:t>年</w:t>
            </w:r>
            <w:r>
              <w:rPr>
                <w:rFonts w:hint="eastAsia" w:hAnsi="宋体" w:cs="宋体"/>
                <w:color w:val="auto"/>
                <w:sz w:val="21"/>
                <w:szCs w:val="21"/>
                <w:highlight w:val="none"/>
                <w:u w:val="single"/>
              </w:rPr>
              <w:t xml:space="preserve"> </w:t>
            </w:r>
            <w:r>
              <w:rPr>
                <w:rFonts w:hint="eastAsia" w:hAnsi="宋体" w:cs="宋体"/>
                <w:color w:val="auto"/>
                <w:sz w:val="21"/>
                <w:szCs w:val="21"/>
                <w:highlight w:val="none"/>
                <w:u w:val="single"/>
                <w:lang w:val="en-US" w:eastAsia="zh-CN"/>
              </w:rPr>
              <w:t xml:space="preserve">  </w:t>
            </w:r>
            <w:r>
              <w:rPr>
                <w:rFonts w:hint="eastAsia" w:hAnsi="宋体" w:cs="宋体"/>
                <w:color w:val="auto"/>
                <w:sz w:val="21"/>
                <w:szCs w:val="21"/>
                <w:highlight w:val="none"/>
                <w:u w:val="single"/>
              </w:rPr>
              <w:t xml:space="preserve"> </w:t>
            </w:r>
            <w:r>
              <w:rPr>
                <w:rFonts w:hint="eastAsia" w:hAnsi="宋体" w:cs="宋体"/>
                <w:color w:val="auto"/>
                <w:sz w:val="21"/>
                <w:szCs w:val="21"/>
                <w:highlight w:val="none"/>
              </w:rPr>
              <w:t>月</w:t>
            </w:r>
            <w:r>
              <w:rPr>
                <w:rFonts w:hint="eastAsia" w:hAnsi="宋体" w:cs="宋体"/>
                <w:color w:val="auto"/>
                <w:sz w:val="21"/>
                <w:szCs w:val="21"/>
                <w:highlight w:val="none"/>
                <w:u w:val="single"/>
              </w:rPr>
              <w:t xml:space="preserve">   </w:t>
            </w:r>
            <w:r>
              <w:rPr>
                <w:rFonts w:hint="eastAsia" w:hAnsi="宋体" w:cs="宋体"/>
                <w:color w:val="auto"/>
                <w:sz w:val="21"/>
                <w:szCs w:val="21"/>
                <w:highlight w:val="none"/>
              </w:rPr>
              <w:t>日</w:t>
            </w:r>
            <w:r>
              <w:rPr>
                <w:rFonts w:hint="eastAsia" w:hAnsi="宋体" w:cs="宋体"/>
                <w:color w:val="auto"/>
                <w:sz w:val="21"/>
                <w:szCs w:val="21"/>
                <w:highlight w:val="none"/>
                <w:u w:val="single"/>
              </w:rPr>
              <w:t xml:space="preserve">     </w:t>
            </w:r>
            <w:r>
              <w:rPr>
                <w:rFonts w:hint="eastAsia" w:hAnsi="宋体" w:cs="宋体"/>
                <w:color w:val="auto"/>
                <w:sz w:val="21"/>
                <w:szCs w:val="21"/>
                <w:highlight w:val="none"/>
              </w:rPr>
              <w:t>时前不得开启</w:t>
            </w:r>
          </w:p>
        </w:tc>
      </w:tr>
      <w:tr w14:paraId="00ECC62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773" w:hRule="atLeast"/>
        </w:trPr>
        <w:tc>
          <w:tcPr>
            <w:tcW w:w="866" w:type="dxa"/>
            <w:tcBorders>
              <w:right w:val="single" w:color="auto" w:sz="4" w:space="0"/>
            </w:tcBorders>
            <w:vAlign w:val="center"/>
          </w:tcPr>
          <w:p w14:paraId="43D3431D">
            <w:pPr>
              <w:snapToGrid w:val="0"/>
              <w:spacing w:line="276" w:lineRule="auto"/>
              <w:jc w:val="center"/>
              <w:rPr>
                <w:rFonts w:ascii="宋体" w:hAnsi="宋体"/>
                <w:color w:val="auto"/>
                <w:szCs w:val="21"/>
                <w:highlight w:val="none"/>
              </w:rPr>
            </w:pPr>
            <w:r>
              <w:rPr>
                <w:rFonts w:ascii="宋体" w:hAnsi="宋体"/>
                <w:color w:val="auto"/>
                <w:szCs w:val="21"/>
                <w:highlight w:val="none"/>
              </w:rPr>
              <w:t>4.2.1</w:t>
            </w:r>
          </w:p>
        </w:tc>
        <w:tc>
          <w:tcPr>
            <w:tcW w:w="2160" w:type="dxa"/>
            <w:tcBorders>
              <w:top w:val="single" w:color="auto" w:sz="4" w:space="0"/>
              <w:left w:val="single" w:color="auto" w:sz="4" w:space="0"/>
              <w:bottom w:val="single" w:color="auto" w:sz="4" w:space="0"/>
              <w:right w:val="single" w:color="auto" w:sz="4" w:space="0"/>
            </w:tcBorders>
            <w:vAlign w:val="center"/>
          </w:tcPr>
          <w:p w14:paraId="3E8B2832">
            <w:pPr>
              <w:snapToGrid w:val="0"/>
              <w:spacing w:line="276" w:lineRule="auto"/>
              <w:jc w:val="center"/>
              <w:rPr>
                <w:rFonts w:ascii="宋体" w:hAnsi="宋体"/>
                <w:color w:val="auto"/>
                <w:szCs w:val="21"/>
                <w:highlight w:val="none"/>
              </w:rPr>
            </w:pPr>
            <w:r>
              <w:rPr>
                <w:rFonts w:hint="eastAsia" w:ascii="宋体" w:hAnsi="宋体"/>
                <w:color w:val="auto"/>
                <w:szCs w:val="21"/>
                <w:highlight w:val="none"/>
              </w:rPr>
              <w:t>投标截止时间</w:t>
            </w:r>
          </w:p>
        </w:tc>
        <w:tc>
          <w:tcPr>
            <w:tcW w:w="7200" w:type="dxa"/>
            <w:tcBorders>
              <w:top w:val="single" w:color="auto" w:sz="4" w:space="0"/>
              <w:left w:val="single" w:color="auto" w:sz="4" w:space="0"/>
              <w:bottom w:val="single" w:color="auto" w:sz="4" w:space="0"/>
              <w:right w:val="single" w:color="auto" w:sz="4" w:space="0"/>
            </w:tcBorders>
            <w:vAlign w:val="center"/>
          </w:tcPr>
          <w:p w14:paraId="7FC796CC">
            <w:pPr>
              <w:snapToGrid w:val="0"/>
              <w:spacing w:line="276" w:lineRule="auto"/>
              <w:rPr>
                <w:rFonts w:ascii="宋体" w:hAnsi="宋体" w:cs="宋体"/>
                <w:color w:val="auto"/>
                <w:szCs w:val="21"/>
                <w:highlight w:val="none"/>
                <w:u w:val="single"/>
              </w:rPr>
            </w:pP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月</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日</w:t>
            </w:r>
            <w:r>
              <w:rPr>
                <w:rFonts w:hint="eastAsia" w:ascii="宋体" w:hAnsi="宋体" w:cs="宋体"/>
                <w:color w:val="auto"/>
                <w:szCs w:val="21"/>
                <w:highlight w:val="none"/>
                <w:u w:val="single"/>
              </w:rPr>
              <w:t xml:space="preserve">  时  分（北京时间）</w:t>
            </w:r>
          </w:p>
          <w:p w14:paraId="0F4CFF22">
            <w:pPr>
              <w:snapToGrid w:val="0"/>
              <w:spacing w:line="276" w:lineRule="auto"/>
              <w:rPr>
                <w:rFonts w:ascii="宋体" w:hAnsi="宋体"/>
                <w:color w:val="auto"/>
                <w:szCs w:val="21"/>
                <w:highlight w:val="none"/>
              </w:rPr>
            </w:pPr>
            <w:r>
              <w:rPr>
                <w:rFonts w:hint="eastAsia" w:ascii="宋体" w:hAnsi="宋体" w:cs="宋体"/>
                <w:color w:val="auto"/>
                <w:szCs w:val="21"/>
                <w:highlight w:val="none"/>
                <w:u w:val="single"/>
              </w:rPr>
              <w:t>（详见</w:t>
            </w:r>
            <w:r>
              <w:rPr>
                <w:rFonts w:hint="eastAsia" w:ascii="宋体" w:hAnsi="宋体" w:cs="宋体"/>
                <w:color w:val="auto"/>
                <w:szCs w:val="21"/>
                <w:highlight w:val="none"/>
                <w:u w:val="single"/>
                <w:lang w:eastAsia="zh-CN"/>
              </w:rPr>
              <w:t>广州交易集团有限公司（广州公共资源交易中心）</w:t>
            </w:r>
            <w:r>
              <w:rPr>
                <w:rFonts w:hint="eastAsia" w:ascii="宋体" w:hAnsi="宋体" w:cs="宋体"/>
                <w:color w:val="auto"/>
                <w:szCs w:val="21"/>
                <w:highlight w:val="none"/>
                <w:u w:val="single"/>
              </w:rPr>
              <w:t>网站信息）</w:t>
            </w:r>
          </w:p>
        </w:tc>
      </w:tr>
      <w:tr w14:paraId="19FA656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962" w:hRule="atLeast"/>
        </w:trPr>
        <w:tc>
          <w:tcPr>
            <w:tcW w:w="866" w:type="dxa"/>
            <w:vAlign w:val="center"/>
          </w:tcPr>
          <w:p w14:paraId="4E30E5F1">
            <w:pPr>
              <w:snapToGrid w:val="0"/>
              <w:spacing w:line="276" w:lineRule="auto"/>
              <w:jc w:val="center"/>
              <w:rPr>
                <w:rFonts w:ascii="宋体" w:hAnsi="宋体"/>
                <w:color w:val="auto"/>
                <w:szCs w:val="21"/>
                <w:highlight w:val="none"/>
              </w:rPr>
            </w:pPr>
            <w:r>
              <w:rPr>
                <w:rFonts w:hint="eastAsia" w:ascii="宋体" w:hAnsi="宋体"/>
                <w:color w:val="auto"/>
                <w:szCs w:val="21"/>
                <w:highlight w:val="none"/>
              </w:rPr>
              <w:t>4.2.2</w:t>
            </w:r>
          </w:p>
        </w:tc>
        <w:tc>
          <w:tcPr>
            <w:tcW w:w="2160" w:type="dxa"/>
            <w:vAlign w:val="center"/>
          </w:tcPr>
          <w:p w14:paraId="6E924099">
            <w:pPr>
              <w:snapToGrid w:val="0"/>
              <w:spacing w:line="276" w:lineRule="auto"/>
              <w:jc w:val="center"/>
              <w:rPr>
                <w:rFonts w:ascii="宋体" w:hAnsi="宋体"/>
                <w:color w:val="auto"/>
                <w:szCs w:val="21"/>
                <w:highlight w:val="none"/>
              </w:rPr>
            </w:pPr>
            <w:r>
              <w:rPr>
                <w:rFonts w:hint="eastAsia" w:ascii="宋体" w:hAnsi="宋体"/>
                <w:color w:val="auto"/>
                <w:szCs w:val="21"/>
                <w:highlight w:val="none"/>
              </w:rPr>
              <w:t>递交电子投标文件交易平台</w:t>
            </w:r>
          </w:p>
        </w:tc>
        <w:tc>
          <w:tcPr>
            <w:tcW w:w="7200" w:type="dxa"/>
            <w:vAlign w:val="center"/>
          </w:tcPr>
          <w:p w14:paraId="53EC71F0">
            <w:pPr>
              <w:snapToGrid w:val="0"/>
              <w:spacing w:line="276" w:lineRule="auto"/>
              <w:rPr>
                <w:rFonts w:ascii="宋体" w:hAnsi="宋体"/>
                <w:color w:val="auto"/>
                <w:szCs w:val="21"/>
                <w:highlight w:val="none"/>
                <w:u w:val="single"/>
              </w:rPr>
            </w:pPr>
            <w:r>
              <w:rPr>
                <w:rFonts w:hint="eastAsia" w:ascii="宋体" w:hAnsi="宋体"/>
                <w:color w:val="auto"/>
                <w:szCs w:val="21"/>
                <w:highlight w:val="none"/>
                <w:u w:val="single"/>
              </w:rPr>
              <w:t>1.递交方式：通过</w:t>
            </w:r>
            <w:r>
              <w:rPr>
                <w:rFonts w:hint="eastAsia" w:ascii="宋体" w:hAnsi="宋体"/>
                <w:color w:val="auto"/>
                <w:szCs w:val="21"/>
                <w:highlight w:val="none"/>
                <w:u w:val="single"/>
                <w:lang w:eastAsia="zh-CN"/>
              </w:rPr>
              <w:t>广州交易集团有限公司（广州公共资源交易中心）</w:t>
            </w:r>
            <w:r>
              <w:rPr>
                <w:rFonts w:hint="eastAsia" w:ascii="宋体" w:hAnsi="宋体"/>
                <w:color w:val="auto"/>
                <w:szCs w:val="21"/>
                <w:highlight w:val="none"/>
                <w:u w:val="single"/>
              </w:rPr>
              <w:t>网站，网上递交电子投标文件。</w:t>
            </w:r>
          </w:p>
          <w:p w14:paraId="6992514C">
            <w:pPr>
              <w:snapToGrid w:val="0"/>
              <w:spacing w:line="276" w:lineRule="auto"/>
              <w:rPr>
                <w:rFonts w:ascii="宋体" w:hAnsi="宋体"/>
                <w:color w:val="auto"/>
                <w:szCs w:val="21"/>
                <w:highlight w:val="none"/>
                <w:u w:val="single"/>
              </w:rPr>
            </w:pPr>
            <w:r>
              <w:rPr>
                <w:rFonts w:hint="eastAsia" w:ascii="宋体" w:hAnsi="宋体"/>
                <w:color w:val="auto"/>
                <w:szCs w:val="21"/>
                <w:highlight w:val="none"/>
                <w:u w:val="single"/>
              </w:rPr>
              <w:t>2.递交投标文件的时间及地点是否有改变，请密切留意招标答疑纪要或补充公告（如有）的相关信息，具体时间及场地安排请各投标人密切留意</w:t>
            </w:r>
            <w:r>
              <w:rPr>
                <w:rFonts w:hint="eastAsia" w:ascii="宋体" w:hAnsi="宋体"/>
                <w:color w:val="auto"/>
                <w:szCs w:val="21"/>
                <w:highlight w:val="none"/>
                <w:u w:val="single"/>
                <w:lang w:eastAsia="zh-CN"/>
              </w:rPr>
              <w:t>广州交易集团有限公司（广州公共资源交易中心）</w:t>
            </w:r>
            <w:r>
              <w:rPr>
                <w:rFonts w:hint="eastAsia" w:ascii="宋体" w:hAnsi="宋体"/>
                <w:color w:val="auto"/>
                <w:szCs w:val="21"/>
                <w:highlight w:val="none"/>
                <w:u w:val="single"/>
              </w:rPr>
              <w:t>公布本项目的日程安排，投标人可登录</w:t>
            </w:r>
            <w:r>
              <w:rPr>
                <w:rFonts w:hint="eastAsia" w:ascii="宋体" w:hAnsi="宋体"/>
                <w:color w:val="auto"/>
                <w:szCs w:val="21"/>
                <w:highlight w:val="none"/>
                <w:u w:val="single"/>
                <w:lang w:eastAsia="zh-CN"/>
              </w:rPr>
              <w:t>广州交易集团有限公司（广州公共资源交易中心）</w:t>
            </w:r>
            <w:r>
              <w:rPr>
                <w:rFonts w:hint="eastAsia" w:ascii="宋体" w:hAnsi="宋体"/>
                <w:color w:val="auto"/>
                <w:szCs w:val="21"/>
                <w:highlight w:val="none"/>
                <w:u w:val="single"/>
              </w:rPr>
              <w:t>网站首页，点击“交易业务-建设工程”专栏中的“项目查询（日程安排、答疑纪要）”，输入项目编号或项目名称查询最新信息。</w:t>
            </w:r>
          </w:p>
        </w:tc>
      </w:tr>
      <w:tr w14:paraId="568954F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866" w:type="dxa"/>
            <w:vAlign w:val="center"/>
          </w:tcPr>
          <w:p w14:paraId="49F98698">
            <w:pPr>
              <w:snapToGrid w:val="0"/>
              <w:spacing w:line="276" w:lineRule="auto"/>
              <w:jc w:val="center"/>
              <w:rPr>
                <w:rFonts w:ascii="宋体" w:hAnsi="宋体"/>
                <w:color w:val="auto"/>
                <w:szCs w:val="21"/>
                <w:highlight w:val="none"/>
              </w:rPr>
            </w:pPr>
            <w:r>
              <w:rPr>
                <w:rFonts w:ascii="宋体" w:hAnsi="宋体"/>
                <w:color w:val="auto"/>
                <w:szCs w:val="21"/>
                <w:highlight w:val="none"/>
              </w:rPr>
              <w:t>4.2.3</w:t>
            </w:r>
          </w:p>
        </w:tc>
        <w:tc>
          <w:tcPr>
            <w:tcW w:w="2160" w:type="dxa"/>
            <w:vAlign w:val="center"/>
          </w:tcPr>
          <w:p w14:paraId="57D10720">
            <w:pPr>
              <w:snapToGrid w:val="0"/>
              <w:spacing w:line="276" w:lineRule="auto"/>
              <w:jc w:val="center"/>
              <w:rPr>
                <w:rFonts w:ascii="宋体" w:hAnsi="宋体"/>
                <w:color w:val="auto"/>
                <w:szCs w:val="21"/>
                <w:highlight w:val="none"/>
              </w:rPr>
            </w:pPr>
            <w:r>
              <w:rPr>
                <w:rFonts w:hint="eastAsia" w:ascii="宋体" w:hAnsi="宋体"/>
                <w:color w:val="auto"/>
                <w:szCs w:val="21"/>
                <w:highlight w:val="none"/>
              </w:rPr>
              <w:t>投标文件是否退还</w:t>
            </w:r>
          </w:p>
        </w:tc>
        <w:tc>
          <w:tcPr>
            <w:tcW w:w="7200" w:type="dxa"/>
            <w:vAlign w:val="center"/>
          </w:tcPr>
          <w:p w14:paraId="41BB0034">
            <w:pPr>
              <w:pStyle w:val="11"/>
              <w:topLinePunct/>
              <w:snapToGrid w:val="0"/>
              <w:spacing w:line="276" w:lineRule="auto"/>
              <w:rPr>
                <w:rFonts w:hAnsi="宋体"/>
                <w:color w:val="auto"/>
                <w:sz w:val="21"/>
                <w:szCs w:val="21"/>
                <w:highlight w:val="none"/>
              </w:rPr>
            </w:pPr>
            <w:r>
              <w:rPr>
                <w:rFonts w:hint="eastAsia" w:hAnsi="宋体"/>
                <w:color w:val="auto"/>
                <w:spacing w:val="-1"/>
                <w:sz w:val="21"/>
                <w:szCs w:val="21"/>
                <w:highlight w:val="none"/>
              </w:rPr>
              <w:t>■</w:t>
            </w:r>
            <w:r>
              <w:rPr>
                <w:rFonts w:hint="eastAsia" w:hAnsi="宋体"/>
                <w:color w:val="auto"/>
                <w:sz w:val="21"/>
                <w:szCs w:val="21"/>
                <w:highlight w:val="none"/>
              </w:rPr>
              <w:t>否</w:t>
            </w:r>
          </w:p>
          <w:p w14:paraId="50E63325">
            <w:pPr>
              <w:pStyle w:val="11"/>
              <w:topLinePunct/>
              <w:snapToGrid w:val="0"/>
              <w:spacing w:line="276" w:lineRule="auto"/>
              <w:rPr>
                <w:rFonts w:hAnsi="宋体"/>
                <w:color w:val="auto"/>
                <w:sz w:val="21"/>
                <w:szCs w:val="21"/>
                <w:highlight w:val="none"/>
              </w:rPr>
            </w:pPr>
            <w:r>
              <w:rPr>
                <w:rFonts w:hint="eastAsia" w:hAnsi="宋体"/>
                <w:color w:val="auto"/>
                <w:sz w:val="21"/>
                <w:szCs w:val="21"/>
                <w:highlight w:val="none"/>
              </w:rPr>
              <w:t>□是，退还时间：</w:t>
            </w:r>
          </w:p>
        </w:tc>
      </w:tr>
      <w:tr w14:paraId="5032675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866" w:type="dxa"/>
            <w:vAlign w:val="center"/>
          </w:tcPr>
          <w:p w14:paraId="5CDA3FFC">
            <w:pPr>
              <w:snapToGrid w:val="0"/>
              <w:spacing w:line="276" w:lineRule="auto"/>
              <w:jc w:val="center"/>
              <w:rPr>
                <w:rFonts w:ascii="宋体" w:hAnsi="宋体"/>
                <w:color w:val="auto"/>
                <w:szCs w:val="21"/>
                <w:highlight w:val="none"/>
              </w:rPr>
            </w:pPr>
            <w:r>
              <w:rPr>
                <w:rFonts w:ascii="宋体" w:hAnsi="宋体"/>
                <w:color w:val="auto"/>
                <w:szCs w:val="21"/>
                <w:highlight w:val="none"/>
              </w:rPr>
              <w:t>5.1</w:t>
            </w:r>
          </w:p>
        </w:tc>
        <w:tc>
          <w:tcPr>
            <w:tcW w:w="2160" w:type="dxa"/>
            <w:vAlign w:val="center"/>
          </w:tcPr>
          <w:p w14:paraId="63921832">
            <w:pPr>
              <w:snapToGrid w:val="0"/>
              <w:spacing w:line="276" w:lineRule="auto"/>
              <w:jc w:val="center"/>
              <w:rPr>
                <w:rFonts w:ascii="宋体" w:hAnsi="宋体"/>
                <w:color w:val="auto"/>
                <w:szCs w:val="21"/>
                <w:highlight w:val="none"/>
              </w:rPr>
            </w:pPr>
            <w:r>
              <w:rPr>
                <w:rFonts w:hint="eastAsia" w:ascii="宋体" w:hAnsi="宋体"/>
                <w:color w:val="auto"/>
                <w:szCs w:val="21"/>
                <w:highlight w:val="none"/>
              </w:rPr>
              <w:t>开标时间和地点</w:t>
            </w:r>
          </w:p>
        </w:tc>
        <w:tc>
          <w:tcPr>
            <w:tcW w:w="7200" w:type="dxa"/>
            <w:vAlign w:val="center"/>
          </w:tcPr>
          <w:p w14:paraId="1E7BC708">
            <w:pPr>
              <w:snapToGrid w:val="0"/>
              <w:spacing w:line="276" w:lineRule="auto"/>
              <w:rPr>
                <w:rFonts w:ascii="宋体" w:hAnsi="宋体"/>
                <w:color w:val="auto"/>
                <w:szCs w:val="21"/>
                <w:highlight w:val="none"/>
              </w:rPr>
            </w:pPr>
            <w:r>
              <w:rPr>
                <w:rFonts w:hint="eastAsia" w:ascii="宋体" w:hAnsi="宋体"/>
                <w:color w:val="auto"/>
                <w:szCs w:val="21"/>
                <w:highlight w:val="none"/>
              </w:rPr>
              <w:t>开标时间：同投标截止时间</w:t>
            </w:r>
          </w:p>
          <w:p w14:paraId="18C88B41">
            <w:pPr>
              <w:snapToGrid w:val="0"/>
              <w:spacing w:line="276" w:lineRule="auto"/>
              <w:rPr>
                <w:rFonts w:ascii="宋体" w:hAnsi="宋体"/>
                <w:color w:val="auto"/>
                <w:szCs w:val="21"/>
                <w:highlight w:val="none"/>
              </w:rPr>
            </w:pPr>
            <w:r>
              <w:rPr>
                <w:rFonts w:hint="eastAsia" w:ascii="宋体" w:hAnsi="宋体"/>
                <w:color w:val="auto"/>
                <w:szCs w:val="21"/>
                <w:highlight w:val="none"/>
              </w:rPr>
              <w:t>开标地点：</w:t>
            </w:r>
            <w:r>
              <w:rPr>
                <w:rFonts w:hint="eastAsia" w:ascii="宋体" w:hAnsi="宋体"/>
                <w:color w:val="auto"/>
                <w:szCs w:val="21"/>
                <w:highlight w:val="none"/>
                <w:lang w:eastAsia="zh-CN"/>
              </w:rPr>
              <w:t>广州交易集团有限公司（广州公共资源交易中心）</w:t>
            </w:r>
            <w:r>
              <w:rPr>
                <w:rFonts w:hint="eastAsia" w:ascii="宋体" w:hAnsi="宋体"/>
                <w:color w:val="auto"/>
                <w:szCs w:val="21"/>
                <w:highlight w:val="none"/>
              </w:rPr>
              <w:t>黄埔交易部（黄埔区水西路32号四楼）</w:t>
            </w:r>
            <w:r>
              <w:rPr>
                <w:rFonts w:hint="eastAsia" w:ascii="宋体" w:hAnsi="宋体" w:cs="宋体"/>
                <w:color w:val="auto"/>
                <w:szCs w:val="21"/>
                <w:highlight w:val="none"/>
              </w:rPr>
              <w:t>指定开标室，详见</w:t>
            </w:r>
            <w:r>
              <w:rPr>
                <w:rFonts w:hint="eastAsia" w:ascii="宋体" w:hAnsi="宋体" w:cs="宋体"/>
                <w:color w:val="auto"/>
                <w:szCs w:val="21"/>
                <w:highlight w:val="none"/>
                <w:lang w:eastAsia="zh-CN"/>
              </w:rPr>
              <w:t>广州交易集团有限公司（广州公共资源交易中心）</w:t>
            </w:r>
            <w:r>
              <w:rPr>
                <w:rFonts w:hint="eastAsia" w:ascii="宋体" w:hAnsi="宋体" w:cs="宋体"/>
                <w:color w:val="auto"/>
                <w:szCs w:val="21"/>
                <w:highlight w:val="none"/>
              </w:rPr>
              <w:t>网站信息，并邀请所有投标人的法定代表人或其委托代理人准时参加。</w:t>
            </w:r>
            <w:r>
              <w:rPr>
                <w:rFonts w:hint="eastAsia" w:ascii="宋体" w:hAnsi="宋体" w:cs="宋体"/>
                <w:color w:val="auto"/>
                <w:szCs w:val="21"/>
                <w:highlight w:val="none"/>
                <w:u w:val="single"/>
              </w:rPr>
              <w:t>投标人也可选择参加在线开标，具体按照交易平台相关指南进行操作。详见：</w:t>
            </w:r>
            <w:r>
              <w:rPr>
                <w:rFonts w:hint="eastAsia" w:ascii="宋体" w:hAnsi="宋体" w:cs="宋体"/>
                <w:color w:val="auto"/>
                <w:szCs w:val="21"/>
                <w:highlight w:val="none"/>
                <w:u w:val="single"/>
                <w:lang w:eastAsia="zh-CN"/>
              </w:rPr>
              <w:t>广州交易集团有限公司（广州公共资源交易中心）</w:t>
            </w:r>
            <w:r>
              <w:rPr>
                <w:rFonts w:hint="eastAsia" w:ascii="宋体" w:hAnsi="宋体" w:cs="宋体"/>
                <w:color w:val="auto"/>
                <w:szCs w:val="21"/>
                <w:highlight w:val="none"/>
                <w:u w:val="single"/>
              </w:rPr>
              <w:t>网站最新指引。</w:t>
            </w:r>
            <w:r>
              <w:rPr>
                <w:rFonts w:hint="eastAsia" w:ascii="宋体" w:hAnsi="宋体" w:cs="宋体"/>
                <w:color w:val="auto"/>
                <w:szCs w:val="21"/>
                <w:highlight w:val="none"/>
              </w:rPr>
              <w:t>投标人代表有权出席开标会，也可以自主决定不参加开标会，若投标人代表对开标过程提出异议，该投标人代表须同时出示本人身份证原件。参加在线开标的，投标人应通过交易平台在线提出，招标人应通过交易平台答复，答复后方可结束开标。</w:t>
            </w:r>
          </w:p>
        </w:tc>
      </w:tr>
      <w:tr w14:paraId="67FE87A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405" w:hRule="atLeast"/>
        </w:trPr>
        <w:tc>
          <w:tcPr>
            <w:tcW w:w="866" w:type="dxa"/>
            <w:vAlign w:val="center"/>
          </w:tcPr>
          <w:p w14:paraId="4E2505C6">
            <w:pPr>
              <w:snapToGrid w:val="0"/>
              <w:spacing w:line="276" w:lineRule="auto"/>
              <w:jc w:val="center"/>
              <w:rPr>
                <w:rFonts w:ascii="宋体" w:hAnsi="宋体"/>
                <w:color w:val="auto"/>
                <w:szCs w:val="21"/>
                <w:highlight w:val="none"/>
              </w:rPr>
            </w:pPr>
            <w:r>
              <w:rPr>
                <w:rFonts w:ascii="宋体" w:hAnsi="宋体"/>
                <w:color w:val="auto"/>
                <w:szCs w:val="21"/>
                <w:highlight w:val="none"/>
              </w:rPr>
              <w:t>5.2</w:t>
            </w:r>
          </w:p>
        </w:tc>
        <w:tc>
          <w:tcPr>
            <w:tcW w:w="2160" w:type="dxa"/>
            <w:vAlign w:val="center"/>
          </w:tcPr>
          <w:p w14:paraId="3242B289">
            <w:pPr>
              <w:snapToGrid w:val="0"/>
              <w:spacing w:line="276" w:lineRule="auto"/>
              <w:jc w:val="center"/>
              <w:rPr>
                <w:rFonts w:ascii="宋体" w:hAnsi="宋体"/>
                <w:color w:val="auto"/>
                <w:szCs w:val="21"/>
                <w:highlight w:val="none"/>
              </w:rPr>
            </w:pPr>
            <w:r>
              <w:rPr>
                <w:rFonts w:hint="eastAsia" w:ascii="宋体" w:hAnsi="宋体"/>
                <w:color w:val="auto"/>
                <w:szCs w:val="21"/>
                <w:highlight w:val="none"/>
              </w:rPr>
              <w:t>开标程序</w:t>
            </w:r>
          </w:p>
        </w:tc>
        <w:tc>
          <w:tcPr>
            <w:tcW w:w="7200" w:type="dxa"/>
            <w:vAlign w:val="center"/>
          </w:tcPr>
          <w:p w14:paraId="6F0356C8">
            <w:pPr>
              <w:snapToGrid w:val="0"/>
              <w:spacing w:line="276" w:lineRule="auto"/>
              <w:rPr>
                <w:rFonts w:ascii="宋体" w:hAnsi="宋体"/>
                <w:color w:val="auto"/>
                <w:szCs w:val="21"/>
                <w:highlight w:val="none"/>
              </w:rPr>
            </w:pPr>
            <w:r>
              <w:rPr>
                <w:rFonts w:hint="eastAsia" w:ascii="宋体" w:hAnsi="宋体"/>
                <w:color w:val="auto"/>
                <w:szCs w:val="21"/>
                <w:highlight w:val="none"/>
              </w:rPr>
              <w:t>电子招投标项目开标按下列程序进行：</w:t>
            </w:r>
          </w:p>
          <w:p w14:paraId="56017FB6">
            <w:pPr>
              <w:snapToGrid w:val="0"/>
              <w:spacing w:line="276" w:lineRule="auto"/>
              <w:rPr>
                <w:rFonts w:ascii="宋体" w:hAnsi="宋体"/>
                <w:color w:val="auto"/>
                <w:szCs w:val="21"/>
                <w:highlight w:val="none"/>
                <w:u w:val="single"/>
              </w:rPr>
            </w:pPr>
            <w:r>
              <w:rPr>
                <w:rFonts w:ascii="宋体" w:hAnsi="宋体"/>
                <w:color w:val="auto"/>
                <w:szCs w:val="21"/>
                <w:highlight w:val="none"/>
                <w:u w:val="single"/>
              </w:rPr>
              <w:t>5.2.1</w:t>
            </w:r>
            <w:r>
              <w:rPr>
                <w:rFonts w:hint="eastAsia" w:ascii="宋体" w:hAnsi="宋体"/>
                <w:color w:val="auto"/>
                <w:szCs w:val="21"/>
                <w:highlight w:val="none"/>
                <w:u w:val="single"/>
              </w:rPr>
              <w:t>主持人按下列程序进行开标：</w:t>
            </w:r>
          </w:p>
          <w:p w14:paraId="578E4AE3">
            <w:pPr>
              <w:snapToGrid w:val="0"/>
              <w:spacing w:line="276" w:lineRule="auto"/>
              <w:rPr>
                <w:rFonts w:ascii="宋体" w:hAnsi="宋体"/>
                <w:color w:val="auto"/>
                <w:szCs w:val="21"/>
                <w:highlight w:val="none"/>
                <w:u w:val="single"/>
              </w:rPr>
            </w:pPr>
            <w:r>
              <w:rPr>
                <w:rFonts w:hint="eastAsia" w:ascii="宋体" w:hAnsi="宋体"/>
                <w:color w:val="auto"/>
                <w:szCs w:val="21"/>
                <w:highlight w:val="none"/>
                <w:u w:val="single"/>
              </w:rPr>
              <w:t>（</w:t>
            </w:r>
            <w:r>
              <w:rPr>
                <w:rFonts w:ascii="宋体" w:hAnsi="宋体"/>
                <w:color w:val="auto"/>
                <w:szCs w:val="21"/>
                <w:highlight w:val="none"/>
                <w:u w:val="single"/>
              </w:rPr>
              <w:t>1</w:t>
            </w:r>
            <w:r>
              <w:rPr>
                <w:rFonts w:hint="eastAsia" w:ascii="宋体" w:hAnsi="宋体"/>
                <w:color w:val="auto"/>
                <w:szCs w:val="21"/>
                <w:highlight w:val="none"/>
                <w:u w:val="single"/>
              </w:rPr>
              <w:t>）宣布开标纪律；</w:t>
            </w:r>
          </w:p>
          <w:p w14:paraId="2A5C760C">
            <w:pPr>
              <w:snapToGrid w:val="0"/>
              <w:spacing w:line="276" w:lineRule="auto"/>
              <w:rPr>
                <w:rFonts w:ascii="宋体" w:hAnsi="宋体"/>
                <w:color w:val="auto"/>
                <w:szCs w:val="21"/>
                <w:highlight w:val="none"/>
                <w:u w:val="single"/>
              </w:rPr>
            </w:pPr>
            <w:r>
              <w:rPr>
                <w:rFonts w:hint="eastAsia" w:ascii="宋体" w:hAnsi="宋体"/>
                <w:color w:val="auto"/>
                <w:szCs w:val="21"/>
                <w:highlight w:val="none"/>
                <w:u w:val="single"/>
              </w:rPr>
              <w:t>（</w:t>
            </w:r>
            <w:r>
              <w:rPr>
                <w:rFonts w:ascii="宋体" w:hAnsi="宋体"/>
                <w:color w:val="auto"/>
                <w:szCs w:val="21"/>
                <w:highlight w:val="none"/>
                <w:u w:val="single"/>
              </w:rPr>
              <w:t>2</w:t>
            </w:r>
            <w:r>
              <w:rPr>
                <w:rFonts w:hint="eastAsia" w:ascii="宋体" w:hAnsi="宋体"/>
                <w:color w:val="auto"/>
                <w:szCs w:val="21"/>
                <w:highlight w:val="none"/>
                <w:u w:val="single"/>
              </w:rPr>
              <w:t>）公布在投标截止时间前递交投标文件的投标人名称；</w:t>
            </w:r>
          </w:p>
          <w:p w14:paraId="00028B6A">
            <w:pPr>
              <w:snapToGrid w:val="0"/>
              <w:spacing w:line="276" w:lineRule="auto"/>
              <w:rPr>
                <w:rFonts w:ascii="宋体" w:hAnsi="宋体"/>
                <w:color w:val="auto"/>
                <w:szCs w:val="21"/>
                <w:highlight w:val="none"/>
                <w:u w:val="single"/>
              </w:rPr>
            </w:pPr>
            <w:r>
              <w:rPr>
                <w:rFonts w:hint="eastAsia" w:ascii="宋体" w:hAnsi="宋体"/>
                <w:color w:val="auto"/>
                <w:szCs w:val="21"/>
                <w:highlight w:val="none"/>
                <w:u w:val="single"/>
              </w:rPr>
              <w:t>（</w:t>
            </w:r>
            <w:r>
              <w:rPr>
                <w:rFonts w:ascii="宋体" w:hAnsi="宋体"/>
                <w:color w:val="auto"/>
                <w:szCs w:val="21"/>
                <w:highlight w:val="none"/>
                <w:u w:val="single"/>
              </w:rPr>
              <w:t>3</w:t>
            </w:r>
            <w:r>
              <w:rPr>
                <w:rFonts w:hint="eastAsia" w:ascii="宋体" w:hAnsi="宋体"/>
                <w:color w:val="auto"/>
                <w:szCs w:val="21"/>
                <w:highlight w:val="none"/>
                <w:u w:val="single"/>
              </w:rPr>
              <w:t>）宣布开标人、唱标人、记录人、监标人等有关人员姓名；</w:t>
            </w:r>
          </w:p>
          <w:p w14:paraId="32FE7001">
            <w:pPr>
              <w:snapToGrid w:val="0"/>
              <w:spacing w:line="276" w:lineRule="auto"/>
              <w:rPr>
                <w:rFonts w:ascii="宋体" w:hAnsi="宋体"/>
                <w:color w:val="auto"/>
                <w:szCs w:val="21"/>
                <w:highlight w:val="none"/>
                <w:u w:val="single"/>
              </w:rPr>
            </w:pPr>
            <w:r>
              <w:rPr>
                <w:rFonts w:hint="eastAsia" w:ascii="宋体" w:hAnsi="宋体"/>
                <w:color w:val="auto"/>
                <w:szCs w:val="21"/>
                <w:highlight w:val="none"/>
                <w:u w:val="single"/>
              </w:rPr>
              <w:t>（</w:t>
            </w:r>
            <w:r>
              <w:rPr>
                <w:rFonts w:ascii="宋体" w:hAnsi="宋体"/>
                <w:color w:val="auto"/>
                <w:szCs w:val="21"/>
                <w:highlight w:val="none"/>
                <w:u w:val="single"/>
              </w:rPr>
              <w:t>4</w:t>
            </w:r>
            <w:r>
              <w:rPr>
                <w:rFonts w:hint="eastAsia" w:ascii="宋体" w:hAnsi="宋体"/>
                <w:color w:val="auto"/>
                <w:szCs w:val="21"/>
                <w:highlight w:val="none"/>
                <w:u w:val="single"/>
              </w:rPr>
              <w:t>）投标人通过电子招标投标交易平台对已递交的电子投标文件进行解密，公布招标项目名称、投标人名称、投标保证金的递交情况、投标报价及其他内容，并记录在案；</w:t>
            </w:r>
          </w:p>
          <w:p w14:paraId="250A4EEB">
            <w:pPr>
              <w:snapToGrid w:val="0"/>
              <w:spacing w:line="276" w:lineRule="auto"/>
              <w:rPr>
                <w:rFonts w:ascii="宋体" w:hAnsi="宋体"/>
                <w:color w:val="auto"/>
                <w:szCs w:val="21"/>
                <w:highlight w:val="none"/>
                <w:u w:val="single"/>
              </w:rPr>
            </w:pPr>
            <w:r>
              <w:rPr>
                <w:rFonts w:hint="eastAsia" w:ascii="宋体" w:hAnsi="宋体"/>
                <w:color w:val="auto"/>
                <w:szCs w:val="21"/>
                <w:highlight w:val="none"/>
                <w:u w:val="single"/>
              </w:rPr>
              <w:t>（</w:t>
            </w:r>
            <w:r>
              <w:rPr>
                <w:rFonts w:ascii="宋体" w:hAnsi="宋体"/>
                <w:color w:val="auto"/>
                <w:szCs w:val="21"/>
                <w:highlight w:val="none"/>
                <w:u w:val="single"/>
              </w:rPr>
              <w:t>5</w:t>
            </w:r>
            <w:r>
              <w:rPr>
                <w:rFonts w:hint="eastAsia" w:ascii="宋体" w:hAnsi="宋体"/>
                <w:color w:val="auto"/>
                <w:szCs w:val="21"/>
                <w:highlight w:val="none"/>
                <w:u w:val="single"/>
              </w:rPr>
              <w:t>）投标人代表、招标人代表、监标人、记录人等有关人员在开标记录上签字确认；若有关人员不签字的，不影响开标程序；</w:t>
            </w:r>
          </w:p>
          <w:p w14:paraId="04536E9B">
            <w:pPr>
              <w:snapToGrid w:val="0"/>
              <w:spacing w:line="276" w:lineRule="auto"/>
              <w:rPr>
                <w:rFonts w:ascii="宋体" w:hAnsi="宋体"/>
                <w:color w:val="auto"/>
                <w:szCs w:val="21"/>
                <w:highlight w:val="none"/>
                <w:u w:val="single"/>
              </w:rPr>
            </w:pPr>
            <w:r>
              <w:rPr>
                <w:rFonts w:hint="eastAsia" w:ascii="宋体" w:hAnsi="宋体"/>
                <w:color w:val="auto"/>
                <w:szCs w:val="21"/>
                <w:highlight w:val="none"/>
                <w:u w:val="single"/>
              </w:rPr>
              <w:t>（</w:t>
            </w:r>
            <w:r>
              <w:rPr>
                <w:rFonts w:ascii="宋体" w:hAnsi="宋体"/>
                <w:color w:val="auto"/>
                <w:szCs w:val="21"/>
                <w:highlight w:val="none"/>
                <w:u w:val="single"/>
              </w:rPr>
              <w:t>6</w:t>
            </w:r>
            <w:r>
              <w:rPr>
                <w:rFonts w:hint="eastAsia" w:ascii="宋体" w:hAnsi="宋体"/>
                <w:color w:val="auto"/>
                <w:szCs w:val="21"/>
                <w:highlight w:val="none"/>
                <w:u w:val="single"/>
              </w:rPr>
              <w:t>）开标结束。</w:t>
            </w:r>
          </w:p>
          <w:p w14:paraId="31C02FB6">
            <w:pPr>
              <w:snapToGrid w:val="0"/>
              <w:spacing w:line="276" w:lineRule="auto"/>
              <w:rPr>
                <w:rFonts w:ascii="宋体" w:hAnsi="宋体"/>
                <w:color w:val="auto"/>
                <w:szCs w:val="21"/>
                <w:highlight w:val="none"/>
                <w:u w:val="single"/>
              </w:rPr>
            </w:pPr>
            <w:r>
              <w:rPr>
                <w:rFonts w:ascii="宋体" w:hAnsi="宋体"/>
                <w:color w:val="auto"/>
                <w:szCs w:val="21"/>
                <w:highlight w:val="none"/>
                <w:u w:val="single"/>
              </w:rPr>
              <w:t>5.2.2</w:t>
            </w:r>
            <w:r>
              <w:rPr>
                <w:rFonts w:hint="eastAsia" w:ascii="宋体" w:hAnsi="宋体"/>
                <w:color w:val="auto"/>
                <w:szCs w:val="21"/>
                <w:highlight w:val="none"/>
                <w:u w:val="single"/>
              </w:rPr>
              <w:t>投标截止时间前未完成投标文件传输的或因投标人之外的原因造成投标文件未解密且未按要求递交备用光盘的，视为投标人撤回投标文件。因投标人原因造成投标文件未解密或未在规定的时间内解密的，视为撤销其投标文件。本项目要求投标人在投标截止时间后</w:t>
            </w:r>
            <w:r>
              <w:rPr>
                <w:rFonts w:hint="eastAsia" w:ascii="宋体" w:hAnsi="宋体"/>
                <w:color w:val="auto"/>
                <w:szCs w:val="21"/>
                <w:highlight w:val="none"/>
                <w:u w:val="single"/>
                <w:lang w:val="en-US" w:eastAsia="zh-CN"/>
              </w:rPr>
              <w:t>1</w:t>
            </w:r>
            <w:r>
              <w:rPr>
                <w:rFonts w:hint="eastAsia" w:ascii="宋体" w:hAnsi="宋体"/>
                <w:color w:val="auto"/>
                <w:szCs w:val="21"/>
                <w:highlight w:val="none"/>
                <w:u w:val="single"/>
              </w:rPr>
              <w:t>小时内解密其电子投标文件。</w:t>
            </w:r>
          </w:p>
          <w:p w14:paraId="3B429CF0">
            <w:pPr>
              <w:snapToGrid w:val="0"/>
              <w:spacing w:line="276" w:lineRule="auto"/>
              <w:rPr>
                <w:rFonts w:ascii="宋体" w:hAnsi="宋体"/>
                <w:color w:val="auto"/>
                <w:szCs w:val="21"/>
                <w:highlight w:val="none"/>
                <w:u w:val="single"/>
              </w:rPr>
            </w:pPr>
            <w:r>
              <w:rPr>
                <w:rFonts w:ascii="宋体" w:hAnsi="宋体"/>
                <w:color w:val="auto"/>
                <w:szCs w:val="21"/>
                <w:highlight w:val="none"/>
                <w:u w:val="single"/>
              </w:rPr>
              <w:t>5.2.3</w:t>
            </w:r>
            <w:r>
              <w:rPr>
                <w:rFonts w:hint="eastAsia" w:ascii="宋体" w:hAnsi="宋体"/>
                <w:color w:val="auto"/>
                <w:szCs w:val="21"/>
                <w:highlight w:val="none"/>
                <w:u w:val="single"/>
              </w:rPr>
              <w:t>开标时，两个（含两个）以上的投标人加密打包投标文件电脑机器特征码一致的，不参与下一程序，并由评标委员会否决其投标。</w:t>
            </w:r>
          </w:p>
        </w:tc>
      </w:tr>
      <w:tr w14:paraId="1E87C60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709" w:hRule="atLeast"/>
        </w:trPr>
        <w:tc>
          <w:tcPr>
            <w:tcW w:w="866" w:type="dxa"/>
            <w:vAlign w:val="center"/>
          </w:tcPr>
          <w:p w14:paraId="34937FC7">
            <w:pPr>
              <w:snapToGrid w:val="0"/>
              <w:spacing w:line="276" w:lineRule="auto"/>
              <w:jc w:val="center"/>
              <w:rPr>
                <w:rFonts w:ascii="宋体" w:hAnsi="宋体"/>
                <w:color w:val="auto"/>
                <w:szCs w:val="21"/>
                <w:highlight w:val="none"/>
              </w:rPr>
            </w:pPr>
            <w:r>
              <w:rPr>
                <w:rFonts w:ascii="宋体" w:hAnsi="宋体"/>
                <w:color w:val="auto"/>
                <w:szCs w:val="21"/>
                <w:highlight w:val="none"/>
              </w:rPr>
              <w:t>6.1.1</w:t>
            </w:r>
          </w:p>
        </w:tc>
        <w:tc>
          <w:tcPr>
            <w:tcW w:w="2160" w:type="dxa"/>
            <w:vAlign w:val="center"/>
          </w:tcPr>
          <w:p w14:paraId="03A54C53">
            <w:pPr>
              <w:snapToGrid w:val="0"/>
              <w:spacing w:line="276" w:lineRule="auto"/>
              <w:jc w:val="center"/>
              <w:rPr>
                <w:rFonts w:ascii="宋体" w:hAnsi="宋体"/>
                <w:color w:val="auto"/>
                <w:szCs w:val="21"/>
                <w:highlight w:val="none"/>
              </w:rPr>
            </w:pPr>
            <w:r>
              <w:rPr>
                <w:rFonts w:hint="eastAsia" w:ascii="宋体" w:hAnsi="宋体"/>
                <w:color w:val="auto"/>
                <w:szCs w:val="21"/>
                <w:highlight w:val="none"/>
              </w:rPr>
              <w:t>评标委员会的组建</w:t>
            </w:r>
          </w:p>
        </w:tc>
        <w:tc>
          <w:tcPr>
            <w:tcW w:w="7200" w:type="dxa"/>
            <w:vAlign w:val="center"/>
          </w:tcPr>
          <w:p w14:paraId="5AA9DE64">
            <w:pPr>
              <w:snapToGrid w:val="0"/>
              <w:spacing w:line="276" w:lineRule="auto"/>
              <w:rPr>
                <w:rFonts w:ascii="宋体" w:hAnsi="宋体"/>
                <w:color w:val="auto"/>
                <w:szCs w:val="21"/>
                <w:highlight w:val="none"/>
              </w:rPr>
            </w:pPr>
            <w:r>
              <w:rPr>
                <w:rFonts w:hint="eastAsia" w:ascii="宋体" w:hAnsi="宋体"/>
                <w:color w:val="auto"/>
                <w:szCs w:val="21"/>
                <w:highlight w:val="none"/>
              </w:rPr>
              <w:t>评标委员会构成，由招标人依法组建。</w:t>
            </w:r>
          </w:p>
          <w:p w14:paraId="7E9E5F9B">
            <w:pPr>
              <w:snapToGrid w:val="0"/>
              <w:spacing w:line="276" w:lineRule="auto"/>
              <w:rPr>
                <w:rFonts w:hint="eastAsia" w:ascii="宋体" w:hAnsi="宋体" w:eastAsia="宋体"/>
                <w:color w:val="auto"/>
                <w:szCs w:val="21"/>
                <w:highlight w:val="none"/>
                <w:lang w:eastAsia="zh-CN"/>
              </w:rPr>
            </w:pPr>
            <w:r>
              <w:rPr>
                <w:rFonts w:hint="eastAsia" w:ascii="宋体" w:hAnsi="宋体"/>
                <w:color w:val="auto"/>
                <w:szCs w:val="21"/>
                <w:highlight w:val="none"/>
              </w:rPr>
              <w:t>评标专家确定方式：从广东省综合评标评审专家库</w:t>
            </w:r>
            <w:r>
              <w:rPr>
                <w:rFonts w:hint="eastAsia" w:ascii="宋体" w:hAnsi="宋体" w:cs="宋体"/>
                <w:color w:val="auto"/>
                <w:szCs w:val="21"/>
                <w:highlight w:val="none"/>
              </w:rPr>
              <w:t>中随机抽取</w:t>
            </w:r>
            <w:r>
              <w:rPr>
                <w:rFonts w:hint="eastAsia" w:ascii="宋体" w:hAnsi="宋体" w:cs="宋体"/>
                <w:color w:val="auto"/>
                <w:szCs w:val="21"/>
                <w:highlight w:val="none"/>
                <w:lang w:eastAsia="zh-CN"/>
              </w:rPr>
              <w:t>。</w:t>
            </w:r>
          </w:p>
        </w:tc>
      </w:tr>
      <w:tr w14:paraId="562BE6E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95" w:hRule="atLeast"/>
        </w:trPr>
        <w:tc>
          <w:tcPr>
            <w:tcW w:w="866" w:type="dxa"/>
            <w:vAlign w:val="center"/>
          </w:tcPr>
          <w:p w14:paraId="360A59F7">
            <w:pPr>
              <w:snapToGrid w:val="0"/>
              <w:spacing w:line="276" w:lineRule="auto"/>
              <w:jc w:val="center"/>
              <w:rPr>
                <w:rFonts w:ascii="宋体" w:hAnsi="宋体"/>
                <w:color w:val="auto"/>
                <w:szCs w:val="21"/>
                <w:highlight w:val="none"/>
              </w:rPr>
            </w:pPr>
            <w:r>
              <w:rPr>
                <w:rFonts w:ascii="宋体" w:hAnsi="宋体"/>
                <w:color w:val="auto"/>
                <w:szCs w:val="21"/>
                <w:highlight w:val="none"/>
              </w:rPr>
              <w:t>6.3.2</w:t>
            </w:r>
          </w:p>
        </w:tc>
        <w:tc>
          <w:tcPr>
            <w:tcW w:w="2160" w:type="dxa"/>
            <w:vAlign w:val="center"/>
          </w:tcPr>
          <w:p w14:paraId="460DEABF">
            <w:pPr>
              <w:snapToGrid w:val="0"/>
              <w:spacing w:line="276" w:lineRule="auto"/>
              <w:jc w:val="center"/>
              <w:rPr>
                <w:rFonts w:ascii="宋体" w:hAnsi="宋体"/>
                <w:color w:val="auto"/>
                <w:szCs w:val="21"/>
                <w:highlight w:val="none"/>
              </w:rPr>
            </w:pPr>
            <w:r>
              <w:rPr>
                <w:rFonts w:hint="eastAsia" w:ascii="宋体" w:hAnsi="宋体"/>
                <w:color w:val="auto"/>
                <w:szCs w:val="21"/>
                <w:highlight w:val="none"/>
              </w:rPr>
              <w:t>评标委员会推荐中标候选人的人数</w:t>
            </w:r>
          </w:p>
        </w:tc>
        <w:tc>
          <w:tcPr>
            <w:tcW w:w="7200" w:type="dxa"/>
            <w:vAlign w:val="center"/>
          </w:tcPr>
          <w:p w14:paraId="17AFECB1">
            <w:pPr>
              <w:snapToGrid w:val="0"/>
              <w:spacing w:line="276" w:lineRule="auto"/>
              <w:rPr>
                <w:rFonts w:ascii="宋体" w:hAnsi="宋体"/>
                <w:color w:val="auto"/>
                <w:szCs w:val="21"/>
                <w:highlight w:val="none"/>
              </w:rPr>
            </w:pPr>
            <w:r>
              <w:rPr>
                <w:rFonts w:hint="eastAsia" w:ascii="宋体" w:hAnsi="宋体"/>
                <w:color w:val="auto"/>
                <w:szCs w:val="21"/>
                <w:highlight w:val="none"/>
              </w:rPr>
              <w:t>推荐中标候选人：</w:t>
            </w:r>
            <w:r>
              <w:rPr>
                <w:rFonts w:ascii="宋体" w:hAnsi="宋体"/>
                <w:color w:val="auto"/>
                <w:szCs w:val="21"/>
                <w:highlight w:val="none"/>
                <w:u w:val="single"/>
              </w:rPr>
              <w:t xml:space="preserve"> 3</w:t>
            </w:r>
            <w:r>
              <w:rPr>
                <w:rFonts w:hint="eastAsia" w:ascii="宋体" w:hAnsi="宋体"/>
                <w:color w:val="auto"/>
                <w:szCs w:val="21"/>
                <w:highlight w:val="none"/>
                <w:u w:val="single"/>
              </w:rPr>
              <w:t>人</w:t>
            </w:r>
          </w:p>
        </w:tc>
      </w:tr>
      <w:tr w14:paraId="0111F66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866" w:type="dxa"/>
            <w:vAlign w:val="center"/>
          </w:tcPr>
          <w:p w14:paraId="5A9F504A">
            <w:pPr>
              <w:snapToGrid w:val="0"/>
              <w:spacing w:line="276" w:lineRule="auto"/>
              <w:jc w:val="center"/>
              <w:rPr>
                <w:rFonts w:ascii="宋体" w:hAnsi="宋体"/>
                <w:color w:val="auto"/>
                <w:szCs w:val="21"/>
                <w:highlight w:val="none"/>
              </w:rPr>
            </w:pPr>
            <w:r>
              <w:rPr>
                <w:rFonts w:ascii="宋体" w:hAnsi="宋体"/>
                <w:color w:val="auto"/>
                <w:szCs w:val="21"/>
                <w:highlight w:val="none"/>
              </w:rPr>
              <w:t>7.1</w:t>
            </w:r>
          </w:p>
        </w:tc>
        <w:tc>
          <w:tcPr>
            <w:tcW w:w="2160" w:type="dxa"/>
            <w:vAlign w:val="center"/>
          </w:tcPr>
          <w:p w14:paraId="35F63ACB">
            <w:pPr>
              <w:snapToGrid w:val="0"/>
              <w:spacing w:line="276" w:lineRule="auto"/>
              <w:jc w:val="center"/>
              <w:rPr>
                <w:rFonts w:ascii="宋体" w:hAnsi="宋体"/>
                <w:color w:val="auto"/>
                <w:szCs w:val="21"/>
                <w:highlight w:val="none"/>
              </w:rPr>
            </w:pPr>
            <w:r>
              <w:rPr>
                <w:rFonts w:hint="eastAsia" w:ascii="宋体" w:hAnsi="宋体"/>
                <w:color w:val="auto"/>
                <w:szCs w:val="21"/>
                <w:highlight w:val="none"/>
              </w:rPr>
              <w:t>中标候选人公示媒介及期限</w:t>
            </w:r>
          </w:p>
        </w:tc>
        <w:tc>
          <w:tcPr>
            <w:tcW w:w="7200" w:type="dxa"/>
            <w:vAlign w:val="center"/>
          </w:tcPr>
          <w:p w14:paraId="5C0D5C75">
            <w:pPr>
              <w:spacing w:line="400" w:lineRule="exact"/>
              <w:rPr>
                <w:rFonts w:ascii="宋体" w:hAnsi="宋体"/>
                <w:color w:val="auto"/>
                <w:szCs w:val="21"/>
                <w:highlight w:val="none"/>
              </w:rPr>
            </w:pPr>
            <w:r>
              <w:rPr>
                <w:rFonts w:hint="eastAsia" w:ascii="宋体" w:hAnsi="宋体"/>
                <w:color w:val="auto"/>
                <w:szCs w:val="21"/>
                <w:highlight w:val="none"/>
              </w:rPr>
              <w:t>公示媒介：</w:t>
            </w:r>
            <w:r>
              <w:rPr>
                <w:rFonts w:hint="eastAsia" w:ascii="宋体" w:hAnsi="宋体" w:cs="宋体"/>
                <w:color w:val="auto"/>
                <w:szCs w:val="21"/>
                <w:highlight w:val="none"/>
                <w:u w:val="single"/>
                <w:lang w:eastAsia="zh-CN"/>
              </w:rPr>
              <w:t>广州交易集团有限公司（广州公共资源交易中心）</w:t>
            </w:r>
            <w:r>
              <w:rPr>
                <w:rFonts w:hint="eastAsia" w:ascii="宋体" w:hAnsi="宋体" w:cs="宋体"/>
                <w:color w:val="auto"/>
                <w:szCs w:val="21"/>
                <w:highlight w:val="none"/>
                <w:u w:val="single"/>
              </w:rPr>
              <w:t>网站、广东省招标投标监管网、中国招标投标公共服务平台</w:t>
            </w:r>
          </w:p>
          <w:p w14:paraId="03B02246">
            <w:pPr>
              <w:snapToGrid w:val="0"/>
              <w:spacing w:line="276" w:lineRule="auto"/>
              <w:ind w:right="106"/>
              <w:rPr>
                <w:rFonts w:ascii="宋体" w:hAnsi="宋体"/>
                <w:color w:val="auto"/>
                <w:szCs w:val="21"/>
                <w:highlight w:val="none"/>
              </w:rPr>
            </w:pPr>
            <w:r>
              <w:rPr>
                <w:rFonts w:hint="eastAsia" w:ascii="宋体" w:hAnsi="宋体"/>
                <w:color w:val="auto"/>
                <w:szCs w:val="21"/>
                <w:highlight w:val="none"/>
              </w:rPr>
              <w:t>公示期限：</w:t>
            </w:r>
            <w:r>
              <w:rPr>
                <w:rFonts w:ascii="宋体" w:hAnsi="宋体"/>
                <w:color w:val="auto"/>
                <w:szCs w:val="21"/>
                <w:highlight w:val="none"/>
                <w:u w:val="single"/>
              </w:rPr>
              <w:t>3</w:t>
            </w:r>
            <w:r>
              <w:rPr>
                <w:rFonts w:hint="eastAsia" w:ascii="宋体" w:hAnsi="宋体"/>
                <w:color w:val="auto"/>
                <w:szCs w:val="21"/>
                <w:highlight w:val="none"/>
              </w:rPr>
              <w:t>日</w:t>
            </w:r>
          </w:p>
        </w:tc>
      </w:tr>
      <w:tr w14:paraId="0327A68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866" w:type="dxa"/>
            <w:vAlign w:val="center"/>
          </w:tcPr>
          <w:p w14:paraId="660E0F3A">
            <w:pPr>
              <w:snapToGrid w:val="0"/>
              <w:spacing w:line="276" w:lineRule="auto"/>
              <w:jc w:val="center"/>
              <w:rPr>
                <w:rFonts w:ascii="宋体" w:hAnsi="宋体"/>
                <w:color w:val="auto"/>
                <w:szCs w:val="21"/>
                <w:highlight w:val="none"/>
              </w:rPr>
            </w:pPr>
            <w:r>
              <w:rPr>
                <w:rFonts w:ascii="宋体" w:hAnsi="宋体"/>
                <w:color w:val="auto"/>
                <w:szCs w:val="21"/>
                <w:highlight w:val="none"/>
              </w:rPr>
              <w:t>7.4</w:t>
            </w:r>
          </w:p>
        </w:tc>
        <w:tc>
          <w:tcPr>
            <w:tcW w:w="2160" w:type="dxa"/>
            <w:vAlign w:val="center"/>
          </w:tcPr>
          <w:p w14:paraId="783527DD">
            <w:pPr>
              <w:snapToGrid w:val="0"/>
              <w:spacing w:line="276" w:lineRule="auto"/>
              <w:jc w:val="center"/>
              <w:rPr>
                <w:rFonts w:ascii="宋体" w:hAnsi="宋体"/>
                <w:color w:val="auto"/>
                <w:szCs w:val="21"/>
                <w:highlight w:val="none"/>
              </w:rPr>
            </w:pPr>
            <w:r>
              <w:rPr>
                <w:rFonts w:hint="eastAsia" w:ascii="宋体" w:hAnsi="宋体"/>
                <w:color w:val="auto"/>
                <w:szCs w:val="21"/>
                <w:highlight w:val="none"/>
              </w:rPr>
              <w:t>是否授权评标委员会确定中标人</w:t>
            </w:r>
          </w:p>
        </w:tc>
        <w:tc>
          <w:tcPr>
            <w:tcW w:w="7200" w:type="dxa"/>
            <w:vAlign w:val="center"/>
          </w:tcPr>
          <w:p w14:paraId="132A5436">
            <w:pPr>
              <w:spacing w:line="276" w:lineRule="auto"/>
              <w:rPr>
                <w:rFonts w:ascii="宋体" w:hAnsi="宋体"/>
                <w:color w:val="auto"/>
                <w:szCs w:val="21"/>
                <w:highlight w:val="none"/>
              </w:rPr>
            </w:pPr>
            <w:r>
              <w:rPr>
                <w:rFonts w:hint="eastAsia" w:ascii="宋体" w:hAnsi="宋体"/>
                <w:color w:val="auto"/>
                <w:szCs w:val="21"/>
                <w:highlight w:val="none"/>
              </w:rPr>
              <w:t>□是</w:t>
            </w:r>
          </w:p>
          <w:p w14:paraId="395E2A7E">
            <w:pPr>
              <w:spacing w:line="276" w:lineRule="auto"/>
              <w:rPr>
                <w:rFonts w:ascii="宋体" w:hAnsi="宋体"/>
                <w:color w:val="auto"/>
                <w:szCs w:val="21"/>
                <w:highlight w:val="none"/>
              </w:rPr>
            </w:pPr>
            <w:r>
              <w:rPr>
                <w:rFonts w:hint="eastAsia" w:ascii="宋体" w:hAnsi="宋体"/>
                <w:color w:val="auto"/>
                <w:szCs w:val="21"/>
                <w:highlight w:val="none"/>
              </w:rPr>
              <w:t>■否</w:t>
            </w:r>
          </w:p>
        </w:tc>
      </w:tr>
      <w:tr w14:paraId="5EEF798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214" w:hRule="atLeast"/>
        </w:trPr>
        <w:tc>
          <w:tcPr>
            <w:tcW w:w="866" w:type="dxa"/>
            <w:vAlign w:val="center"/>
          </w:tcPr>
          <w:p w14:paraId="182555F4">
            <w:pPr>
              <w:snapToGrid w:val="0"/>
              <w:spacing w:line="276" w:lineRule="auto"/>
              <w:jc w:val="center"/>
              <w:rPr>
                <w:rFonts w:ascii="宋体" w:hAnsi="宋体"/>
                <w:color w:val="auto"/>
                <w:szCs w:val="21"/>
                <w:highlight w:val="none"/>
              </w:rPr>
            </w:pPr>
            <w:r>
              <w:rPr>
                <w:rFonts w:ascii="宋体" w:hAnsi="宋体"/>
                <w:color w:val="auto"/>
                <w:szCs w:val="21"/>
                <w:highlight w:val="none"/>
              </w:rPr>
              <w:t>7.6.1</w:t>
            </w:r>
          </w:p>
        </w:tc>
        <w:tc>
          <w:tcPr>
            <w:tcW w:w="2160" w:type="dxa"/>
            <w:vAlign w:val="center"/>
          </w:tcPr>
          <w:p w14:paraId="13CFFCF0">
            <w:pPr>
              <w:snapToGrid w:val="0"/>
              <w:spacing w:line="276" w:lineRule="auto"/>
              <w:jc w:val="center"/>
              <w:rPr>
                <w:rFonts w:ascii="宋体" w:hAnsi="宋体"/>
                <w:color w:val="auto"/>
                <w:szCs w:val="21"/>
                <w:highlight w:val="none"/>
              </w:rPr>
            </w:pPr>
            <w:r>
              <w:rPr>
                <w:rFonts w:hint="eastAsia" w:ascii="宋体" w:hAnsi="宋体"/>
                <w:color w:val="auto"/>
                <w:szCs w:val="21"/>
                <w:highlight w:val="none"/>
              </w:rPr>
              <w:t>履约保证金</w:t>
            </w:r>
          </w:p>
        </w:tc>
        <w:tc>
          <w:tcPr>
            <w:tcW w:w="7200" w:type="dxa"/>
            <w:vAlign w:val="center"/>
          </w:tcPr>
          <w:p w14:paraId="3350B0B2">
            <w:pPr>
              <w:topLinePunct/>
              <w:rPr>
                <w:rFonts w:hAnsi="宋体"/>
                <w:color w:val="auto"/>
                <w:sz w:val="21"/>
                <w:szCs w:val="21"/>
                <w:highlight w:val="none"/>
              </w:rPr>
            </w:pPr>
            <w:r>
              <w:rPr>
                <w:rFonts w:hint="eastAsia" w:hAnsi="宋体"/>
                <w:color w:val="auto"/>
                <w:sz w:val="21"/>
                <w:szCs w:val="21"/>
                <w:highlight w:val="none"/>
              </w:rPr>
              <w:t>是否要求中标人提交履约保证金：</w:t>
            </w:r>
          </w:p>
          <w:p w14:paraId="54583FA8">
            <w:pPr>
              <w:jc w:val="both"/>
              <w:rPr>
                <w:color w:val="auto"/>
                <w:highlight w:val="none"/>
              </w:rPr>
            </w:pPr>
            <w:r>
              <w:rPr>
                <w:rFonts w:hint="eastAsia" w:hAnsi="宋体"/>
                <w:color w:val="auto"/>
                <w:sz w:val="21"/>
                <w:szCs w:val="21"/>
                <w:highlight w:val="none"/>
              </w:rPr>
              <w:t>□不要求</w:t>
            </w:r>
          </w:p>
          <w:p w14:paraId="6E4B991B">
            <w:pPr>
              <w:jc w:val="both"/>
              <w:rPr>
                <w:rFonts w:hint="eastAsia" w:hAnsi="宋体"/>
                <w:color w:val="auto"/>
                <w:sz w:val="21"/>
                <w:szCs w:val="21"/>
                <w:highlight w:val="none"/>
              </w:rPr>
            </w:pPr>
            <w:r>
              <w:rPr>
                <w:rFonts w:hint="eastAsia" w:ascii="宋体" w:hAnsi="宋体"/>
                <w:color w:val="auto"/>
                <w:szCs w:val="21"/>
                <w:highlight w:val="none"/>
                <w:lang w:eastAsia="zh-CN"/>
              </w:rPr>
              <w:t>☑</w:t>
            </w:r>
            <w:r>
              <w:rPr>
                <w:rFonts w:hint="eastAsia" w:hAnsi="宋体"/>
                <w:color w:val="auto"/>
                <w:sz w:val="21"/>
                <w:szCs w:val="21"/>
                <w:highlight w:val="none"/>
              </w:rPr>
              <w:t>要求</w:t>
            </w:r>
          </w:p>
          <w:p w14:paraId="75C90BCF">
            <w:pPr>
              <w:topLinePunct/>
              <w:rPr>
                <w:rFonts w:hAnsi="宋体"/>
                <w:color w:val="auto"/>
                <w:sz w:val="21"/>
                <w:szCs w:val="21"/>
                <w:highlight w:val="none"/>
              </w:rPr>
            </w:pPr>
            <w:r>
              <w:rPr>
                <w:rFonts w:hint="eastAsia" w:ascii="宋体" w:hAnsi="宋体"/>
                <w:color w:val="auto"/>
                <w:szCs w:val="21"/>
                <w:highlight w:val="none"/>
                <w:u w:val="single"/>
              </w:rPr>
              <w:t>中标人自主选择提供</w:t>
            </w:r>
            <w:r>
              <w:rPr>
                <w:rFonts w:hint="eastAsia" w:ascii="宋体" w:hAnsi="宋体"/>
                <w:color w:val="auto"/>
                <w:szCs w:val="21"/>
                <w:highlight w:val="none"/>
                <w:u w:val="single"/>
                <w:lang w:val="en-US" w:eastAsia="zh-CN"/>
              </w:rPr>
              <w:t>符合合同约定的</w:t>
            </w:r>
            <w:r>
              <w:rPr>
                <w:rFonts w:hint="eastAsia" w:ascii="宋体" w:hAnsi="宋体"/>
                <w:color w:val="auto"/>
                <w:szCs w:val="21"/>
                <w:highlight w:val="none"/>
                <w:u w:val="single"/>
              </w:rPr>
              <w:t>履约担保的形式</w:t>
            </w:r>
            <w:r>
              <w:rPr>
                <w:rFonts w:hint="eastAsia" w:ascii="宋体" w:hAnsi="宋体"/>
                <w:color w:val="auto"/>
                <w:szCs w:val="21"/>
                <w:highlight w:val="none"/>
                <w:u w:val="single"/>
                <w:lang w:eastAsia="zh-CN"/>
              </w:rPr>
              <w:t>，提供的履约保证金金额为中标价款的10%。</w:t>
            </w:r>
          </w:p>
        </w:tc>
      </w:tr>
      <w:tr w14:paraId="6156194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866" w:type="dxa"/>
            <w:vAlign w:val="center"/>
          </w:tcPr>
          <w:p w14:paraId="6E44DD11">
            <w:pPr>
              <w:snapToGrid w:val="0"/>
              <w:spacing w:line="276" w:lineRule="auto"/>
              <w:jc w:val="center"/>
              <w:rPr>
                <w:rFonts w:ascii="宋体" w:hAnsi="宋体"/>
                <w:color w:val="auto"/>
                <w:szCs w:val="21"/>
                <w:highlight w:val="none"/>
              </w:rPr>
            </w:pPr>
            <w:r>
              <w:rPr>
                <w:rFonts w:ascii="宋体" w:hAnsi="宋体"/>
                <w:color w:val="auto"/>
                <w:szCs w:val="21"/>
                <w:highlight w:val="none"/>
              </w:rPr>
              <w:t>9</w:t>
            </w:r>
          </w:p>
        </w:tc>
        <w:tc>
          <w:tcPr>
            <w:tcW w:w="2160" w:type="dxa"/>
            <w:vAlign w:val="center"/>
          </w:tcPr>
          <w:p w14:paraId="6E91E3CA">
            <w:pPr>
              <w:snapToGrid w:val="0"/>
              <w:spacing w:line="276" w:lineRule="auto"/>
              <w:jc w:val="center"/>
              <w:rPr>
                <w:rFonts w:ascii="宋体" w:hAnsi="宋体"/>
                <w:color w:val="auto"/>
                <w:szCs w:val="21"/>
                <w:highlight w:val="none"/>
              </w:rPr>
            </w:pPr>
            <w:r>
              <w:rPr>
                <w:rFonts w:hint="eastAsia" w:ascii="宋体" w:hAnsi="宋体"/>
                <w:color w:val="auto"/>
                <w:szCs w:val="21"/>
                <w:highlight w:val="none"/>
              </w:rPr>
              <w:t>是否采用电子招标投标</w:t>
            </w:r>
          </w:p>
        </w:tc>
        <w:tc>
          <w:tcPr>
            <w:tcW w:w="7200" w:type="dxa"/>
            <w:vAlign w:val="center"/>
          </w:tcPr>
          <w:p w14:paraId="0AF48324">
            <w:pPr>
              <w:rPr>
                <w:rFonts w:ascii="宋体" w:hAnsi="宋体"/>
                <w:color w:val="auto"/>
                <w:szCs w:val="21"/>
                <w:highlight w:val="none"/>
              </w:rPr>
            </w:pPr>
            <w:r>
              <w:rPr>
                <w:rFonts w:hint="eastAsia" w:ascii="宋体" w:hAnsi="宋体" w:cs="宋体"/>
                <w:color w:val="auto"/>
                <w:szCs w:val="21"/>
                <w:highlight w:val="none"/>
              </w:rPr>
              <w:t>□</w:t>
            </w:r>
            <w:r>
              <w:rPr>
                <w:rFonts w:hint="eastAsia" w:ascii="宋体" w:hAnsi="宋体"/>
                <w:color w:val="auto"/>
                <w:szCs w:val="21"/>
                <w:highlight w:val="none"/>
              </w:rPr>
              <w:t>否</w:t>
            </w:r>
          </w:p>
          <w:p w14:paraId="799FBCF3">
            <w:pPr>
              <w:ind w:left="2099" w:leftChars="3" w:hanging="2093" w:hangingChars="997"/>
              <w:rPr>
                <w:rFonts w:ascii="宋体" w:hAnsi="宋体"/>
                <w:color w:val="auto"/>
                <w:szCs w:val="21"/>
                <w:highlight w:val="none"/>
              </w:rPr>
            </w:pPr>
            <w:r>
              <w:rPr>
                <w:rFonts w:hint="eastAsia" w:ascii="宋体" w:hAnsi="宋体"/>
                <w:color w:val="auto"/>
                <w:szCs w:val="21"/>
                <w:highlight w:val="none"/>
              </w:rPr>
              <w:t>■是，具体要求：</w:t>
            </w:r>
          </w:p>
          <w:p w14:paraId="6904ACA4">
            <w:pPr>
              <w:jc w:val="left"/>
              <w:rPr>
                <w:rFonts w:ascii="宋体" w:hAnsi="宋体"/>
                <w:color w:val="auto"/>
                <w:szCs w:val="21"/>
                <w:highlight w:val="none"/>
                <w:u w:val="single"/>
              </w:rPr>
            </w:pPr>
            <w:r>
              <w:rPr>
                <w:rFonts w:hint="eastAsia" w:ascii="宋体" w:hAnsi="宋体" w:cs="Courier New"/>
                <w:color w:val="auto"/>
                <w:szCs w:val="21"/>
                <w:highlight w:val="none"/>
                <w:u w:val="single"/>
              </w:rPr>
              <w:t>1.具体操作详见</w:t>
            </w:r>
            <w:r>
              <w:rPr>
                <w:rFonts w:hint="eastAsia" w:ascii="宋体" w:hAnsi="宋体" w:cs="Courier New"/>
                <w:color w:val="auto"/>
                <w:szCs w:val="21"/>
                <w:highlight w:val="none"/>
                <w:u w:val="single"/>
                <w:lang w:eastAsia="zh-CN"/>
              </w:rPr>
              <w:t>广州交易集团有限公司（广州公共资源交易中心）</w:t>
            </w:r>
            <w:r>
              <w:rPr>
                <w:rFonts w:hint="eastAsia" w:ascii="宋体" w:hAnsi="宋体" w:cs="Courier New"/>
                <w:color w:val="auto"/>
                <w:szCs w:val="21"/>
                <w:highlight w:val="none"/>
                <w:u w:val="single"/>
              </w:rPr>
              <w:t>网站最新发布的指引。</w:t>
            </w:r>
          </w:p>
          <w:p w14:paraId="26D53E49">
            <w:pPr>
              <w:rPr>
                <w:rFonts w:ascii="宋体" w:hAnsi="宋体" w:cs="Courier New"/>
                <w:color w:val="auto"/>
                <w:szCs w:val="21"/>
                <w:highlight w:val="none"/>
                <w:u w:val="single"/>
              </w:rPr>
            </w:pPr>
            <w:r>
              <w:rPr>
                <w:rFonts w:hint="eastAsia" w:ascii="宋体" w:hAnsi="宋体" w:cs="Courier New"/>
                <w:color w:val="auto"/>
                <w:szCs w:val="21"/>
                <w:highlight w:val="none"/>
                <w:u w:val="single"/>
              </w:rPr>
              <w:t>2.提交投标文件光盘备用</w:t>
            </w:r>
          </w:p>
          <w:p w14:paraId="2B6C36D4">
            <w:pPr>
              <w:rPr>
                <w:rFonts w:ascii="宋体" w:hAnsi="宋体"/>
                <w:color w:val="auto"/>
                <w:szCs w:val="21"/>
                <w:highlight w:val="none"/>
                <w:u w:val="single"/>
              </w:rPr>
            </w:pPr>
            <w:r>
              <w:rPr>
                <w:rFonts w:hint="eastAsia" w:ascii="宋体" w:hAnsi="宋体"/>
                <w:color w:val="auto"/>
                <w:szCs w:val="21"/>
                <w:highlight w:val="none"/>
                <w:u w:val="single"/>
              </w:rPr>
              <w:t>投标人将按</w:t>
            </w:r>
            <w:r>
              <w:rPr>
                <w:rFonts w:hint="eastAsia" w:ascii="宋体" w:hAnsi="宋体"/>
                <w:color w:val="auto"/>
                <w:szCs w:val="21"/>
                <w:highlight w:val="none"/>
                <w:u w:val="single"/>
                <w:lang w:eastAsia="zh-CN"/>
              </w:rPr>
              <w:t>广州交易集团有限公司（广州公共资源交易中心）</w:t>
            </w:r>
            <w:r>
              <w:rPr>
                <w:rFonts w:hint="eastAsia" w:ascii="宋体" w:hAnsi="宋体"/>
                <w:color w:val="auto"/>
                <w:szCs w:val="21"/>
                <w:highlight w:val="none"/>
                <w:u w:val="single"/>
              </w:rPr>
              <w:t>网站最新发布的指引的操作方法制作的非加密的电子投标文件刻入光盘（1份），在开标现场（投标截止时间前）提交备用。刻录好的投标文件光盘密封在密封袋中，并在封口处加盖投标人单位公章。密封袋上应写明的内容见投标人须知前附表要求4.1.2。现场递交的投标文件（光盘）不得加密。光盘（投标文件）无法读取或导入的，则视为未提交备用投标文件光盘。如果投标人没有按规定通过交易平台网上递交电子投标文件的，不再接受现场提交的光盘。投标人也可不提交备用光盘。</w:t>
            </w:r>
          </w:p>
          <w:p w14:paraId="120068ED">
            <w:pPr>
              <w:rPr>
                <w:rFonts w:ascii="宋体" w:hAnsi="宋体"/>
                <w:color w:val="auto"/>
                <w:szCs w:val="21"/>
                <w:highlight w:val="none"/>
                <w:u w:val="single"/>
              </w:rPr>
            </w:pPr>
            <w:r>
              <w:rPr>
                <w:rFonts w:ascii="宋体" w:hAnsi="宋体"/>
                <w:color w:val="auto"/>
                <w:szCs w:val="21"/>
                <w:highlight w:val="none"/>
                <w:u w:val="single"/>
              </w:rPr>
              <w:t>3.</w:t>
            </w:r>
            <w:r>
              <w:rPr>
                <w:rFonts w:hint="eastAsia" w:ascii="宋体" w:hAnsi="宋体"/>
                <w:color w:val="auto"/>
                <w:szCs w:val="21"/>
                <w:highlight w:val="none"/>
                <w:u w:val="single"/>
              </w:rPr>
              <w:t>补救方案</w:t>
            </w:r>
          </w:p>
          <w:p w14:paraId="02066F54">
            <w:pPr>
              <w:rPr>
                <w:rFonts w:ascii="宋体" w:hAnsi="宋体"/>
                <w:color w:val="auto"/>
                <w:szCs w:val="21"/>
                <w:highlight w:val="none"/>
                <w:u w:val="single"/>
              </w:rPr>
            </w:pPr>
            <w:r>
              <w:rPr>
                <w:rFonts w:hint="eastAsia" w:ascii="宋体" w:hAnsi="宋体"/>
                <w:color w:val="auto"/>
                <w:szCs w:val="21"/>
                <w:highlight w:val="none"/>
                <w:u w:val="single"/>
              </w:rPr>
              <w:t>（</w:t>
            </w:r>
            <w:r>
              <w:rPr>
                <w:rFonts w:ascii="宋体" w:hAnsi="宋体"/>
                <w:color w:val="auto"/>
                <w:szCs w:val="21"/>
                <w:highlight w:val="none"/>
                <w:u w:val="single"/>
              </w:rPr>
              <w:t>1</w:t>
            </w:r>
            <w:r>
              <w:rPr>
                <w:rFonts w:hint="eastAsia" w:ascii="宋体" w:hAnsi="宋体"/>
                <w:color w:val="auto"/>
                <w:szCs w:val="21"/>
                <w:highlight w:val="none"/>
                <w:u w:val="single"/>
              </w:rPr>
              <w:t>）投标文件解密失败的补救方案：</w:t>
            </w:r>
          </w:p>
          <w:p w14:paraId="4BE77925">
            <w:pPr>
              <w:rPr>
                <w:rFonts w:ascii="宋体" w:hAnsi="宋体"/>
                <w:color w:val="auto"/>
                <w:szCs w:val="21"/>
                <w:highlight w:val="none"/>
                <w:u w:val="single"/>
              </w:rPr>
            </w:pPr>
            <w:r>
              <w:rPr>
                <w:rFonts w:hint="eastAsia" w:ascii="宋体" w:hAnsi="宋体"/>
                <w:color w:val="auto"/>
                <w:szCs w:val="21"/>
                <w:highlight w:val="none"/>
                <w:u w:val="single"/>
              </w:rPr>
              <w:t>在规定时间内，因投标人之外原因（指网络瘫痪、服务器损坏、交易系统故障短期无法恢复等因素）导致的电子投标文件解密失败，在开标现场读取光盘内容，继续开标程序。评标委员会对其投标文件的评审以光盘内容为准。因投标人之外原因解密失败且未递交电子光盘或递交的电子光盘不能读取的，视为撤回投标文件。</w:t>
            </w:r>
          </w:p>
          <w:p w14:paraId="76980568">
            <w:pPr>
              <w:rPr>
                <w:rFonts w:ascii="宋体" w:hAnsi="宋体"/>
                <w:color w:val="auto"/>
                <w:szCs w:val="21"/>
                <w:highlight w:val="none"/>
                <w:u w:val="single"/>
              </w:rPr>
            </w:pPr>
            <w:r>
              <w:rPr>
                <w:rFonts w:hint="eastAsia" w:ascii="宋体" w:hAnsi="宋体"/>
                <w:color w:val="auto"/>
                <w:szCs w:val="21"/>
                <w:highlight w:val="none"/>
                <w:u w:val="single"/>
              </w:rPr>
              <w:t>（</w:t>
            </w:r>
            <w:r>
              <w:rPr>
                <w:rFonts w:ascii="宋体" w:hAnsi="宋体"/>
                <w:color w:val="auto"/>
                <w:szCs w:val="21"/>
                <w:highlight w:val="none"/>
                <w:u w:val="single"/>
              </w:rPr>
              <w:t>2</w:t>
            </w:r>
            <w:r>
              <w:rPr>
                <w:rFonts w:hint="eastAsia" w:ascii="宋体" w:hAnsi="宋体"/>
                <w:color w:val="auto"/>
                <w:szCs w:val="21"/>
                <w:highlight w:val="none"/>
                <w:u w:val="single"/>
              </w:rPr>
              <w:t>）评标时突发情况的补救方案</w:t>
            </w:r>
          </w:p>
          <w:p w14:paraId="2D3A0242">
            <w:pPr>
              <w:rPr>
                <w:rFonts w:ascii="宋体" w:hAnsi="宋体"/>
                <w:color w:val="auto"/>
                <w:szCs w:val="21"/>
                <w:highlight w:val="none"/>
                <w:u w:val="single"/>
              </w:rPr>
            </w:pPr>
            <w:r>
              <w:rPr>
                <w:rFonts w:hint="eastAsia" w:ascii="宋体" w:hAnsi="宋体"/>
                <w:color w:val="auto"/>
                <w:szCs w:val="21"/>
                <w:highlight w:val="none"/>
                <w:u w:val="single"/>
              </w:rPr>
              <w:t>若遇不可抗力发生（如：网络瘫痪、服务器损坏、交易系统故障短期无法恢复等因素），由评标委员会开启递交的全部投标文件光盘，并按光盘内容进行评审。</w:t>
            </w:r>
          </w:p>
          <w:p w14:paraId="5CB25597">
            <w:pPr>
              <w:rPr>
                <w:rFonts w:ascii="宋体" w:hAnsi="宋体"/>
                <w:color w:val="auto"/>
                <w:szCs w:val="21"/>
                <w:highlight w:val="none"/>
                <w:u w:val="single"/>
              </w:rPr>
            </w:pPr>
            <w:r>
              <w:rPr>
                <w:rFonts w:hint="eastAsia" w:ascii="宋体" w:hAnsi="宋体"/>
                <w:color w:val="auto"/>
                <w:szCs w:val="21"/>
                <w:highlight w:val="none"/>
                <w:u w:val="single"/>
              </w:rPr>
              <w:t>（</w:t>
            </w:r>
            <w:r>
              <w:rPr>
                <w:rFonts w:ascii="宋体" w:hAnsi="宋体"/>
                <w:color w:val="auto"/>
                <w:szCs w:val="21"/>
                <w:highlight w:val="none"/>
                <w:u w:val="single"/>
              </w:rPr>
              <w:t>3</w:t>
            </w:r>
            <w:r>
              <w:rPr>
                <w:rFonts w:hint="eastAsia" w:ascii="宋体" w:hAnsi="宋体"/>
                <w:color w:val="auto"/>
                <w:szCs w:val="21"/>
                <w:highlight w:val="none"/>
                <w:u w:val="single"/>
              </w:rPr>
              <w:t>）除发生上述情况外，开标评标均以投标人通过交易平台网上递交的电子投标文件为准。</w:t>
            </w:r>
          </w:p>
        </w:tc>
      </w:tr>
      <w:tr w14:paraId="4AE337B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76" w:hRule="atLeast"/>
        </w:trPr>
        <w:tc>
          <w:tcPr>
            <w:tcW w:w="866" w:type="dxa"/>
            <w:vAlign w:val="center"/>
          </w:tcPr>
          <w:p w14:paraId="68439D7F">
            <w:pPr>
              <w:snapToGrid w:val="0"/>
              <w:spacing w:line="276" w:lineRule="auto"/>
              <w:jc w:val="center"/>
              <w:rPr>
                <w:rFonts w:ascii="宋体" w:hAnsi="宋体"/>
                <w:color w:val="auto"/>
                <w:szCs w:val="21"/>
                <w:highlight w:val="none"/>
              </w:rPr>
            </w:pPr>
            <w:r>
              <w:rPr>
                <w:rFonts w:ascii="宋体" w:hAnsi="宋体"/>
                <w:color w:val="auto"/>
                <w:szCs w:val="21"/>
                <w:highlight w:val="none"/>
              </w:rPr>
              <w:t>10</w:t>
            </w:r>
          </w:p>
        </w:tc>
        <w:tc>
          <w:tcPr>
            <w:tcW w:w="9360" w:type="dxa"/>
            <w:gridSpan w:val="2"/>
            <w:vAlign w:val="center"/>
          </w:tcPr>
          <w:p w14:paraId="58D78728">
            <w:pPr>
              <w:snapToGrid w:val="0"/>
              <w:spacing w:line="276" w:lineRule="auto"/>
              <w:rPr>
                <w:rFonts w:ascii="宋体" w:hAnsi="宋体"/>
                <w:color w:val="auto"/>
                <w:szCs w:val="21"/>
                <w:highlight w:val="none"/>
              </w:rPr>
            </w:pPr>
            <w:r>
              <w:rPr>
                <w:rFonts w:hint="eastAsia" w:ascii="宋体" w:hAnsi="宋体"/>
                <w:color w:val="auto"/>
                <w:szCs w:val="21"/>
                <w:highlight w:val="none"/>
              </w:rPr>
              <w:t>需要补充的其他内容</w:t>
            </w:r>
          </w:p>
        </w:tc>
      </w:tr>
      <w:tr w14:paraId="02BCBE4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866" w:type="dxa"/>
            <w:vAlign w:val="center"/>
          </w:tcPr>
          <w:p w14:paraId="1CF263F1">
            <w:pPr>
              <w:snapToGrid w:val="0"/>
              <w:spacing w:line="276" w:lineRule="auto"/>
              <w:jc w:val="center"/>
              <w:rPr>
                <w:rFonts w:ascii="宋体" w:hAnsi="宋体"/>
                <w:color w:val="auto"/>
                <w:szCs w:val="21"/>
                <w:highlight w:val="none"/>
              </w:rPr>
            </w:pPr>
            <w:r>
              <w:rPr>
                <w:rFonts w:ascii="宋体" w:hAnsi="宋体"/>
                <w:color w:val="auto"/>
                <w:szCs w:val="21"/>
                <w:highlight w:val="none"/>
              </w:rPr>
              <w:t>10.1</w:t>
            </w:r>
          </w:p>
        </w:tc>
        <w:tc>
          <w:tcPr>
            <w:tcW w:w="2160" w:type="dxa"/>
            <w:vAlign w:val="center"/>
          </w:tcPr>
          <w:p w14:paraId="2876ABBF">
            <w:pPr>
              <w:spacing w:line="276" w:lineRule="auto"/>
              <w:jc w:val="center"/>
              <w:rPr>
                <w:rFonts w:ascii="宋体" w:hAnsi="宋体"/>
                <w:color w:val="auto"/>
                <w:szCs w:val="21"/>
                <w:highlight w:val="none"/>
              </w:rPr>
            </w:pPr>
            <w:r>
              <w:rPr>
                <w:rFonts w:hint="eastAsia" w:ascii="宋体" w:hAnsi="宋体"/>
                <w:color w:val="auto"/>
                <w:szCs w:val="21"/>
                <w:highlight w:val="none"/>
              </w:rPr>
              <w:t>特别提示</w:t>
            </w:r>
          </w:p>
        </w:tc>
        <w:tc>
          <w:tcPr>
            <w:tcW w:w="7200" w:type="dxa"/>
            <w:vAlign w:val="center"/>
          </w:tcPr>
          <w:p w14:paraId="56C1947E">
            <w:pPr>
              <w:widowControl/>
              <w:shd w:val="clear" w:color="auto" w:fill="FFFFFF"/>
              <w:jc w:val="left"/>
              <w:rPr>
                <w:rFonts w:ascii="宋体" w:hAnsi="宋体"/>
                <w:color w:val="auto"/>
                <w:szCs w:val="21"/>
                <w:highlight w:val="none"/>
              </w:rPr>
            </w:pPr>
            <w:r>
              <w:rPr>
                <w:rFonts w:hint="eastAsia" w:ascii="宋体" w:hAnsi="宋体"/>
                <w:color w:val="auto"/>
                <w:szCs w:val="21"/>
                <w:highlight w:val="none"/>
              </w:rPr>
              <w:t>投标人在本项目招标人的工程项目中存在下列行为的，将被拒绝一年内参与我单位后续工程投标。（注：拒绝投标时限由招标人视严重程度确定，最低三个月起，自招标人发出通知之日起计）：</w:t>
            </w:r>
          </w:p>
          <w:p w14:paraId="5E07904A">
            <w:pPr>
              <w:widowControl/>
              <w:shd w:val="clear" w:color="auto" w:fill="FFFFFF"/>
              <w:jc w:val="left"/>
              <w:rPr>
                <w:rFonts w:ascii="宋体" w:hAnsi="宋体"/>
                <w:color w:val="auto"/>
                <w:szCs w:val="21"/>
                <w:highlight w:val="none"/>
              </w:rPr>
            </w:pPr>
            <w:r>
              <w:rPr>
                <w:rFonts w:hint="eastAsia" w:ascii="宋体" w:hAnsi="宋体"/>
                <w:color w:val="auto"/>
                <w:szCs w:val="21"/>
                <w:highlight w:val="none"/>
              </w:rPr>
              <w:t>1.将中标工程转包或者违法分包的；</w:t>
            </w:r>
          </w:p>
          <w:p w14:paraId="6A92505E">
            <w:pPr>
              <w:widowControl/>
              <w:shd w:val="clear" w:color="auto" w:fill="FFFFFF"/>
              <w:jc w:val="left"/>
              <w:rPr>
                <w:rFonts w:ascii="宋体" w:hAnsi="宋体"/>
                <w:color w:val="auto"/>
                <w:szCs w:val="21"/>
                <w:highlight w:val="none"/>
              </w:rPr>
            </w:pPr>
            <w:r>
              <w:rPr>
                <w:rFonts w:hint="eastAsia" w:ascii="宋体" w:hAnsi="宋体"/>
                <w:color w:val="auto"/>
                <w:szCs w:val="21"/>
                <w:highlight w:val="none"/>
              </w:rPr>
              <w:t>2.在中标工程中不执行质量、安全生产相关规定的，造成质量或安全事故的；</w:t>
            </w:r>
          </w:p>
          <w:p w14:paraId="48E3CE49">
            <w:pPr>
              <w:widowControl/>
              <w:shd w:val="clear" w:color="auto" w:fill="FFFFFF"/>
              <w:jc w:val="left"/>
              <w:rPr>
                <w:rFonts w:ascii="宋体" w:hAnsi="宋体"/>
                <w:color w:val="auto"/>
                <w:szCs w:val="21"/>
                <w:highlight w:val="none"/>
              </w:rPr>
            </w:pPr>
            <w:r>
              <w:rPr>
                <w:rFonts w:hint="eastAsia" w:ascii="宋体" w:hAnsi="宋体"/>
                <w:color w:val="auto"/>
                <w:szCs w:val="21"/>
                <w:highlight w:val="none"/>
              </w:rPr>
              <w:t>3.存在围标或串标情形的；</w:t>
            </w:r>
          </w:p>
          <w:p w14:paraId="6E5890EE">
            <w:pPr>
              <w:jc w:val="left"/>
              <w:rPr>
                <w:rFonts w:ascii="宋体" w:hAnsi="宋体"/>
                <w:color w:val="auto"/>
                <w:szCs w:val="21"/>
                <w:highlight w:val="none"/>
              </w:rPr>
            </w:pPr>
            <w:r>
              <w:rPr>
                <w:rFonts w:hint="eastAsia" w:ascii="宋体" w:hAnsi="宋体"/>
                <w:color w:val="auto"/>
                <w:szCs w:val="21"/>
                <w:highlight w:val="none"/>
              </w:rPr>
              <w:t>4.存在弄虚作假骗取中标情形的；</w:t>
            </w:r>
          </w:p>
        </w:tc>
      </w:tr>
      <w:tr w14:paraId="766A551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046" w:hRule="atLeast"/>
        </w:trPr>
        <w:tc>
          <w:tcPr>
            <w:tcW w:w="866" w:type="dxa"/>
            <w:vAlign w:val="center"/>
          </w:tcPr>
          <w:p w14:paraId="735BEDCD">
            <w:pPr>
              <w:snapToGrid w:val="0"/>
              <w:spacing w:line="276" w:lineRule="auto"/>
              <w:jc w:val="center"/>
              <w:rPr>
                <w:rFonts w:ascii="宋体" w:hAnsi="宋体"/>
                <w:color w:val="auto"/>
                <w:szCs w:val="21"/>
                <w:highlight w:val="none"/>
              </w:rPr>
            </w:pPr>
            <w:r>
              <w:rPr>
                <w:rFonts w:ascii="宋体" w:hAnsi="宋体"/>
                <w:color w:val="auto"/>
                <w:szCs w:val="21"/>
                <w:highlight w:val="none"/>
              </w:rPr>
              <w:t>10.</w:t>
            </w:r>
            <w:r>
              <w:rPr>
                <w:rFonts w:hint="eastAsia" w:ascii="宋体" w:hAnsi="宋体"/>
                <w:color w:val="auto"/>
                <w:szCs w:val="21"/>
                <w:highlight w:val="none"/>
              </w:rPr>
              <w:t>2</w:t>
            </w:r>
          </w:p>
        </w:tc>
        <w:tc>
          <w:tcPr>
            <w:tcW w:w="2160" w:type="dxa"/>
            <w:vAlign w:val="center"/>
          </w:tcPr>
          <w:p w14:paraId="4FB20D70">
            <w:pPr>
              <w:widowControl/>
              <w:shd w:val="clear" w:color="auto" w:fill="FFFFFF"/>
              <w:adjustRightInd w:val="0"/>
              <w:spacing w:line="276" w:lineRule="auto"/>
              <w:jc w:val="center"/>
              <w:rPr>
                <w:rFonts w:ascii="宋体" w:hAnsi="宋体"/>
                <w:color w:val="auto"/>
                <w:szCs w:val="21"/>
                <w:highlight w:val="none"/>
              </w:rPr>
            </w:pPr>
            <w:r>
              <w:rPr>
                <w:rFonts w:hint="eastAsia" w:ascii="宋体" w:hAnsi="宋体"/>
                <w:color w:val="auto"/>
                <w:szCs w:val="21"/>
                <w:highlight w:val="none"/>
              </w:rPr>
              <w:t>招标失败情形</w:t>
            </w:r>
          </w:p>
        </w:tc>
        <w:tc>
          <w:tcPr>
            <w:tcW w:w="7200" w:type="dxa"/>
            <w:vAlign w:val="center"/>
          </w:tcPr>
          <w:p w14:paraId="5C2F8A29">
            <w:pPr>
              <w:ind w:left="1" w:hanging="1"/>
              <w:rPr>
                <w:rFonts w:ascii="宋体" w:hAnsi="宋体"/>
                <w:color w:val="auto"/>
                <w:szCs w:val="21"/>
                <w:highlight w:val="none"/>
              </w:rPr>
            </w:pPr>
            <w:r>
              <w:rPr>
                <w:rFonts w:hint="eastAsia" w:ascii="宋体" w:hAnsi="宋体"/>
                <w:color w:val="auto"/>
                <w:szCs w:val="21"/>
                <w:highlight w:val="none"/>
              </w:rPr>
              <w:t>本项目采用资格后审方式</w:t>
            </w:r>
            <w:r>
              <w:rPr>
                <w:rFonts w:hint="eastAsia" w:ascii="宋体" w:hAnsi="宋体" w:cs="仿宋"/>
                <w:color w:val="auto"/>
                <w:szCs w:val="21"/>
                <w:highlight w:val="none"/>
              </w:rPr>
              <w:t>。若投标登记或递交投标文件或通过初步评审（含形式评审、资格评审、响应性评审）的合格投标人不足</w:t>
            </w:r>
            <w:r>
              <w:rPr>
                <w:rFonts w:hint="eastAsia" w:ascii="宋体" w:hAnsi="宋体" w:cs="仿宋"/>
                <w:color w:val="auto"/>
                <w:szCs w:val="21"/>
                <w:highlight w:val="none"/>
                <w:lang w:val="en-US" w:eastAsia="zh-CN"/>
              </w:rPr>
              <w:t>3</w:t>
            </w:r>
            <w:r>
              <w:rPr>
                <w:rFonts w:hint="eastAsia" w:ascii="宋体" w:hAnsi="宋体" w:cs="仿宋"/>
                <w:color w:val="auto"/>
                <w:szCs w:val="21"/>
                <w:highlight w:val="none"/>
              </w:rPr>
              <w:t>家的，</w:t>
            </w:r>
            <w:r>
              <w:rPr>
                <w:rFonts w:hint="eastAsia" w:ascii="宋体" w:hAnsi="宋体"/>
                <w:color w:val="auto"/>
                <w:szCs w:val="21"/>
                <w:highlight w:val="none"/>
                <w:u w:val="single"/>
              </w:rPr>
              <w:t>则该项目招标失败</w:t>
            </w:r>
            <w:r>
              <w:rPr>
                <w:rFonts w:hint="eastAsia" w:ascii="宋体" w:hAnsi="宋体" w:cs="仿宋"/>
                <w:color w:val="auto"/>
                <w:szCs w:val="21"/>
                <w:highlight w:val="none"/>
              </w:rPr>
              <w:t>。</w:t>
            </w:r>
            <w:r>
              <w:rPr>
                <w:rFonts w:hint="eastAsia" w:ascii="宋体" w:hAnsi="宋体" w:cs="宋体"/>
                <w:color w:val="auto"/>
                <w:szCs w:val="21"/>
                <w:highlight w:val="none"/>
              </w:rPr>
              <w:t>招标人分析招标失败原因，修正招标方案，重新组织招标。</w:t>
            </w:r>
          </w:p>
        </w:tc>
      </w:tr>
      <w:tr w14:paraId="7F91CD4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718" w:hRule="atLeast"/>
        </w:trPr>
        <w:tc>
          <w:tcPr>
            <w:tcW w:w="866" w:type="dxa"/>
            <w:tcBorders>
              <w:bottom w:val="single" w:color="auto" w:sz="4" w:space="0"/>
            </w:tcBorders>
            <w:vAlign w:val="center"/>
          </w:tcPr>
          <w:p w14:paraId="68030D2D">
            <w:pPr>
              <w:snapToGrid w:val="0"/>
              <w:spacing w:line="276" w:lineRule="auto"/>
              <w:jc w:val="center"/>
              <w:rPr>
                <w:rFonts w:ascii="宋体" w:hAnsi="宋体"/>
                <w:color w:val="auto"/>
                <w:szCs w:val="21"/>
                <w:highlight w:val="none"/>
              </w:rPr>
            </w:pPr>
            <w:r>
              <w:rPr>
                <w:rFonts w:ascii="宋体" w:hAnsi="宋体"/>
                <w:color w:val="auto"/>
                <w:szCs w:val="21"/>
                <w:highlight w:val="none"/>
              </w:rPr>
              <w:t>10.</w:t>
            </w:r>
            <w:r>
              <w:rPr>
                <w:rFonts w:hint="eastAsia" w:ascii="宋体" w:hAnsi="宋体"/>
                <w:color w:val="auto"/>
                <w:szCs w:val="21"/>
                <w:highlight w:val="none"/>
              </w:rPr>
              <w:t>3</w:t>
            </w:r>
          </w:p>
        </w:tc>
        <w:tc>
          <w:tcPr>
            <w:tcW w:w="2160" w:type="dxa"/>
            <w:tcBorders>
              <w:bottom w:val="single" w:color="auto" w:sz="4" w:space="0"/>
            </w:tcBorders>
            <w:vAlign w:val="center"/>
          </w:tcPr>
          <w:p w14:paraId="1423F98E">
            <w:pPr>
              <w:spacing w:line="276" w:lineRule="auto"/>
              <w:jc w:val="center"/>
              <w:rPr>
                <w:rFonts w:ascii="宋体" w:hAnsi="宋体"/>
                <w:color w:val="auto"/>
                <w:szCs w:val="21"/>
                <w:highlight w:val="none"/>
              </w:rPr>
            </w:pPr>
            <w:r>
              <w:rPr>
                <w:rFonts w:hint="eastAsia" w:ascii="宋体" w:hAnsi="宋体"/>
                <w:color w:val="auto"/>
                <w:szCs w:val="21"/>
                <w:highlight w:val="none"/>
              </w:rPr>
              <w:t>其他费用</w:t>
            </w:r>
          </w:p>
        </w:tc>
        <w:tc>
          <w:tcPr>
            <w:tcW w:w="7200" w:type="dxa"/>
            <w:tcBorders>
              <w:bottom w:val="single" w:color="auto" w:sz="4" w:space="0"/>
            </w:tcBorders>
            <w:vAlign w:val="center"/>
          </w:tcPr>
          <w:p w14:paraId="2AC63C06">
            <w:pPr>
              <w:pStyle w:val="127"/>
              <w:tabs>
                <w:tab w:val="left" w:pos="2100"/>
              </w:tabs>
              <w:spacing w:line="280" w:lineRule="exact"/>
              <w:ind w:right="92" w:rightChars="44"/>
              <w:jc w:val="both"/>
              <w:rPr>
                <w:rFonts w:hint="eastAsia" w:ascii="宋体" w:hAnsi="宋体" w:eastAsia="宋体" w:cs="宋体"/>
                <w:color w:val="auto"/>
                <w:szCs w:val="21"/>
                <w:highlight w:val="none"/>
                <w:lang w:eastAsia="zh-CN"/>
              </w:rPr>
            </w:pPr>
            <w:r>
              <w:rPr>
                <w:rFonts w:hint="eastAsia" w:ascii="宋体" w:hAnsi="宋体" w:eastAsia="宋体" w:cs="宋体"/>
                <w:color w:val="auto"/>
                <w:highlight w:val="none"/>
                <w:lang w:eastAsia="zh-CN"/>
              </w:rPr>
              <w:t>1</w:t>
            </w:r>
            <w:r>
              <w:rPr>
                <w:rFonts w:hint="eastAsia" w:ascii="宋体" w:hAnsi="宋体" w:eastAsia="宋体" w:cs="宋体"/>
                <w:color w:val="auto"/>
                <w:highlight w:val="none"/>
                <w:lang w:val="en-US" w:eastAsia="zh-CN"/>
              </w:rPr>
              <w:t>.</w:t>
            </w:r>
            <w:r>
              <w:rPr>
                <w:rFonts w:hint="eastAsia" w:ascii="宋体" w:hAnsi="宋体" w:eastAsia="宋体" w:cs="宋体"/>
                <w:color w:val="auto"/>
                <w:szCs w:val="21"/>
                <w:highlight w:val="none"/>
                <w:lang w:eastAsia="zh-CN"/>
              </w:rPr>
              <w:t>中标人向广州交易集团有限公司（广州公共资源交易中心）缴纳交易服务费，其费用包含在中标人报价中，由广州交易集团有限公司（广州公共资源交易中心）向中标人开具发票。</w:t>
            </w:r>
          </w:p>
          <w:p w14:paraId="7C01E5B5">
            <w:pPr>
              <w:pStyle w:val="26"/>
              <w:numPr>
                <w:ilvl w:val="0"/>
                <w:numId w:val="0"/>
              </w:numPr>
              <w:ind w:left="0" w:leftChars="0" w:firstLine="0" w:firstLineChars="0"/>
              <w:jc w:val="both"/>
              <w:rPr>
                <w:rFonts w:hint="default" w:eastAsia="宋体"/>
                <w:color w:val="auto"/>
                <w:highlight w:val="none"/>
                <w:lang w:val="en-US" w:eastAsia="zh-CN"/>
              </w:rPr>
            </w:pPr>
            <w:r>
              <w:rPr>
                <w:rFonts w:hint="eastAsia" w:ascii="宋体" w:hAnsi="宋体" w:eastAsia="宋体" w:cs="宋体"/>
                <w:color w:val="auto"/>
                <w:szCs w:val="21"/>
                <w:highlight w:val="none"/>
                <w:lang w:eastAsia="zh-CN"/>
              </w:rPr>
              <w:t>2</w:t>
            </w:r>
            <w:r>
              <w:rPr>
                <w:rFonts w:hint="eastAsia" w:ascii="宋体" w:hAnsi="宋体" w:eastAsia="宋体" w:cs="宋体"/>
                <w:color w:val="auto"/>
                <w:szCs w:val="21"/>
                <w:highlight w:val="none"/>
                <w:lang w:val="en-US" w:eastAsia="zh-CN"/>
              </w:rPr>
              <w:t>.</w:t>
            </w:r>
            <w:r>
              <w:rPr>
                <w:rFonts w:hint="eastAsia" w:ascii="宋体" w:hAnsi="宋体" w:eastAsia="宋体" w:cs="宋体"/>
                <w:color w:val="auto"/>
                <w:szCs w:val="21"/>
                <w:highlight w:val="none"/>
                <w:lang w:eastAsia="zh-CN"/>
              </w:rPr>
              <w:t>中标人向招标代理单位缴纳代理费，其费用包含在中标人报价中，由招标代理单位向中标人开具发票。</w:t>
            </w:r>
          </w:p>
        </w:tc>
      </w:tr>
      <w:tr w14:paraId="643C7EE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866" w:type="dxa"/>
            <w:tcBorders>
              <w:bottom w:val="single" w:color="auto" w:sz="4" w:space="0"/>
            </w:tcBorders>
            <w:vAlign w:val="center"/>
          </w:tcPr>
          <w:p w14:paraId="2090958A">
            <w:pPr>
              <w:snapToGrid w:val="0"/>
              <w:spacing w:line="276" w:lineRule="auto"/>
              <w:jc w:val="center"/>
              <w:rPr>
                <w:rFonts w:ascii="宋体" w:hAnsi="宋体"/>
                <w:color w:val="auto"/>
                <w:szCs w:val="21"/>
                <w:highlight w:val="none"/>
              </w:rPr>
            </w:pPr>
            <w:r>
              <w:rPr>
                <w:rFonts w:ascii="宋体" w:hAnsi="宋体"/>
                <w:color w:val="auto"/>
                <w:szCs w:val="21"/>
                <w:highlight w:val="none"/>
              </w:rPr>
              <w:t>10.</w:t>
            </w:r>
            <w:r>
              <w:rPr>
                <w:rFonts w:hint="eastAsia" w:ascii="宋体" w:hAnsi="宋体"/>
                <w:color w:val="auto"/>
                <w:szCs w:val="21"/>
                <w:highlight w:val="none"/>
              </w:rPr>
              <w:t>4</w:t>
            </w:r>
          </w:p>
        </w:tc>
        <w:tc>
          <w:tcPr>
            <w:tcW w:w="2160" w:type="dxa"/>
            <w:tcBorders>
              <w:bottom w:val="single" w:color="auto" w:sz="4" w:space="0"/>
            </w:tcBorders>
            <w:vAlign w:val="center"/>
          </w:tcPr>
          <w:p w14:paraId="19E278F7">
            <w:pPr>
              <w:spacing w:line="276" w:lineRule="auto"/>
              <w:jc w:val="center"/>
              <w:rPr>
                <w:rFonts w:ascii="宋体" w:hAnsi="宋体"/>
                <w:color w:val="auto"/>
                <w:szCs w:val="21"/>
                <w:highlight w:val="none"/>
              </w:rPr>
            </w:pPr>
            <w:r>
              <w:rPr>
                <w:rFonts w:hint="eastAsia" w:ascii="宋体" w:hAnsi="宋体"/>
                <w:color w:val="auto"/>
                <w:szCs w:val="21"/>
                <w:highlight w:val="none"/>
              </w:rPr>
              <w:t>招标人拒绝接收其投标文件备用光盘情况</w:t>
            </w:r>
          </w:p>
        </w:tc>
        <w:tc>
          <w:tcPr>
            <w:tcW w:w="7200" w:type="dxa"/>
            <w:tcBorders>
              <w:bottom w:val="single" w:color="auto" w:sz="4" w:space="0"/>
            </w:tcBorders>
            <w:vAlign w:val="center"/>
          </w:tcPr>
          <w:p w14:paraId="12A63547">
            <w:pPr>
              <w:pStyle w:val="25"/>
              <w:spacing w:line="240" w:lineRule="auto"/>
              <w:ind w:hanging="5"/>
              <w:rPr>
                <w:rFonts w:ascii="宋体" w:hAnsi="宋体"/>
                <w:color w:val="auto"/>
                <w:szCs w:val="21"/>
                <w:highlight w:val="none"/>
              </w:rPr>
            </w:pPr>
            <w:r>
              <w:rPr>
                <w:rFonts w:hint="eastAsia" w:ascii="宋体" w:hAnsi="宋体"/>
                <w:color w:val="auto"/>
                <w:szCs w:val="21"/>
                <w:highlight w:val="none"/>
              </w:rPr>
              <w:t>1.投标人在投标截止期后逾期或未在指定地点递交备用投标文件电子光盘的；</w:t>
            </w:r>
          </w:p>
          <w:p w14:paraId="682528C0">
            <w:pPr>
              <w:pStyle w:val="25"/>
              <w:spacing w:line="240" w:lineRule="auto"/>
              <w:ind w:hanging="5"/>
              <w:rPr>
                <w:rFonts w:ascii="宋体" w:hAnsi="宋体"/>
                <w:color w:val="auto"/>
                <w:szCs w:val="21"/>
                <w:highlight w:val="none"/>
              </w:rPr>
            </w:pPr>
            <w:r>
              <w:rPr>
                <w:rFonts w:hint="eastAsia" w:ascii="宋体" w:hAnsi="宋体"/>
                <w:color w:val="auto"/>
                <w:szCs w:val="21"/>
                <w:highlight w:val="none"/>
              </w:rPr>
              <w:t>2.投标人递交的备用投标文件电子光盘未按招标文件要求密封或未在密封处盖章的；</w:t>
            </w:r>
          </w:p>
          <w:p w14:paraId="692B3985">
            <w:pPr>
              <w:pStyle w:val="25"/>
              <w:spacing w:line="240" w:lineRule="auto"/>
              <w:ind w:hanging="5"/>
              <w:rPr>
                <w:rFonts w:ascii="宋体" w:hAnsi="宋体"/>
                <w:color w:val="auto"/>
                <w:szCs w:val="21"/>
                <w:highlight w:val="none"/>
              </w:rPr>
            </w:pPr>
            <w:r>
              <w:rPr>
                <w:rFonts w:hint="eastAsia" w:ascii="宋体" w:hAnsi="宋体"/>
                <w:color w:val="auto"/>
                <w:szCs w:val="21"/>
                <w:highlight w:val="none"/>
              </w:rPr>
              <w:t>3.投标人代表未凭法定代表人证明书原件、授权委托书原件（仅限于非法定代表人）、本人身份证原件按要求递交备用投标文件电子光盘的；</w:t>
            </w:r>
          </w:p>
        </w:tc>
      </w:tr>
      <w:tr w14:paraId="78258A4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652" w:hRule="atLeast"/>
        </w:trPr>
        <w:tc>
          <w:tcPr>
            <w:tcW w:w="866" w:type="dxa"/>
            <w:vAlign w:val="center"/>
          </w:tcPr>
          <w:p w14:paraId="18A6CAF7">
            <w:pPr>
              <w:snapToGrid w:val="0"/>
              <w:spacing w:line="276" w:lineRule="auto"/>
              <w:jc w:val="center"/>
              <w:rPr>
                <w:rFonts w:ascii="宋体" w:hAnsi="宋体"/>
                <w:color w:val="auto"/>
                <w:szCs w:val="21"/>
                <w:highlight w:val="none"/>
              </w:rPr>
            </w:pPr>
            <w:r>
              <w:rPr>
                <w:rFonts w:ascii="宋体" w:hAnsi="宋体"/>
                <w:color w:val="auto"/>
                <w:szCs w:val="21"/>
                <w:highlight w:val="none"/>
              </w:rPr>
              <w:t>10.</w:t>
            </w:r>
            <w:r>
              <w:rPr>
                <w:rFonts w:hint="eastAsia" w:ascii="宋体" w:hAnsi="宋体"/>
                <w:color w:val="auto"/>
                <w:szCs w:val="21"/>
                <w:highlight w:val="none"/>
              </w:rPr>
              <w:t>5</w:t>
            </w:r>
          </w:p>
        </w:tc>
        <w:tc>
          <w:tcPr>
            <w:tcW w:w="2160" w:type="dxa"/>
            <w:vAlign w:val="center"/>
          </w:tcPr>
          <w:p w14:paraId="57A8EF23">
            <w:pPr>
              <w:widowControl/>
              <w:shd w:val="clear" w:color="auto" w:fill="FFFFFF"/>
              <w:adjustRightInd w:val="0"/>
              <w:spacing w:line="276" w:lineRule="auto"/>
              <w:jc w:val="center"/>
              <w:rPr>
                <w:rFonts w:ascii="宋体" w:hAnsi="宋体"/>
                <w:color w:val="auto"/>
                <w:szCs w:val="21"/>
                <w:highlight w:val="none"/>
              </w:rPr>
            </w:pPr>
            <w:r>
              <w:rPr>
                <w:rFonts w:hint="eastAsia" w:ascii="宋体" w:hAnsi="宋体"/>
                <w:color w:val="auto"/>
                <w:szCs w:val="21"/>
                <w:highlight w:val="none"/>
              </w:rPr>
              <w:t>其他</w:t>
            </w:r>
          </w:p>
        </w:tc>
        <w:tc>
          <w:tcPr>
            <w:tcW w:w="7200" w:type="dxa"/>
            <w:vAlign w:val="center"/>
          </w:tcPr>
          <w:p w14:paraId="5F4C43E5">
            <w:pPr>
              <w:snapToGrid w:val="0"/>
              <w:spacing w:line="400" w:lineRule="exact"/>
              <w:rPr>
                <w:rFonts w:ascii="宋体" w:hAnsi="宋体"/>
                <w:color w:val="auto"/>
                <w:szCs w:val="21"/>
                <w:highlight w:val="none"/>
              </w:rPr>
            </w:pPr>
            <w:r>
              <w:rPr>
                <w:rFonts w:hint="eastAsia" w:ascii="宋体" w:hAnsi="宋体"/>
                <w:color w:val="auto"/>
                <w:szCs w:val="21"/>
                <w:highlight w:val="none"/>
              </w:rPr>
              <w:t>1.在产生中标候选人后，招标人将中标候选人的投标文件商务部分的电子版（报价清单、方案等涉及商业秘密的内容除外）在</w:t>
            </w:r>
            <w:r>
              <w:rPr>
                <w:rFonts w:hint="eastAsia" w:ascii="宋体" w:hAnsi="宋体"/>
                <w:color w:val="auto"/>
                <w:szCs w:val="21"/>
                <w:highlight w:val="none"/>
                <w:lang w:eastAsia="zh-CN"/>
              </w:rPr>
              <w:t>广州交易集团有限公司（广州公共资源交易中心）</w:t>
            </w:r>
            <w:r>
              <w:rPr>
                <w:rFonts w:hint="eastAsia" w:ascii="宋体" w:hAnsi="宋体"/>
                <w:color w:val="auto"/>
                <w:szCs w:val="21"/>
                <w:highlight w:val="none"/>
              </w:rPr>
              <w:t>网站公开。</w:t>
            </w:r>
          </w:p>
          <w:p w14:paraId="00C8046E">
            <w:pPr>
              <w:snapToGrid w:val="0"/>
              <w:spacing w:line="400" w:lineRule="exact"/>
              <w:rPr>
                <w:rFonts w:ascii="宋体" w:hAnsi="宋体"/>
                <w:color w:val="auto"/>
                <w:szCs w:val="21"/>
                <w:highlight w:val="none"/>
              </w:rPr>
            </w:pPr>
            <w:r>
              <w:rPr>
                <w:rFonts w:hint="eastAsia" w:ascii="宋体" w:hAnsi="宋体"/>
                <w:color w:val="auto"/>
                <w:szCs w:val="21"/>
                <w:highlight w:val="none"/>
              </w:rPr>
              <w:t>2.招标公告、招标文件、答疑纪要（如有）、图纸（如有）等招标资料全部发布在</w:t>
            </w:r>
            <w:r>
              <w:rPr>
                <w:rFonts w:hint="eastAsia" w:ascii="宋体" w:hAnsi="宋体"/>
                <w:color w:val="auto"/>
                <w:szCs w:val="21"/>
                <w:highlight w:val="none"/>
                <w:lang w:eastAsia="zh-CN"/>
              </w:rPr>
              <w:t>广州交易集团有限公司（广州公共资源交易中心）</w:t>
            </w:r>
            <w:r>
              <w:rPr>
                <w:rFonts w:hint="eastAsia" w:ascii="宋体" w:hAnsi="宋体"/>
                <w:color w:val="auto"/>
                <w:szCs w:val="21"/>
                <w:highlight w:val="none"/>
              </w:rPr>
              <w:t>网站，由投标人自行下载查阅。</w:t>
            </w:r>
          </w:p>
          <w:p w14:paraId="6CE01C25">
            <w:pPr>
              <w:snapToGrid w:val="0"/>
              <w:spacing w:line="400" w:lineRule="exact"/>
              <w:rPr>
                <w:rFonts w:ascii="宋体" w:hAnsi="宋体"/>
                <w:color w:val="auto"/>
                <w:szCs w:val="21"/>
                <w:highlight w:val="none"/>
              </w:rPr>
            </w:pPr>
            <w:r>
              <w:rPr>
                <w:rFonts w:hint="eastAsia" w:ascii="宋体" w:hAnsi="宋体"/>
                <w:color w:val="auto"/>
                <w:szCs w:val="21"/>
                <w:highlight w:val="none"/>
              </w:rPr>
              <w:t>3.投标截止时间、开标时间和地点：发布在</w:t>
            </w:r>
            <w:r>
              <w:rPr>
                <w:rFonts w:hint="eastAsia" w:ascii="宋体" w:hAnsi="宋体"/>
                <w:color w:val="auto"/>
                <w:szCs w:val="21"/>
                <w:highlight w:val="none"/>
                <w:lang w:eastAsia="zh-CN"/>
              </w:rPr>
              <w:t>广州交易集团有限公司（广州公共资源交易中心）</w:t>
            </w:r>
            <w:r>
              <w:rPr>
                <w:rFonts w:hint="eastAsia" w:ascii="宋体" w:hAnsi="宋体"/>
                <w:color w:val="auto"/>
                <w:szCs w:val="21"/>
                <w:highlight w:val="none"/>
              </w:rPr>
              <w:t>网站（具体点击“交易业务-建设工程”专栏中的“项目查询（日程安排、答疑纪要）”，输入项目编号或项目名称查询最新信息。）。</w:t>
            </w:r>
          </w:p>
          <w:p w14:paraId="06D80F3E">
            <w:pPr>
              <w:snapToGrid w:val="0"/>
              <w:spacing w:line="400" w:lineRule="exact"/>
              <w:rPr>
                <w:rFonts w:ascii="宋体" w:hAnsi="宋体"/>
                <w:color w:val="auto"/>
                <w:szCs w:val="21"/>
                <w:highlight w:val="none"/>
              </w:rPr>
            </w:pPr>
            <w:r>
              <w:rPr>
                <w:rFonts w:hint="eastAsia" w:ascii="宋体" w:hAnsi="宋体"/>
                <w:color w:val="auto"/>
                <w:szCs w:val="21"/>
                <w:highlight w:val="none"/>
              </w:rPr>
              <w:t>4.中标单位在中标通知书发出后3个工作日内，补送一正两副正式书面投标文件（加盖公章）及电子文件光盘给招标人。</w:t>
            </w:r>
          </w:p>
          <w:p w14:paraId="12D47EDA">
            <w:pPr>
              <w:pStyle w:val="25"/>
              <w:spacing w:line="400" w:lineRule="exact"/>
              <w:ind w:firstLine="0"/>
              <w:rPr>
                <w:rFonts w:ascii="宋体" w:hAnsi="宋体"/>
                <w:color w:val="auto"/>
                <w:szCs w:val="21"/>
                <w:highlight w:val="none"/>
              </w:rPr>
            </w:pPr>
            <w:r>
              <w:rPr>
                <w:rFonts w:hint="eastAsia" w:ascii="宋体" w:hAnsi="宋体"/>
                <w:color w:val="auto"/>
                <w:szCs w:val="21"/>
                <w:highlight w:val="none"/>
              </w:rPr>
              <w:t>5.招标人将核对以下内容：</w:t>
            </w:r>
          </w:p>
          <w:p w14:paraId="697A9DD2">
            <w:pPr>
              <w:pStyle w:val="25"/>
              <w:spacing w:line="400" w:lineRule="exact"/>
              <w:ind w:firstLine="0"/>
              <w:rPr>
                <w:rFonts w:ascii="宋体" w:hAnsi="宋体"/>
                <w:color w:val="auto"/>
                <w:szCs w:val="21"/>
                <w:highlight w:val="none"/>
              </w:rPr>
            </w:pPr>
            <w:r>
              <w:rPr>
                <w:rFonts w:hint="eastAsia" w:ascii="宋体" w:hAnsi="宋体"/>
                <w:color w:val="auto"/>
                <w:szCs w:val="21"/>
                <w:highlight w:val="none"/>
              </w:rPr>
              <w:t>（1）中标人及其项目负责人是否存在因与工程项目施工相关的车辆运输而被最高人民法院在“信用中国”网站或各级信用信息共享平台中列入失信被执行人名单或被交通运输行政主管部门在“信用交通”网站列入严重违法超限超载运输失信当事人名单或被工商行政管理机关在全国企业信用信息公示系统中列入严重违法失信企业名单或被黄埔区、广州开发区公安、城管、住建、交通、水务、规自等部门列入黑名单。</w:t>
            </w:r>
          </w:p>
          <w:p w14:paraId="5DDC1DCF">
            <w:pPr>
              <w:pStyle w:val="25"/>
              <w:spacing w:line="400" w:lineRule="exact"/>
              <w:ind w:firstLine="0"/>
              <w:rPr>
                <w:rFonts w:ascii="宋体" w:hAnsi="宋体"/>
                <w:color w:val="auto"/>
                <w:szCs w:val="21"/>
                <w:highlight w:val="none"/>
              </w:rPr>
            </w:pPr>
            <w:r>
              <w:rPr>
                <w:rFonts w:hint="eastAsia" w:ascii="宋体" w:hAnsi="宋体"/>
                <w:color w:val="auto"/>
                <w:szCs w:val="21"/>
                <w:highlight w:val="none"/>
              </w:rPr>
              <w:t>（2）中标人是否有将工程施工过程中产生的土石方、建筑垃圾及施工过程中使用的建筑材料、设备等的运输委托给被最高人民法院在“信用中国”网站或各级信用信息共享平台中列入失信被执行人名单或被交通运输行政主管部门在“信用交通”网站列入严重违法超限超载运输失信当事人名单或被工商行政管理机关在全国企业信用信息公示系统中列入严重违法失信企业名单或被黄埔区、广州开发区公安、城管、住建、交通、水务、规自等部门列入黑名单。</w:t>
            </w:r>
          </w:p>
          <w:p w14:paraId="615C63E7">
            <w:pPr>
              <w:pStyle w:val="25"/>
              <w:spacing w:line="400" w:lineRule="exact"/>
              <w:ind w:firstLine="0"/>
              <w:rPr>
                <w:rFonts w:ascii="宋体" w:hAnsi="宋体"/>
                <w:color w:val="auto"/>
                <w:szCs w:val="21"/>
                <w:highlight w:val="none"/>
              </w:rPr>
            </w:pPr>
            <w:r>
              <w:rPr>
                <w:rFonts w:hint="eastAsia" w:ascii="宋体" w:hAnsi="宋体"/>
                <w:color w:val="auto"/>
                <w:szCs w:val="21"/>
                <w:highlight w:val="none"/>
              </w:rPr>
              <w:t>如核实存在上述任一情况，招标人有权取消中标人的中标资格或终止合同。</w:t>
            </w:r>
          </w:p>
        </w:tc>
      </w:tr>
      <w:tr w14:paraId="3DB277F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652" w:hRule="atLeast"/>
        </w:trPr>
        <w:tc>
          <w:tcPr>
            <w:tcW w:w="866" w:type="dxa"/>
            <w:tcBorders>
              <w:bottom w:val="single" w:color="auto" w:sz="4" w:space="0"/>
            </w:tcBorders>
            <w:vAlign w:val="center"/>
          </w:tcPr>
          <w:p w14:paraId="4AD15D29">
            <w:pPr>
              <w:snapToGrid w:val="0"/>
              <w:spacing w:line="276" w:lineRule="auto"/>
              <w:jc w:val="center"/>
              <w:rPr>
                <w:rFonts w:hint="default" w:ascii="宋体" w:hAnsi="宋体" w:eastAsia="宋体"/>
                <w:color w:val="auto"/>
                <w:szCs w:val="21"/>
                <w:highlight w:val="none"/>
                <w:lang w:val="en-US" w:eastAsia="zh-CN"/>
              </w:rPr>
            </w:pPr>
            <w:r>
              <w:rPr>
                <w:rFonts w:hint="eastAsia" w:ascii="宋体" w:hAnsi="宋体"/>
                <w:color w:val="auto"/>
                <w:szCs w:val="21"/>
                <w:highlight w:val="none"/>
                <w:lang w:val="en-US" w:eastAsia="zh-CN"/>
              </w:rPr>
              <w:t>11</w:t>
            </w:r>
          </w:p>
        </w:tc>
        <w:tc>
          <w:tcPr>
            <w:tcW w:w="2160" w:type="dxa"/>
            <w:tcBorders>
              <w:bottom w:val="single" w:color="auto" w:sz="4" w:space="0"/>
            </w:tcBorders>
            <w:vAlign w:val="center"/>
          </w:tcPr>
          <w:p w14:paraId="11151DCE">
            <w:pPr>
              <w:pStyle w:val="127"/>
              <w:spacing w:line="360" w:lineRule="auto"/>
              <w:jc w:val="center"/>
              <w:rPr>
                <w:rFonts w:hint="eastAsia" w:ascii="宋体" w:hAnsi="宋体"/>
                <w:color w:val="auto"/>
                <w:szCs w:val="21"/>
                <w:highlight w:val="none"/>
              </w:rPr>
            </w:pPr>
            <w:r>
              <w:rPr>
                <w:rFonts w:hint="eastAsia" w:ascii="宋体" w:hAnsi="宋体" w:eastAsia="宋体" w:cs="宋体"/>
                <w:color w:val="auto"/>
                <w:highlight w:val="none"/>
                <w:lang w:eastAsia="zh-CN"/>
              </w:rPr>
              <w:t>投标活动的有关人员社保证明</w:t>
            </w:r>
          </w:p>
        </w:tc>
        <w:tc>
          <w:tcPr>
            <w:tcW w:w="7200" w:type="dxa"/>
            <w:tcBorders>
              <w:bottom w:val="single" w:color="auto" w:sz="4" w:space="0"/>
            </w:tcBorders>
            <w:vAlign w:val="center"/>
          </w:tcPr>
          <w:p w14:paraId="589888CC">
            <w:pPr>
              <w:pStyle w:val="127"/>
              <w:tabs>
                <w:tab w:val="left" w:pos="734"/>
                <w:tab w:val="left" w:pos="1365"/>
                <w:tab w:val="left" w:pos="1994"/>
                <w:tab w:val="left" w:pos="2623"/>
              </w:tabs>
              <w:spacing w:line="280" w:lineRule="exact"/>
              <w:ind w:left="63" w:leftChars="30" w:right="92" w:rightChars="44"/>
              <w:jc w:val="both"/>
              <w:rPr>
                <w:rFonts w:hint="eastAsia" w:ascii="宋体" w:hAnsi="宋体"/>
                <w:color w:val="auto"/>
                <w:szCs w:val="21"/>
                <w:highlight w:val="none"/>
              </w:rPr>
            </w:pPr>
            <w:r>
              <w:rPr>
                <w:rFonts w:hint="eastAsia" w:ascii="宋体" w:hAnsi="宋体" w:eastAsia="宋体" w:cs="宋体"/>
                <w:color w:val="auto"/>
                <w:highlight w:val="none"/>
                <w:lang w:eastAsia="zh-CN"/>
              </w:rPr>
              <w:t>各投标人中参加投标活动的有关人员(包括且不限于投标文件的编制人员、递交投标文件</w:t>
            </w:r>
            <w:r>
              <w:rPr>
                <w:rFonts w:hint="eastAsia" w:ascii="宋体" w:hAnsi="宋体" w:eastAsia="宋体" w:cs="宋体"/>
                <w:color w:val="auto"/>
                <w:highlight w:val="none"/>
                <w:lang w:val="en-US" w:eastAsia="zh-CN"/>
              </w:rPr>
              <w:t>及</w:t>
            </w:r>
            <w:r>
              <w:rPr>
                <w:rFonts w:hint="eastAsia" w:ascii="宋体" w:hAnsi="宋体" w:eastAsia="宋体" w:cs="宋体"/>
                <w:color w:val="auto"/>
                <w:highlight w:val="none"/>
                <w:lang w:eastAsia="zh-CN"/>
              </w:rPr>
              <w:t>递交</w:t>
            </w:r>
            <w:r>
              <w:rPr>
                <w:rFonts w:hint="eastAsia" w:ascii="宋体" w:hAnsi="宋体" w:eastAsia="宋体" w:cs="宋体"/>
                <w:color w:val="auto"/>
                <w:highlight w:val="none"/>
                <w:lang w:val="en-US" w:eastAsia="zh-CN"/>
              </w:rPr>
              <w:t>备用光盘</w:t>
            </w:r>
            <w:r>
              <w:rPr>
                <w:rFonts w:hint="eastAsia" w:ascii="宋体" w:hAnsi="宋体" w:eastAsia="宋体" w:cs="宋体"/>
                <w:color w:val="auto"/>
                <w:highlight w:val="none"/>
                <w:lang w:eastAsia="zh-CN"/>
              </w:rPr>
              <w:t>的被授权委托人)均须提供社保证明材料。</w:t>
            </w:r>
          </w:p>
        </w:tc>
      </w:tr>
    </w:tbl>
    <w:p w14:paraId="24FB072A">
      <w:pPr>
        <w:rPr>
          <w:rFonts w:ascii="宋体" w:hAnsi="宋体"/>
          <w:color w:val="auto"/>
          <w:highlight w:val="none"/>
        </w:rPr>
      </w:pPr>
    </w:p>
    <w:p w14:paraId="2A1AAFFD">
      <w:pPr>
        <w:pStyle w:val="4"/>
        <w:rPr>
          <w:color w:val="auto"/>
          <w:highlight w:val="none"/>
        </w:rPr>
      </w:pPr>
      <w:bookmarkStart w:id="39" w:name="_Toc533357308"/>
      <w:r>
        <w:rPr>
          <w:color w:val="auto"/>
          <w:highlight w:val="none"/>
        </w:rPr>
        <w:br w:type="page"/>
      </w:r>
      <w:bookmarkStart w:id="40" w:name="_Toc118553970"/>
      <w:r>
        <w:rPr>
          <w:color w:val="auto"/>
          <w:highlight w:val="none"/>
        </w:rPr>
        <w:t xml:space="preserve">1. </w:t>
      </w:r>
      <w:r>
        <w:rPr>
          <w:rFonts w:hint="eastAsia"/>
          <w:color w:val="auto"/>
          <w:highlight w:val="none"/>
        </w:rPr>
        <w:t>总则</w:t>
      </w:r>
      <w:bookmarkEnd w:id="39"/>
      <w:bookmarkEnd w:id="40"/>
    </w:p>
    <w:p w14:paraId="62AF0FED">
      <w:pPr>
        <w:pStyle w:val="6"/>
        <w:rPr>
          <w:color w:val="auto"/>
          <w:highlight w:val="none"/>
        </w:rPr>
      </w:pPr>
      <w:r>
        <w:rPr>
          <w:color w:val="auto"/>
          <w:highlight w:val="none"/>
        </w:rPr>
        <w:t xml:space="preserve">1.1 </w:t>
      </w:r>
      <w:r>
        <w:rPr>
          <w:rFonts w:hint="eastAsia"/>
          <w:color w:val="auto"/>
          <w:highlight w:val="none"/>
        </w:rPr>
        <w:t>招标项目概况</w:t>
      </w:r>
    </w:p>
    <w:p w14:paraId="0BDE4F91">
      <w:pPr>
        <w:pStyle w:val="12"/>
        <w:kinsoku w:val="0"/>
        <w:overflowPunct w:val="0"/>
        <w:spacing w:line="288" w:lineRule="auto"/>
        <w:ind w:firstLine="420" w:firstLineChars="200"/>
        <w:rPr>
          <w:rFonts w:ascii="宋体" w:hAnsi="宋体"/>
          <w:color w:val="auto"/>
          <w:szCs w:val="21"/>
          <w:highlight w:val="none"/>
        </w:rPr>
      </w:pPr>
      <w:r>
        <w:rPr>
          <w:rFonts w:ascii="宋体" w:hAnsi="宋体"/>
          <w:color w:val="auto"/>
          <w:szCs w:val="21"/>
          <w:highlight w:val="none"/>
        </w:rPr>
        <w:t>1.1.1</w:t>
      </w:r>
      <w:r>
        <w:rPr>
          <w:rFonts w:hint="eastAsia" w:ascii="宋体" w:hAnsi="宋体"/>
          <w:color w:val="auto"/>
          <w:szCs w:val="21"/>
          <w:highlight w:val="none"/>
        </w:rPr>
        <w:t>根据《中华人民共和国招标投标法》、《中华人民共和国招标投标法实施条例》等有关法律、法规和规章的规定，本招标项目已具备招标条件，现对检测服务进行招标。</w:t>
      </w:r>
    </w:p>
    <w:p w14:paraId="2CEFE518">
      <w:pPr>
        <w:pStyle w:val="12"/>
        <w:kinsoku w:val="0"/>
        <w:overflowPunct w:val="0"/>
        <w:spacing w:line="288" w:lineRule="auto"/>
        <w:ind w:firstLine="420" w:firstLineChars="200"/>
        <w:rPr>
          <w:rFonts w:ascii="宋体" w:hAnsi="宋体"/>
          <w:color w:val="auto"/>
          <w:szCs w:val="21"/>
          <w:highlight w:val="none"/>
        </w:rPr>
      </w:pPr>
      <w:r>
        <w:rPr>
          <w:rFonts w:ascii="宋体" w:hAnsi="宋体"/>
          <w:color w:val="auto"/>
          <w:szCs w:val="21"/>
          <w:highlight w:val="none"/>
        </w:rPr>
        <w:t>1.1.2</w:t>
      </w:r>
      <w:r>
        <w:rPr>
          <w:rFonts w:hint="eastAsia" w:ascii="宋体" w:hAnsi="宋体"/>
          <w:color w:val="auto"/>
          <w:szCs w:val="21"/>
          <w:highlight w:val="none"/>
        </w:rPr>
        <w:t>招标人：见投标人须知前附表。</w:t>
      </w:r>
    </w:p>
    <w:p w14:paraId="21E3ACAE">
      <w:pPr>
        <w:pStyle w:val="12"/>
        <w:kinsoku w:val="0"/>
        <w:overflowPunct w:val="0"/>
        <w:spacing w:line="288" w:lineRule="auto"/>
        <w:ind w:firstLine="420" w:firstLineChars="200"/>
        <w:rPr>
          <w:rFonts w:ascii="宋体" w:hAnsi="宋体"/>
          <w:color w:val="auto"/>
          <w:szCs w:val="21"/>
          <w:highlight w:val="none"/>
        </w:rPr>
      </w:pPr>
      <w:r>
        <w:rPr>
          <w:rFonts w:ascii="宋体" w:hAnsi="宋体"/>
          <w:color w:val="auto"/>
          <w:szCs w:val="21"/>
          <w:highlight w:val="none"/>
        </w:rPr>
        <w:t>1.1.3</w:t>
      </w:r>
      <w:r>
        <w:rPr>
          <w:rFonts w:hint="eastAsia" w:ascii="宋体" w:hAnsi="宋体"/>
          <w:color w:val="auto"/>
          <w:szCs w:val="21"/>
          <w:highlight w:val="none"/>
        </w:rPr>
        <w:t>招标代理机构：见投标人须知前附表。</w:t>
      </w:r>
    </w:p>
    <w:p w14:paraId="2911CAF9">
      <w:pPr>
        <w:pStyle w:val="12"/>
        <w:kinsoku w:val="0"/>
        <w:overflowPunct w:val="0"/>
        <w:spacing w:line="288" w:lineRule="auto"/>
        <w:ind w:firstLine="420" w:firstLineChars="200"/>
        <w:rPr>
          <w:rFonts w:ascii="宋体" w:hAnsi="宋体"/>
          <w:color w:val="auto"/>
          <w:szCs w:val="21"/>
          <w:highlight w:val="none"/>
        </w:rPr>
      </w:pPr>
      <w:r>
        <w:rPr>
          <w:rFonts w:ascii="宋体" w:hAnsi="宋体"/>
          <w:color w:val="auto"/>
          <w:szCs w:val="21"/>
          <w:highlight w:val="none"/>
        </w:rPr>
        <w:t>1.1.4</w:t>
      </w:r>
      <w:r>
        <w:rPr>
          <w:rFonts w:hint="eastAsia" w:ascii="宋体" w:hAnsi="宋体"/>
          <w:color w:val="auto"/>
          <w:szCs w:val="21"/>
          <w:highlight w:val="none"/>
        </w:rPr>
        <w:t>招标项目名称：见投标人须知前附表。</w:t>
      </w:r>
    </w:p>
    <w:p w14:paraId="324DD4F1">
      <w:pPr>
        <w:pStyle w:val="12"/>
        <w:kinsoku w:val="0"/>
        <w:overflowPunct w:val="0"/>
        <w:spacing w:line="288" w:lineRule="auto"/>
        <w:ind w:firstLine="420" w:firstLineChars="200"/>
        <w:rPr>
          <w:rFonts w:ascii="宋体" w:hAnsi="宋体"/>
          <w:color w:val="auto"/>
          <w:szCs w:val="21"/>
          <w:highlight w:val="none"/>
        </w:rPr>
      </w:pPr>
      <w:r>
        <w:rPr>
          <w:rFonts w:ascii="宋体" w:hAnsi="宋体"/>
          <w:color w:val="auto"/>
          <w:szCs w:val="21"/>
          <w:highlight w:val="none"/>
        </w:rPr>
        <w:t>1.1.5</w:t>
      </w:r>
      <w:r>
        <w:rPr>
          <w:rFonts w:hint="eastAsia" w:ascii="宋体" w:hAnsi="宋体"/>
          <w:color w:val="auto"/>
          <w:szCs w:val="21"/>
          <w:highlight w:val="none"/>
        </w:rPr>
        <w:t>项目建设地点：见投标人须知前附表。</w:t>
      </w:r>
    </w:p>
    <w:p w14:paraId="2647D7D1">
      <w:pPr>
        <w:pStyle w:val="12"/>
        <w:kinsoku w:val="0"/>
        <w:overflowPunct w:val="0"/>
        <w:spacing w:line="288" w:lineRule="auto"/>
        <w:ind w:firstLine="420" w:firstLineChars="200"/>
        <w:rPr>
          <w:rFonts w:ascii="宋体" w:hAnsi="宋体"/>
          <w:color w:val="auto"/>
          <w:szCs w:val="21"/>
          <w:highlight w:val="none"/>
        </w:rPr>
      </w:pPr>
      <w:r>
        <w:rPr>
          <w:rFonts w:ascii="宋体" w:hAnsi="宋体"/>
          <w:color w:val="auto"/>
          <w:szCs w:val="21"/>
          <w:highlight w:val="none"/>
        </w:rPr>
        <w:t>1.1.6</w:t>
      </w:r>
      <w:r>
        <w:rPr>
          <w:rFonts w:hint="eastAsia" w:ascii="宋体" w:hAnsi="宋体"/>
          <w:color w:val="auto"/>
          <w:szCs w:val="21"/>
          <w:highlight w:val="none"/>
        </w:rPr>
        <w:t>项目建设规模：见投标人须知前附表。</w:t>
      </w:r>
    </w:p>
    <w:p w14:paraId="0F3E53DD">
      <w:pPr>
        <w:pStyle w:val="12"/>
        <w:kinsoku w:val="0"/>
        <w:overflowPunct w:val="0"/>
        <w:spacing w:line="288" w:lineRule="auto"/>
        <w:ind w:firstLine="420" w:firstLineChars="200"/>
        <w:rPr>
          <w:rFonts w:ascii="宋体" w:hAnsi="宋体"/>
          <w:color w:val="auto"/>
          <w:szCs w:val="21"/>
          <w:highlight w:val="none"/>
        </w:rPr>
      </w:pPr>
      <w:r>
        <w:rPr>
          <w:rFonts w:ascii="宋体" w:hAnsi="宋体"/>
          <w:color w:val="auto"/>
          <w:szCs w:val="21"/>
          <w:highlight w:val="none"/>
        </w:rPr>
        <w:t>1.1.7</w:t>
      </w:r>
      <w:r>
        <w:rPr>
          <w:rFonts w:hint="eastAsia" w:ascii="宋体" w:hAnsi="宋体"/>
          <w:color w:val="auto"/>
          <w:szCs w:val="21"/>
          <w:highlight w:val="none"/>
        </w:rPr>
        <w:t>工程项目施工预计开工日期和建设周期：见投标人须知前附表。</w:t>
      </w:r>
    </w:p>
    <w:p w14:paraId="2697FB53">
      <w:pPr>
        <w:pStyle w:val="25"/>
        <w:spacing w:line="288" w:lineRule="auto"/>
        <w:ind w:firstLineChars="200"/>
        <w:rPr>
          <w:rFonts w:ascii="宋体" w:hAnsi="宋体"/>
          <w:color w:val="auto"/>
          <w:szCs w:val="21"/>
          <w:highlight w:val="none"/>
        </w:rPr>
      </w:pPr>
      <w:r>
        <w:rPr>
          <w:rFonts w:ascii="宋体" w:hAnsi="宋体"/>
          <w:color w:val="auto"/>
          <w:szCs w:val="21"/>
          <w:highlight w:val="none"/>
        </w:rPr>
        <w:t>1.1.8</w:t>
      </w:r>
      <w:r>
        <w:rPr>
          <w:rFonts w:hint="eastAsia" w:ascii="宋体" w:hAnsi="宋体"/>
          <w:color w:val="auto"/>
          <w:szCs w:val="21"/>
          <w:highlight w:val="none"/>
        </w:rPr>
        <w:t>建筑安装工程费</w:t>
      </w:r>
      <w:r>
        <w:rPr>
          <w:rFonts w:ascii="宋体" w:hAnsi="宋体"/>
          <w:color w:val="auto"/>
          <w:szCs w:val="21"/>
          <w:highlight w:val="none"/>
        </w:rPr>
        <w:t>/</w:t>
      </w:r>
      <w:r>
        <w:rPr>
          <w:rFonts w:hint="eastAsia" w:ascii="宋体" w:hAnsi="宋体"/>
          <w:color w:val="auto"/>
          <w:szCs w:val="21"/>
          <w:highlight w:val="none"/>
        </w:rPr>
        <w:t>工程概算：见投标人须知前附表。</w:t>
      </w:r>
    </w:p>
    <w:p w14:paraId="7418EFE0">
      <w:pPr>
        <w:pStyle w:val="12"/>
        <w:kinsoku w:val="0"/>
        <w:overflowPunct w:val="0"/>
        <w:spacing w:line="288" w:lineRule="auto"/>
        <w:ind w:firstLine="420" w:firstLineChars="200"/>
        <w:rPr>
          <w:rFonts w:ascii="宋体" w:hAnsi="宋体"/>
          <w:color w:val="auto"/>
          <w:szCs w:val="21"/>
          <w:highlight w:val="none"/>
        </w:rPr>
      </w:pPr>
    </w:p>
    <w:p w14:paraId="6A3BA94C">
      <w:pPr>
        <w:pStyle w:val="6"/>
        <w:rPr>
          <w:color w:val="auto"/>
          <w:highlight w:val="none"/>
        </w:rPr>
      </w:pPr>
      <w:r>
        <w:rPr>
          <w:color w:val="auto"/>
          <w:highlight w:val="none"/>
        </w:rPr>
        <w:t xml:space="preserve">1.2 </w:t>
      </w:r>
      <w:r>
        <w:rPr>
          <w:rFonts w:hint="eastAsia"/>
          <w:color w:val="auto"/>
          <w:highlight w:val="none"/>
        </w:rPr>
        <w:t>招标项目的资金来源和落实情况</w:t>
      </w:r>
    </w:p>
    <w:p w14:paraId="73DE4CD6">
      <w:pPr>
        <w:pStyle w:val="12"/>
        <w:kinsoku w:val="0"/>
        <w:overflowPunct w:val="0"/>
        <w:spacing w:line="288" w:lineRule="auto"/>
        <w:ind w:firstLine="420" w:firstLineChars="200"/>
        <w:rPr>
          <w:rFonts w:ascii="宋体" w:hAnsi="宋体"/>
          <w:color w:val="auto"/>
          <w:szCs w:val="21"/>
          <w:highlight w:val="none"/>
        </w:rPr>
      </w:pPr>
      <w:r>
        <w:rPr>
          <w:rFonts w:ascii="宋体" w:hAnsi="宋体"/>
          <w:color w:val="auto"/>
          <w:szCs w:val="21"/>
          <w:highlight w:val="none"/>
        </w:rPr>
        <w:t>1.2.1</w:t>
      </w:r>
      <w:r>
        <w:rPr>
          <w:rFonts w:hint="eastAsia" w:ascii="宋体" w:hAnsi="宋体"/>
          <w:color w:val="auto"/>
          <w:szCs w:val="21"/>
          <w:highlight w:val="none"/>
        </w:rPr>
        <w:t>资金来源及比例：见投标人须知前附表。</w:t>
      </w:r>
    </w:p>
    <w:p w14:paraId="1882993C">
      <w:pPr>
        <w:pStyle w:val="12"/>
        <w:kinsoku w:val="0"/>
        <w:overflowPunct w:val="0"/>
        <w:spacing w:line="288" w:lineRule="auto"/>
        <w:ind w:firstLine="420" w:firstLineChars="200"/>
        <w:rPr>
          <w:rFonts w:ascii="宋体" w:hAnsi="宋体"/>
          <w:color w:val="auto"/>
          <w:szCs w:val="21"/>
          <w:highlight w:val="none"/>
        </w:rPr>
      </w:pPr>
      <w:r>
        <w:rPr>
          <w:rFonts w:ascii="宋体" w:hAnsi="宋体"/>
          <w:color w:val="auto"/>
          <w:szCs w:val="21"/>
          <w:highlight w:val="none"/>
        </w:rPr>
        <w:t>1.2.2</w:t>
      </w:r>
      <w:r>
        <w:rPr>
          <w:rFonts w:hint="eastAsia" w:ascii="宋体" w:hAnsi="宋体"/>
          <w:color w:val="auto"/>
          <w:szCs w:val="21"/>
          <w:highlight w:val="none"/>
        </w:rPr>
        <w:t>资金落实情况：见投标人须知前附表。</w:t>
      </w:r>
    </w:p>
    <w:p w14:paraId="55C9EA0D">
      <w:pPr>
        <w:pStyle w:val="12"/>
        <w:kinsoku w:val="0"/>
        <w:overflowPunct w:val="0"/>
        <w:spacing w:line="288" w:lineRule="auto"/>
        <w:ind w:firstLine="420" w:firstLineChars="200"/>
        <w:rPr>
          <w:rFonts w:ascii="宋体" w:hAnsi="宋体"/>
          <w:color w:val="auto"/>
          <w:szCs w:val="21"/>
          <w:highlight w:val="none"/>
        </w:rPr>
      </w:pPr>
    </w:p>
    <w:p w14:paraId="68F26629">
      <w:pPr>
        <w:pStyle w:val="6"/>
        <w:rPr>
          <w:color w:val="auto"/>
          <w:highlight w:val="none"/>
        </w:rPr>
      </w:pPr>
      <w:r>
        <w:rPr>
          <w:color w:val="auto"/>
          <w:highlight w:val="none"/>
        </w:rPr>
        <w:t xml:space="preserve">1.3 </w:t>
      </w:r>
      <w:r>
        <w:rPr>
          <w:rFonts w:hint="eastAsia"/>
          <w:color w:val="auto"/>
          <w:highlight w:val="none"/>
        </w:rPr>
        <w:t>招标范围、服务期限和质量标准</w:t>
      </w:r>
    </w:p>
    <w:p w14:paraId="7AF10971">
      <w:pPr>
        <w:pStyle w:val="12"/>
        <w:kinsoku w:val="0"/>
        <w:overflowPunct w:val="0"/>
        <w:spacing w:line="288" w:lineRule="auto"/>
        <w:ind w:firstLine="420" w:firstLineChars="200"/>
        <w:rPr>
          <w:rFonts w:ascii="宋体" w:hAnsi="宋体"/>
          <w:color w:val="auto"/>
          <w:szCs w:val="21"/>
          <w:highlight w:val="none"/>
        </w:rPr>
      </w:pPr>
      <w:r>
        <w:rPr>
          <w:rFonts w:ascii="宋体" w:hAnsi="宋体"/>
          <w:color w:val="auto"/>
          <w:szCs w:val="21"/>
          <w:highlight w:val="none"/>
        </w:rPr>
        <w:t>1.3.1</w:t>
      </w:r>
      <w:r>
        <w:rPr>
          <w:rFonts w:hint="eastAsia" w:ascii="宋体" w:hAnsi="宋体"/>
          <w:color w:val="auto"/>
          <w:szCs w:val="21"/>
          <w:highlight w:val="none"/>
        </w:rPr>
        <w:t>招标范围：见投标人须知前附表。</w:t>
      </w:r>
    </w:p>
    <w:p w14:paraId="33AFD6F0">
      <w:pPr>
        <w:pStyle w:val="12"/>
        <w:kinsoku w:val="0"/>
        <w:overflowPunct w:val="0"/>
        <w:spacing w:line="288" w:lineRule="auto"/>
        <w:ind w:firstLine="420" w:firstLineChars="200"/>
        <w:rPr>
          <w:rFonts w:ascii="宋体" w:hAnsi="宋体"/>
          <w:color w:val="auto"/>
          <w:szCs w:val="21"/>
          <w:highlight w:val="none"/>
        </w:rPr>
      </w:pPr>
      <w:r>
        <w:rPr>
          <w:rFonts w:ascii="宋体" w:hAnsi="宋体"/>
          <w:color w:val="auto"/>
          <w:szCs w:val="21"/>
          <w:highlight w:val="none"/>
        </w:rPr>
        <w:t>1.3.2</w:t>
      </w:r>
      <w:r>
        <w:rPr>
          <w:rFonts w:hint="eastAsia" w:ascii="宋体" w:hAnsi="宋体"/>
          <w:color w:val="auto"/>
          <w:szCs w:val="21"/>
          <w:highlight w:val="none"/>
        </w:rPr>
        <w:t>服务期：见投标人须知前附表。</w:t>
      </w:r>
    </w:p>
    <w:p w14:paraId="1E251B87">
      <w:pPr>
        <w:pStyle w:val="12"/>
        <w:kinsoku w:val="0"/>
        <w:overflowPunct w:val="0"/>
        <w:spacing w:line="288" w:lineRule="auto"/>
        <w:ind w:firstLine="420" w:firstLineChars="200"/>
        <w:rPr>
          <w:rFonts w:ascii="宋体" w:hAnsi="宋体"/>
          <w:color w:val="auto"/>
          <w:szCs w:val="21"/>
          <w:highlight w:val="none"/>
        </w:rPr>
      </w:pPr>
      <w:r>
        <w:rPr>
          <w:rFonts w:ascii="宋体" w:hAnsi="宋体"/>
          <w:color w:val="auto"/>
          <w:szCs w:val="21"/>
          <w:highlight w:val="none"/>
        </w:rPr>
        <w:t>1.3.3</w:t>
      </w:r>
      <w:r>
        <w:rPr>
          <w:rFonts w:hint="eastAsia" w:ascii="宋体" w:hAnsi="宋体"/>
          <w:color w:val="auto"/>
          <w:highlight w:val="none"/>
        </w:rPr>
        <w:t>质量标准</w:t>
      </w:r>
      <w:r>
        <w:rPr>
          <w:rFonts w:hint="eastAsia" w:ascii="宋体" w:hAnsi="宋体"/>
          <w:color w:val="auto"/>
          <w:szCs w:val="21"/>
          <w:highlight w:val="none"/>
        </w:rPr>
        <w:t>：见投标人须知前附表。</w:t>
      </w:r>
    </w:p>
    <w:p w14:paraId="3E06471C">
      <w:pPr>
        <w:pStyle w:val="12"/>
        <w:kinsoku w:val="0"/>
        <w:overflowPunct w:val="0"/>
        <w:spacing w:line="288" w:lineRule="auto"/>
        <w:ind w:firstLine="420" w:firstLineChars="200"/>
        <w:rPr>
          <w:rFonts w:ascii="宋体" w:hAnsi="宋体"/>
          <w:color w:val="auto"/>
          <w:szCs w:val="21"/>
          <w:highlight w:val="none"/>
        </w:rPr>
      </w:pPr>
    </w:p>
    <w:p w14:paraId="69450B6A">
      <w:pPr>
        <w:pStyle w:val="6"/>
        <w:rPr>
          <w:color w:val="auto"/>
          <w:highlight w:val="none"/>
        </w:rPr>
      </w:pPr>
      <w:r>
        <w:rPr>
          <w:color w:val="auto"/>
          <w:highlight w:val="none"/>
        </w:rPr>
        <w:t xml:space="preserve">1.4 </w:t>
      </w:r>
      <w:r>
        <w:rPr>
          <w:rFonts w:hint="eastAsia"/>
          <w:color w:val="auto"/>
          <w:highlight w:val="none"/>
        </w:rPr>
        <w:t>投标人资格要求</w:t>
      </w:r>
    </w:p>
    <w:p w14:paraId="7BFDCD10">
      <w:pPr>
        <w:pStyle w:val="12"/>
        <w:kinsoku w:val="0"/>
        <w:overflowPunct w:val="0"/>
        <w:spacing w:line="288" w:lineRule="auto"/>
        <w:ind w:firstLine="420" w:firstLineChars="200"/>
        <w:rPr>
          <w:rFonts w:ascii="宋体" w:hAnsi="宋体"/>
          <w:color w:val="auto"/>
          <w:szCs w:val="21"/>
          <w:highlight w:val="none"/>
          <w:u w:val="single"/>
        </w:rPr>
      </w:pPr>
      <w:r>
        <w:rPr>
          <w:rFonts w:ascii="宋体" w:hAnsi="宋体"/>
          <w:color w:val="auto"/>
          <w:szCs w:val="21"/>
          <w:highlight w:val="none"/>
        </w:rPr>
        <w:t>1.4.1</w:t>
      </w:r>
      <w:r>
        <w:rPr>
          <w:rFonts w:hint="eastAsia" w:ascii="宋体" w:hAnsi="宋体"/>
          <w:color w:val="auto"/>
          <w:szCs w:val="21"/>
          <w:highlight w:val="none"/>
        </w:rPr>
        <w:t>投标人应具备承担本招标项目资质条件、能力和信誉：</w:t>
      </w:r>
      <w:r>
        <w:rPr>
          <w:rFonts w:hint="eastAsia" w:ascii="宋体" w:hAnsi="宋体"/>
          <w:color w:val="auto"/>
          <w:szCs w:val="21"/>
          <w:highlight w:val="none"/>
          <w:u w:val="single"/>
        </w:rPr>
        <w:t>详见招标公告。</w:t>
      </w:r>
    </w:p>
    <w:p w14:paraId="4F6BD32D">
      <w:pPr>
        <w:pStyle w:val="12"/>
        <w:kinsoku w:val="0"/>
        <w:overflowPunct w:val="0"/>
        <w:spacing w:line="288" w:lineRule="auto"/>
        <w:ind w:firstLine="420" w:firstLineChars="200"/>
        <w:rPr>
          <w:rFonts w:ascii="宋体" w:hAnsi="宋体"/>
          <w:color w:val="auto"/>
          <w:szCs w:val="21"/>
          <w:highlight w:val="none"/>
        </w:rPr>
      </w:pPr>
      <w:r>
        <w:rPr>
          <w:rFonts w:ascii="宋体" w:hAnsi="宋体"/>
          <w:color w:val="auto"/>
          <w:szCs w:val="21"/>
          <w:highlight w:val="none"/>
        </w:rPr>
        <w:t>1.4.2</w:t>
      </w:r>
      <w:r>
        <w:rPr>
          <w:rFonts w:hint="eastAsia" w:ascii="宋体" w:hAnsi="宋体"/>
          <w:color w:val="auto"/>
          <w:szCs w:val="21"/>
          <w:highlight w:val="none"/>
        </w:rPr>
        <w:t>投标人须知前附表规定接受联合体投标的，联合体除应符合本章第</w:t>
      </w:r>
      <w:r>
        <w:rPr>
          <w:rFonts w:ascii="宋体" w:hAnsi="宋体"/>
          <w:color w:val="auto"/>
          <w:szCs w:val="21"/>
          <w:highlight w:val="none"/>
        </w:rPr>
        <w:t>1.4.</w:t>
      </w:r>
      <w:r>
        <w:rPr>
          <w:rFonts w:hint="eastAsia" w:ascii="宋体" w:hAnsi="宋体"/>
          <w:color w:val="auto"/>
          <w:szCs w:val="21"/>
          <w:highlight w:val="none"/>
        </w:rPr>
        <w:t>2项和投标人须知前附表的要求外，还应遵守以下规定：</w:t>
      </w:r>
    </w:p>
    <w:p w14:paraId="5517A2D7">
      <w:pPr>
        <w:pStyle w:val="12"/>
        <w:kinsoku w:val="0"/>
        <w:overflowPunct w:val="0"/>
        <w:spacing w:line="288" w:lineRule="auto"/>
        <w:ind w:firstLine="420" w:firstLineChars="200"/>
        <w:rPr>
          <w:rFonts w:ascii="宋体" w:hAnsi="宋体"/>
          <w:color w:val="auto"/>
          <w:szCs w:val="21"/>
          <w:highlight w:val="none"/>
        </w:rPr>
      </w:pPr>
      <w:r>
        <w:rPr>
          <w:rFonts w:hint="eastAsia" w:ascii="宋体" w:hAnsi="宋体"/>
          <w:color w:val="auto"/>
          <w:szCs w:val="21"/>
          <w:highlight w:val="none"/>
        </w:rPr>
        <w:t>（</w:t>
      </w:r>
      <w:r>
        <w:rPr>
          <w:rFonts w:ascii="宋体" w:hAnsi="宋体"/>
          <w:color w:val="auto"/>
          <w:szCs w:val="21"/>
          <w:highlight w:val="none"/>
        </w:rPr>
        <w:t>1</w:t>
      </w:r>
      <w:r>
        <w:rPr>
          <w:rFonts w:hint="eastAsia" w:ascii="宋体" w:hAnsi="宋体"/>
          <w:color w:val="auto"/>
          <w:szCs w:val="21"/>
          <w:highlight w:val="none"/>
        </w:rPr>
        <w:t>）联合体各方应按招标文件提供的格式签订联合体协议书，明确联合体牵头人和各方权利义务，并承诺就中标项目向招标人承担连带责任；</w:t>
      </w:r>
    </w:p>
    <w:p w14:paraId="1142B051">
      <w:pPr>
        <w:pStyle w:val="12"/>
        <w:kinsoku w:val="0"/>
        <w:overflowPunct w:val="0"/>
        <w:spacing w:line="288" w:lineRule="auto"/>
        <w:ind w:firstLine="420" w:firstLineChars="200"/>
        <w:rPr>
          <w:rFonts w:ascii="宋体" w:hAnsi="宋体"/>
          <w:color w:val="auto"/>
          <w:szCs w:val="21"/>
          <w:highlight w:val="none"/>
        </w:rPr>
      </w:pPr>
      <w:r>
        <w:rPr>
          <w:rFonts w:hint="eastAsia" w:ascii="宋体" w:hAnsi="宋体"/>
          <w:color w:val="auto"/>
          <w:szCs w:val="21"/>
          <w:highlight w:val="none"/>
        </w:rPr>
        <w:t>（</w:t>
      </w:r>
      <w:r>
        <w:rPr>
          <w:rFonts w:ascii="宋体" w:hAnsi="宋体"/>
          <w:color w:val="auto"/>
          <w:szCs w:val="21"/>
          <w:highlight w:val="none"/>
        </w:rPr>
        <w:t>2</w:t>
      </w:r>
      <w:r>
        <w:rPr>
          <w:rFonts w:hint="eastAsia" w:ascii="宋体" w:hAnsi="宋体"/>
          <w:color w:val="auto"/>
          <w:szCs w:val="21"/>
          <w:highlight w:val="none"/>
        </w:rPr>
        <w:t>）联合体各方不得再以自己名义单独或参加其他联合体在本招标项目中投标，否则各相关投标均无效。</w:t>
      </w:r>
    </w:p>
    <w:p w14:paraId="52DA939E">
      <w:pPr>
        <w:pStyle w:val="12"/>
        <w:kinsoku w:val="0"/>
        <w:overflowPunct w:val="0"/>
        <w:spacing w:line="288" w:lineRule="auto"/>
        <w:ind w:firstLine="420" w:firstLineChars="200"/>
        <w:rPr>
          <w:rFonts w:ascii="宋体" w:hAnsi="宋体"/>
          <w:color w:val="auto"/>
          <w:szCs w:val="21"/>
          <w:highlight w:val="none"/>
        </w:rPr>
      </w:pPr>
      <w:r>
        <w:rPr>
          <w:rFonts w:ascii="宋体" w:hAnsi="宋体"/>
          <w:color w:val="auto"/>
          <w:szCs w:val="21"/>
          <w:highlight w:val="none"/>
        </w:rPr>
        <w:t>1.4.3</w:t>
      </w:r>
      <w:r>
        <w:rPr>
          <w:rFonts w:hint="eastAsia" w:ascii="宋体" w:hAnsi="宋体"/>
          <w:color w:val="auto"/>
          <w:szCs w:val="21"/>
          <w:highlight w:val="none"/>
        </w:rPr>
        <w:t>投标人不得存在下列情形之一：</w:t>
      </w:r>
    </w:p>
    <w:p w14:paraId="475BF150">
      <w:pPr>
        <w:pStyle w:val="12"/>
        <w:kinsoku w:val="0"/>
        <w:overflowPunct w:val="0"/>
        <w:spacing w:line="288" w:lineRule="auto"/>
        <w:ind w:firstLine="420" w:firstLineChars="200"/>
        <w:rPr>
          <w:rFonts w:ascii="宋体" w:hAnsi="宋体"/>
          <w:color w:val="auto"/>
          <w:szCs w:val="21"/>
          <w:highlight w:val="none"/>
        </w:rPr>
      </w:pPr>
      <w:r>
        <w:rPr>
          <w:rFonts w:hint="eastAsia" w:ascii="宋体" w:hAnsi="宋体"/>
          <w:color w:val="auto"/>
          <w:szCs w:val="21"/>
          <w:highlight w:val="none"/>
        </w:rPr>
        <w:t>（1）为招标人不具有独立法人资格的附属机构（单位）；</w:t>
      </w:r>
    </w:p>
    <w:p w14:paraId="57E1B402">
      <w:pPr>
        <w:pStyle w:val="12"/>
        <w:kinsoku w:val="0"/>
        <w:overflowPunct w:val="0"/>
        <w:spacing w:line="288" w:lineRule="auto"/>
        <w:ind w:firstLine="420" w:firstLineChars="200"/>
        <w:rPr>
          <w:rFonts w:ascii="宋体" w:hAnsi="宋体"/>
          <w:color w:val="auto"/>
          <w:szCs w:val="21"/>
          <w:highlight w:val="none"/>
        </w:rPr>
      </w:pPr>
      <w:r>
        <w:rPr>
          <w:rFonts w:hint="eastAsia" w:ascii="宋体" w:hAnsi="宋体"/>
          <w:color w:val="auto"/>
          <w:szCs w:val="21"/>
          <w:highlight w:val="none"/>
        </w:rPr>
        <w:t>（2）与招标人存在利害关系且可能影响招标公正性；</w:t>
      </w:r>
    </w:p>
    <w:p w14:paraId="34C4311A">
      <w:pPr>
        <w:pStyle w:val="12"/>
        <w:kinsoku w:val="0"/>
        <w:overflowPunct w:val="0"/>
        <w:spacing w:line="288" w:lineRule="auto"/>
        <w:ind w:firstLine="420" w:firstLineChars="200"/>
        <w:rPr>
          <w:rFonts w:ascii="宋体" w:hAnsi="宋体"/>
          <w:color w:val="auto"/>
          <w:szCs w:val="21"/>
          <w:highlight w:val="none"/>
        </w:rPr>
      </w:pPr>
      <w:r>
        <w:rPr>
          <w:rFonts w:hint="eastAsia" w:ascii="宋体" w:hAnsi="宋体"/>
          <w:color w:val="auto"/>
          <w:szCs w:val="21"/>
          <w:highlight w:val="none"/>
        </w:rPr>
        <w:t>（3）与本招标项目的其他投标人为同一个单位负责人；</w:t>
      </w:r>
    </w:p>
    <w:p w14:paraId="380FAE34">
      <w:pPr>
        <w:pStyle w:val="12"/>
        <w:kinsoku w:val="0"/>
        <w:overflowPunct w:val="0"/>
        <w:spacing w:line="288" w:lineRule="auto"/>
        <w:ind w:firstLine="420" w:firstLineChars="200"/>
        <w:rPr>
          <w:rFonts w:ascii="宋体" w:hAnsi="宋体"/>
          <w:color w:val="auto"/>
          <w:szCs w:val="21"/>
          <w:highlight w:val="none"/>
        </w:rPr>
      </w:pPr>
      <w:r>
        <w:rPr>
          <w:rFonts w:hint="eastAsia" w:ascii="宋体" w:hAnsi="宋体"/>
          <w:color w:val="auto"/>
          <w:szCs w:val="21"/>
          <w:highlight w:val="none"/>
        </w:rPr>
        <w:t>（4）与本招标项目的其他投标人存在控股、管理关系；</w:t>
      </w:r>
    </w:p>
    <w:p w14:paraId="2DEEAB30">
      <w:pPr>
        <w:pStyle w:val="12"/>
        <w:kinsoku w:val="0"/>
        <w:overflowPunct w:val="0"/>
        <w:spacing w:line="288" w:lineRule="auto"/>
        <w:ind w:firstLine="420" w:firstLineChars="200"/>
        <w:rPr>
          <w:rFonts w:ascii="宋体" w:hAnsi="宋体"/>
          <w:color w:val="auto"/>
          <w:szCs w:val="21"/>
          <w:highlight w:val="none"/>
        </w:rPr>
      </w:pPr>
      <w:r>
        <w:rPr>
          <w:rFonts w:hint="eastAsia" w:ascii="宋体" w:hAnsi="宋体"/>
          <w:color w:val="auto"/>
          <w:szCs w:val="21"/>
          <w:highlight w:val="none"/>
        </w:rPr>
        <w:t>（5）为本招标项目的代建人；</w:t>
      </w:r>
    </w:p>
    <w:p w14:paraId="1FFC9FD4">
      <w:pPr>
        <w:pStyle w:val="12"/>
        <w:kinsoku w:val="0"/>
        <w:overflowPunct w:val="0"/>
        <w:spacing w:line="288" w:lineRule="auto"/>
        <w:ind w:firstLine="420" w:firstLineChars="200"/>
        <w:rPr>
          <w:rFonts w:ascii="宋体" w:hAnsi="宋体"/>
          <w:color w:val="auto"/>
          <w:szCs w:val="21"/>
          <w:highlight w:val="none"/>
        </w:rPr>
      </w:pPr>
      <w:r>
        <w:rPr>
          <w:rFonts w:hint="eastAsia" w:ascii="宋体" w:hAnsi="宋体"/>
          <w:color w:val="auto"/>
          <w:szCs w:val="21"/>
          <w:highlight w:val="none"/>
        </w:rPr>
        <w:t>（6）为本招标项目的招标代理机构；</w:t>
      </w:r>
    </w:p>
    <w:p w14:paraId="6C7FCCB7">
      <w:pPr>
        <w:pStyle w:val="12"/>
        <w:kinsoku w:val="0"/>
        <w:overflowPunct w:val="0"/>
        <w:spacing w:line="288" w:lineRule="auto"/>
        <w:ind w:firstLine="420" w:firstLineChars="200"/>
        <w:rPr>
          <w:rFonts w:ascii="宋体" w:hAnsi="宋体"/>
          <w:color w:val="auto"/>
          <w:szCs w:val="21"/>
          <w:highlight w:val="none"/>
        </w:rPr>
      </w:pPr>
      <w:r>
        <w:rPr>
          <w:rFonts w:hint="eastAsia" w:ascii="宋体" w:hAnsi="宋体"/>
          <w:color w:val="auto"/>
          <w:szCs w:val="21"/>
          <w:highlight w:val="none"/>
        </w:rPr>
        <w:t>（7）与本招标项目的代建人或招标代理机构同为一个法定代表人；</w:t>
      </w:r>
    </w:p>
    <w:p w14:paraId="5C5D3C44">
      <w:pPr>
        <w:pStyle w:val="12"/>
        <w:kinsoku w:val="0"/>
        <w:overflowPunct w:val="0"/>
        <w:spacing w:line="288" w:lineRule="auto"/>
        <w:ind w:firstLine="420" w:firstLineChars="200"/>
        <w:rPr>
          <w:rFonts w:ascii="宋体" w:hAnsi="宋体"/>
          <w:color w:val="auto"/>
          <w:szCs w:val="21"/>
          <w:highlight w:val="none"/>
        </w:rPr>
      </w:pPr>
      <w:r>
        <w:rPr>
          <w:rFonts w:hint="eastAsia" w:ascii="宋体" w:hAnsi="宋体"/>
          <w:color w:val="auto"/>
          <w:szCs w:val="21"/>
          <w:highlight w:val="none"/>
        </w:rPr>
        <w:t>（8）与本招标项目的代建人或招标代理机构存在控股或参股关系；</w:t>
      </w:r>
    </w:p>
    <w:p w14:paraId="5DB7DF62">
      <w:pPr>
        <w:pStyle w:val="12"/>
        <w:kinsoku w:val="0"/>
        <w:overflowPunct w:val="0"/>
        <w:spacing w:line="288" w:lineRule="auto"/>
        <w:ind w:firstLine="420" w:firstLineChars="200"/>
        <w:rPr>
          <w:rFonts w:ascii="宋体" w:hAnsi="宋体"/>
          <w:color w:val="auto"/>
          <w:szCs w:val="21"/>
          <w:highlight w:val="none"/>
        </w:rPr>
      </w:pPr>
      <w:r>
        <w:rPr>
          <w:rFonts w:hint="eastAsia" w:ascii="宋体" w:hAnsi="宋体"/>
          <w:color w:val="auto"/>
          <w:szCs w:val="21"/>
          <w:highlight w:val="none"/>
        </w:rPr>
        <w:t>（9）与本招标项目的施工承包人以及建筑材料、建筑构配件和设备供应商有隶属关系或者其他利害关系；</w:t>
      </w:r>
    </w:p>
    <w:p w14:paraId="716E8855">
      <w:pPr>
        <w:pStyle w:val="12"/>
        <w:kinsoku w:val="0"/>
        <w:overflowPunct w:val="0"/>
        <w:spacing w:line="288" w:lineRule="auto"/>
        <w:ind w:firstLine="420" w:firstLineChars="200"/>
        <w:rPr>
          <w:rFonts w:ascii="宋体" w:hAnsi="宋体"/>
          <w:color w:val="auto"/>
          <w:szCs w:val="21"/>
          <w:highlight w:val="none"/>
        </w:rPr>
      </w:pPr>
      <w:r>
        <w:rPr>
          <w:rFonts w:hint="eastAsia" w:ascii="宋体" w:hAnsi="宋体"/>
          <w:color w:val="auto"/>
          <w:szCs w:val="21"/>
          <w:highlight w:val="none"/>
        </w:rPr>
        <w:t>（10）被依法暂停或者取消投标资格；</w:t>
      </w:r>
    </w:p>
    <w:p w14:paraId="61FCC164">
      <w:pPr>
        <w:pStyle w:val="12"/>
        <w:kinsoku w:val="0"/>
        <w:overflowPunct w:val="0"/>
        <w:spacing w:line="288" w:lineRule="auto"/>
        <w:ind w:firstLine="420" w:firstLineChars="200"/>
        <w:rPr>
          <w:rFonts w:ascii="宋体" w:hAnsi="宋体"/>
          <w:color w:val="auto"/>
          <w:szCs w:val="21"/>
          <w:highlight w:val="none"/>
        </w:rPr>
      </w:pPr>
      <w:r>
        <w:rPr>
          <w:rFonts w:hint="eastAsia" w:ascii="宋体" w:hAnsi="宋体"/>
          <w:color w:val="auto"/>
          <w:szCs w:val="21"/>
          <w:highlight w:val="none"/>
        </w:rPr>
        <w:t>（11）被责令停产停业、暂扣或者吊销许可证、暂扣或者吊销执照；</w:t>
      </w:r>
    </w:p>
    <w:p w14:paraId="64418548">
      <w:pPr>
        <w:pStyle w:val="12"/>
        <w:kinsoku w:val="0"/>
        <w:overflowPunct w:val="0"/>
        <w:spacing w:line="288" w:lineRule="auto"/>
        <w:ind w:firstLine="420" w:firstLineChars="200"/>
        <w:rPr>
          <w:rFonts w:ascii="宋体" w:hAnsi="宋体"/>
          <w:color w:val="auto"/>
          <w:szCs w:val="21"/>
          <w:highlight w:val="none"/>
        </w:rPr>
      </w:pPr>
      <w:r>
        <w:rPr>
          <w:rFonts w:hint="eastAsia" w:ascii="宋体" w:hAnsi="宋体"/>
          <w:color w:val="auto"/>
          <w:szCs w:val="21"/>
          <w:highlight w:val="none"/>
        </w:rPr>
        <w:t>（12）进入清算程序，或被宣告破产，或其他丧失履约能力的情形；</w:t>
      </w:r>
    </w:p>
    <w:p w14:paraId="00015BBF">
      <w:pPr>
        <w:ind w:firstLine="420" w:firstLineChars="200"/>
        <w:rPr>
          <w:rFonts w:ascii="宋体" w:hAnsi="宋体"/>
          <w:color w:val="auto"/>
          <w:szCs w:val="21"/>
          <w:highlight w:val="none"/>
        </w:rPr>
      </w:pPr>
      <w:r>
        <w:rPr>
          <w:rFonts w:hint="eastAsia" w:ascii="宋体" w:hAnsi="宋体"/>
          <w:color w:val="auto"/>
          <w:szCs w:val="21"/>
          <w:highlight w:val="none"/>
        </w:rPr>
        <w:t>（1</w:t>
      </w:r>
      <w:r>
        <w:rPr>
          <w:rFonts w:hint="eastAsia" w:ascii="宋体" w:hAnsi="宋体"/>
          <w:color w:val="auto"/>
          <w:szCs w:val="21"/>
          <w:highlight w:val="none"/>
          <w:lang w:val="en-US" w:eastAsia="zh-CN"/>
        </w:rPr>
        <w:t>3</w:t>
      </w:r>
      <w:r>
        <w:rPr>
          <w:rFonts w:hint="eastAsia" w:ascii="宋体" w:hAnsi="宋体"/>
          <w:color w:val="auto"/>
          <w:szCs w:val="21"/>
          <w:highlight w:val="none"/>
        </w:rPr>
        <w:t>）法律法规或投标人须知前附表规定的其他情形。</w:t>
      </w:r>
    </w:p>
    <w:p w14:paraId="06AD90F9">
      <w:pPr>
        <w:rPr>
          <w:color w:val="auto"/>
          <w:highlight w:val="none"/>
        </w:rPr>
      </w:pPr>
    </w:p>
    <w:p w14:paraId="29524288">
      <w:pPr>
        <w:pStyle w:val="6"/>
        <w:rPr>
          <w:color w:val="auto"/>
          <w:highlight w:val="none"/>
        </w:rPr>
      </w:pPr>
      <w:r>
        <w:rPr>
          <w:color w:val="auto"/>
          <w:highlight w:val="none"/>
        </w:rPr>
        <w:t xml:space="preserve">1.5 </w:t>
      </w:r>
      <w:r>
        <w:rPr>
          <w:rFonts w:hint="eastAsia"/>
          <w:color w:val="auto"/>
          <w:highlight w:val="none"/>
        </w:rPr>
        <w:t>费用承担</w:t>
      </w:r>
    </w:p>
    <w:p w14:paraId="0B80ED65">
      <w:pPr>
        <w:pStyle w:val="12"/>
        <w:kinsoku w:val="0"/>
        <w:overflowPunct w:val="0"/>
        <w:spacing w:line="288" w:lineRule="auto"/>
        <w:ind w:firstLine="420" w:firstLineChars="200"/>
        <w:rPr>
          <w:rFonts w:ascii="宋体" w:hAnsi="宋体"/>
          <w:color w:val="auto"/>
          <w:szCs w:val="21"/>
          <w:highlight w:val="none"/>
        </w:rPr>
      </w:pPr>
      <w:r>
        <w:rPr>
          <w:rFonts w:hint="eastAsia" w:ascii="宋体" w:hAnsi="宋体"/>
          <w:color w:val="auto"/>
          <w:szCs w:val="21"/>
          <w:highlight w:val="none"/>
        </w:rPr>
        <w:t>投标人准备和参加投标活动发生的费用自理。</w:t>
      </w:r>
    </w:p>
    <w:p w14:paraId="779A55A1">
      <w:pPr>
        <w:pStyle w:val="12"/>
        <w:kinsoku w:val="0"/>
        <w:overflowPunct w:val="0"/>
        <w:spacing w:line="288" w:lineRule="auto"/>
        <w:ind w:firstLine="420" w:firstLineChars="200"/>
        <w:rPr>
          <w:rFonts w:ascii="宋体" w:hAnsi="宋体"/>
          <w:color w:val="auto"/>
          <w:szCs w:val="21"/>
          <w:highlight w:val="none"/>
        </w:rPr>
      </w:pPr>
    </w:p>
    <w:p w14:paraId="29A1176A">
      <w:pPr>
        <w:pStyle w:val="6"/>
        <w:rPr>
          <w:color w:val="auto"/>
          <w:highlight w:val="none"/>
        </w:rPr>
      </w:pPr>
      <w:bookmarkStart w:id="41" w:name="bookmark26"/>
      <w:bookmarkEnd w:id="41"/>
      <w:r>
        <w:rPr>
          <w:color w:val="auto"/>
          <w:highlight w:val="none"/>
        </w:rPr>
        <w:t xml:space="preserve">1.6 </w:t>
      </w:r>
      <w:r>
        <w:rPr>
          <w:rFonts w:hint="eastAsia"/>
          <w:color w:val="auto"/>
          <w:highlight w:val="none"/>
        </w:rPr>
        <w:t>保密</w:t>
      </w:r>
    </w:p>
    <w:p w14:paraId="5B5E301F">
      <w:pPr>
        <w:pStyle w:val="12"/>
        <w:kinsoku w:val="0"/>
        <w:overflowPunct w:val="0"/>
        <w:spacing w:line="288" w:lineRule="auto"/>
        <w:ind w:firstLine="420" w:firstLineChars="200"/>
        <w:rPr>
          <w:rFonts w:ascii="宋体" w:hAnsi="宋体"/>
          <w:color w:val="auto"/>
          <w:szCs w:val="21"/>
          <w:highlight w:val="none"/>
        </w:rPr>
      </w:pPr>
      <w:r>
        <w:rPr>
          <w:rFonts w:hint="eastAsia" w:ascii="宋体" w:hAnsi="宋体"/>
          <w:color w:val="auto"/>
          <w:szCs w:val="21"/>
          <w:highlight w:val="none"/>
        </w:rPr>
        <w:t>参与招标投标活动的各方应对招标文件和投标文件中的商业和技术等秘密保密，否则应承担相应的法律责任。</w:t>
      </w:r>
    </w:p>
    <w:p w14:paraId="0131C445">
      <w:pPr>
        <w:pStyle w:val="12"/>
        <w:kinsoku w:val="0"/>
        <w:overflowPunct w:val="0"/>
        <w:spacing w:line="288" w:lineRule="auto"/>
        <w:ind w:firstLine="420" w:firstLineChars="200"/>
        <w:rPr>
          <w:rFonts w:ascii="宋体" w:hAnsi="宋体"/>
          <w:color w:val="auto"/>
          <w:szCs w:val="21"/>
          <w:highlight w:val="none"/>
        </w:rPr>
      </w:pPr>
    </w:p>
    <w:p w14:paraId="4FDD94EB">
      <w:pPr>
        <w:pStyle w:val="6"/>
        <w:rPr>
          <w:color w:val="auto"/>
          <w:highlight w:val="none"/>
        </w:rPr>
      </w:pPr>
      <w:bookmarkStart w:id="42" w:name="bookmark27"/>
      <w:bookmarkEnd w:id="42"/>
      <w:r>
        <w:rPr>
          <w:color w:val="auto"/>
          <w:highlight w:val="none"/>
        </w:rPr>
        <w:t xml:space="preserve">1.7 </w:t>
      </w:r>
      <w:r>
        <w:rPr>
          <w:rFonts w:hint="eastAsia"/>
          <w:color w:val="auto"/>
          <w:highlight w:val="none"/>
        </w:rPr>
        <w:t>语言文字</w:t>
      </w:r>
    </w:p>
    <w:p w14:paraId="4FD3BFC2">
      <w:pPr>
        <w:pStyle w:val="12"/>
        <w:kinsoku w:val="0"/>
        <w:overflowPunct w:val="0"/>
        <w:spacing w:line="288" w:lineRule="auto"/>
        <w:ind w:firstLine="420" w:firstLineChars="200"/>
        <w:rPr>
          <w:rFonts w:ascii="宋体" w:hAnsi="宋体"/>
          <w:color w:val="auto"/>
          <w:szCs w:val="21"/>
          <w:highlight w:val="none"/>
        </w:rPr>
      </w:pPr>
      <w:r>
        <w:rPr>
          <w:rFonts w:hint="eastAsia" w:ascii="宋体" w:hAnsi="宋体"/>
          <w:color w:val="auto"/>
          <w:szCs w:val="21"/>
          <w:highlight w:val="none"/>
        </w:rPr>
        <w:t>招标投标文件使用的语言文字为中文。专用术语使用外文的，应附有中文注释。</w:t>
      </w:r>
    </w:p>
    <w:p w14:paraId="557764C0">
      <w:pPr>
        <w:pStyle w:val="12"/>
        <w:kinsoku w:val="0"/>
        <w:overflowPunct w:val="0"/>
        <w:spacing w:line="288" w:lineRule="auto"/>
        <w:ind w:firstLine="420" w:firstLineChars="200"/>
        <w:rPr>
          <w:rFonts w:ascii="宋体" w:hAnsi="宋体"/>
          <w:color w:val="auto"/>
          <w:szCs w:val="21"/>
          <w:highlight w:val="none"/>
        </w:rPr>
      </w:pPr>
    </w:p>
    <w:p w14:paraId="134F4CDD">
      <w:pPr>
        <w:pStyle w:val="6"/>
        <w:rPr>
          <w:color w:val="auto"/>
          <w:highlight w:val="none"/>
        </w:rPr>
      </w:pPr>
      <w:bookmarkStart w:id="43" w:name="bookmark28"/>
      <w:bookmarkEnd w:id="43"/>
      <w:r>
        <w:rPr>
          <w:color w:val="auto"/>
          <w:highlight w:val="none"/>
        </w:rPr>
        <w:t xml:space="preserve">1.8 </w:t>
      </w:r>
      <w:r>
        <w:rPr>
          <w:rFonts w:hint="eastAsia"/>
          <w:color w:val="auto"/>
          <w:highlight w:val="none"/>
        </w:rPr>
        <w:t>计量单位</w:t>
      </w:r>
    </w:p>
    <w:p w14:paraId="0579A0E4">
      <w:pPr>
        <w:pStyle w:val="12"/>
        <w:kinsoku w:val="0"/>
        <w:overflowPunct w:val="0"/>
        <w:spacing w:line="288" w:lineRule="auto"/>
        <w:ind w:firstLine="420" w:firstLineChars="200"/>
        <w:rPr>
          <w:rFonts w:ascii="宋体" w:hAnsi="宋体"/>
          <w:color w:val="auto"/>
          <w:szCs w:val="21"/>
          <w:highlight w:val="none"/>
        </w:rPr>
      </w:pPr>
      <w:r>
        <w:rPr>
          <w:rFonts w:hint="eastAsia" w:ascii="宋体" w:hAnsi="宋体"/>
          <w:color w:val="auto"/>
          <w:szCs w:val="21"/>
          <w:highlight w:val="none"/>
        </w:rPr>
        <w:t>所有计量均采用中华人民共和国法定计量单位。</w:t>
      </w:r>
    </w:p>
    <w:p w14:paraId="7A5359F0">
      <w:pPr>
        <w:pStyle w:val="12"/>
        <w:kinsoku w:val="0"/>
        <w:overflowPunct w:val="0"/>
        <w:spacing w:line="288" w:lineRule="auto"/>
        <w:ind w:firstLine="420" w:firstLineChars="200"/>
        <w:rPr>
          <w:rFonts w:ascii="宋体" w:hAnsi="宋体"/>
          <w:color w:val="auto"/>
          <w:szCs w:val="21"/>
          <w:highlight w:val="none"/>
        </w:rPr>
      </w:pPr>
    </w:p>
    <w:p w14:paraId="67D714FA">
      <w:pPr>
        <w:pStyle w:val="6"/>
        <w:rPr>
          <w:color w:val="auto"/>
          <w:highlight w:val="none"/>
        </w:rPr>
      </w:pPr>
      <w:bookmarkStart w:id="44" w:name="bookmark29"/>
      <w:bookmarkEnd w:id="44"/>
      <w:r>
        <w:rPr>
          <w:color w:val="auto"/>
          <w:highlight w:val="none"/>
        </w:rPr>
        <w:t xml:space="preserve">1.9 </w:t>
      </w:r>
      <w:r>
        <w:rPr>
          <w:rFonts w:hint="eastAsia"/>
          <w:color w:val="auto"/>
          <w:highlight w:val="none"/>
        </w:rPr>
        <w:t>踏勘现场</w:t>
      </w:r>
    </w:p>
    <w:p w14:paraId="00C60875">
      <w:pPr>
        <w:pStyle w:val="12"/>
        <w:kinsoku w:val="0"/>
        <w:overflowPunct w:val="0"/>
        <w:spacing w:line="288" w:lineRule="auto"/>
        <w:ind w:firstLine="420" w:firstLineChars="200"/>
        <w:rPr>
          <w:rFonts w:ascii="宋体" w:hAnsi="宋体"/>
          <w:color w:val="auto"/>
          <w:szCs w:val="21"/>
          <w:highlight w:val="none"/>
        </w:rPr>
      </w:pPr>
      <w:r>
        <w:rPr>
          <w:rFonts w:ascii="宋体" w:hAnsi="宋体"/>
          <w:color w:val="auto"/>
          <w:szCs w:val="21"/>
          <w:highlight w:val="none"/>
        </w:rPr>
        <w:t>1.9.1</w:t>
      </w:r>
      <w:r>
        <w:rPr>
          <w:rFonts w:hint="eastAsia" w:ascii="宋体" w:hAnsi="宋体"/>
          <w:color w:val="auto"/>
          <w:szCs w:val="21"/>
          <w:highlight w:val="none"/>
        </w:rPr>
        <w:t>投标人须知前附表规定组织踏勘现场的，招标人按投标人须知前附表规定的时间、地点组织投标人踏勘项目现场。部分投标人未按时参加踏勘现场的，不影响踏勘现场的正常进行。</w:t>
      </w:r>
    </w:p>
    <w:p w14:paraId="380BED98">
      <w:pPr>
        <w:pStyle w:val="12"/>
        <w:kinsoku w:val="0"/>
        <w:overflowPunct w:val="0"/>
        <w:spacing w:line="288" w:lineRule="auto"/>
        <w:ind w:firstLine="420" w:firstLineChars="200"/>
        <w:rPr>
          <w:rFonts w:ascii="宋体" w:hAnsi="宋体"/>
          <w:color w:val="auto"/>
          <w:szCs w:val="21"/>
          <w:highlight w:val="none"/>
        </w:rPr>
      </w:pPr>
      <w:r>
        <w:rPr>
          <w:rFonts w:ascii="宋体" w:hAnsi="宋体"/>
          <w:color w:val="auto"/>
          <w:szCs w:val="21"/>
          <w:highlight w:val="none"/>
        </w:rPr>
        <w:t>1.9.2</w:t>
      </w:r>
      <w:r>
        <w:rPr>
          <w:rFonts w:hint="eastAsia" w:ascii="宋体" w:hAnsi="宋体"/>
          <w:color w:val="auto"/>
          <w:szCs w:val="21"/>
          <w:highlight w:val="none"/>
        </w:rPr>
        <w:t>投标人踏勘现场发生的费用自理。</w:t>
      </w:r>
    </w:p>
    <w:p w14:paraId="78F8E17E">
      <w:pPr>
        <w:pStyle w:val="12"/>
        <w:kinsoku w:val="0"/>
        <w:overflowPunct w:val="0"/>
        <w:spacing w:line="288" w:lineRule="auto"/>
        <w:ind w:firstLine="420" w:firstLineChars="200"/>
        <w:rPr>
          <w:rFonts w:ascii="宋体" w:hAnsi="宋体"/>
          <w:color w:val="auto"/>
          <w:szCs w:val="21"/>
          <w:highlight w:val="none"/>
        </w:rPr>
      </w:pPr>
      <w:r>
        <w:rPr>
          <w:rFonts w:ascii="宋体" w:hAnsi="宋体"/>
          <w:color w:val="auto"/>
          <w:szCs w:val="21"/>
          <w:highlight w:val="none"/>
        </w:rPr>
        <w:t>1.9.3</w:t>
      </w:r>
      <w:r>
        <w:rPr>
          <w:rFonts w:hint="eastAsia" w:ascii="宋体" w:hAnsi="宋体"/>
          <w:color w:val="auto"/>
          <w:szCs w:val="21"/>
          <w:highlight w:val="none"/>
        </w:rPr>
        <w:t>除招标人的原因外，投标人自行负责在踏勘现场中所发生的人员伤亡和财产损失。</w:t>
      </w:r>
    </w:p>
    <w:p w14:paraId="787FAB63">
      <w:pPr>
        <w:pStyle w:val="12"/>
        <w:kinsoku w:val="0"/>
        <w:overflowPunct w:val="0"/>
        <w:spacing w:line="288" w:lineRule="auto"/>
        <w:ind w:firstLine="420" w:firstLineChars="200"/>
        <w:rPr>
          <w:rFonts w:ascii="宋体" w:hAnsi="宋体"/>
          <w:color w:val="auto"/>
          <w:szCs w:val="21"/>
          <w:highlight w:val="none"/>
        </w:rPr>
      </w:pPr>
      <w:r>
        <w:rPr>
          <w:rFonts w:ascii="宋体" w:hAnsi="宋体"/>
          <w:color w:val="auto"/>
          <w:szCs w:val="21"/>
          <w:highlight w:val="none"/>
        </w:rPr>
        <w:t>1.9.4</w:t>
      </w:r>
      <w:r>
        <w:rPr>
          <w:rFonts w:hint="eastAsia" w:ascii="宋体" w:hAnsi="宋体"/>
          <w:color w:val="auto"/>
          <w:szCs w:val="21"/>
          <w:highlight w:val="none"/>
        </w:rPr>
        <w:t>招标人在踏勘现场中介绍的工程场地和相关的周边环境情况，供投标人在编制投标文件时参考，招标人不对投标人据此作出的判断和决策负责。</w:t>
      </w:r>
    </w:p>
    <w:p w14:paraId="35C484B6">
      <w:pPr>
        <w:pStyle w:val="12"/>
        <w:kinsoku w:val="0"/>
        <w:overflowPunct w:val="0"/>
        <w:spacing w:line="288" w:lineRule="auto"/>
        <w:ind w:firstLine="420" w:firstLineChars="200"/>
        <w:rPr>
          <w:rFonts w:ascii="宋体" w:hAnsi="宋体"/>
          <w:color w:val="auto"/>
          <w:szCs w:val="21"/>
          <w:highlight w:val="none"/>
        </w:rPr>
      </w:pPr>
    </w:p>
    <w:p w14:paraId="07FD498B">
      <w:pPr>
        <w:pStyle w:val="6"/>
        <w:rPr>
          <w:color w:val="auto"/>
          <w:highlight w:val="none"/>
        </w:rPr>
      </w:pPr>
      <w:bookmarkStart w:id="45" w:name="bookmark30"/>
      <w:bookmarkEnd w:id="45"/>
      <w:r>
        <w:rPr>
          <w:color w:val="auto"/>
          <w:highlight w:val="none"/>
        </w:rPr>
        <w:t xml:space="preserve">1.10 </w:t>
      </w:r>
      <w:r>
        <w:rPr>
          <w:rFonts w:hint="eastAsia"/>
          <w:color w:val="auto"/>
          <w:highlight w:val="none"/>
        </w:rPr>
        <w:t>投标预备会</w:t>
      </w:r>
    </w:p>
    <w:p w14:paraId="5B12B680">
      <w:pPr>
        <w:pStyle w:val="12"/>
        <w:kinsoku w:val="0"/>
        <w:overflowPunct w:val="0"/>
        <w:spacing w:line="288" w:lineRule="auto"/>
        <w:ind w:firstLine="420" w:firstLineChars="200"/>
        <w:rPr>
          <w:rFonts w:ascii="宋体" w:hAnsi="宋体"/>
          <w:color w:val="auto"/>
          <w:szCs w:val="21"/>
          <w:highlight w:val="none"/>
        </w:rPr>
      </w:pPr>
      <w:r>
        <w:rPr>
          <w:rFonts w:ascii="宋体" w:hAnsi="宋体"/>
          <w:color w:val="auto"/>
          <w:szCs w:val="21"/>
          <w:highlight w:val="none"/>
        </w:rPr>
        <w:t>1.10.1</w:t>
      </w:r>
      <w:r>
        <w:rPr>
          <w:rFonts w:hint="eastAsia" w:ascii="宋体" w:hAnsi="宋体"/>
          <w:color w:val="auto"/>
          <w:szCs w:val="21"/>
          <w:highlight w:val="none"/>
        </w:rPr>
        <w:t>投标人须知前附表规定召开投标预备会的，招标人按投标人须知前附表规定的时间和地点召开投标预备会，澄清投标人提出的问题。</w:t>
      </w:r>
    </w:p>
    <w:p w14:paraId="07832BD1">
      <w:pPr>
        <w:pStyle w:val="12"/>
        <w:kinsoku w:val="0"/>
        <w:overflowPunct w:val="0"/>
        <w:spacing w:line="288" w:lineRule="auto"/>
        <w:ind w:firstLine="420" w:firstLineChars="200"/>
        <w:rPr>
          <w:rFonts w:ascii="宋体" w:hAnsi="宋体"/>
          <w:color w:val="auto"/>
          <w:szCs w:val="21"/>
          <w:highlight w:val="none"/>
        </w:rPr>
      </w:pPr>
      <w:r>
        <w:rPr>
          <w:rFonts w:ascii="宋体" w:hAnsi="宋体"/>
          <w:color w:val="auto"/>
          <w:szCs w:val="21"/>
          <w:highlight w:val="none"/>
        </w:rPr>
        <w:t>1.10.2</w:t>
      </w:r>
      <w:r>
        <w:rPr>
          <w:rFonts w:hint="eastAsia" w:ascii="宋体" w:hAnsi="宋体"/>
          <w:color w:val="auto"/>
          <w:szCs w:val="21"/>
          <w:highlight w:val="none"/>
        </w:rPr>
        <w:t>投标人应按投标人须知前附表规定的时间和形式将提出的问题送达招标人，以便招标人在会议期间澄清。</w:t>
      </w:r>
    </w:p>
    <w:p w14:paraId="0E545FCC">
      <w:pPr>
        <w:pStyle w:val="12"/>
        <w:kinsoku w:val="0"/>
        <w:overflowPunct w:val="0"/>
        <w:spacing w:line="288" w:lineRule="auto"/>
        <w:ind w:firstLine="420" w:firstLineChars="200"/>
        <w:rPr>
          <w:rFonts w:ascii="宋体" w:hAnsi="宋体"/>
          <w:color w:val="auto"/>
          <w:szCs w:val="21"/>
          <w:highlight w:val="none"/>
        </w:rPr>
      </w:pPr>
      <w:r>
        <w:rPr>
          <w:rFonts w:ascii="宋体" w:hAnsi="宋体"/>
          <w:color w:val="auto"/>
          <w:szCs w:val="21"/>
          <w:highlight w:val="none"/>
        </w:rPr>
        <w:t>1.10.3</w:t>
      </w:r>
      <w:r>
        <w:rPr>
          <w:rFonts w:hint="eastAsia" w:ascii="宋体" w:hAnsi="宋体"/>
          <w:color w:val="auto"/>
          <w:szCs w:val="21"/>
          <w:highlight w:val="none"/>
        </w:rPr>
        <w:t>投标预备会后，招标人将对投标人所提问题的澄清，以投标人须知前附表规定的形式通知所有潜在投标人。该澄清内容为招标文件的组成部分。</w:t>
      </w:r>
      <w:bookmarkStart w:id="46" w:name="bookmark31"/>
      <w:bookmarkEnd w:id="46"/>
    </w:p>
    <w:p w14:paraId="6DC5FE23">
      <w:pPr>
        <w:pStyle w:val="12"/>
        <w:kinsoku w:val="0"/>
        <w:overflowPunct w:val="0"/>
        <w:spacing w:line="288" w:lineRule="auto"/>
        <w:ind w:firstLine="420" w:firstLineChars="200"/>
        <w:rPr>
          <w:rFonts w:ascii="宋体" w:hAnsi="宋体"/>
          <w:color w:val="auto"/>
          <w:szCs w:val="21"/>
          <w:highlight w:val="none"/>
        </w:rPr>
      </w:pPr>
    </w:p>
    <w:p w14:paraId="1CDB52B7">
      <w:pPr>
        <w:pStyle w:val="6"/>
        <w:rPr>
          <w:color w:val="auto"/>
          <w:highlight w:val="none"/>
        </w:rPr>
      </w:pPr>
      <w:r>
        <w:rPr>
          <w:color w:val="auto"/>
          <w:highlight w:val="none"/>
        </w:rPr>
        <w:t xml:space="preserve">1.11 </w:t>
      </w:r>
      <w:r>
        <w:rPr>
          <w:rFonts w:hint="eastAsia"/>
          <w:color w:val="auto"/>
          <w:highlight w:val="none"/>
        </w:rPr>
        <w:t>分包</w:t>
      </w:r>
    </w:p>
    <w:p w14:paraId="5A9C98B6">
      <w:pPr>
        <w:pStyle w:val="12"/>
        <w:kinsoku w:val="0"/>
        <w:overflowPunct w:val="0"/>
        <w:spacing w:line="288" w:lineRule="auto"/>
        <w:ind w:firstLine="420" w:firstLineChars="200"/>
        <w:rPr>
          <w:rFonts w:ascii="宋体" w:hAnsi="宋体"/>
          <w:color w:val="auto"/>
          <w:szCs w:val="21"/>
          <w:highlight w:val="none"/>
          <w:u w:val="single"/>
        </w:rPr>
      </w:pPr>
      <w:r>
        <w:rPr>
          <w:rFonts w:hint="eastAsia" w:ascii="宋体" w:hAnsi="宋体"/>
          <w:color w:val="auto"/>
          <w:szCs w:val="21"/>
          <w:highlight w:val="none"/>
          <w:u w:val="single"/>
        </w:rPr>
        <w:t>1.11.1</w:t>
      </w:r>
      <w:r>
        <w:rPr>
          <w:rFonts w:ascii="宋体" w:hAnsi="宋体"/>
          <w:color w:val="auto"/>
          <w:szCs w:val="21"/>
          <w:highlight w:val="none"/>
          <w:u w:val="single"/>
        </w:rPr>
        <w:t>对于非主要检测工作，中标人不具备资质的，经招标人同意后可依法分包给具备相关资质的检测单位，分包的检测工作不得再次分包。</w:t>
      </w:r>
    </w:p>
    <w:p w14:paraId="72B0557B">
      <w:pPr>
        <w:rPr>
          <w:color w:val="auto"/>
          <w:highlight w:val="none"/>
        </w:rPr>
      </w:pPr>
    </w:p>
    <w:p w14:paraId="4268B857">
      <w:pPr>
        <w:pStyle w:val="6"/>
        <w:rPr>
          <w:color w:val="auto"/>
          <w:highlight w:val="none"/>
        </w:rPr>
      </w:pPr>
      <w:bookmarkStart w:id="47" w:name="bookmark32"/>
      <w:bookmarkEnd w:id="47"/>
      <w:r>
        <w:rPr>
          <w:color w:val="auto"/>
          <w:highlight w:val="none"/>
        </w:rPr>
        <w:t xml:space="preserve">1.12 </w:t>
      </w:r>
      <w:r>
        <w:rPr>
          <w:rFonts w:hint="eastAsia"/>
          <w:color w:val="auto"/>
          <w:highlight w:val="none"/>
        </w:rPr>
        <w:t>响应和偏差</w:t>
      </w:r>
    </w:p>
    <w:p w14:paraId="2EEA67C4">
      <w:pPr>
        <w:pStyle w:val="12"/>
        <w:kinsoku w:val="0"/>
        <w:overflowPunct w:val="0"/>
        <w:spacing w:line="288" w:lineRule="auto"/>
        <w:ind w:firstLine="420" w:firstLineChars="200"/>
        <w:rPr>
          <w:rFonts w:ascii="宋体" w:hAnsi="宋体"/>
          <w:color w:val="auto"/>
          <w:szCs w:val="21"/>
          <w:highlight w:val="none"/>
        </w:rPr>
      </w:pPr>
      <w:r>
        <w:rPr>
          <w:rFonts w:ascii="宋体" w:hAnsi="宋体"/>
          <w:color w:val="auto"/>
          <w:szCs w:val="21"/>
          <w:highlight w:val="none"/>
        </w:rPr>
        <w:t>1.12.1</w:t>
      </w:r>
      <w:r>
        <w:rPr>
          <w:rFonts w:hint="eastAsia" w:ascii="宋体" w:hAnsi="宋体"/>
          <w:color w:val="auto"/>
          <w:szCs w:val="21"/>
          <w:highlight w:val="none"/>
        </w:rPr>
        <w:t>投标文件应当对招标文件的实质性要求和条件作出满足性或更有利于招标人的响应，否则，投标人的投标将被否决。实质性要求和条件见投标人须知前附表。</w:t>
      </w:r>
    </w:p>
    <w:p w14:paraId="791A2C98">
      <w:pPr>
        <w:pStyle w:val="12"/>
        <w:kinsoku w:val="0"/>
        <w:overflowPunct w:val="0"/>
        <w:spacing w:line="288" w:lineRule="auto"/>
        <w:ind w:firstLine="420" w:firstLineChars="200"/>
        <w:rPr>
          <w:rFonts w:ascii="宋体" w:hAnsi="宋体"/>
          <w:color w:val="auto"/>
          <w:szCs w:val="21"/>
          <w:highlight w:val="none"/>
        </w:rPr>
      </w:pPr>
      <w:r>
        <w:rPr>
          <w:rFonts w:ascii="宋体" w:hAnsi="宋体"/>
          <w:color w:val="auto"/>
          <w:szCs w:val="21"/>
          <w:highlight w:val="none"/>
        </w:rPr>
        <w:t>1.12.2</w:t>
      </w:r>
      <w:r>
        <w:rPr>
          <w:rFonts w:hint="eastAsia" w:ascii="宋体" w:hAnsi="宋体"/>
          <w:color w:val="auto"/>
          <w:szCs w:val="21"/>
          <w:highlight w:val="none"/>
        </w:rPr>
        <w:t>投标人应根据招标文件的要求提供技术方案等内容以对招标文件作出响应。</w:t>
      </w:r>
    </w:p>
    <w:p w14:paraId="6DAD4757">
      <w:pPr>
        <w:pStyle w:val="12"/>
        <w:kinsoku w:val="0"/>
        <w:overflowPunct w:val="0"/>
        <w:spacing w:line="288" w:lineRule="auto"/>
        <w:ind w:firstLine="420" w:firstLineChars="200"/>
        <w:rPr>
          <w:rFonts w:ascii="宋体" w:hAnsi="宋体"/>
          <w:color w:val="auto"/>
          <w:szCs w:val="21"/>
          <w:highlight w:val="none"/>
        </w:rPr>
      </w:pPr>
      <w:r>
        <w:rPr>
          <w:rFonts w:ascii="宋体" w:hAnsi="宋体"/>
          <w:color w:val="auto"/>
          <w:szCs w:val="21"/>
          <w:highlight w:val="none"/>
        </w:rPr>
        <w:t>1.12.3</w:t>
      </w:r>
      <w:r>
        <w:rPr>
          <w:rFonts w:hint="eastAsia" w:ascii="宋体" w:hAnsi="宋体"/>
          <w:color w:val="auto"/>
          <w:szCs w:val="21"/>
          <w:highlight w:val="none"/>
        </w:rPr>
        <w:t>投标人须知前附表允许投标文件偏离招标文件某些要求的，偏差应当符合招标文件规定的偏差范围和幅度。</w:t>
      </w:r>
    </w:p>
    <w:p w14:paraId="4D346323">
      <w:pPr>
        <w:rPr>
          <w:color w:val="auto"/>
          <w:highlight w:val="none"/>
        </w:rPr>
      </w:pPr>
    </w:p>
    <w:p w14:paraId="437AE318">
      <w:pPr>
        <w:pStyle w:val="4"/>
        <w:rPr>
          <w:color w:val="auto"/>
          <w:highlight w:val="none"/>
        </w:rPr>
      </w:pPr>
      <w:bookmarkStart w:id="48" w:name="_Toc118553971"/>
      <w:bookmarkStart w:id="49" w:name="_Toc533357309"/>
      <w:r>
        <w:rPr>
          <w:color w:val="auto"/>
          <w:highlight w:val="none"/>
        </w:rPr>
        <w:t xml:space="preserve">2. </w:t>
      </w:r>
      <w:r>
        <w:rPr>
          <w:rFonts w:hint="eastAsia"/>
          <w:color w:val="auto"/>
          <w:highlight w:val="none"/>
        </w:rPr>
        <w:t>招标文件</w:t>
      </w:r>
      <w:bookmarkEnd w:id="48"/>
      <w:bookmarkEnd w:id="49"/>
    </w:p>
    <w:p w14:paraId="38D57C6C">
      <w:pPr>
        <w:pStyle w:val="6"/>
        <w:rPr>
          <w:color w:val="auto"/>
          <w:highlight w:val="none"/>
        </w:rPr>
      </w:pPr>
      <w:bookmarkStart w:id="50" w:name="bookmark34"/>
      <w:bookmarkEnd w:id="50"/>
      <w:r>
        <w:rPr>
          <w:color w:val="auto"/>
          <w:highlight w:val="none"/>
        </w:rPr>
        <w:t xml:space="preserve">2.1 </w:t>
      </w:r>
      <w:r>
        <w:rPr>
          <w:rFonts w:hint="eastAsia"/>
          <w:color w:val="auto"/>
          <w:highlight w:val="none"/>
        </w:rPr>
        <w:t>招标文件的组成</w:t>
      </w:r>
    </w:p>
    <w:p w14:paraId="1A04BE0C">
      <w:pPr>
        <w:pStyle w:val="12"/>
        <w:kinsoku w:val="0"/>
        <w:overflowPunct w:val="0"/>
        <w:spacing w:line="288" w:lineRule="auto"/>
        <w:ind w:firstLine="420" w:firstLineChars="200"/>
        <w:rPr>
          <w:rFonts w:ascii="宋体" w:hAnsi="宋体"/>
          <w:color w:val="auto"/>
          <w:szCs w:val="21"/>
          <w:highlight w:val="none"/>
        </w:rPr>
      </w:pPr>
      <w:r>
        <w:rPr>
          <w:rFonts w:hint="eastAsia" w:ascii="宋体" w:hAnsi="宋体"/>
          <w:color w:val="auto"/>
          <w:szCs w:val="21"/>
          <w:highlight w:val="none"/>
        </w:rPr>
        <w:t>本招标文件包括：</w:t>
      </w:r>
    </w:p>
    <w:p w14:paraId="5035BEE4">
      <w:pPr>
        <w:pStyle w:val="12"/>
        <w:kinsoku w:val="0"/>
        <w:overflowPunct w:val="0"/>
        <w:spacing w:line="288" w:lineRule="auto"/>
        <w:ind w:firstLine="420" w:firstLineChars="200"/>
        <w:rPr>
          <w:rFonts w:ascii="宋体" w:hAnsi="宋体"/>
          <w:color w:val="auto"/>
          <w:szCs w:val="21"/>
          <w:highlight w:val="none"/>
        </w:rPr>
      </w:pPr>
      <w:r>
        <w:rPr>
          <w:rFonts w:hint="eastAsia" w:ascii="宋体" w:hAnsi="宋体"/>
          <w:color w:val="auto"/>
          <w:szCs w:val="21"/>
          <w:highlight w:val="none"/>
        </w:rPr>
        <w:t>（</w:t>
      </w:r>
      <w:r>
        <w:rPr>
          <w:rFonts w:ascii="宋体" w:hAnsi="宋体"/>
          <w:color w:val="auto"/>
          <w:szCs w:val="21"/>
          <w:highlight w:val="none"/>
        </w:rPr>
        <w:t>1</w:t>
      </w:r>
      <w:r>
        <w:rPr>
          <w:rFonts w:hint="eastAsia" w:ascii="宋体" w:hAnsi="宋体"/>
          <w:color w:val="auto"/>
          <w:szCs w:val="21"/>
          <w:highlight w:val="none"/>
        </w:rPr>
        <w:t>）招标公告；</w:t>
      </w:r>
    </w:p>
    <w:p w14:paraId="15CACF1E">
      <w:pPr>
        <w:pStyle w:val="12"/>
        <w:kinsoku w:val="0"/>
        <w:overflowPunct w:val="0"/>
        <w:spacing w:line="288" w:lineRule="auto"/>
        <w:ind w:firstLine="420" w:firstLineChars="200"/>
        <w:rPr>
          <w:rFonts w:ascii="宋体" w:hAnsi="宋体"/>
          <w:color w:val="auto"/>
          <w:szCs w:val="21"/>
          <w:highlight w:val="none"/>
        </w:rPr>
      </w:pPr>
      <w:r>
        <w:rPr>
          <w:rFonts w:hint="eastAsia" w:ascii="宋体" w:hAnsi="宋体"/>
          <w:color w:val="auto"/>
          <w:szCs w:val="21"/>
          <w:highlight w:val="none"/>
        </w:rPr>
        <w:t>（</w:t>
      </w:r>
      <w:r>
        <w:rPr>
          <w:rFonts w:ascii="宋体" w:hAnsi="宋体"/>
          <w:color w:val="auto"/>
          <w:szCs w:val="21"/>
          <w:highlight w:val="none"/>
        </w:rPr>
        <w:t>2</w:t>
      </w:r>
      <w:r>
        <w:rPr>
          <w:rFonts w:hint="eastAsia" w:ascii="宋体" w:hAnsi="宋体"/>
          <w:color w:val="auto"/>
          <w:szCs w:val="21"/>
          <w:highlight w:val="none"/>
        </w:rPr>
        <w:t>）投标人须知；</w:t>
      </w:r>
    </w:p>
    <w:p w14:paraId="309D6F32">
      <w:pPr>
        <w:pStyle w:val="12"/>
        <w:kinsoku w:val="0"/>
        <w:overflowPunct w:val="0"/>
        <w:spacing w:line="288" w:lineRule="auto"/>
        <w:ind w:firstLine="420" w:firstLineChars="200"/>
        <w:rPr>
          <w:rFonts w:ascii="宋体" w:hAnsi="宋体"/>
          <w:color w:val="auto"/>
          <w:szCs w:val="21"/>
          <w:highlight w:val="none"/>
        </w:rPr>
      </w:pPr>
      <w:r>
        <w:rPr>
          <w:rFonts w:hint="eastAsia" w:ascii="宋体" w:hAnsi="宋体"/>
          <w:color w:val="auto"/>
          <w:szCs w:val="21"/>
          <w:highlight w:val="none"/>
        </w:rPr>
        <w:t>（</w:t>
      </w:r>
      <w:r>
        <w:rPr>
          <w:rFonts w:ascii="宋体" w:hAnsi="宋体"/>
          <w:color w:val="auto"/>
          <w:szCs w:val="21"/>
          <w:highlight w:val="none"/>
        </w:rPr>
        <w:t>3</w:t>
      </w:r>
      <w:r>
        <w:rPr>
          <w:rFonts w:hint="eastAsia" w:ascii="宋体" w:hAnsi="宋体"/>
          <w:color w:val="auto"/>
          <w:szCs w:val="21"/>
          <w:highlight w:val="none"/>
        </w:rPr>
        <w:t>）评标办法；</w:t>
      </w:r>
    </w:p>
    <w:p w14:paraId="6DB033AB">
      <w:pPr>
        <w:pStyle w:val="12"/>
        <w:kinsoku w:val="0"/>
        <w:overflowPunct w:val="0"/>
        <w:spacing w:line="288" w:lineRule="auto"/>
        <w:ind w:firstLine="420" w:firstLineChars="200"/>
        <w:rPr>
          <w:rFonts w:ascii="宋体" w:hAnsi="宋体"/>
          <w:color w:val="auto"/>
          <w:szCs w:val="21"/>
          <w:highlight w:val="none"/>
        </w:rPr>
      </w:pPr>
      <w:r>
        <w:rPr>
          <w:rFonts w:hint="eastAsia" w:ascii="宋体" w:hAnsi="宋体"/>
          <w:color w:val="auto"/>
          <w:szCs w:val="21"/>
          <w:highlight w:val="none"/>
        </w:rPr>
        <w:t>（</w:t>
      </w:r>
      <w:r>
        <w:rPr>
          <w:rFonts w:ascii="宋体" w:hAnsi="宋体"/>
          <w:color w:val="auto"/>
          <w:szCs w:val="21"/>
          <w:highlight w:val="none"/>
        </w:rPr>
        <w:t>4</w:t>
      </w:r>
      <w:r>
        <w:rPr>
          <w:rFonts w:hint="eastAsia" w:ascii="宋体" w:hAnsi="宋体"/>
          <w:color w:val="auto"/>
          <w:szCs w:val="21"/>
          <w:highlight w:val="none"/>
        </w:rPr>
        <w:t>）合同条款及格式；</w:t>
      </w:r>
    </w:p>
    <w:p w14:paraId="13EF542B">
      <w:pPr>
        <w:pStyle w:val="12"/>
        <w:kinsoku w:val="0"/>
        <w:overflowPunct w:val="0"/>
        <w:spacing w:line="288" w:lineRule="auto"/>
        <w:ind w:firstLine="420" w:firstLineChars="200"/>
        <w:rPr>
          <w:rFonts w:ascii="宋体" w:hAnsi="宋体"/>
          <w:color w:val="auto"/>
          <w:szCs w:val="21"/>
          <w:highlight w:val="none"/>
        </w:rPr>
      </w:pPr>
      <w:r>
        <w:rPr>
          <w:rFonts w:hint="eastAsia" w:ascii="宋体" w:hAnsi="宋体"/>
          <w:color w:val="auto"/>
          <w:szCs w:val="21"/>
          <w:highlight w:val="none"/>
        </w:rPr>
        <w:t>（</w:t>
      </w:r>
      <w:r>
        <w:rPr>
          <w:rFonts w:ascii="宋体" w:hAnsi="宋体"/>
          <w:color w:val="auto"/>
          <w:szCs w:val="21"/>
          <w:highlight w:val="none"/>
        </w:rPr>
        <w:t>5</w:t>
      </w:r>
      <w:r>
        <w:rPr>
          <w:rFonts w:hint="eastAsia" w:ascii="宋体" w:hAnsi="宋体"/>
          <w:color w:val="auto"/>
          <w:szCs w:val="21"/>
          <w:highlight w:val="none"/>
        </w:rPr>
        <w:t>）委托人要求；</w:t>
      </w:r>
    </w:p>
    <w:p w14:paraId="4BE1F97E">
      <w:pPr>
        <w:pStyle w:val="12"/>
        <w:kinsoku w:val="0"/>
        <w:overflowPunct w:val="0"/>
        <w:spacing w:line="288" w:lineRule="auto"/>
        <w:ind w:firstLine="420" w:firstLineChars="200"/>
        <w:rPr>
          <w:rFonts w:ascii="宋体" w:hAnsi="宋体"/>
          <w:color w:val="auto"/>
          <w:szCs w:val="21"/>
          <w:highlight w:val="none"/>
        </w:rPr>
      </w:pPr>
      <w:r>
        <w:rPr>
          <w:rFonts w:hint="eastAsia" w:ascii="宋体" w:hAnsi="宋体"/>
          <w:color w:val="auto"/>
          <w:szCs w:val="21"/>
          <w:highlight w:val="none"/>
        </w:rPr>
        <w:t>（</w:t>
      </w:r>
      <w:r>
        <w:rPr>
          <w:rFonts w:ascii="宋体" w:hAnsi="宋体"/>
          <w:color w:val="auto"/>
          <w:szCs w:val="21"/>
          <w:highlight w:val="none"/>
        </w:rPr>
        <w:t>6</w:t>
      </w:r>
      <w:r>
        <w:rPr>
          <w:rFonts w:hint="eastAsia" w:ascii="宋体" w:hAnsi="宋体"/>
          <w:color w:val="auto"/>
          <w:szCs w:val="21"/>
          <w:highlight w:val="none"/>
        </w:rPr>
        <w:t>）投标文件格式；</w:t>
      </w:r>
    </w:p>
    <w:p w14:paraId="01302248">
      <w:pPr>
        <w:pStyle w:val="12"/>
        <w:kinsoku w:val="0"/>
        <w:overflowPunct w:val="0"/>
        <w:spacing w:line="288" w:lineRule="auto"/>
        <w:ind w:firstLine="420" w:firstLineChars="200"/>
        <w:rPr>
          <w:rFonts w:ascii="宋体" w:hAnsi="宋体"/>
          <w:color w:val="auto"/>
          <w:szCs w:val="21"/>
          <w:highlight w:val="none"/>
        </w:rPr>
      </w:pPr>
      <w:r>
        <w:rPr>
          <w:rFonts w:hint="eastAsia" w:ascii="宋体" w:hAnsi="宋体"/>
          <w:color w:val="auto"/>
          <w:szCs w:val="21"/>
          <w:highlight w:val="none"/>
        </w:rPr>
        <w:t>（</w:t>
      </w:r>
      <w:r>
        <w:rPr>
          <w:rFonts w:ascii="宋体" w:hAnsi="宋体"/>
          <w:color w:val="auto"/>
          <w:szCs w:val="21"/>
          <w:highlight w:val="none"/>
        </w:rPr>
        <w:t>7</w:t>
      </w:r>
      <w:r>
        <w:rPr>
          <w:rFonts w:hint="eastAsia" w:ascii="宋体" w:hAnsi="宋体"/>
          <w:color w:val="auto"/>
          <w:szCs w:val="21"/>
          <w:highlight w:val="none"/>
        </w:rPr>
        <w:t>）投标人须知前附表规定的其他资料。</w:t>
      </w:r>
    </w:p>
    <w:p w14:paraId="759EA8C3">
      <w:pPr>
        <w:pStyle w:val="12"/>
        <w:kinsoku w:val="0"/>
        <w:overflowPunct w:val="0"/>
        <w:spacing w:line="288" w:lineRule="auto"/>
        <w:rPr>
          <w:rFonts w:ascii="宋体" w:hAnsi="宋体"/>
          <w:color w:val="auto"/>
          <w:szCs w:val="21"/>
          <w:highlight w:val="none"/>
        </w:rPr>
      </w:pPr>
      <w:r>
        <w:rPr>
          <w:rFonts w:hint="eastAsia" w:ascii="宋体" w:hAnsi="宋体"/>
          <w:color w:val="auto"/>
          <w:szCs w:val="21"/>
          <w:highlight w:val="none"/>
        </w:rPr>
        <w:t>根据本章第</w:t>
      </w:r>
      <w:r>
        <w:rPr>
          <w:rFonts w:ascii="宋体" w:hAnsi="宋体"/>
          <w:color w:val="auto"/>
          <w:szCs w:val="21"/>
          <w:highlight w:val="none"/>
        </w:rPr>
        <w:t>1.10</w:t>
      </w:r>
      <w:r>
        <w:rPr>
          <w:rFonts w:hint="eastAsia" w:ascii="宋体" w:hAnsi="宋体"/>
          <w:color w:val="auto"/>
          <w:szCs w:val="21"/>
          <w:highlight w:val="none"/>
        </w:rPr>
        <w:t>款、第</w:t>
      </w:r>
      <w:r>
        <w:rPr>
          <w:rFonts w:ascii="宋体" w:hAnsi="宋体"/>
          <w:color w:val="auto"/>
          <w:szCs w:val="21"/>
          <w:highlight w:val="none"/>
        </w:rPr>
        <w:t>2.2</w:t>
      </w:r>
      <w:r>
        <w:rPr>
          <w:rFonts w:hint="eastAsia" w:ascii="宋体" w:hAnsi="宋体"/>
          <w:color w:val="auto"/>
          <w:szCs w:val="21"/>
          <w:highlight w:val="none"/>
        </w:rPr>
        <w:t>款和第</w:t>
      </w:r>
      <w:r>
        <w:rPr>
          <w:rFonts w:ascii="宋体" w:hAnsi="宋体"/>
          <w:color w:val="auto"/>
          <w:szCs w:val="21"/>
          <w:highlight w:val="none"/>
        </w:rPr>
        <w:t>2.3</w:t>
      </w:r>
      <w:r>
        <w:rPr>
          <w:rFonts w:hint="eastAsia" w:ascii="宋体" w:hAnsi="宋体"/>
          <w:color w:val="auto"/>
          <w:szCs w:val="21"/>
          <w:highlight w:val="none"/>
        </w:rPr>
        <w:t>款对招标文件所作的澄清、修改，构成招标文件的组成部分。</w:t>
      </w:r>
    </w:p>
    <w:p w14:paraId="122CE437">
      <w:pPr>
        <w:pStyle w:val="6"/>
        <w:rPr>
          <w:color w:val="auto"/>
          <w:highlight w:val="none"/>
        </w:rPr>
      </w:pPr>
      <w:bookmarkStart w:id="51" w:name="bookmark35"/>
      <w:bookmarkEnd w:id="51"/>
      <w:r>
        <w:rPr>
          <w:color w:val="auto"/>
          <w:highlight w:val="none"/>
        </w:rPr>
        <w:t xml:space="preserve">2.2 </w:t>
      </w:r>
      <w:r>
        <w:rPr>
          <w:rFonts w:hint="eastAsia"/>
          <w:color w:val="auto"/>
          <w:highlight w:val="none"/>
        </w:rPr>
        <w:t>招标文件的澄清</w:t>
      </w:r>
    </w:p>
    <w:p w14:paraId="0491CAEB">
      <w:pPr>
        <w:pStyle w:val="12"/>
        <w:kinsoku w:val="0"/>
        <w:overflowPunct w:val="0"/>
        <w:spacing w:line="288" w:lineRule="auto"/>
        <w:ind w:firstLine="420" w:firstLineChars="200"/>
        <w:rPr>
          <w:rFonts w:ascii="宋体" w:hAnsi="宋体"/>
          <w:color w:val="auto"/>
          <w:szCs w:val="21"/>
          <w:highlight w:val="none"/>
        </w:rPr>
      </w:pPr>
      <w:r>
        <w:rPr>
          <w:rFonts w:ascii="宋体" w:hAnsi="宋体"/>
          <w:color w:val="auto"/>
          <w:szCs w:val="21"/>
          <w:highlight w:val="none"/>
        </w:rPr>
        <w:t>2.2.1</w:t>
      </w:r>
      <w:r>
        <w:rPr>
          <w:rFonts w:hint="eastAsia" w:ascii="宋体" w:hAnsi="宋体"/>
          <w:color w:val="auto"/>
          <w:szCs w:val="21"/>
          <w:highlight w:val="none"/>
        </w:rPr>
        <w:t>投标人应仔细阅读和检查招标文件的全部内容。如发现缺页或附件不全，应及时向招标人提出，以便补齐。如有疑问，应按投标人须知前附表规定的时间和形式将提出的问题送达招标人，要求招标人对招标文件予以澄清。</w:t>
      </w:r>
    </w:p>
    <w:p w14:paraId="73F8720C">
      <w:pPr>
        <w:pStyle w:val="12"/>
        <w:kinsoku w:val="0"/>
        <w:overflowPunct w:val="0"/>
        <w:spacing w:line="288" w:lineRule="auto"/>
        <w:ind w:firstLine="420" w:firstLineChars="200"/>
        <w:rPr>
          <w:rFonts w:ascii="宋体" w:hAnsi="宋体"/>
          <w:color w:val="auto"/>
          <w:szCs w:val="21"/>
          <w:highlight w:val="none"/>
        </w:rPr>
      </w:pPr>
      <w:r>
        <w:rPr>
          <w:rFonts w:ascii="宋体" w:hAnsi="宋体"/>
          <w:color w:val="auto"/>
          <w:szCs w:val="21"/>
          <w:highlight w:val="none"/>
        </w:rPr>
        <w:t>2.2.2</w:t>
      </w:r>
      <w:r>
        <w:rPr>
          <w:rFonts w:hint="eastAsia" w:ascii="宋体" w:hAnsi="宋体"/>
          <w:color w:val="auto"/>
          <w:szCs w:val="21"/>
          <w:highlight w:val="none"/>
        </w:rPr>
        <w:t>招标文件的澄清以投标人须知前附表规定的形式发给所有潜在投标人，但不指明澄清问题的来源。澄清发出的时间距本章第</w:t>
      </w:r>
      <w:r>
        <w:rPr>
          <w:rFonts w:ascii="宋体" w:hAnsi="宋体"/>
          <w:color w:val="auto"/>
          <w:szCs w:val="21"/>
          <w:highlight w:val="none"/>
        </w:rPr>
        <w:t>4.2.1</w:t>
      </w:r>
      <w:r>
        <w:rPr>
          <w:rFonts w:hint="eastAsia" w:ascii="宋体" w:hAnsi="宋体"/>
          <w:color w:val="auto"/>
          <w:szCs w:val="21"/>
          <w:highlight w:val="none"/>
        </w:rPr>
        <w:t>项规定的投标截止时间不足</w:t>
      </w:r>
      <w:r>
        <w:rPr>
          <w:rFonts w:ascii="宋体" w:hAnsi="宋体"/>
          <w:color w:val="auto"/>
          <w:szCs w:val="21"/>
          <w:highlight w:val="none"/>
        </w:rPr>
        <w:t>15</w:t>
      </w:r>
      <w:r>
        <w:rPr>
          <w:rFonts w:hint="eastAsia" w:ascii="宋体" w:hAnsi="宋体"/>
          <w:color w:val="auto"/>
          <w:szCs w:val="21"/>
          <w:highlight w:val="none"/>
        </w:rPr>
        <w:t>日的，并且澄清内容可能影响投标文件编制的，将相应延长投标截止时间。</w:t>
      </w:r>
    </w:p>
    <w:p w14:paraId="18498B3B">
      <w:pPr>
        <w:pStyle w:val="12"/>
        <w:kinsoku w:val="0"/>
        <w:overflowPunct w:val="0"/>
        <w:spacing w:line="288" w:lineRule="auto"/>
        <w:ind w:firstLine="420" w:firstLineChars="200"/>
        <w:rPr>
          <w:rFonts w:ascii="宋体" w:hAnsi="宋体"/>
          <w:color w:val="auto"/>
          <w:szCs w:val="21"/>
          <w:highlight w:val="none"/>
        </w:rPr>
      </w:pPr>
      <w:r>
        <w:rPr>
          <w:rFonts w:ascii="宋体" w:hAnsi="宋体"/>
          <w:color w:val="auto"/>
          <w:szCs w:val="21"/>
          <w:highlight w:val="none"/>
        </w:rPr>
        <w:t xml:space="preserve">2.2.3 </w:t>
      </w:r>
      <w:r>
        <w:rPr>
          <w:rFonts w:hint="eastAsia" w:ascii="宋体" w:hAnsi="宋体"/>
          <w:color w:val="auto"/>
          <w:szCs w:val="21"/>
          <w:highlight w:val="none"/>
        </w:rPr>
        <w:t>投标人在收到澄清后，应按投标人须知前附表规定的时间和形式通知</w:t>
      </w:r>
      <w:r>
        <w:rPr>
          <w:rFonts w:hint="eastAsia" w:ascii="宋体" w:hAnsi="宋体"/>
          <w:color w:val="auto"/>
          <w:sz w:val="21"/>
          <w:szCs w:val="21"/>
          <w:highlight w:val="none"/>
        </w:rPr>
        <w:t>招标人</w:t>
      </w:r>
      <w:r>
        <w:rPr>
          <w:rFonts w:hint="eastAsia" w:ascii="宋体" w:hAnsi="宋体"/>
          <w:color w:val="auto"/>
          <w:sz w:val="24"/>
          <w:szCs w:val="24"/>
          <w:highlight w:val="none"/>
        </w:rPr>
        <w:t>，</w:t>
      </w:r>
      <w:r>
        <w:rPr>
          <w:rFonts w:hint="eastAsia" w:ascii="宋体" w:hAnsi="宋体"/>
          <w:color w:val="auto"/>
          <w:szCs w:val="21"/>
          <w:highlight w:val="none"/>
        </w:rPr>
        <w:t>确认已收到该澄清。</w:t>
      </w:r>
    </w:p>
    <w:p w14:paraId="18668925">
      <w:pPr>
        <w:pStyle w:val="12"/>
        <w:kinsoku w:val="0"/>
        <w:overflowPunct w:val="0"/>
        <w:spacing w:line="288" w:lineRule="auto"/>
        <w:ind w:firstLine="420" w:firstLineChars="200"/>
        <w:rPr>
          <w:rFonts w:ascii="宋体" w:hAnsi="宋体"/>
          <w:color w:val="auto"/>
          <w:szCs w:val="21"/>
          <w:highlight w:val="none"/>
        </w:rPr>
      </w:pPr>
      <w:r>
        <w:rPr>
          <w:rFonts w:ascii="宋体" w:hAnsi="宋体"/>
          <w:color w:val="auto"/>
          <w:szCs w:val="21"/>
          <w:highlight w:val="none"/>
        </w:rPr>
        <w:t>2.2.4</w:t>
      </w:r>
      <w:r>
        <w:rPr>
          <w:rFonts w:hint="eastAsia" w:ascii="宋体" w:hAnsi="宋体"/>
          <w:color w:val="auto"/>
          <w:szCs w:val="21"/>
          <w:highlight w:val="none"/>
        </w:rPr>
        <w:t>除非招标人认为确有必要答复，否则，招标人有权拒绝回复投标人在本章第</w:t>
      </w:r>
      <w:r>
        <w:rPr>
          <w:rFonts w:ascii="宋体" w:hAnsi="宋体"/>
          <w:color w:val="auto"/>
          <w:szCs w:val="21"/>
          <w:highlight w:val="none"/>
        </w:rPr>
        <w:t>2.2.1</w:t>
      </w:r>
      <w:r>
        <w:rPr>
          <w:rFonts w:hint="eastAsia" w:ascii="宋体" w:hAnsi="宋体"/>
          <w:color w:val="auto"/>
          <w:szCs w:val="21"/>
          <w:highlight w:val="none"/>
        </w:rPr>
        <w:t>项规定的时间后的任何澄清要求。</w:t>
      </w:r>
    </w:p>
    <w:p w14:paraId="05791752">
      <w:pPr>
        <w:pStyle w:val="12"/>
        <w:kinsoku w:val="0"/>
        <w:overflowPunct w:val="0"/>
        <w:spacing w:line="288" w:lineRule="auto"/>
        <w:ind w:firstLine="420" w:firstLineChars="200"/>
        <w:rPr>
          <w:rFonts w:ascii="宋体" w:hAnsi="宋体"/>
          <w:color w:val="auto"/>
          <w:szCs w:val="21"/>
          <w:highlight w:val="none"/>
        </w:rPr>
      </w:pPr>
    </w:p>
    <w:p w14:paraId="7463B089">
      <w:pPr>
        <w:pStyle w:val="6"/>
        <w:rPr>
          <w:color w:val="auto"/>
          <w:highlight w:val="none"/>
        </w:rPr>
      </w:pPr>
      <w:bookmarkStart w:id="52" w:name="bookmark36"/>
      <w:bookmarkEnd w:id="52"/>
      <w:r>
        <w:rPr>
          <w:color w:val="auto"/>
          <w:highlight w:val="none"/>
        </w:rPr>
        <w:t xml:space="preserve">2.3 </w:t>
      </w:r>
      <w:r>
        <w:rPr>
          <w:rFonts w:hint="eastAsia"/>
          <w:color w:val="auto"/>
          <w:highlight w:val="none"/>
        </w:rPr>
        <w:t>招标文件的修改</w:t>
      </w:r>
    </w:p>
    <w:p w14:paraId="059E2BAB">
      <w:pPr>
        <w:pStyle w:val="12"/>
        <w:kinsoku w:val="0"/>
        <w:overflowPunct w:val="0"/>
        <w:spacing w:line="288" w:lineRule="auto"/>
        <w:ind w:firstLine="420" w:firstLineChars="200"/>
        <w:rPr>
          <w:rFonts w:ascii="宋体" w:hAnsi="宋体"/>
          <w:color w:val="auto"/>
          <w:szCs w:val="21"/>
          <w:highlight w:val="none"/>
        </w:rPr>
      </w:pPr>
      <w:r>
        <w:rPr>
          <w:rFonts w:ascii="宋体" w:hAnsi="宋体"/>
          <w:color w:val="auto"/>
          <w:szCs w:val="21"/>
          <w:highlight w:val="none"/>
        </w:rPr>
        <w:t>2.3.1</w:t>
      </w:r>
      <w:r>
        <w:rPr>
          <w:rFonts w:hint="eastAsia" w:ascii="宋体" w:hAnsi="宋体"/>
          <w:color w:val="auto"/>
          <w:szCs w:val="21"/>
          <w:highlight w:val="none"/>
        </w:rPr>
        <w:t>招标人以投标人须知前附表规定的形式修改招标文件，并通知所有潜在投标人。修改招标文件的时间距本章第</w:t>
      </w:r>
      <w:r>
        <w:rPr>
          <w:rFonts w:ascii="宋体" w:hAnsi="宋体"/>
          <w:color w:val="auto"/>
          <w:szCs w:val="21"/>
          <w:highlight w:val="none"/>
        </w:rPr>
        <w:t>4.2.1</w:t>
      </w:r>
      <w:r>
        <w:rPr>
          <w:rFonts w:hint="eastAsia" w:ascii="宋体" w:hAnsi="宋体"/>
          <w:color w:val="auto"/>
          <w:szCs w:val="21"/>
          <w:highlight w:val="none"/>
        </w:rPr>
        <w:t>项规定的投标截止时间不足</w:t>
      </w:r>
      <w:r>
        <w:rPr>
          <w:rFonts w:ascii="宋体" w:hAnsi="宋体"/>
          <w:color w:val="auto"/>
          <w:szCs w:val="21"/>
          <w:highlight w:val="none"/>
        </w:rPr>
        <w:t>15</w:t>
      </w:r>
      <w:r>
        <w:rPr>
          <w:rFonts w:hint="eastAsia" w:ascii="宋体" w:hAnsi="宋体"/>
          <w:color w:val="auto"/>
          <w:szCs w:val="21"/>
          <w:highlight w:val="none"/>
        </w:rPr>
        <w:t>日的，并且修改内容可能影响投标文件编制的，将相应延长投标截止时间。</w:t>
      </w:r>
    </w:p>
    <w:p w14:paraId="3747598E">
      <w:pPr>
        <w:pStyle w:val="12"/>
        <w:kinsoku w:val="0"/>
        <w:overflowPunct w:val="0"/>
        <w:spacing w:line="288" w:lineRule="auto"/>
        <w:ind w:firstLine="420" w:firstLineChars="200"/>
        <w:rPr>
          <w:rFonts w:ascii="宋体" w:hAnsi="宋体"/>
          <w:color w:val="auto"/>
          <w:szCs w:val="21"/>
          <w:highlight w:val="none"/>
        </w:rPr>
      </w:pPr>
      <w:r>
        <w:rPr>
          <w:rFonts w:ascii="宋体" w:hAnsi="宋体"/>
          <w:color w:val="auto"/>
          <w:szCs w:val="21"/>
          <w:highlight w:val="none"/>
        </w:rPr>
        <w:t>2.3.2</w:t>
      </w:r>
      <w:r>
        <w:rPr>
          <w:rFonts w:hint="eastAsia" w:ascii="宋体" w:hAnsi="宋体"/>
          <w:color w:val="auto"/>
          <w:szCs w:val="21"/>
          <w:highlight w:val="none"/>
        </w:rPr>
        <w:t>投标人收到修改内容后，应按投标人须知前附表规定的时间和形式通知招标人，确认已收到该修改。</w:t>
      </w:r>
    </w:p>
    <w:p w14:paraId="18FD61FE">
      <w:pPr>
        <w:pStyle w:val="12"/>
        <w:kinsoku w:val="0"/>
        <w:overflowPunct w:val="0"/>
        <w:spacing w:line="288" w:lineRule="auto"/>
        <w:ind w:firstLine="420" w:firstLineChars="200"/>
        <w:rPr>
          <w:rFonts w:ascii="宋体" w:hAnsi="宋体"/>
          <w:color w:val="auto"/>
          <w:szCs w:val="21"/>
          <w:highlight w:val="none"/>
        </w:rPr>
      </w:pPr>
    </w:p>
    <w:p w14:paraId="6CF85DA8">
      <w:pPr>
        <w:pStyle w:val="6"/>
        <w:rPr>
          <w:color w:val="auto"/>
          <w:highlight w:val="none"/>
        </w:rPr>
      </w:pPr>
      <w:bookmarkStart w:id="53" w:name="bookmark37"/>
      <w:bookmarkEnd w:id="53"/>
      <w:r>
        <w:rPr>
          <w:color w:val="auto"/>
          <w:highlight w:val="none"/>
        </w:rPr>
        <w:t xml:space="preserve">2.4 </w:t>
      </w:r>
      <w:r>
        <w:rPr>
          <w:rFonts w:hint="eastAsia"/>
          <w:color w:val="auto"/>
          <w:highlight w:val="none"/>
        </w:rPr>
        <w:t>招标文件的异议</w:t>
      </w:r>
    </w:p>
    <w:p w14:paraId="26B03D26">
      <w:pPr>
        <w:pStyle w:val="12"/>
        <w:kinsoku w:val="0"/>
        <w:overflowPunct w:val="0"/>
        <w:spacing w:line="288" w:lineRule="auto"/>
        <w:ind w:firstLine="420" w:firstLineChars="200"/>
        <w:rPr>
          <w:rFonts w:ascii="宋体" w:hAnsi="宋体"/>
          <w:strike/>
          <w:color w:val="auto"/>
          <w:szCs w:val="21"/>
          <w:highlight w:val="none"/>
        </w:rPr>
      </w:pPr>
      <w:r>
        <w:rPr>
          <w:rFonts w:hint="eastAsia" w:ascii="宋体" w:hAnsi="宋体"/>
          <w:color w:val="auto"/>
          <w:szCs w:val="21"/>
          <w:highlight w:val="none"/>
        </w:rPr>
        <w:t>投标人或者其他利害关系人对招标文件有异议的，应当在投标截止时间</w:t>
      </w:r>
      <w:r>
        <w:rPr>
          <w:rFonts w:ascii="宋体" w:hAnsi="宋体"/>
          <w:color w:val="auto"/>
          <w:szCs w:val="21"/>
          <w:highlight w:val="none"/>
        </w:rPr>
        <w:t>10</w:t>
      </w:r>
      <w:r>
        <w:rPr>
          <w:rFonts w:hint="eastAsia" w:ascii="宋体" w:hAnsi="宋体"/>
          <w:color w:val="auto"/>
          <w:szCs w:val="21"/>
          <w:highlight w:val="none"/>
        </w:rPr>
        <w:t>日前通过线下形式提出异议。招标人将在收到异议之日起</w:t>
      </w:r>
      <w:r>
        <w:rPr>
          <w:rFonts w:ascii="宋体" w:hAnsi="宋体"/>
          <w:color w:val="auto"/>
          <w:szCs w:val="21"/>
          <w:highlight w:val="none"/>
        </w:rPr>
        <w:t>3</w:t>
      </w:r>
      <w:r>
        <w:rPr>
          <w:rFonts w:hint="eastAsia" w:ascii="宋体" w:hAnsi="宋体"/>
          <w:color w:val="auto"/>
          <w:szCs w:val="21"/>
          <w:highlight w:val="none"/>
        </w:rPr>
        <w:t>日内作出答复；作出答复前,将暂停招标投标活动。</w:t>
      </w:r>
    </w:p>
    <w:p w14:paraId="38C4DA92">
      <w:pPr>
        <w:pStyle w:val="12"/>
        <w:kinsoku w:val="0"/>
        <w:overflowPunct w:val="0"/>
        <w:spacing w:line="288" w:lineRule="auto"/>
        <w:ind w:firstLine="420" w:firstLineChars="200"/>
        <w:rPr>
          <w:rFonts w:ascii="宋体" w:hAnsi="宋体"/>
          <w:color w:val="auto"/>
          <w:szCs w:val="21"/>
          <w:highlight w:val="none"/>
        </w:rPr>
      </w:pPr>
    </w:p>
    <w:p w14:paraId="0AB66320">
      <w:pPr>
        <w:pStyle w:val="4"/>
        <w:rPr>
          <w:color w:val="auto"/>
          <w:highlight w:val="none"/>
        </w:rPr>
      </w:pPr>
      <w:bookmarkStart w:id="54" w:name="_Toc533357310"/>
      <w:bookmarkStart w:id="55" w:name="_Toc118553972"/>
      <w:r>
        <w:rPr>
          <w:color w:val="auto"/>
          <w:highlight w:val="none"/>
        </w:rPr>
        <w:t xml:space="preserve">3. </w:t>
      </w:r>
      <w:r>
        <w:rPr>
          <w:rFonts w:hint="eastAsia"/>
          <w:color w:val="auto"/>
          <w:highlight w:val="none"/>
        </w:rPr>
        <w:t>投标文件</w:t>
      </w:r>
      <w:bookmarkEnd w:id="54"/>
      <w:bookmarkEnd w:id="55"/>
    </w:p>
    <w:p w14:paraId="17222942">
      <w:pPr>
        <w:pStyle w:val="6"/>
        <w:ind w:firstLine="420"/>
        <w:rPr>
          <w:color w:val="auto"/>
          <w:highlight w:val="none"/>
        </w:rPr>
      </w:pPr>
      <w:bookmarkStart w:id="56" w:name="bookmark39"/>
      <w:bookmarkEnd w:id="56"/>
      <w:r>
        <w:rPr>
          <w:color w:val="auto"/>
          <w:highlight w:val="none"/>
        </w:rPr>
        <w:t xml:space="preserve">3.1 </w:t>
      </w:r>
      <w:r>
        <w:rPr>
          <w:rFonts w:hint="eastAsia"/>
          <w:color w:val="auto"/>
          <w:highlight w:val="none"/>
        </w:rPr>
        <w:t>投标文件的组成</w:t>
      </w:r>
    </w:p>
    <w:p w14:paraId="7BA34D85">
      <w:pPr>
        <w:pStyle w:val="12"/>
        <w:kinsoku w:val="0"/>
        <w:overflowPunct w:val="0"/>
        <w:spacing w:line="288" w:lineRule="auto"/>
        <w:ind w:firstLine="420" w:firstLineChars="200"/>
        <w:rPr>
          <w:rFonts w:ascii="宋体" w:hAnsi="宋体"/>
          <w:color w:val="auto"/>
          <w:szCs w:val="21"/>
          <w:highlight w:val="none"/>
        </w:rPr>
      </w:pPr>
      <w:r>
        <w:rPr>
          <w:rFonts w:ascii="宋体" w:hAnsi="宋体"/>
          <w:color w:val="auto"/>
          <w:szCs w:val="21"/>
          <w:highlight w:val="none"/>
        </w:rPr>
        <w:t>3.1.1</w:t>
      </w:r>
      <w:r>
        <w:rPr>
          <w:rFonts w:hint="eastAsia" w:ascii="宋体" w:hAnsi="宋体"/>
          <w:color w:val="auto"/>
          <w:szCs w:val="21"/>
          <w:highlight w:val="none"/>
        </w:rPr>
        <w:t>投标文件应包括下列内容：</w:t>
      </w:r>
    </w:p>
    <w:p w14:paraId="6D72369F">
      <w:pPr>
        <w:pStyle w:val="12"/>
        <w:kinsoku w:val="0"/>
        <w:overflowPunct w:val="0"/>
        <w:spacing w:line="288" w:lineRule="auto"/>
        <w:ind w:firstLine="420" w:firstLineChars="200"/>
        <w:rPr>
          <w:rFonts w:ascii="宋体" w:hAnsi="宋体"/>
          <w:color w:val="auto"/>
          <w:szCs w:val="21"/>
          <w:highlight w:val="none"/>
        </w:rPr>
      </w:pPr>
      <w:r>
        <w:rPr>
          <w:rFonts w:hint="eastAsia" w:ascii="宋体" w:hAnsi="宋体"/>
          <w:color w:val="auto"/>
          <w:szCs w:val="21"/>
          <w:highlight w:val="none"/>
        </w:rPr>
        <w:t>（1）投标函及其附表；</w:t>
      </w:r>
    </w:p>
    <w:p w14:paraId="25C61D99">
      <w:pPr>
        <w:pStyle w:val="12"/>
        <w:kinsoku w:val="0"/>
        <w:overflowPunct w:val="0"/>
        <w:spacing w:line="288" w:lineRule="auto"/>
        <w:ind w:firstLine="420" w:firstLineChars="200"/>
        <w:rPr>
          <w:rFonts w:ascii="宋体" w:hAnsi="宋体"/>
          <w:color w:val="auto"/>
          <w:szCs w:val="21"/>
          <w:highlight w:val="none"/>
        </w:rPr>
      </w:pPr>
      <w:r>
        <w:rPr>
          <w:rFonts w:hint="eastAsia" w:ascii="宋体" w:hAnsi="宋体"/>
          <w:color w:val="auto"/>
          <w:szCs w:val="21"/>
          <w:highlight w:val="none"/>
        </w:rPr>
        <w:t>（2）法定代表人证明书及授权委托书；</w:t>
      </w:r>
    </w:p>
    <w:p w14:paraId="1D9B5362">
      <w:pPr>
        <w:pStyle w:val="12"/>
        <w:kinsoku w:val="0"/>
        <w:overflowPunct w:val="0"/>
        <w:spacing w:line="288" w:lineRule="auto"/>
        <w:ind w:firstLine="420" w:firstLineChars="200"/>
        <w:rPr>
          <w:rFonts w:ascii="宋体" w:hAnsi="宋体"/>
          <w:color w:val="auto"/>
          <w:szCs w:val="21"/>
          <w:highlight w:val="none"/>
        </w:rPr>
      </w:pPr>
      <w:r>
        <w:rPr>
          <w:rFonts w:hint="eastAsia" w:ascii="宋体" w:hAnsi="宋体"/>
          <w:color w:val="auto"/>
          <w:szCs w:val="21"/>
          <w:highlight w:val="none"/>
        </w:rPr>
        <w:t>（3）投标保证金；</w:t>
      </w:r>
    </w:p>
    <w:p w14:paraId="58367FAF">
      <w:pPr>
        <w:pStyle w:val="12"/>
        <w:kinsoku w:val="0"/>
        <w:overflowPunct w:val="0"/>
        <w:spacing w:line="288" w:lineRule="auto"/>
        <w:ind w:firstLine="420" w:firstLineChars="200"/>
        <w:rPr>
          <w:rFonts w:ascii="宋体" w:hAnsi="宋体"/>
          <w:color w:val="auto"/>
          <w:szCs w:val="21"/>
          <w:highlight w:val="none"/>
        </w:rPr>
      </w:pPr>
      <w:r>
        <w:rPr>
          <w:rFonts w:hint="eastAsia" w:ascii="宋体" w:hAnsi="宋体"/>
          <w:color w:val="auto"/>
          <w:szCs w:val="21"/>
          <w:highlight w:val="none"/>
        </w:rPr>
        <w:t>（4）投标报价书；</w:t>
      </w:r>
    </w:p>
    <w:p w14:paraId="361179ED">
      <w:pPr>
        <w:pStyle w:val="12"/>
        <w:kinsoku w:val="0"/>
        <w:overflowPunct w:val="0"/>
        <w:spacing w:line="288" w:lineRule="auto"/>
        <w:ind w:firstLine="420" w:firstLineChars="200"/>
        <w:rPr>
          <w:rFonts w:ascii="宋体" w:hAnsi="宋体"/>
          <w:color w:val="auto"/>
          <w:szCs w:val="21"/>
          <w:highlight w:val="none"/>
        </w:rPr>
      </w:pPr>
      <w:r>
        <w:rPr>
          <w:rFonts w:hint="eastAsia" w:ascii="宋体" w:hAnsi="宋体"/>
          <w:color w:val="auto"/>
          <w:szCs w:val="21"/>
          <w:highlight w:val="none"/>
        </w:rPr>
        <w:t>（5）资格审查资料；</w:t>
      </w:r>
    </w:p>
    <w:p w14:paraId="4997CC8E">
      <w:pPr>
        <w:pStyle w:val="12"/>
        <w:kinsoku w:val="0"/>
        <w:overflowPunct w:val="0"/>
        <w:spacing w:line="288" w:lineRule="auto"/>
        <w:ind w:firstLine="420" w:firstLineChars="200"/>
        <w:rPr>
          <w:rFonts w:ascii="宋体" w:hAnsi="宋体"/>
          <w:color w:val="auto"/>
          <w:szCs w:val="21"/>
          <w:highlight w:val="none"/>
        </w:rPr>
      </w:pPr>
      <w:r>
        <w:rPr>
          <w:rFonts w:hint="eastAsia" w:ascii="宋体" w:hAnsi="宋体"/>
          <w:color w:val="auto"/>
          <w:szCs w:val="21"/>
          <w:highlight w:val="none"/>
        </w:rPr>
        <w:t>（6）类似项目业绩表；</w:t>
      </w:r>
    </w:p>
    <w:p w14:paraId="31FD313E">
      <w:pPr>
        <w:pStyle w:val="12"/>
        <w:kinsoku w:val="0"/>
        <w:overflowPunct w:val="0"/>
        <w:spacing w:line="288" w:lineRule="auto"/>
        <w:ind w:firstLine="420" w:firstLineChars="200"/>
        <w:rPr>
          <w:rFonts w:hint="eastAsia" w:ascii="宋体" w:hAnsi="宋体"/>
          <w:color w:val="auto"/>
          <w:szCs w:val="21"/>
          <w:highlight w:val="none"/>
        </w:rPr>
      </w:pPr>
      <w:r>
        <w:rPr>
          <w:rFonts w:hint="eastAsia" w:ascii="宋体" w:hAnsi="宋体"/>
          <w:color w:val="auto"/>
          <w:szCs w:val="21"/>
          <w:highlight w:val="none"/>
        </w:rPr>
        <w:t>（7）投标人信誉证明材料；</w:t>
      </w:r>
    </w:p>
    <w:p w14:paraId="1781B205">
      <w:pPr>
        <w:pStyle w:val="12"/>
        <w:kinsoku w:val="0"/>
        <w:overflowPunct w:val="0"/>
        <w:spacing w:line="288" w:lineRule="auto"/>
        <w:ind w:firstLine="420" w:firstLineChars="200"/>
        <w:rPr>
          <w:rFonts w:ascii="宋体" w:hAnsi="宋体"/>
          <w:color w:val="auto"/>
          <w:szCs w:val="21"/>
          <w:highlight w:val="none"/>
        </w:rPr>
      </w:pPr>
      <w:r>
        <w:rPr>
          <w:rFonts w:hint="eastAsia" w:ascii="宋体" w:hAnsi="宋体"/>
          <w:color w:val="auto"/>
          <w:szCs w:val="21"/>
          <w:highlight w:val="none"/>
          <w:lang w:val="en-US" w:eastAsia="zh-CN"/>
        </w:rPr>
        <w:t>（8）</w:t>
      </w:r>
      <w:r>
        <w:rPr>
          <w:rFonts w:hint="eastAsia" w:ascii="宋体" w:hAnsi="宋体" w:cs="宋体"/>
          <w:color w:val="auto"/>
          <w:spacing w:val="-2"/>
          <w:szCs w:val="24"/>
          <w:highlight w:val="none"/>
          <w:u w:val="none"/>
        </w:rPr>
        <w:t>投标人廉洁承诺书；</w:t>
      </w:r>
    </w:p>
    <w:p w14:paraId="750DED4C">
      <w:pPr>
        <w:pStyle w:val="12"/>
        <w:kinsoku w:val="0"/>
        <w:overflowPunct w:val="0"/>
        <w:spacing w:line="288" w:lineRule="auto"/>
        <w:ind w:firstLine="420" w:firstLineChars="200"/>
        <w:rPr>
          <w:rFonts w:ascii="宋体" w:hAnsi="宋体"/>
          <w:color w:val="auto"/>
          <w:szCs w:val="21"/>
          <w:highlight w:val="none"/>
        </w:rPr>
      </w:pPr>
      <w:r>
        <w:rPr>
          <w:rFonts w:hint="eastAsia" w:ascii="宋体" w:hAnsi="宋体"/>
          <w:color w:val="auto"/>
          <w:szCs w:val="21"/>
          <w:highlight w:val="none"/>
        </w:rPr>
        <w:t>（</w:t>
      </w:r>
      <w:r>
        <w:rPr>
          <w:rFonts w:hint="eastAsia" w:ascii="宋体" w:hAnsi="宋体"/>
          <w:color w:val="auto"/>
          <w:szCs w:val="21"/>
          <w:highlight w:val="none"/>
          <w:lang w:val="en-US" w:eastAsia="zh-CN"/>
        </w:rPr>
        <w:t>9</w:t>
      </w:r>
      <w:r>
        <w:rPr>
          <w:rFonts w:hint="eastAsia" w:ascii="宋体" w:hAnsi="宋体"/>
          <w:color w:val="auto"/>
          <w:szCs w:val="21"/>
          <w:highlight w:val="none"/>
        </w:rPr>
        <w:t>）拟投入本项目的检测人员资格证明材料（包括“拟投入本项目的检测人员一览表”和“拟投入本项目的检测人员简历表”等资料）；</w:t>
      </w:r>
    </w:p>
    <w:p w14:paraId="7AF217A9">
      <w:pPr>
        <w:pStyle w:val="12"/>
        <w:kinsoku w:val="0"/>
        <w:overflowPunct w:val="0"/>
        <w:spacing w:line="288" w:lineRule="auto"/>
        <w:ind w:firstLine="420" w:firstLineChars="200"/>
        <w:rPr>
          <w:rFonts w:ascii="宋体" w:hAnsi="宋体"/>
          <w:color w:val="auto"/>
          <w:szCs w:val="21"/>
          <w:highlight w:val="none"/>
        </w:rPr>
      </w:pPr>
      <w:r>
        <w:rPr>
          <w:rFonts w:hint="eastAsia" w:ascii="宋体" w:hAnsi="宋体"/>
          <w:color w:val="auto"/>
          <w:szCs w:val="21"/>
          <w:highlight w:val="none"/>
        </w:rPr>
        <w:t>（</w:t>
      </w:r>
      <w:r>
        <w:rPr>
          <w:rFonts w:hint="eastAsia" w:ascii="宋体" w:hAnsi="宋体"/>
          <w:color w:val="auto"/>
          <w:szCs w:val="21"/>
          <w:highlight w:val="none"/>
          <w:lang w:val="en-US" w:eastAsia="zh-CN"/>
        </w:rPr>
        <w:t>10</w:t>
      </w:r>
      <w:r>
        <w:rPr>
          <w:rFonts w:hint="eastAsia" w:ascii="宋体" w:hAnsi="宋体"/>
          <w:color w:val="auto"/>
          <w:szCs w:val="21"/>
          <w:highlight w:val="none"/>
        </w:rPr>
        <w:t>）拟投入本项目的主要检测仪器设备一览表；</w:t>
      </w:r>
    </w:p>
    <w:p w14:paraId="339F4EDD">
      <w:pPr>
        <w:pStyle w:val="12"/>
        <w:kinsoku w:val="0"/>
        <w:overflowPunct w:val="0"/>
        <w:spacing w:line="288" w:lineRule="auto"/>
        <w:ind w:firstLine="420" w:firstLineChars="200"/>
        <w:rPr>
          <w:rFonts w:ascii="宋体" w:hAnsi="宋体"/>
          <w:color w:val="auto"/>
          <w:szCs w:val="21"/>
          <w:highlight w:val="none"/>
        </w:rPr>
      </w:pPr>
      <w:r>
        <w:rPr>
          <w:rFonts w:hint="eastAsia" w:ascii="宋体" w:hAnsi="宋体"/>
          <w:color w:val="auto"/>
          <w:szCs w:val="21"/>
          <w:highlight w:val="none"/>
        </w:rPr>
        <w:t>（1</w:t>
      </w:r>
      <w:r>
        <w:rPr>
          <w:rFonts w:hint="eastAsia" w:ascii="宋体" w:hAnsi="宋体"/>
          <w:color w:val="auto"/>
          <w:szCs w:val="21"/>
          <w:highlight w:val="none"/>
          <w:lang w:val="en-US" w:eastAsia="zh-CN"/>
        </w:rPr>
        <w:t>1</w:t>
      </w:r>
      <w:r>
        <w:rPr>
          <w:rFonts w:hint="eastAsia" w:ascii="宋体" w:hAnsi="宋体"/>
          <w:color w:val="auto"/>
          <w:szCs w:val="21"/>
          <w:highlight w:val="none"/>
        </w:rPr>
        <w:t>）检测方案；</w:t>
      </w:r>
    </w:p>
    <w:p w14:paraId="35612754">
      <w:pPr>
        <w:pStyle w:val="12"/>
        <w:kinsoku w:val="0"/>
        <w:overflowPunct w:val="0"/>
        <w:spacing w:line="288" w:lineRule="auto"/>
        <w:ind w:firstLine="420" w:firstLineChars="200"/>
        <w:rPr>
          <w:rFonts w:ascii="宋体" w:hAnsi="宋体"/>
          <w:color w:val="auto"/>
          <w:szCs w:val="21"/>
          <w:highlight w:val="none"/>
        </w:rPr>
      </w:pPr>
      <w:r>
        <w:rPr>
          <w:rFonts w:hint="eastAsia" w:ascii="宋体" w:hAnsi="宋体"/>
          <w:color w:val="auto"/>
          <w:szCs w:val="21"/>
          <w:highlight w:val="none"/>
        </w:rPr>
        <w:t>（1</w:t>
      </w:r>
      <w:r>
        <w:rPr>
          <w:rFonts w:hint="eastAsia" w:ascii="宋体" w:hAnsi="宋体"/>
          <w:color w:val="auto"/>
          <w:szCs w:val="21"/>
          <w:highlight w:val="none"/>
          <w:lang w:val="en-US" w:eastAsia="zh-CN"/>
        </w:rPr>
        <w:t>2</w:t>
      </w:r>
      <w:r>
        <w:rPr>
          <w:rFonts w:hint="eastAsia" w:ascii="宋体" w:hAnsi="宋体"/>
          <w:color w:val="auto"/>
          <w:szCs w:val="21"/>
          <w:highlight w:val="none"/>
        </w:rPr>
        <w:t>）其他资料。</w:t>
      </w:r>
    </w:p>
    <w:p w14:paraId="1C5EA981">
      <w:pPr>
        <w:pStyle w:val="12"/>
        <w:kinsoku w:val="0"/>
        <w:overflowPunct w:val="0"/>
        <w:spacing w:line="288" w:lineRule="auto"/>
        <w:ind w:firstLine="420" w:firstLineChars="200"/>
        <w:rPr>
          <w:rFonts w:ascii="宋体" w:hAnsi="宋体"/>
          <w:color w:val="auto"/>
          <w:szCs w:val="21"/>
          <w:highlight w:val="none"/>
        </w:rPr>
      </w:pPr>
      <w:r>
        <w:rPr>
          <w:rFonts w:hint="eastAsia" w:ascii="宋体" w:hAnsi="宋体"/>
          <w:color w:val="auto"/>
          <w:szCs w:val="21"/>
          <w:highlight w:val="none"/>
        </w:rPr>
        <w:t>投标人须知前附表规定的其他资料，投标人认为有必要提交的其他资料。投标人在评标过程中作出的符合法律法规和招标文件规定的澄清确认，构成投标文件的组成部分。</w:t>
      </w:r>
    </w:p>
    <w:p w14:paraId="3EB6B9EC">
      <w:pPr>
        <w:pStyle w:val="12"/>
        <w:kinsoku w:val="0"/>
        <w:overflowPunct w:val="0"/>
        <w:spacing w:line="288" w:lineRule="auto"/>
        <w:ind w:firstLine="420" w:firstLineChars="200"/>
        <w:rPr>
          <w:rFonts w:ascii="宋体" w:hAnsi="宋体"/>
          <w:color w:val="auto"/>
          <w:szCs w:val="21"/>
          <w:highlight w:val="none"/>
        </w:rPr>
      </w:pPr>
      <w:r>
        <w:rPr>
          <w:rFonts w:ascii="宋体" w:hAnsi="宋体"/>
          <w:color w:val="auto"/>
          <w:szCs w:val="21"/>
          <w:highlight w:val="none"/>
        </w:rPr>
        <w:t>3.1.2</w:t>
      </w:r>
      <w:r>
        <w:rPr>
          <w:rFonts w:hint="eastAsia" w:ascii="宋体" w:hAnsi="宋体"/>
          <w:color w:val="auto"/>
          <w:szCs w:val="21"/>
          <w:highlight w:val="none"/>
        </w:rPr>
        <w:t>投标人须知前附表规定不接受联合体投标的，或投标人没有组成联合体的，投标文件不包括本章第</w:t>
      </w:r>
      <w:r>
        <w:rPr>
          <w:rFonts w:ascii="宋体" w:hAnsi="宋体"/>
          <w:color w:val="auto"/>
          <w:szCs w:val="21"/>
          <w:highlight w:val="none"/>
        </w:rPr>
        <w:t>3.1.1</w:t>
      </w:r>
      <w:r>
        <w:rPr>
          <w:rFonts w:hint="eastAsia" w:ascii="宋体" w:hAnsi="宋体"/>
          <w:color w:val="auto"/>
          <w:szCs w:val="21"/>
          <w:highlight w:val="none"/>
        </w:rPr>
        <w:t>所指的联合体协议书。</w:t>
      </w:r>
    </w:p>
    <w:p w14:paraId="2EE4697F">
      <w:pPr>
        <w:pStyle w:val="12"/>
        <w:kinsoku w:val="0"/>
        <w:overflowPunct w:val="0"/>
        <w:spacing w:line="288" w:lineRule="auto"/>
        <w:ind w:firstLine="420" w:firstLineChars="200"/>
        <w:rPr>
          <w:rFonts w:ascii="宋体" w:hAnsi="宋体"/>
          <w:color w:val="auto"/>
          <w:szCs w:val="21"/>
          <w:highlight w:val="none"/>
        </w:rPr>
      </w:pPr>
      <w:r>
        <w:rPr>
          <w:rFonts w:ascii="宋体" w:hAnsi="宋体"/>
          <w:color w:val="auto"/>
          <w:szCs w:val="21"/>
          <w:highlight w:val="none"/>
        </w:rPr>
        <w:t>3.1.3</w:t>
      </w:r>
      <w:r>
        <w:rPr>
          <w:rFonts w:hint="eastAsia" w:ascii="宋体" w:hAnsi="宋体"/>
          <w:color w:val="auto"/>
          <w:szCs w:val="21"/>
          <w:highlight w:val="none"/>
        </w:rPr>
        <w:t>投标人须知前附表未要求提交投标保证金的，投标文件不包括本章第</w:t>
      </w:r>
      <w:r>
        <w:rPr>
          <w:rFonts w:ascii="宋体" w:hAnsi="宋体"/>
          <w:color w:val="auto"/>
          <w:szCs w:val="21"/>
          <w:highlight w:val="none"/>
        </w:rPr>
        <w:t>3.1.1</w:t>
      </w:r>
      <w:r>
        <w:rPr>
          <w:rFonts w:hint="eastAsia" w:ascii="宋体" w:hAnsi="宋体"/>
          <w:color w:val="auto"/>
          <w:szCs w:val="21"/>
          <w:highlight w:val="none"/>
        </w:rPr>
        <w:t>（</w:t>
      </w:r>
      <w:r>
        <w:rPr>
          <w:rFonts w:ascii="宋体" w:hAnsi="宋体"/>
          <w:color w:val="auto"/>
          <w:szCs w:val="21"/>
          <w:highlight w:val="none"/>
        </w:rPr>
        <w:t>3</w:t>
      </w:r>
      <w:r>
        <w:rPr>
          <w:rFonts w:hint="eastAsia" w:ascii="宋体" w:hAnsi="宋体"/>
          <w:color w:val="auto"/>
          <w:szCs w:val="21"/>
          <w:highlight w:val="none"/>
        </w:rPr>
        <w:t>）所指的投标保证金。</w:t>
      </w:r>
    </w:p>
    <w:p w14:paraId="00531CD6">
      <w:pPr>
        <w:pStyle w:val="12"/>
        <w:kinsoku w:val="0"/>
        <w:overflowPunct w:val="0"/>
        <w:spacing w:line="288" w:lineRule="auto"/>
        <w:ind w:firstLine="420" w:firstLineChars="200"/>
        <w:rPr>
          <w:rFonts w:ascii="宋体" w:hAnsi="宋体"/>
          <w:color w:val="auto"/>
          <w:szCs w:val="21"/>
          <w:highlight w:val="none"/>
        </w:rPr>
      </w:pPr>
    </w:p>
    <w:p w14:paraId="4AE990C5">
      <w:pPr>
        <w:pStyle w:val="6"/>
        <w:rPr>
          <w:color w:val="auto"/>
          <w:highlight w:val="none"/>
        </w:rPr>
      </w:pPr>
      <w:bookmarkStart w:id="57" w:name="bookmark40"/>
      <w:bookmarkEnd w:id="57"/>
      <w:r>
        <w:rPr>
          <w:color w:val="auto"/>
          <w:highlight w:val="none"/>
        </w:rPr>
        <w:t xml:space="preserve">3.2 </w:t>
      </w:r>
      <w:r>
        <w:rPr>
          <w:rFonts w:hint="eastAsia"/>
          <w:color w:val="auto"/>
          <w:highlight w:val="none"/>
        </w:rPr>
        <w:t>投标报价</w:t>
      </w:r>
    </w:p>
    <w:p w14:paraId="1734CB77">
      <w:pPr>
        <w:pStyle w:val="12"/>
        <w:kinsoku w:val="0"/>
        <w:overflowPunct w:val="0"/>
        <w:spacing w:line="288" w:lineRule="auto"/>
        <w:ind w:firstLine="420" w:firstLineChars="200"/>
        <w:rPr>
          <w:rFonts w:ascii="宋体" w:hAnsi="宋体"/>
          <w:color w:val="auto"/>
          <w:szCs w:val="21"/>
          <w:highlight w:val="none"/>
        </w:rPr>
      </w:pPr>
      <w:r>
        <w:rPr>
          <w:rFonts w:ascii="宋体" w:hAnsi="宋体"/>
          <w:color w:val="auto"/>
          <w:szCs w:val="21"/>
          <w:highlight w:val="none"/>
        </w:rPr>
        <w:t>3.2.1</w:t>
      </w:r>
      <w:r>
        <w:rPr>
          <w:rFonts w:hint="eastAsia" w:ascii="宋体" w:hAnsi="宋体"/>
          <w:color w:val="auto"/>
          <w:szCs w:val="21"/>
          <w:highlight w:val="none"/>
        </w:rPr>
        <w:t>投标报价应包括国家规定的增值税税金，除投标人须知前附表另有规定外，增值税税金按一般计税方法计算。投标人应按第六章“投标文件格式”的要求在投标函中进行报价并填写报价书。</w:t>
      </w:r>
    </w:p>
    <w:p w14:paraId="4AB8E14B">
      <w:pPr>
        <w:pStyle w:val="12"/>
        <w:kinsoku w:val="0"/>
        <w:overflowPunct w:val="0"/>
        <w:spacing w:line="288" w:lineRule="auto"/>
        <w:ind w:firstLine="420" w:firstLineChars="200"/>
        <w:rPr>
          <w:rFonts w:ascii="宋体" w:hAnsi="宋体"/>
          <w:color w:val="auto"/>
          <w:szCs w:val="21"/>
          <w:highlight w:val="none"/>
        </w:rPr>
      </w:pPr>
      <w:r>
        <w:rPr>
          <w:rFonts w:ascii="宋体" w:hAnsi="宋体"/>
          <w:color w:val="auto"/>
          <w:szCs w:val="21"/>
          <w:highlight w:val="none"/>
        </w:rPr>
        <w:t>3.2.2</w:t>
      </w:r>
      <w:r>
        <w:rPr>
          <w:rFonts w:hint="eastAsia" w:ascii="宋体" w:hAnsi="宋体"/>
          <w:color w:val="auto"/>
          <w:szCs w:val="21"/>
          <w:highlight w:val="none"/>
        </w:rPr>
        <w:t>投标人应充分了解该项目的总体情况以及影响投标报价的其他要素。</w:t>
      </w:r>
    </w:p>
    <w:p w14:paraId="5A1BDB60">
      <w:pPr>
        <w:pStyle w:val="12"/>
        <w:kinsoku w:val="0"/>
        <w:overflowPunct w:val="0"/>
        <w:spacing w:line="288" w:lineRule="auto"/>
        <w:ind w:firstLine="420" w:firstLineChars="200"/>
        <w:rPr>
          <w:rFonts w:ascii="宋体" w:hAnsi="宋体"/>
          <w:color w:val="auto"/>
          <w:szCs w:val="21"/>
          <w:highlight w:val="none"/>
        </w:rPr>
      </w:pPr>
      <w:r>
        <w:rPr>
          <w:rFonts w:ascii="宋体" w:hAnsi="宋体"/>
          <w:color w:val="auto"/>
          <w:szCs w:val="21"/>
          <w:highlight w:val="none"/>
        </w:rPr>
        <w:t>3.2.3</w:t>
      </w:r>
      <w:r>
        <w:rPr>
          <w:rFonts w:hint="eastAsia" w:ascii="宋体" w:hAnsi="宋体"/>
          <w:color w:val="auto"/>
          <w:szCs w:val="21"/>
          <w:highlight w:val="none"/>
        </w:rPr>
        <w:t>本项目的报价方式见投标人须知前附表。投标人在投标截止时间前修改投标函中的投标报价总额，应同时修改投标文件“报价书”中的相应报价。此修改须符合本章第</w:t>
      </w:r>
      <w:r>
        <w:rPr>
          <w:rFonts w:ascii="宋体" w:hAnsi="宋体"/>
          <w:color w:val="auto"/>
          <w:szCs w:val="21"/>
          <w:highlight w:val="none"/>
        </w:rPr>
        <w:t>4.3</w:t>
      </w:r>
      <w:r>
        <w:rPr>
          <w:rFonts w:hint="eastAsia" w:ascii="宋体" w:hAnsi="宋体"/>
          <w:color w:val="auto"/>
          <w:szCs w:val="21"/>
          <w:highlight w:val="none"/>
        </w:rPr>
        <w:t>款的有关要求。</w:t>
      </w:r>
    </w:p>
    <w:p w14:paraId="09311C87">
      <w:pPr>
        <w:pStyle w:val="12"/>
        <w:kinsoku w:val="0"/>
        <w:overflowPunct w:val="0"/>
        <w:spacing w:line="288" w:lineRule="auto"/>
        <w:ind w:firstLine="420" w:firstLineChars="200"/>
        <w:rPr>
          <w:rFonts w:ascii="宋体" w:hAnsi="宋体"/>
          <w:color w:val="auto"/>
          <w:szCs w:val="21"/>
          <w:highlight w:val="none"/>
        </w:rPr>
      </w:pPr>
      <w:r>
        <w:rPr>
          <w:rFonts w:ascii="宋体" w:hAnsi="宋体"/>
          <w:color w:val="auto"/>
          <w:szCs w:val="21"/>
          <w:highlight w:val="none"/>
        </w:rPr>
        <w:t>3.2.4</w:t>
      </w:r>
      <w:r>
        <w:rPr>
          <w:rFonts w:hint="eastAsia" w:ascii="宋体" w:hAnsi="宋体"/>
          <w:color w:val="auto"/>
          <w:szCs w:val="21"/>
          <w:highlight w:val="none"/>
        </w:rPr>
        <w:t>招标人设有最高投标限价的，投标人的投标报价不得超过最高投标限价，最高投标限价在投标人须知前附表中载明。</w:t>
      </w:r>
    </w:p>
    <w:p w14:paraId="69A15F4D">
      <w:pPr>
        <w:pStyle w:val="12"/>
        <w:kinsoku w:val="0"/>
        <w:overflowPunct w:val="0"/>
        <w:spacing w:line="288" w:lineRule="auto"/>
        <w:ind w:firstLine="420" w:firstLineChars="200"/>
        <w:rPr>
          <w:rFonts w:ascii="宋体" w:hAnsi="宋体"/>
          <w:color w:val="auto"/>
          <w:szCs w:val="21"/>
          <w:highlight w:val="none"/>
        </w:rPr>
      </w:pPr>
      <w:r>
        <w:rPr>
          <w:rFonts w:ascii="宋体" w:hAnsi="宋体"/>
          <w:color w:val="auto"/>
          <w:szCs w:val="21"/>
          <w:highlight w:val="none"/>
        </w:rPr>
        <w:t>3.2.5</w:t>
      </w:r>
      <w:r>
        <w:rPr>
          <w:rFonts w:hint="eastAsia" w:ascii="宋体" w:hAnsi="宋体"/>
          <w:color w:val="auto"/>
          <w:szCs w:val="21"/>
          <w:highlight w:val="none"/>
        </w:rPr>
        <w:t>投标报价的其他要求见投标人须知前附表。</w:t>
      </w:r>
    </w:p>
    <w:p w14:paraId="0B9D9DAD">
      <w:pPr>
        <w:pStyle w:val="12"/>
        <w:kinsoku w:val="0"/>
        <w:overflowPunct w:val="0"/>
        <w:spacing w:line="288" w:lineRule="auto"/>
        <w:ind w:firstLine="420" w:firstLineChars="200"/>
        <w:rPr>
          <w:rFonts w:ascii="宋体" w:hAnsi="宋体"/>
          <w:color w:val="auto"/>
          <w:szCs w:val="21"/>
          <w:highlight w:val="none"/>
        </w:rPr>
      </w:pPr>
    </w:p>
    <w:p w14:paraId="3E2FAAF6">
      <w:pPr>
        <w:pStyle w:val="6"/>
        <w:rPr>
          <w:color w:val="auto"/>
          <w:highlight w:val="none"/>
        </w:rPr>
      </w:pPr>
      <w:bookmarkStart w:id="58" w:name="bookmark41"/>
      <w:bookmarkEnd w:id="58"/>
      <w:r>
        <w:rPr>
          <w:color w:val="auto"/>
          <w:highlight w:val="none"/>
        </w:rPr>
        <w:t xml:space="preserve">3.3 </w:t>
      </w:r>
      <w:r>
        <w:rPr>
          <w:rFonts w:hint="eastAsia"/>
          <w:color w:val="auto"/>
          <w:highlight w:val="none"/>
        </w:rPr>
        <w:t>投标有效期</w:t>
      </w:r>
    </w:p>
    <w:p w14:paraId="18D7D126">
      <w:pPr>
        <w:pStyle w:val="12"/>
        <w:kinsoku w:val="0"/>
        <w:overflowPunct w:val="0"/>
        <w:spacing w:line="288" w:lineRule="auto"/>
        <w:ind w:firstLine="420" w:firstLineChars="200"/>
        <w:rPr>
          <w:rFonts w:ascii="宋体" w:hAnsi="宋体"/>
          <w:color w:val="auto"/>
          <w:szCs w:val="21"/>
          <w:highlight w:val="none"/>
        </w:rPr>
      </w:pPr>
      <w:r>
        <w:rPr>
          <w:rFonts w:ascii="宋体" w:hAnsi="宋体"/>
          <w:color w:val="auto"/>
          <w:szCs w:val="21"/>
          <w:highlight w:val="none"/>
        </w:rPr>
        <w:t>3.3.1</w:t>
      </w:r>
      <w:r>
        <w:rPr>
          <w:rFonts w:hint="eastAsia" w:ascii="宋体" w:hAnsi="宋体"/>
          <w:color w:val="auto"/>
          <w:szCs w:val="21"/>
          <w:highlight w:val="none"/>
        </w:rPr>
        <w:t>除投标人须知前附表另有规定外，投标有效期为</w:t>
      </w:r>
      <w:r>
        <w:rPr>
          <w:rFonts w:ascii="宋体" w:hAnsi="宋体"/>
          <w:color w:val="auto"/>
          <w:szCs w:val="21"/>
          <w:highlight w:val="none"/>
        </w:rPr>
        <w:t>90</w:t>
      </w:r>
      <w:r>
        <w:rPr>
          <w:rFonts w:hint="eastAsia" w:ascii="宋体" w:hAnsi="宋体"/>
          <w:color w:val="auto"/>
          <w:szCs w:val="21"/>
          <w:highlight w:val="none"/>
        </w:rPr>
        <w:t>天。</w:t>
      </w:r>
    </w:p>
    <w:p w14:paraId="09C5EFF0">
      <w:pPr>
        <w:pStyle w:val="12"/>
        <w:kinsoku w:val="0"/>
        <w:overflowPunct w:val="0"/>
        <w:spacing w:line="288" w:lineRule="auto"/>
        <w:ind w:firstLine="420" w:firstLineChars="200"/>
        <w:rPr>
          <w:rFonts w:ascii="宋体" w:hAnsi="宋体"/>
          <w:color w:val="auto"/>
          <w:szCs w:val="21"/>
          <w:highlight w:val="none"/>
        </w:rPr>
      </w:pPr>
      <w:r>
        <w:rPr>
          <w:rFonts w:ascii="宋体" w:hAnsi="宋体"/>
          <w:color w:val="auto"/>
          <w:szCs w:val="21"/>
          <w:highlight w:val="none"/>
        </w:rPr>
        <w:t>3.3.2</w:t>
      </w:r>
      <w:r>
        <w:rPr>
          <w:rFonts w:hint="eastAsia" w:ascii="宋体" w:hAnsi="宋体"/>
          <w:color w:val="auto"/>
          <w:szCs w:val="21"/>
          <w:highlight w:val="none"/>
        </w:rPr>
        <w:t>在投标有效期内，投标人撤销投标文件的，应承担招标文件和法律规定的责任。</w:t>
      </w:r>
    </w:p>
    <w:p w14:paraId="79C22162">
      <w:pPr>
        <w:pStyle w:val="12"/>
        <w:kinsoku w:val="0"/>
        <w:overflowPunct w:val="0"/>
        <w:spacing w:line="288" w:lineRule="auto"/>
        <w:ind w:firstLine="420" w:firstLineChars="200"/>
        <w:rPr>
          <w:rFonts w:ascii="宋体" w:hAnsi="宋体"/>
          <w:color w:val="auto"/>
          <w:szCs w:val="21"/>
          <w:highlight w:val="none"/>
        </w:rPr>
      </w:pPr>
      <w:r>
        <w:rPr>
          <w:rFonts w:ascii="宋体" w:hAnsi="宋体"/>
          <w:color w:val="auto"/>
          <w:szCs w:val="21"/>
          <w:highlight w:val="none"/>
        </w:rPr>
        <w:t>3.3.3</w:t>
      </w:r>
      <w:r>
        <w:rPr>
          <w:rFonts w:hint="eastAsia" w:ascii="宋体" w:hAnsi="宋体"/>
          <w:color w:val="auto"/>
          <w:szCs w:val="21"/>
          <w:highlight w:val="none"/>
        </w:rPr>
        <w:t>出现特殊情况需要延长投标有效期的，招标人以书面形式通知所有投标人延长投标有效期。投标人应予以书面答复，同意延长的，应相应延长其投标保证金的有效期，但不得要求或被允许修改其投标文件；投标人拒绝延长的，其投标失效，但投标人有权收回其投标保证金及以现金或者支票形式递交的投标保证金的银行同期存款利息。</w:t>
      </w:r>
    </w:p>
    <w:p w14:paraId="1EC4B609">
      <w:pPr>
        <w:pStyle w:val="12"/>
        <w:kinsoku w:val="0"/>
        <w:overflowPunct w:val="0"/>
        <w:spacing w:line="288" w:lineRule="auto"/>
        <w:ind w:firstLine="420" w:firstLineChars="200"/>
        <w:rPr>
          <w:rFonts w:ascii="宋体" w:hAnsi="宋体"/>
          <w:color w:val="auto"/>
          <w:szCs w:val="21"/>
          <w:highlight w:val="none"/>
        </w:rPr>
      </w:pPr>
    </w:p>
    <w:p w14:paraId="6234B249">
      <w:pPr>
        <w:pStyle w:val="6"/>
        <w:rPr>
          <w:color w:val="auto"/>
          <w:highlight w:val="none"/>
        </w:rPr>
      </w:pPr>
      <w:bookmarkStart w:id="59" w:name="bookmark42"/>
      <w:bookmarkEnd w:id="59"/>
      <w:r>
        <w:rPr>
          <w:color w:val="auto"/>
          <w:highlight w:val="none"/>
        </w:rPr>
        <w:t xml:space="preserve">3.4 </w:t>
      </w:r>
      <w:r>
        <w:rPr>
          <w:rFonts w:hint="eastAsia"/>
          <w:color w:val="auto"/>
          <w:highlight w:val="none"/>
        </w:rPr>
        <w:t>投标保证金</w:t>
      </w:r>
    </w:p>
    <w:p w14:paraId="628860FD">
      <w:pPr>
        <w:pStyle w:val="12"/>
        <w:kinsoku w:val="0"/>
        <w:overflowPunct w:val="0"/>
        <w:spacing w:line="288" w:lineRule="auto"/>
        <w:ind w:firstLine="420" w:firstLineChars="200"/>
        <w:rPr>
          <w:rFonts w:ascii="宋体" w:hAnsi="宋体"/>
          <w:color w:val="auto"/>
          <w:szCs w:val="21"/>
          <w:highlight w:val="none"/>
        </w:rPr>
      </w:pPr>
      <w:r>
        <w:rPr>
          <w:rFonts w:ascii="宋体" w:hAnsi="宋体"/>
          <w:color w:val="auto"/>
          <w:szCs w:val="21"/>
          <w:highlight w:val="none"/>
        </w:rPr>
        <w:t>3.4.1</w:t>
      </w:r>
      <w:r>
        <w:rPr>
          <w:rFonts w:hint="eastAsia" w:ascii="宋体" w:hAnsi="宋体"/>
          <w:color w:val="auto"/>
          <w:szCs w:val="21"/>
          <w:highlight w:val="none"/>
        </w:rPr>
        <w:t>投标人在递交投标文件的同时，应按投标人须知前附表规定的金额、形式和第六章“投标文件格式”规定的投标保证金格式递交投标保证金，并作为其投标文件的组成部分。境内投标人以现金或者支票形式提交的投标保证金，应当从其基本账户转出并在投标文件中附上基本账户开户证明。联合体投标的，其投标保证金可以由牵头人递交，并应符合投标人须知前附表的规定。</w:t>
      </w:r>
    </w:p>
    <w:p w14:paraId="7C206A8D">
      <w:pPr>
        <w:pStyle w:val="12"/>
        <w:kinsoku w:val="0"/>
        <w:overflowPunct w:val="0"/>
        <w:spacing w:line="288" w:lineRule="auto"/>
        <w:ind w:firstLine="420" w:firstLineChars="200"/>
        <w:rPr>
          <w:rFonts w:ascii="宋体" w:hAnsi="宋体"/>
          <w:color w:val="auto"/>
          <w:szCs w:val="21"/>
          <w:highlight w:val="none"/>
        </w:rPr>
      </w:pPr>
      <w:r>
        <w:rPr>
          <w:rFonts w:ascii="宋体" w:hAnsi="宋体"/>
          <w:color w:val="auto"/>
          <w:szCs w:val="21"/>
          <w:highlight w:val="none"/>
        </w:rPr>
        <w:t>3.4.2</w:t>
      </w:r>
      <w:r>
        <w:rPr>
          <w:rFonts w:hint="eastAsia" w:ascii="宋体" w:hAnsi="宋体"/>
          <w:color w:val="auto"/>
          <w:szCs w:val="21"/>
          <w:highlight w:val="none"/>
        </w:rPr>
        <w:t>投标人不按本章第</w:t>
      </w:r>
      <w:r>
        <w:rPr>
          <w:rFonts w:ascii="宋体" w:hAnsi="宋体"/>
          <w:color w:val="auto"/>
          <w:szCs w:val="21"/>
          <w:highlight w:val="none"/>
        </w:rPr>
        <w:t>3.4.1</w:t>
      </w:r>
      <w:r>
        <w:rPr>
          <w:rFonts w:hint="eastAsia" w:ascii="宋体" w:hAnsi="宋体"/>
          <w:color w:val="auto"/>
          <w:szCs w:val="21"/>
          <w:highlight w:val="none"/>
        </w:rPr>
        <w:t>项要求提交投标保证金的，评标委员会将否决其投标。</w:t>
      </w:r>
    </w:p>
    <w:p w14:paraId="017DB441">
      <w:pPr>
        <w:pStyle w:val="12"/>
        <w:kinsoku w:val="0"/>
        <w:overflowPunct w:val="0"/>
        <w:spacing w:line="288" w:lineRule="auto"/>
        <w:ind w:firstLine="420" w:firstLineChars="200"/>
        <w:rPr>
          <w:rFonts w:ascii="宋体" w:hAnsi="宋体"/>
          <w:color w:val="auto"/>
          <w:szCs w:val="21"/>
          <w:highlight w:val="none"/>
        </w:rPr>
      </w:pPr>
      <w:r>
        <w:rPr>
          <w:rFonts w:ascii="宋体" w:hAnsi="宋体"/>
          <w:color w:val="auto"/>
          <w:szCs w:val="21"/>
          <w:highlight w:val="none"/>
        </w:rPr>
        <w:t>3.4.3</w:t>
      </w:r>
      <w:r>
        <w:rPr>
          <w:rFonts w:hint="eastAsia" w:ascii="宋体" w:hAnsi="宋体"/>
          <w:color w:val="auto"/>
          <w:szCs w:val="21"/>
          <w:highlight w:val="none"/>
        </w:rPr>
        <w:t>招标人最迟将在与中标人签订合同后</w:t>
      </w:r>
      <w:r>
        <w:rPr>
          <w:rFonts w:ascii="宋体" w:hAnsi="宋体"/>
          <w:color w:val="auto"/>
          <w:szCs w:val="21"/>
          <w:highlight w:val="none"/>
        </w:rPr>
        <w:t>5</w:t>
      </w:r>
      <w:r>
        <w:rPr>
          <w:rFonts w:hint="eastAsia" w:ascii="宋体" w:hAnsi="宋体"/>
          <w:color w:val="auto"/>
          <w:szCs w:val="21"/>
          <w:highlight w:val="none"/>
        </w:rPr>
        <w:t>日内，向未中标的投标人和中标人退还投标保证金。投标保证金以现金或者支票形式递交的，还应退还银行同期存款利息。</w:t>
      </w:r>
    </w:p>
    <w:p w14:paraId="2CA62940">
      <w:pPr>
        <w:pStyle w:val="12"/>
        <w:kinsoku w:val="0"/>
        <w:overflowPunct w:val="0"/>
        <w:spacing w:line="288" w:lineRule="auto"/>
        <w:ind w:firstLine="420" w:firstLineChars="200"/>
        <w:rPr>
          <w:rFonts w:ascii="宋体" w:hAnsi="宋体"/>
          <w:color w:val="auto"/>
          <w:szCs w:val="21"/>
          <w:highlight w:val="none"/>
        </w:rPr>
      </w:pPr>
      <w:r>
        <w:rPr>
          <w:rFonts w:ascii="宋体" w:hAnsi="宋体"/>
          <w:color w:val="auto"/>
          <w:szCs w:val="21"/>
          <w:highlight w:val="none"/>
        </w:rPr>
        <w:t>3.4.4</w:t>
      </w:r>
      <w:r>
        <w:rPr>
          <w:rFonts w:hint="eastAsia" w:ascii="宋体" w:hAnsi="宋体"/>
          <w:color w:val="auto"/>
          <w:szCs w:val="21"/>
          <w:highlight w:val="none"/>
        </w:rPr>
        <w:t>有下列情形之一的，投标保证金将不予退还：</w:t>
      </w:r>
    </w:p>
    <w:p w14:paraId="23307B11">
      <w:pPr>
        <w:pStyle w:val="12"/>
        <w:kinsoku w:val="0"/>
        <w:overflowPunct w:val="0"/>
        <w:spacing w:line="288" w:lineRule="auto"/>
        <w:ind w:firstLine="420" w:firstLineChars="200"/>
        <w:rPr>
          <w:rFonts w:ascii="宋体" w:hAnsi="宋体"/>
          <w:color w:val="auto"/>
          <w:szCs w:val="21"/>
          <w:highlight w:val="none"/>
        </w:rPr>
      </w:pPr>
      <w:r>
        <w:rPr>
          <w:rFonts w:hint="eastAsia" w:ascii="宋体" w:hAnsi="宋体"/>
          <w:color w:val="auto"/>
          <w:szCs w:val="21"/>
          <w:highlight w:val="none"/>
        </w:rPr>
        <w:t>（</w:t>
      </w:r>
      <w:r>
        <w:rPr>
          <w:rFonts w:ascii="宋体" w:hAnsi="宋体"/>
          <w:color w:val="auto"/>
          <w:szCs w:val="21"/>
          <w:highlight w:val="none"/>
        </w:rPr>
        <w:t>1</w:t>
      </w:r>
      <w:r>
        <w:rPr>
          <w:rFonts w:hint="eastAsia" w:ascii="宋体" w:hAnsi="宋体"/>
          <w:color w:val="auto"/>
          <w:szCs w:val="21"/>
          <w:highlight w:val="none"/>
        </w:rPr>
        <w:t>）投标人在投标有效期内撤销投标文件；</w:t>
      </w:r>
    </w:p>
    <w:p w14:paraId="1D070256">
      <w:pPr>
        <w:pStyle w:val="12"/>
        <w:kinsoku w:val="0"/>
        <w:overflowPunct w:val="0"/>
        <w:spacing w:line="288" w:lineRule="auto"/>
        <w:ind w:firstLine="420" w:firstLineChars="200"/>
        <w:rPr>
          <w:rFonts w:ascii="宋体" w:hAnsi="宋体"/>
          <w:color w:val="auto"/>
          <w:szCs w:val="21"/>
          <w:highlight w:val="none"/>
        </w:rPr>
      </w:pPr>
      <w:r>
        <w:rPr>
          <w:rFonts w:hint="eastAsia" w:ascii="宋体" w:hAnsi="宋体"/>
          <w:color w:val="auto"/>
          <w:szCs w:val="21"/>
          <w:highlight w:val="none"/>
        </w:rPr>
        <w:t>（</w:t>
      </w:r>
      <w:r>
        <w:rPr>
          <w:rFonts w:ascii="宋体" w:hAnsi="宋体"/>
          <w:color w:val="auto"/>
          <w:szCs w:val="21"/>
          <w:highlight w:val="none"/>
        </w:rPr>
        <w:t>2</w:t>
      </w:r>
      <w:r>
        <w:rPr>
          <w:rFonts w:hint="eastAsia" w:ascii="宋体" w:hAnsi="宋体"/>
          <w:color w:val="auto"/>
          <w:szCs w:val="21"/>
          <w:highlight w:val="none"/>
        </w:rPr>
        <w:t>）中标人在收到中标通知书后，无正当理由不与招标人订立合同，在签订合同时向招标人提出附加条件，或者不按照招标文件要求提交履约保证金；</w:t>
      </w:r>
    </w:p>
    <w:p w14:paraId="34240A84">
      <w:pPr>
        <w:pStyle w:val="12"/>
        <w:kinsoku w:val="0"/>
        <w:overflowPunct w:val="0"/>
        <w:spacing w:line="288" w:lineRule="auto"/>
        <w:ind w:firstLine="420" w:firstLineChars="200"/>
        <w:rPr>
          <w:rFonts w:ascii="宋体" w:hAnsi="宋体"/>
          <w:color w:val="auto"/>
          <w:szCs w:val="21"/>
          <w:highlight w:val="none"/>
        </w:rPr>
      </w:pPr>
      <w:r>
        <w:rPr>
          <w:rFonts w:hint="eastAsia" w:ascii="宋体" w:hAnsi="宋体"/>
          <w:color w:val="auto"/>
          <w:szCs w:val="21"/>
          <w:highlight w:val="none"/>
        </w:rPr>
        <w:t>（</w:t>
      </w:r>
      <w:r>
        <w:rPr>
          <w:rFonts w:ascii="宋体" w:hAnsi="宋体"/>
          <w:color w:val="auto"/>
          <w:szCs w:val="21"/>
          <w:highlight w:val="none"/>
        </w:rPr>
        <w:t>3</w:t>
      </w:r>
      <w:r>
        <w:rPr>
          <w:rFonts w:hint="eastAsia" w:ascii="宋体" w:hAnsi="宋体"/>
          <w:color w:val="auto"/>
          <w:szCs w:val="21"/>
          <w:highlight w:val="none"/>
        </w:rPr>
        <w:t>）发生投标人须知前附表规定的其他可以不予退还投标保证金的情形。</w:t>
      </w:r>
    </w:p>
    <w:p w14:paraId="4AC41D51">
      <w:pPr>
        <w:pStyle w:val="12"/>
        <w:kinsoku w:val="0"/>
        <w:overflowPunct w:val="0"/>
        <w:spacing w:line="288" w:lineRule="auto"/>
        <w:ind w:firstLine="420" w:firstLineChars="200"/>
        <w:rPr>
          <w:rFonts w:ascii="宋体" w:hAnsi="宋体"/>
          <w:color w:val="auto"/>
          <w:szCs w:val="21"/>
          <w:highlight w:val="none"/>
        </w:rPr>
      </w:pPr>
      <w:bookmarkStart w:id="60" w:name="bookmark43"/>
      <w:bookmarkEnd w:id="60"/>
    </w:p>
    <w:p w14:paraId="0604BB64">
      <w:pPr>
        <w:pStyle w:val="6"/>
        <w:rPr>
          <w:color w:val="auto"/>
          <w:highlight w:val="none"/>
        </w:rPr>
      </w:pPr>
      <w:bookmarkStart w:id="61" w:name="bookmark44"/>
      <w:bookmarkEnd w:id="61"/>
      <w:r>
        <w:rPr>
          <w:color w:val="auto"/>
          <w:highlight w:val="none"/>
        </w:rPr>
        <w:t xml:space="preserve">3.5 </w:t>
      </w:r>
      <w:r>
        <w:rPr>
          <w:rFonts w:hint="eastAsia"/>
          <w:color w:val="auto"/>
          <w:highlight w:val="none"/>
        </w:rPr>
        <w:t>资格审查资料</w:t>
      </w:r>
    </w:p>
    <w:p w14:paraId="4C35EC49">
      <w:pPr>
        <w:pStyle w:val="12"/>
        <w:kinsoku w:val="0"/>
        <w:overflowPunct w:val="0"/>
        <w:spacing w:line="288" w:lineRule="auto"/>
        <w:ind w:firstLine="420" w:firstLineChars="200"/>
        <w:rPr>
          <w:rFonts w:ascii="宋体" w:hAnsi="宋体"/>
          <w:color w:val="auto"/>
          <w:szCs w:val="21"/>
          <w:highlight w:val="none"/>
        </w:rPr>
      </w:pPr>
      <w:bookmarkStart w:id="62" w:name="bookmark45"/>
      <w:bookmarkEnd w:id="62"/>
      <w:r>
        <w:rPr>
          <w:rFonts w:hint="eastAsia" w:ascii="宋体" w:hAnsi="宋体"/>
          <w:color w:val="auto"/>
          <w:szCs w:val="21"/>
          <w:highlight w:val="none"/>
        </w:rPr>
        <w:t>除投标人须知前附表另有规定外，投标人应按下列规定提供资格审查资料，以证明其满足本章第</w:t>
      </w:r>
      <w:r>
        <w:rPr>
          <w:rFonts w:ascii="宋体" w:hAnsi="宋体"/>
          <w:color w:val="auto"/>
          <w:szCs w:val="21"/>
          <w:highlight w:val="none"/>
        </w:rPr>
        <w:t>1.4</w:t>
      </w:r>
      <w:r>
        <w:rPr>
          <w:rFonts w:hint="eastAsia" w:ascii="宋体" w:hAnsi="宋体"/>
          <w:color w:val="auto"/>
          <w:szCs w:val="21"/>
          <w:highlight w:val="none"/>
        </w:rPr>
        <w:t>款规定的资质、</w:t>
      </w:r>
      <w:r>
        <w:rPr>
          <w:rFonts w:hint="eastAsia" w:ascii="宋体" w:hAnsi="宋体"/>
          <w:strike/>
          <w:color w:val="auto"/>
          <w:szCs w:val="21"/>
          <w:highlight w:val="none"/>
        </w:rPr>
        <w:t>财务、业绩、</w:t>
      </w:r>
      <w:r>
        <w:rPr>
          <w:rFonts w:hint="eastAsia" w:ascii="宋体" w:hAnsi="宋体"/>
          <w:color w:val="auto"/>
          <w:szCs w:val="21"/>
          <w:highlight w:val="none"/>
        </w:rPr>
        <w:t>信誉等要求。</w:t>
      </w:r>
    </w:p>
    <w:p w14:paraId="35124B9F">
      <w:pPr>
        <w:pStyle w:val="12"/>
        <w:kinsoku w:val="0"/>
        <w:overflowPunct w:val="0"/>
        <w:spacing w:line="288" w:lineRule="auto"/>
        <w:ind w:firstLine="420" w:firstLineChars="200"/>
        <w:rPr>
          <w:rFonts w:ascii="宋体" w:hAnsi="宋体"/>
          <w:color w:val="auto"/>
          <w:szCs w:val="21"/>
          <w:highlight w:val="none"/>
          <w:u w:val="single"/>
        </w:rPr>
      </w:pPr>
      <w:r>
        <w:rPr>
          <w:rFonts w:ascii="宋体" w:hAnsi="宋体"/>
          <w:color w:val="auto"/>
          <w:szCs w:val="21"/>
          <w:highlight w:val="none"/>
          <w:u w:val="single"/>
        </w:rPr>
        <w:t>3.5.1</w:t>
      </w:r>
      <w:r>
        <w:rPr>
          <w:rFonts w:hint="eastAsia" w:ascii="宋体" w:hAnsi="宋体"/>
          <w:color w:val="auto"/>
          <w:szCs w:val="21"/>
          <w:highlight w:val="none"/>
          <w:u w:val="single"/>
        </w:rPr>
        <w:t>“投标人基本情况表”，并提交投标人（若为联合体投标，指联合体各方）均具有独立法人资格，持有事业单位登记管理部门核发的事业单位法人证书或工商行政管理部门核发的企业法人营业执照，且在营业期限内；提交投标人具有的质量技术监督部门颁发的</w:t>
      </w:r>
      <w:r>
        <w:rPr>
          <w:rFonts w:ascii="宋体" w:hAnsi="宋体"/>
          <w:color w:val="auto"/>
          <w:szCs w:val="21"/>
          <w:highlight w:val="none"/>
          <w:u w:val="single"/>
        </w:rPr>
        <w:t>CMA计量认证合格证书、建设行政主管部门颁发的建设工程质量检测机构资质证书</w:t>
      </w:r>
      <w:r>
        <w:rPr>
          <w:rFonts w:hint="eastAsia" w:ascii="宋体" w:hAnsi="宋体"/>
          <w:color w:val="auto"/>
          <w:szCs w:val="21"/>
          <w:highlight w:val="none"/>
          <w:u w:val="single"/>
        </w:rPr>
        <w:t>、勘察资质证书及其他相关资料。</w:t>
      </w:r>
    </w:p>
    <w:p w14:paraId="3B1DDF92">
      <w:pPr>
        <w:pStyle w:val="12"/>
        <w:kinsoku w:val="0"/>
        <w:overflowPunct w:val="0"/>
        <w:spacing w:line="288" w:lineRule="auto"/>
        <w:ind w:firstLine="420" w:firstLineChars="200"/>
        <w:rPr>
          <w:rFonts w:ascii="宋体" w:hAnsi="宋体"/>
          <w:color w:val="auto"/>
          <w:szCs w:val="21"/>
          <w:highlight w:val="none"/>
          <w:u w:val="single"/>
        </w:rPr>
      </w:pPr>
      <w:r>
        <w:rPr>
          <w:rFonts w:ascii="宋体" w:hAnsi="宋体"/>
          <w:color w:val="auto"/>
          <w:szCs w:val="21"/>
          <w:highlight w:val="none"/>
          <w:u w:val="single"/>
        </w:rPr>
        <w:t>3.5.2</w:t>
      </w:r>
      <w:r>
        <w:rPr>
          <w:rFonts w:hint="eastAsia" w:ascii="宋体" w:hAnsi="宋体"/>
          <w:color w:val="auto"/>
          <w:szCs w:val="21"/>
          <w:highlight w:val="none"/>
          <w:u w:val="single"/>
        </w:rPr>
        <w:t>“投标申请人声明”（格式见招标文件第六章；对于联合体投标人，所有成员方都要分别提交；成员方提交的“投标申请人声明”可以由本单位法代表人签字或盖章，也可以由主办方本项目投标的授权委托人签字或盖章，同时要求盖成员方投标单位公章）。</w:t>
      </w:r>
    </w:p>
    <w:p w14:paraId="7AB32C15">
      <w:pPr>
        <w:pStyle w:val="12"/>
        <w:kinsoku w:val="0"/>
        <w:overflowPunct w:val="0"/>
        <w:spacing w:line="288" w:lineRule="auto"/>
        <w:ind w:firstLine="420" w:firstLineChars="200"/>
        <w:rPr>
          <w:rFonts w:ascii="宋体" w:hAnsi="宋体"/>
          <w:color w:val="auto"/>
          <w:szCs w:val="21"/>
          <w:highlight w:val="none"/>
          <w:u w:val="single"/>
        </w:rPr>
      </w:pPr>
      <w:r>
        <w:rPr>
          <w:rFonts w:ascii="宋体" w:hAnsi="宋体"/>
          <w:color w:val="auto"/>
          <w:szCs w:val="21"/>
          <w:highlight w:val="none"/>
          <w:u w:val="single"/>
        </w:rPr>
        <w:t>3.5.3拟派项目负责人</w:t>
      </w:r>
      <w:r>
        <w:rPr>
          <w:rFonts w:hint="eastAsia" w:ascii="宋体" w:hAnsi="宋体"/>
          <w:color w:val="auto"/>
          <w:szCs w:val="21"/>
          <w:highlight w:val="none"/>
          <w:u w:val="single"/>
        </w:rPr>
        <w:t>资格证明材料。包括居民身份证、职称证、投标人（不含子公司）为其购买的</w:t>
      </w:r>
      <w:r>
        <w:rPr>
          <w:rFonts w:hint="eastAsia" w:ascii="宋体" w:hAnsi="宋体"/>
          <w:color w:val="auto"/>
          <w:szCs w:val="21"/>
          <w:highlight w:val="none"/>
          <w:u w:val="single"/>
          <w:lang w:eastAsia="zh-CN"/>
        </w:rPr>
        <w:t>近1个月（即扣除招标公告发布当月前一个月）</w:t>
      </w:r>
      <w:r>
        <w:rPr>
          <w:rFonts w:hint="eastAsia" w:ascii="宋体" w:hAnsi="宋体"/>
          <w:color w:val="auto"/>
          <w:szCs w:val="21"/>
          <w:highlight w:val="none"/>
          <w:u w:val="single"/>
        </w:rPr>
        <w:t>社保缴纳证明材料。</w:t>
      </w:r>
    </w:p>
    <w:p w14:paraId="68B0FE35">
      <w:pPr>
        <w:pStyle w:val="12"/>
        <w:kinsoku w:val="0"/>
        <w:overflowPunct w:val="0"/>
        <w:spacing w:line="288" w:lineRule="auto"/>
        <w:ind w:firstLine="420" w:firstLineChars="200"/>
        <w:rPr>
          <w:rFonts w:ascii="宋体" w:hAnsi="宋体"/>
          <w:color w:val="auto"/>
          <w:szCs w:val="21"/>
          <w:highlight w:val="none"/>
          <w:u w:val="single"/>
        </w:rPr>
      </w:pPr>
      <w:r>
        <w:rPr>
          <w:rFonts w:ascii="宋体" w:hAnsi="宋体"/>
          <w:color w:val="auto"/>
          <w:szCs w:val="21"/>
          <w:highlight w:val="none"/>
          <w:u w:val="single"/>
        </w:rPr>
        <w:t>3.5.4</w:t>
      </w:r>
      <w:r>
        <w:rPr>
          <w:rFonts w:hint="eastAsia" w:ascii="宋体" w:hAnsi="宋体"/>
          <w:color w:val="auto"/>
          <w:szCs w:val="21"/>
          <w:highlight w:val="none"/>
          <w:u w:val="single"/>
        </w:rPr>
        <w:t>投标人（若为联合体投标，指联合体各方）在广州市住建行业信用管理平台建立诚信档案，提交相关网页截图。</w:t>
      </w:r>
    </w:p>
    <w:p w14:paraId="0043B57C">
      <w:pPr>
        <w:pStyle w:val="12"/>
        <w:kinsoku w:val="0"/>
        <w:overflowPunct w:val="0"/>
        <w:spacing w:line="288" w:lineRule="auto"/>
        <w:ind w:firstLine="420" w:firstLineChars="200"/>
        <w:rPr>
          <w:rFonts w:ascii="宋体" w:hAnsi="宋体"/>
          <w:color w:val="auto"/>
          <w:szCs w:val="21"/>
          <w:highlight w:val="none"/>
          <w:u w:val="single"/>
        </w:rPr>
      </w:pPr>
      <w:r>
        <w:rPr>
          <w:rFonts w:ascii="宋体" w:hAnsi="宋体"/>
          <w:color w:val="auto"/>
          <w:szCs w:val="21"/>
          <w:highlight w:val="none"/>
          <w:u w:val="single"/>
        </w:rPr>
        <w:t>3.5.5</w:t>
      </w:r>
      <w:r>
        <w:rPr>
          <w:rFonts w:hint="eastAsia" w:ascii="宋体" w:hAnsi="宋体"/>
          <w:color w:val="auto"/>
          <w:szCs w:val="21"/>
          <w:highlight w:val="none"/>
          <w:u w:val="single"/>
        </w:rPr>
        <w:t>“联合体协议书”（独立投标人不需要提交；要求联合体投标人提交，格式见招标文件第六章）。</w:t>
      </w:r>
    </w:p>
    <w:p w14:paraId="23854AFC">
      <w:pPr>
        <w:pStyle w:val="12"/>
        <w:kinsoku w:val="0"/>
        <w:overflowPunct w:val="0"/>
        <w:spacing w:line="288" w:lineRule="auto"/>
        <w:ind w:firstLine="420" w:firstLineChars="200"/>
        <w:rPr>
          <w:rFonts w:ascii="宋体" w:hAnsi="宋体"/>
          <w:color w:val="auto"/>
          <w:szCs w:val="21"/>
          <w:highlight w:val="none"/>
        </w:rPr>
      </w:pPr>
      <w:r>
        <w:rPr>
          <w:rFonts w:ascii="宋体" w:hAnsi="宋体"/>
          <w:color w:val="auto"/>
          <w:szCs w:val="21"/>
          <w:highlight w:val="none"/>
          <w:u w:val="single"/>
        </w:rPr>
        <w:t>3.5.6</w:t>
      </w:r>
      <w:r>
        <w:rPr>
          <w:rFonts w:hint="eastAsia" w:ascii="宋体" w:hAnsi="宋体"/>
          <w:color w:val="auto"/>
          <w:szCs w:val="21"/>
          <w:highlight w:val="none"/>
          <w:u w:val="single"/>
        </w:rPr>
        <w:t>投标人认为应该提供的其他资审资料（如有）。</w:t>
      </w:r>
    </w:p>
    <w:p w14:paraId="67BE1A81">
      <w:pPr>
        <w:rPr>
          <w:rFonts w:ascii="宋体" w:hAnsi="宋体"/>
          <w:color w:val="auto"/>
          <w:highlight w:val="none"/>
        </w:rPr>
      </w:pPr>
    </w:p>
    <w:p w14:paraId="4C409768">
      <w:pPr>
        <w:pStyle w:val="6"/>
        <w:rPr>
          <w:color w:val="auto"/>
          <w:highlight w:val="none"/>
        </w:rPr>
      </w:pPr>
      <w:r>
        <w:rPr>
          <w:color w:val="auto"/>
          <w:highlight w:val="none"/>
        </w:rPr>
        <w:t xml:space="preserve">3.6 </w:t>
      </w:r>
      <w:r>
        <w:rPr>
          <w:rFonts w:hint="eastAsia"/>
          <w:color w:val="auto"/>
          <w:highlight w:val="none"/>
        </w:rPr>
        <w:t>备选投标方案</w:t>
      </w:r>
    </w:p>
    <w:p w14:paraId="61D0BCB6">
      <w:pPr>
        <w:pStyle w:val="12"/>
        <w:kinsoku w:val="0"/>
        <w:overflowPunct w:val="0"/>
        <w:spacing w:line="288" w:lineRule="auto"/>
        <w:ind w:firstLine="420" w:firstLineChars="200"/>
        <w:rPr>
          <w:rFonts w:ascii="宋体" w:hAnsi="宋体"/>
          <w:color w:val="auto"/>
          <w:szCs w:val="21"/>
          <w:highlight w:val="none"/>
        </w:rPr>
      </w:pPr>
      <w:r>
        <w:rPr>
          <w:rFonts w:ascii="宋体" w:hAnsi="宋体"/>
          <w:color w:val="auto"/>
          <w:szCs w:val="21"/>
          <w:highlight w:val="none"/>
        </w:rPr>
        <w:t>3.6.1</w:t>
      </w:r>
      <w:r>
        <w:rPr>
          <w:rFonts w:hint="eastAsia" w:ascii="宋体" w:hAnsi="宋体"/>
          <w:color w:val="auto"/>
          <w:szCs w:val="21"/>
          <w:highlight w:val="none"/>
        </w:rPr>
        <w:t>除投标人须知前附表规定允许外，投标人不得递交备选投标方案，否则其投标将被否决。</w:t>
      </w:r>
    </w:p>
    <w:p w14:paraId="6B3BF41C">
      <w:pPr>
        <w:pStyle w:val="12"/>
        <w:kinsoku w:val="0"/>
        <w:overflowPunct w:val="0"/>
        <w:spacing w:line="288" w:lineRule="auto"/>
        <w:ind w:firstLine="420" w:firstLineChars="200"/>
        <w:rPr>
          <w:rFonts w:ascii="宋体" w:hAnsi="宋体"/>
          <w:color w:val="auto"/>
          <w:szCs w:val="21"/>
          <w:highlight w:val="none"/>
        </w:rPr>
      </w:pPr>
      <w:r>
        <w:rPr>
          <w:rFonts w:ascii="宋体" w:hAnsi="宋体"/>
          <w:color w:val="auto"/>
          <w:szCs w:val="21"/>
          <w:highlight w:val="none"/>
        </w:rPr>
        <w:t>3.6.2</w:t>
      </w:r>
      <w:r>
        <w:rPr>
          <w:rFonts w:hint="eastAsia" w:ascii="宋体" w:hAnsi="宋体"/>
          <w:color w:val="auto"/>
          <w:szCs w:val="21"/>
          <w:highlight w:val="none"/>
        </w:rPr>
        <w:t>允许投标人递交备选投标方案的，只有中标人所递交的备选投标方案方可予以考虑。评标委员会认为中标人的备选投标方案优于其按照招标文件要求编制的投标方案的，招标人可以接受该备选投标方案。</w:t>
      </w:r>
    </w:p>
    <w:p w14:paraId="13C33DE0">
      <w:pPr>
        <w:pStyle w:val="12"/>
        <w:kinsoku w:val="0"/>
        <w:overflowPunct w:val="0"/>
        <w:spacing w:line="288" w:lineRule="auto"/>
        <w:ind w:firstLine="420" w:firstLineChars="200"/>
        <w:rPr>
          <w:rFonts w:ascii="宋体" w:hAnsi="宋体"/>
          <w:color w:val="auto"/>
          <w:szCs w:val="21"/>
          <w:highlight w:val="none"/>
        </w:rPr>
      </w:pPr>
      <w:r>
        <w:rPr>
          <w:rFonts w:ascii="宋体" w:hAnsi="宋体"/>
          <w:color w:val="auto"/>
          <w:szCs w:val="21"/>
          <w:highlight w:val="none"/>
        </w:rPr>
        <w:t>3.6.3</w:t>
      </w:r>
      <w:r>
        <w:rPr>
          <w:rFonts w:hint="eastAsia" w:ascii="宋体" w:hAnsi="宋体"/>
          <w:color w:val="auto"/>
          <w:szCs w:val="21"/>
          <w:highlight w:val="none"/>
        </w:rPr>
        <w:t>投标人提供两个或两个以上投标报价，或者在投标文件中提供一个报价，但同时提供两个或两个以上服务方案的，视为提供备选方案。</w:t>
      </w:r>
    </w:p>
    <w:p w14:paraId="48DC93B5">
      <w:pPr>
        <w:pStyle w:val="12"/>
        <w:kinsoku w:val="0"/>
        <w:overflowPunct w:val="0"/>
        <w:spacing w:line="288" w:lineRule="auto"/>
        <w:ind w:firstLine="420" w:firstLineChars="200"/>
        <w:rPr>
          <w:rFonts w:ascii="宋体" w:hAnsi="宋体"/>
          <w:color w:val="auto"/>
          <w:szCs w:val="21"/>
          <w:highlight w:val="none"/>
        </w:rPr>
      </w:pPr>
    </w:p>
    <w:p w14:paraId="62EC0E5E">
      <w:pPr>
        <w:pStyle w:val="6"/>
        <w:rPr>
          <w:color w:val="auto"/>
          <w:highlight w:val="none"/>
        </w:rPr>
      </w:pPr>
      <w:bookmarkStart w:id="63" w:name="bookmark46"/>
      <w:bookmarkEnd w:id="63"/>
      <w:r>
        <w:rPr>
          <w:color w:val="auto"/>
          <w:highlight w:val="none"/>
        </w:rPr>
        <w:t xml:space="preserve">3.7 </w:t>
      </w:r>
      <w:r>
        <w:rPr>
          <w:rFonts w:hint="eastAsia"/>
          <w:color w:val="auto"/>
          <w:highlight w:val="none"/>
        </w:rPr>
        <w:t>投标文件的编制</w:t>
      </w:r>
    </w:p>
    <w:p w14:paraId="17A3AD28">
      <w:pPr>
        <w:pStyle w:val="12"/>
        <w:kinsoku w:val="0"/>
        <w:overflowPunct w:val="0"/>
        <w:spacing w:line="288" w:lineRule="auto"/>
        <w:ind w:firstLine="420" w:firstLineChars="200"/>
        <w:rPr>
          <w:rFonts w:ascii="宋体" w:hAnsi="宋体"/>
          <w:color w:val="auto"/>
          <w:szCs w:val="21"/>
          <w:highlight w:val="none"/>
        </w:rPr>
      </w:pPr>
      <w:r>
        <w:rPr>
          <w:rFonts w:ascii="宋体" w:hAnsi="宋体"/>
          <w:color w:val="auto"/>
          <w:szCs w:val="21"/>
          <w:highlight w:val="none"/>
        </w:rPr>
        <w:t>3.7.1</w:t>
      </w:r>
      <w:r>
        <w:rPr>
          <w:rFonts w:hint="eastAsia" w:ascii="宋体" w:hAnsi="宋体"/>
          <w:color w:val="auto"/>
          <w:szCs w:val="21"/>
          <w:highlight w:val="none"/>
        </w:rPr>
        <w:t>投标文件应按第六章“投标文件格式”进行编写，如有必要，可以增加附页，作为投标文件的组成部分。</w:t>
      </w:r>
    </w:p>
    <w:p w14:paraId="60058B83">
      <w:pPr>
        <w:pStyle w:val="12"/>
        <w:kinsoku w:val="0"/>
        <w:overflowPunct w:val="0"/>
        <w:spacing w:line="288" w:lineRule="auto"/>
        <w:ind w:firstLine="420" w:firstLineChars="200"/>
        <w:rPr>
          <w:rFonts w:ascii="宋体" w:hAnsi="宋体"/>
          <w:color w:val="auto"/>
          <w:szCs w:val="21"/>
          <w:highlight w:val="none"/>
        </w:rPr>
      </w:pPr>
      <w:r>
        <w:rPr>
          <w:rFonts w:ascii="宋体" w:hAnsi="宋体"/>
          <w:color w:val="auto"/>
          <w:szCs w:val="21"/>
          <w:highlight w:val="none"/>
        </w:rPr>
        <w:t>3.7.2</w:t>
      </w:r>
      <w:r>
        <w:rPr>
          <w:rFonts w:hint="eastAsia" w:ascii="宋体" w:hAnsi="宋体"/>
          <w:color w:val="auto"/>
          <w:szCs w:val="21"/>
          <w:highlight w:val="none"/>
        </w:rPr>
        <w:t>投标文件应当对招标文件有关服务期限、投标有效期、委托人要求、招标范围等实质性内容作出响应。</w:t>
      </w:r>
    </w:p>
    <w:p w14:paraId="20AC8B28">
      <w:pPr>
        <w:pStyle w:val="12"/>
        <w:kinsoku w:val="0"/>
        <w:overflowPunct w:val="0"/>
        <w:spacing w:line="288" w:lineRule="auto"/>
        <w:ind w:firstLine="420" w:firstLineChars="200"/>
        <w:rPr>
          <w:rFonts w:ascii="宋体" w:hAnsi="宋体"/>
          <w:color w:val="auto"/>
          <w:szCs w:val="21"/>
          <w:highlight w:val="none"/>
        </w:rPr>
      </w:pPr>
      <w:r>
        <w:rPr>
          <w:rFonts w:ascii="宋体" w:hAnsi="宋体"/>
          <w:color w:val="auto"/>
          <w:szCs w:val="21"/>
          <w:highlight w:val="none"/>
        </w:rPr>
        <w:t>3.7.3</w:t>
      </w:r>
      <w:r>
        <w:rPr>
          <w:rFonts w:hint="eastAsia" w:ascii="宋体" w:hAnsi="宋体"/>
          <w:color w:val="auto"/>
          <w:szCs w:val="21"/>
          <w:highlight w:val="none"/>
        </w:rPr>
        <w:t>投标文件全部采用电子文档，除投标人须知前附表另有规定外，投标文件所附证书证件均为原件</w:t>
      </w:r>
      <w:r>
        <w:rPr>
          <w:rFonts w:hint="eastAsia" w:ascii="宋体" w:hAnsi="宋体"/>
          <w:color w:val="auto"/>
          <w:szCs w:val="21"/>
          <w:highlight w:val="none"/>
          <w:u w:val="single"/>
        </w:rPr>
        <w:t>清晰</w:t>
      </w:r>
      <w:r>
        <w:rPr>
          <w:rFonts w:hint="eastAsia" w:ascii="宋体" w:hAnsi="宋体"/>
          <w:color w:val="auto"/>
          <w:szCs w:val="21"/>
          <w:highlight w:val="none"/>
        </w:rPr>
        <w:t>扫描件，并采用单位和个人数字证书，按招标文件要求在相应位置加盖电子印章。由投标人的法定代表人签字或加盖电子印章的，应附法定代表人身份证明，由代理人签字或加盖电子印章的，应附由法定代表人签署的授权委托书。签字或盖章的具体要求见投标人须知前附表。</w:t>
      </w:r>
    </w:p>
    <w:p w14:paraId="7158C80B">
      <w:pPr>
        <w:rPr>
          <w:color w:val="auto"/>
          <w:highlight w:val="none"/>
        </w:rPr>
      </w:pPr>
    </w:p>
    <w:p w14:paraId="11696CD0">
      <w:pPr>
        <w:pStyle w:val="4"/>
        <w:rPr>
          <w:color w:val="auto"/>
          <w:highlight w:val="none"/>
        </w:rPr>
      </w:pPr>
      <w:bookmarkStart w:id="64" w:name="_Toc118553973"/>
      <w:bookmarkStart w:id="65" w:name="_Toc533357311"/>
      <w:r>
        <w:rPr>
          <w:color w:val="auto"/>
          <w:highlight w:val="none"/>
        </w:rPr>
        <w:t xml:space="preserve">4. </w:t>
      </w:r>
      <w:r>
        <w:rPr>
          <w:rFonts w:hint="eastAsia"/>
          <w:color w:val="auto"/>
          <w:highlight w:val="none"/>
        </w:rPr>
        <w:t>投标</w:t>
      </w:r>
      <w:bookmarkEnd w:id="64"/>
      <w:bookmarkEnd w:id="65"/>
    </w:p>
    <w:p w14:paraId="0FB75C1E">
      <w:pPr>
        <w:pStyle w:val="6"/>
        <w:ind w:firstLine="420"/>
        <w:rPr>
          <w:color w:val="auto"/>
          <w:highlight w:val="none"/>
        </w:rPr>
      </w:pPr>
      <w:bookmarkStart w:id="66" w:name="bookmark48"/>
      <w:bookmarkEnd w:id="66"/>
      <w:r>
        <w:rPr>
          <w:color w:val="auto"/>
          <w:highlight w:val="none"/>
        </w:rPr>
        <w:t xml:space="preserve">4.1 </w:t>
      </w:r>
      <w:r>
        <w:rPr>
          <w:rFonts w:hint="eastAsia"/>
          <w:color w:val="auto"/>
          <w:highlight w:val="none"/>
        </w:rPr>
        <w:t>投标文件的密封和标记</w:t>
      </w:r>
    </w:p>
    <w:p w14:paraId="2989A5A9">
      <w:pPr>
        <w:pStyle w:val="12"/>
        <w:kinsoku w:val="0"/>
        <w:overflowPunct w:val="0"/>
        <w:spacing w:line="288" w:lineRule="auto"/>
        <w:ind w:firstLine="420" w:firstLineChars="200"/>
        <w:rPr>
          <w:rFonts w:ascii="宋体" w:hAnsi="宋体"/>
          <w:color w:val="auto"/>
          <w:szCs w:val="21"/>
          <w:highlight w:val="none"/>
        </w:rPr>
      </w:pPr>
      <w:r>
        <w:rPr>
          <w:rFonts w:ascii="宋体" w:hAnsi="宋体"/>
          <w:color w:val="auto"/>
          <w:szCs w:val="21"/>
          <w:highlight w:val="none"/>
        </w:rPr>
        <w:t>4.1.1</w:t>
      </w:r>
      <w:r>
        <w:rPr>
          <w:rFonts w:hint="eastAsia" w:ascii="宋体" w:hAnsi="宋体"/>
          <w:color w:val="auto"/>
          <w:szCs w:val="21"/>
          <w:highlight w:val="none"/>
        </w:rPr>
        <w:t>投标人应当按照招标文件和电子招标投标交易平台的要求加密投标文件，具体要求见投标人须知前附表。</w:t>
      </w:r>
    </w:p>
    <w:p w14:paraId="6BCD6621">
      <w:pPr>
        <w:pStyle w:val="12"/>
        <w:kinsoku w:val="0"/>
        <w:overflowPunct w:val="0"/>
        <w:spacing w:line="288" w:lineRule="auto"/>
        <w:ind w:firstLine="420" w:firstLineChars="200"/>
        <w:rPr>
          <w:rFonts w:ascii="宋体" w:hAnsi="宋体"/>
          <w:color w:val="auto"/>
          <w:szCs w:val="21"/>
          <w:highlight w:val="none"/>
        </w:rPr>
      </w:pPr>
      <w:r>
        <w:rPr>
          <w:rFonts w:ascii="宋体" w:hAnsi="宋体"/>
          <w:color w:val="auto"/>
          <w:szCs w:val="21"/>
          <w:highlight w:val="none"/>
        </w:rPr>
        <w:t>4.1.2</w:t>
      </w:r>
      <w:r>
        <w:rPr>
          <w:rFonts w:hint="eastAsia" w:ascii="宋体" w:hAnsi="宋体"/>
          <w:color w:val="auto"/>
          <w:szCs w:val="21"/>
          <w:highlight w:val="none"/>
        </w:rPr>
        <w:t>投标文件封套上应写明的内容见投标人须知前附表。</w:t>
      </w:r>
    </w:p>
    <w:p w14:paraId="27F36386">
      <w:pPr>
        <w:pStyle w:val="12"/>
        <w:kinsoku w:val="0"/>
        <w:overflowPunct w:val="0"/>
        <w:spacing w:line="288" w:lineRule="auto"/>
        <w:ind w:firstLine="420" w:firstLineChars="200"/>
        <w:rPr>
          <w:rFonts w:ascii="宋体" w:hAnsi="宋体"/>
          <w:strike/>
          <w:color w:val="auto"/>
          <w:szCs w:val="21"/>
          <w:highlight w:val="none"/>
        </w:rPr>
      </w:pPr>
      <w:r>
        <w:rPr>
          <w:rFonts w:ascii="宋体" w:hAnsi="宋体"/>
          <w:strike/>
          <w:color w:val="auto"/>
          <w:szCs w:val="21"/>
          <w:highlight w:val="none"/>
        </w:rPr>
        <w:t>4.1.3</w:t>
      </w:r>
      <w:r>
        <w:rPr>
          <w:rFonts w:hint="eastAsia" w:ascii="宋体" w:hAnsi="宋体"/>
          <w:strike/>
          <w:color w:val="auto"/>
          <w:szCs w:val="21"/>
          <w:highlight w:val="none"/>
        </w:rPr>
        <w:t>未按本章第</w:t>
      </w:r>
      <w:r>
        <w:rPr>
          <w:rFonts w:ascii="宋体" w:hAnsi="宋体"/>
          <w:strike/>
          <w:color w:val="auto"/>
          <w:szCs w:val="21"/>
          <w:highlight w:val="none"/>
        </w:rPr>
        <w:t>4.1.1</w:t>
      </w:r>
      <w:r>
        <w:rPr>
          <w:rFonts w:hint="eastAsia" w:ascii="宋体" w:hAnsi="宋体"/>
          <w:strike/>
          <w:color w:val="auto"/>
          <w:szCs w:val="21"/>
          <w:highlight w:val="none"/>
        </w:rPr>
        <w:t>项要求密封的投标文件，招标人将予以拒收。</w:t>
      </w:r>
    </w:p>
    <w:p w14:paraId="38542E42">
      <w:pPr>
        <w:pStyle w:val="12"/>
        <w:kinsoku w:val="0"/>
        <w:overflowPunct w:val="0"/>
        <w:spacing w:line="288" w:lineRule="auto"/>
        <w:ind w:firstLine="420" w:firstLineChars="200"/>
        <w:rPr>
          <w:rFonts w:ascii="宋体" w:hAnsi="宋体"/>
          <w:color w:val="auto"/>
          <w:szCs w:val="21"/>
          <w:highlight w:val="none"/>
        </w:rPr>
      </w:pPr>
    </w:p>
    <w:p w14:paraId="472F4F48">
      <w:pPr>
        <w:pStyle w:val="6"/>
        <w:rPr>
          <w:color w:val="auto"/>
          <w:highlight w:val="none"/>
        </w:rPr>
      </w:pPr>
      <w:bookmarkStart w:id="67" w:name="bookmark49"/>
      <w:bookmarkEnd w:id="67"/>
      <w:r>
        <w:rPr>
          <w:color w:val="auto"/>
          <w:highlight w:val="none"/>
        </w:rPr>
        <w:t xml:space="preserve">4.2 </w:t>
      </w:r>
      <w:r>
        <w:rPr>
          <w:rFonts w:hint="eastAsia"/>
          <w:color w:val="auto"/>
          <w:highlight w:val="none"/>
        </w:rPr>
        <w:t>投标文件的递交</w:t>
      </w:r>
    </w:p>
    <w:p w14:paraId="4F6A1F92">
      <w:pPr>
        <w:pStyle w:val="12"/>
        <w:kinsoku w:val="0"/>
        <w:overflowPunct w:val="0"/>
        <w:spacing w:line="288" w:lineRule="auto"/>
        <w:ind w:firstLine="420" w:firstLineChars="200"/>
        <w:rPr>
          <w:rFonts w:ascii="宋体" w:hAnsi="宋体"/>
          <w:color w:val="auto"/>
          <w:szCs w:val="21"/>
          <w:highlight w:val="none"/>
        </w:rPr>
      </w:pPr>
      <w:r>
        <w:rPr>
          <w:rFonts w:ascii="宋体" w:hAnsi="宋体"/>
          <w:color w:val="auto"/>
          <w:szCs w:val="21"/>
          <w:highlight w:val="none"/>
        </w:rPr>
        <w:t>4.2.1</w:t>
      </w:r>
      <w:r>
        <w:rPr>
          <w:rFonts w:hint="eastAsia" w:ascii="宋体" w:hAnsi="宋体"/>
          <w:color w:val="auto"/>
          <w:szCs w:val="21"/>
          <w:highlight w:val="none"/>
        </w:rPr>
        <w:t>投标人应在投标人须知前附表规定的投标截止时间前递交投标文件。</w:t>
      </w:r>
    </w:p>
    <w:p w14:paraId="6EFD7F5A">
      <w:pPr>
        <w:pStyle w:val="12"/>
        <w:kinsoku w:val="0"/>
        <w:overflowPunct w:val="0"/>
        <w:spacing w:line="288" w:lineRule="auto"/>
        <w:ind w:firstLine="420" w:firstLineChars="200"/>
        <w:rPr>
          <w:rFonts w:ascii="宋体" w:hAnsi="宋体"/>
          <w:color w:val="auto"/>
          <w:szCs w:val="21"/>
          <w:highlight w:val="none"/>
        </w:rPr>
      </w:pPr>
      <w:r>
        <w:rPr>
          <w:rFonts w:ascii="宋体" w:hAnsi="宋体"/>
          <w:color w:val="auto"/>
          <w:szCs w:val="21"/>
          <w:highlight w:val="none"/>
        </w:rPr>
        <w:t>4.2.2</w:t>
      </w:r>
      <w:r>
        <w:rPr>
          <w:rFonts w:hint="eastAsia" w:ascii="宋体" w:hAnsi="宋体"/>
          <w:color w:val="auto"/>
          <w:szCs w:val="21"/>
          <w:highlight w:val="none"/>
        </w:rPr>
        <w:t>投标人通过下载招标文件的电子招标投标交易平台递交电子投标文件。</w:t>
      </w:r>
    </w:p>
    <w:p w14:paraId="47F37D90">
      <w:pPr>
        <w:pStyle w:val="12"/>
        <w:kinsoku w:val="0"/>
        <w:overflowPunct w:val="0"/>
        <w:spacing w:line="288" w:lineRule="auto"/>
        <w:ind w:firstLine="420" w:firstLineChars="200"/>
        <w:rPr>
          <w:rFonts w:ascii="宋体" w:hAnsi="宋体"/>
          <w:color w:val="auto"/>
          <w:szCs w:val="21"/>
          <w:highlight w:val="none"/>
        </w:rPr>
      </w:pPr>
      <w:r>
        <w:rPr>
          <w:rFonts w:ascii="宋体" w:hAnsi="宋体"/>
          <w:color w:val="auto"/>
          <w:szCs w:val="21"/>
          <w:highlight w:val="none"/>
        </w:rPr>
        <w:t>4.2.3</w:t>
      </w:r>
      <w:r>
        <w:rPr>
          <w:rFonts w:hint="eastAsia" w:ascii="宋体" w:hAnsi="宋体"/>
          <w:color w:val="auto"/>
          <w:szCs w:val="21"/>
          <w:highlight w:val="none"/>
        </w:rPr>
        <w:t>除投标人须知前附表另有规定外，投标人所递交的投标文件不予退还。</w:t>
      </w:r>
    </w:p>
    <w:p w14:paraId="14136089">
      <w:pPr>
        <w:pStyle w:val="12"/>
        <w:kinsoku w:val="0"/>
        <w:overflowPunct w:val="0"/>
        <w:spacing w:line="288" w:lineRule="auto"/>
        <w:ind w:firstLine="420" w:firstLineChars="200"/>
        <w:rPr>
          <w:rFonts w:ascii="宋体" w:hAnsi="宋体"/>
          <w:color w:val="auto"/>
          <w:szCs w:val="21"/>
          <w:highlight w:val="none"/>
        </w:rPr>
      </w:pPr>
      <w:r>
        <w:rPr>
          <w:rFonts w:ascii="宋体" w:hAnsi="宋体"/>
          <w:color w:val="auto"/>
          <w:szCs w:val="21"/>
          <w:highlight w:val="none"/>
        </w:rPr>
        <w:t>4.2.4</w:t>
      </w:r>
      <w:r>
        <w:rPr>
          <w:rFonts w:hint="eastAsia" w:ascii="宋体" w:hAnsi="宋体"/>
          <w:color w:val="auto"/>
          <w:szCs w:val="21"/>
          <w:highlight w:val="none"/>
        </w:rPr>
        <w:t>投标人完成电子投标文件上传后，电子招标投标交易平台即时向投标人发出递交回执通知。递交时间以递交回执通知载明的传输完成时间为准。</w:t>
      </w:r>
    </w:p>
    <w:p w14:paraId="5D41932B">
      <w:pPr>
        <w:pStyle w:val="12"/>
        <w:kinsoku w:val="0"/>
        <w:overflowPunct w:val="0"/>
        <w:spacing w:line="288" w:lineRule="auto"/>
        <w:ind w:firstLine="420" w:firstLineChars="200"/>
        <w:rPr>
          <w:rFonts w:ascii="宋体" w:hAnsi="宋体"/>
          <w:color w:val="auto"/>
          <w:szCs w:val="21"/>
          <w:highlight w:val="none"/>
        </w:rPr>
      </w:pPr>
      <w:r>
        <w:rPr>
          <w:rFonts w:ascii="宋体" w:hAnsi="宋体"/>
          <w:color w:val="auto"/>
          <w:szCs w:val="21"/>
          <w:highlight w:val="none"/>
        </w:rPr>
        <w:t>4.2.5</w:t>
      </w:r>
      <w:r>
        <w:rPr>
          <w:rFonts w:hint="eastAsia" w:ascii="宋体" w:hAnsi="宋体"/>
          <w:color w:val="auto"/>
          <w:szCs w:val="21"/>
          <w:highlight w:val="none"/>
        </w:rPr>
        <w:t>逾期送达的投标文件，电子招标投标交易平台将予以拒收。</w:t>
      </w:r>
      <w:bookmarkStart w:id="68" w:name="bookmark50"/>
      <w:bookmarkEnd w:id="68"/>
    </w:p>
    <w:p w14:paraId="76E51FF0">
      <w:pPr>
        <w:pStyle w:val="12"/>
        <w:kinsoku w:val="0"/>
        <w:overflowPunct w:val="0"/>
        <w:spacing w:line="288" w:lineRule="auto"/>
        <w:ind w:firstLine="420" w:firstLineChars="200"/>
        <w:rPr>
          <w:rFonts w:ascii="宋体" w:hAnsi="宋体"/>
          <w:color w:val="auto"/>
          <w:szCs w:val="21"/>
          <w:highlight w:val="none"/>
        </w:rPr>
      </w:pPr>
    </w:p>
    <w:p w14:paraId="15587FEE">
      <w:pPr>
        <w:pStyle w:val="6"/>
        <w:rPr>
          <w:color w:val="auto"/>
          <w:highlight w:val="none"/>
        </w:rPr>
      </w:pPr>
      <w:r>
        <w:rPr>
          <w:color w:val="auto"/>
          <w:highlight w:val="none"/>
        </w:rPr>
        <w:t xml:space="preserve">4.3 </w:t>
      </w:r>
      <w:r>
        <w:rPr>
          <w:rFonts w:hint="eastAsia"/>
          <w:color w:val="auto"/>
          <w:highlight w:val="none"/>
        </w:rPr>
        <w:t>投标文件的修改与撤回</w:t>
      </w:r>
    </w:p>
    <w:p w14:paraId="1E49C8DC">
      <w:pPr>
        <w:pStyle w:val="12"/>
        <w:kinsoku w:val="0"/>
        <w:overflowPunct w:val="0"/>
        <w:spacing w:line="288" w:lineRule="auto"/>
        <w:ind w:firstLine="420" w:firstLineChars="200"/>
        <w:rPr>
          <w:rFonts w:ascii="宋体" w:hAnsi="宋体"/>
          <w:color w:val="auto"/>
          <w:szCs w:val="21"/>
          <w:highlight w:val="none"/>
        </w:rPr>
      </w:pPr>
      <w:r>
        <w:rPr>
          <w:rFonts w:ascii="宋体" w:hAnsi="宋体"/>
          <w:color w:val="auto"/>
          <w:szCs w:val="21"/>
          <w:highlight w:val="none"/>
        </w:rPr>
        <w:t>4.3.1</w:t>
      </w:r>
      <w:r>
        <w:rPr>
          <w:rFonts w:hint="eastAsia" w:ascii="宋体" w:hAnsi="宋体"/>
          <w:color w:val="auto"/>
          <w:szCs w:val="21"/>
          <w:highlight w:val="none"/>
        </w:rPr>
        <w:t>在本章第</w:t>
      </w:r>
      <w:r>
        <w:rPr>
          <w:rFonts w:ascii="宋体" w:hAnsi="宋体"/>
          <w:color w:val="auto"/>
          <w:szCs w:val="21"/>
          <w:highlight w:val="none"/>
        </w:rPr>
        <w:t>4.2.1</w:t>
      </w:r>
      <w:r>
        <w:rPr>
          <w:rFonts w:hint="eastAsia" w:ascii="宋体" w:hAnsi="宋体"/>
          <w:color w:val="auto"/>
          <w:szCs w:val="21"/>
          <w:highlight w:val="none"/>
        </w:rPr>
        <w:t>项规定的投标截止时间前，投标人可以修改或撤回已递交的投标文件，但应以书面形式通知招标人。</w:t>
      </w:r>
    </w:p>
    <w:p w14:paraId="75F96895">
      <w:pPr>
        <w:pStyle w:val="12"/>
        <w:kinsoku w:val="0"/>
        <w:overflowPunct w:val="0"/>
        <w:spacing w:line="288" w:lineRule="auto"/>
        <w:ind w:firstLine="420" w:firstLineChars="200"/>
        <w:rPr>
          <w:rFonts w:ascii="宋体" w:hAnsi="宋体"/>
          <w:color w:val="auto"/>
          <w:szCs w:val="21"/>
          <w:highlight w:val="none"/>
        </w:rPr>
      </w:pPr>
      <w:r>
        <w:rPr>
          <w:rFonts w:ascii="宋体" w:hAnsi="宋体"/>
          <w:color w:val="auto"/>
          <w:szCs w:val="21"/>
          <w:highlight w:val="none"/>
        </w:rPr>
        <w:t>4.3.2</w:t>
      </w:r>
      <w:r>
        <w:rPr>
          <w:rFonts w:hint="eastAsia" w:ascii="宋体" w:hAnsi="宋体"/>
          <w:color w:val="auto"/>
          <w:szCs w:val="21"/>
          <w:highlight w:val="none"/>
        </w:rPr>
        <w:t>投标人修改或撤回已递交投标文件的通知，应按照本章第</w:t>
      </w:r>
      <w:r>
        <w:rPr>
          <w:rFonts w:ascii="宋体" w:hAnsi="宋体"/>
          <w:color w:val="auto"/>
          <w:szCs w:val="21"/>
          <w:highlight w:val="none"/>
        </w:rPr>
        <w:t>3.7.3</w:t>
      </w:r>
      <w:r>
        <w:rPr>
          <w:rFonts w:hint="eastAsia" w:ascii="宋体" w:hAnsi="宋体"/>
          <w:color w:val="auto"/>
          <w:szCs w:val="21"/>
          <w:highlight w:val="none"/>
        </w:rPr>
        <w:t>项的要求加盖电子印章。电子招标投标交易平台收到通知后，即时向投标人发出确认回执通知。</w:t>
      </w:r>
    </w:p>
    <w:p w14:paraId="37906010">
      <w:pPr>
        <w:pStyle w:val="12"/>
        <w:kinsoku w:val="0"/>
        <w:overflowPunct w:val="0"/>
        <w:spacing w:line="288" w:lineRule="auto"/>
        <w:ind w:firstLine="420" w:firstLineChars="200"/>
        <w:rPr>
          <w:rFonts w:ascii="宋体" w:hAnsi="宋体"/>
          <w:color w:val="auto"/>
          <w:szCs w:val="21"/>
          <w:highlight w:val="none"/>
        </w:rPr>
      </w:pPr>
      <w:r>
        <w:rPr>
          <w:rFonts w:ascii="宋体" w:hAnsi="宋体"/>
          <w:color w:val="auto"/>
          <w:szCs w:val="21"/>
          <w:highlight w:val="none"/>
        </w:rPr>
        <w:t>4.3.3</w:t>
      </w:r>
      <w:r>
        <w:rPr>
          <w:rFonts w:hint="eastAsia" w:ascii="宋体" w:hAnsi="宋体"/>
          <w:color w:val="auto"/>
          <w:szCs w:val="21"/>
          <w:highlight w:val="none"/>
        </w:rPr>
        <w:t>投标人撤回投标文件的，招标人自收到投标人书面撤回通知之日起</w:t>
      </w:r>
      <w:r>
        <w:rPr>
          <w:rFonts w:ascii="宋体" w:hAnsi="宋体"/>
          <w:color w:val="auto"/>
          <w:szCs w:val="21"/>
          <w:highlight w:val="none"/>
        </w:rPr>
        <w:t>5</w:t>
      </w:r>
      <w:r>
        <w:rPr>
          <w:rFonts w:hint="eastAsia" w:ascii="宋体" w:hAnsi="宋体"/>
          <w:color w:val="auto"/>
          <w:szCs w:val="21"/>
          <w:highlight w:val="none"/>
        </w:rPr>
        <w:t>日内退还已收取的投标保证金。</w:t>
      </w:r>
    </w:p>
    <w:p w14:paraId="314E4358">
      <w:pPr>
        <w:pStyle w:val="12"/>
        <w:kinsoku w:val="0"/>
        <w:overflowPunct w:val="0"/>
        <w:spacing w:line="288" w:lineRule="auto"/>
        <w:ind w:firstLine="420" w:firstLineChars="200"/>
        <w:rPr>
          <w:rFonts w:ascii="宋体" w:hAnsi="宋体"/>
          <w:color w:val="auto"/>
          <w:szCs w:val="21"/>
          <w:highlight w:val="none"/>
        </w:rPr>
      </w:pPr>
      <w:r>
        <w:rPr>
          <w:rFonts w:ascii="宋体" w:hAnsi="宋体"/>
          <w:color w:val="auto"/>
          <w:szCs w:val="21"/>
          <w:highlight w:val="none"/>
        </w:rPr>
        <w:t>4.3.4</w:t>
      </w:r>
      <w:r>
        <w:rPr>
          <w:rFonts w:hint="eastAsia" w:ascii="宋体" w:hAnsi="宋体"/>
          <w:color w:val="auto"/>
          <w:szCs w:val="21"/>
          <w:highlight w:val="none"/>
        </w:rPr>
        <w:t>修改的内容为投标文件的组成部分。修改的投标文件应按照本章第</w:t>
      </w:r>
      <w:r>
        <w:rPr>
          <w:rFonts w:ascii="宋体" w:hAnsi="宋体"/>
          <w:color w:val="auto"/>
          <w:szCs w:val="21"/>
          <w:highlight w:val="none"/>
        </w:rPr>
        <w:t>3</w:t>
      </w:r>
      <w:r>
        <w:rPr>
          <w:rFonts w:hint="eastAsia" w:ascii="宋体" w:hAnsi="宋体"/>
          <w:color w:val="auto"/>
          <w:szCs w:val="21"/>
          <w:highlight w:val="none"/>
        </w:rPr>
        <w:t>条、第</w:t>
      </w:r>
      <w:r>
        <w:rPr>
          <w:rFonts w:ascii="宋体" w:hAnsi="宋体"/>
          <w:color w:val="auto"/>
          <w:szCs w:val="21"/>
          <w:highlight w:val="none"/>
        </w:rPr>
        <w:t>4</w:t>
      </w:r>
      <w:r>
        <w:rPr>
          <w:rFonts w:hint="eastAsia" w:ascii="宋体" w:hAnsi="宋体"/>
          <w:color w:val="auto"/>
          <w:szCs w:val="21"/>
          <w:highlight w:val="none"/>
        </w:rPr>
        <w:t>条的规定进行编制、密封、标记和递交，并标明“修改”字样。</w:t>
      </w:r>
    </w:p>
    <w:p w14:paraId="1D7BE0E8">
      <w:pPr>
        <w:rPr>
          <w:color w:val="auto"/>
          <w:highlight w:val="none"/>
        </w:rPr>
      </w:pPr>
    </w:p>
    <w:p w14:paraId="1EEEF8AE">
      <w:pPr>
        <w:pStyle w:val="4"/>
        <w:rPr>
          <w:color w:val="auto"/>
          <w:highlight w:val="none"/>
        </w:rPr>
      </w:pPr>
      <w:bookmarkStart w:id="69" w:name="_Toc533357312"/>
      <w:bookmarkStart w:id="70" w:name="_Toc118553974"/>
      <w:r>
        <w:rPr>
          <w:color w:val="auto"/>
          <w:highlight w:val="none"/>
        </w:rPr>
        <w:t xml:space="preserve">5. </w:t>
      </w:r>
      <w:r>
        <w:rPr>
          <w:rFonts w:hint="eastAsia"/>
          <w:color w:val="auto"/>
          <w:highlight w:val="none"/>
        </w:rPr>
        <w:t>开标</w:t>
      </w:r>
      <w:bookmarkEnd w:id="69"/>
      <w:bookmarkEnd w:id="70"/>
    </w:p>
    <w:p w14:paraId="3871761B">
      <w:pPr>
        <w:pStyle w:val="6"/>
        <w:ind w:firstLine="0"/>
        <w:rPr>
          <w:color w:val="auto"/>
          <w:highlight w:val="none"/>
        </w:rPr>
      </w:pPr>
      <w:bookmarkStart w:id="71" w:name="bookmark52"/>
      <w:bookmarkEnd w:id="71"/>
      <w:bookmarkStart w:id="72" w:name="bookmark53"/>
      <w:bookmarkEnd w:id="72"/>
      <w:r>
        <w:rPr>
          <w:color w:val="auto"/>
          <w:highlight w:val="none"/>
        </w:rPr>
        <w:t xml:space="preserve">5.1 </w:t>
      </w:r>
      <w:r>
        <w:rPr>
          <w:rFonts w:hint="eastAsia"/>
          <w:color w:val="auto"/>
          <w:highlight w:val="none"/>
        </w:rPr>
        <w:t>开标时间和地点</w:t>
      </w:r>
    </w:p>
    <w:p w14:paraId="30C52D26">
      <w:pPr>
        <w:pStyle w:val="12"/>
        <w:kinsoku w:val="0"/>
        <w:overflowPunct w:val="0"/>
        <w:spacing w:line="288" w:lineRule="auto"/>
        <w:ind w:firstLine="420" w:firstLineChars="200"/>
        <w:rPr>
          <w:rFonts w:ascii="宋体" w:hAnsi="宋体"/>
          <w:color w:val="auto"/>
          <w:szCs w:val="21"/>
          <w:highlight w:val="none"/>
        </w:rPr>
      </w:pPr>
      <w:r>
        <w:rPr>
          <w:rFonts w:hint="eastAsia" w:ascii="宋体" w:hAnsi="宋体"/>
          <w:color w:val="auto"/>
          <w:szCs w:val="21"/>
          <w:highlight w:val="none"/>
        </w:rPr>
        <w:t>招标人在本章第</w:t>
      </w:r>
      <w:r>
        <w:rPr>
          <w:rFonts w:ascii="宋体" w:hAnsi="宋体"/>
          <w:color w:val="auto"/>
          <w:szCs w:val="21"/>
          <w:highlight w:val="none"/>
        </w:rPr>
        <w:t>4.2.1</w:t>
      </w:r>
      <w:r>
        <w:rPr>
          <w:rFonts w:hint="eastAsia" w:ascii="宋体" w:hAnsi="宋体"/>
          <w:color w:val="auto"/>
          <w:szCs w:val="21"/>
          <w:highlight w:val="none"/>
        </w:rPr>
        <w:t>项规定的投标截止时间（开标时间）</w:t>
      </w:r>
      <w:r>
        <w:rPr>
          <w:rFonts w:ascii="宋体" w:hAnsi="宋体"/>
          <w:color w:val="auto"/>
          <w:szCs w:val="21"/>
          <w:highlight w:val="none"/>
        </w:rPr>
        <w:t>,</w:t>
      </w:r>
      <w:r>
        <w:rPr>
          <w:rFonts w:hint="eastAsia" w:ascii="宋体" w:hAnsi="宋体"/>
          <w:color w:val="auto"/>
          <w:szCs w:val="21"/>
          <w:highlight w:val="none"/>
        </w:rPr>
        <w:t>通过电子招标投标交易平台公开开标。开标时，投标人代表有权出席开标会，也可以自主决定不参加开标会。</w:t>
      </w:r>
    </w:p>
    <w:p w14:paraId="5A0AE542">
      <w:pPr>
        <w:rPr>
          <w:rFonts w:ascii="宋体" w:hAnsi="宋体"/>
          <w:color w:val="auto"/>
          <w:highlight w:val="none"/>
        </w:rPr>
      </w:pPr>
    </w:p>
    <w:p w14:paraId="5092BE59">
      <w:pPr>
        <w:pStyle w:val="6"/>
        <w:rPr>
          <w:color w:val="auto"/>
          <w:highlight w:val="none"/>
        </w:rPr>
      </w:pPr>
      <w:bookmarkStart w:id="73" w:name="bookmark54"/>
      <w:bookmarkEnd w:id="73"/>
      <w:r>
        <w:rPr>
          <w:color w:val="auto"/>
          <w:highlight w:val="none"/>
        </w:rPr>
        <w:t xml:space="preserve">5.2 </w:t>
      </w:r>
      <w:r>
        <w:rPr>
          <w:rFonts w:hint="eastAsia"/>
          <w:color w:val="auto"/>
          <w:highlight w:val="none"/>
        </w:rPr>
        <w:t>开标程序</w:t>
      </w:r>
    </w:p>
    <w:p w14:paraId="0B64ED43">
      <w:pPr>
        <w:pStyle w:val="12"/>
        <w:kinsoku w:val="0"/>
        <w:overflowPunct w:val="0"/>
        <w:spacing w:line="288" w:lineRule="auto"/>
        <w:ind w:firstLine="420" w:firstLineChars="200"/>
        <w:rPr>
          <w:rFonts w:ascii="宋体" w:hAnsi="宋体"/>
          <w:color w:val="auto"/>
          <w:szCs w:val="21"/>
          <w:highlight w:val="none"/>
        </w:rPr>
      </w:pPr>
      <w:r>
        <w:rPr>
          <w:rFonts w:ascii="宋体" w:hAnsi="宋体"/>
          <w:color w:val="auto"/>
          <w:szCs w:val="21"/>
          <w:highlight w:val="none"/>
        </w:rPr>
        <w:t>5.2.1</w:t>
      </w:r>
      <w:r>
        <w:rPr>
          <w:rFonts w:hint="eastAsia" w:ascii="宋体" w:hAnsi="宋体"/>
          <w:color w:val="auto"/>
          <w:szCs w:val="21"/>
          <w:highlight w:val="none"/>
        </w:rPr>
        <w:t>主持人按下列程序进行开标：</w:t>
      </w:r>
    </w:p>
    <w:p w14:paraId="4B214265">
      <w:pPr>
        <w:pStyle w:val="12"/>
        <w:kinsoku w:val="0"/>
        <w:overflowPunct w:val="0"/>
        <w:spacing w:line="288" w:lineRule="auto"/>
        <w:ind w:firstLine="420" w:firstLineChars="200"/>
        <w:rPr>
          <w:rFonts w:ascii="宋体" w:hAnsi="宋体"/>
          <w:color w:val="auto"/>
          <w:szCs w:val="21"/>
          <w:highlight w:val="none"/>
        </w:rPr>
      </w:pPr>
      <w:r>
        <w:rPr>
          <w:rFonts w:hint="eastAsia" w:ascii="宋体" w:hAnsi="宋体"/>
          <w:color w:val="auto"/>
          <w:szCs w:val="21"/>
          <w:highlight w:val="none"/>
        </w:rPr>
        <w:t>（</w:t>
      </w:r>
      <w:r>
        <w:rPr>
          <w:rFonts w:ascii="宋体" w:hAnsi="宋体"/>
          <w:color w:val="auto"/>
          <w:szCs w:val="21"/>
          <w:highlight w:val="none"/>
        </w:rPr>
        <w:t>1</w:t>
      </w:r>
      <w:r>
        <w:rPr>
          <w:rFonts w:hint="eastAsia" w:ascii="宋体" w:hAnsi="宋体"/>
          <w:color w:val="auto"/>
          <w:szCs w:val="21"/>
          <w:highlight w:val="none"/>
        </w:rPr>
        <w:t>）宣布开标纪律；</w:t>
      </w:r>
    </w:p>
    <w:p w14:paraId="28C04E08">
      <w:pPr>
        <w:pStyle w:val="12"/>
        <w:kinsoku w:val="0"/>
        <w:overflowPunct w:val="0"/>
        <w:spacing w:line="288" w:lineRule="auto"/>
        <w:ind w:firstLine="420" w:firstLineChars="200"/>
        <w:rPr>
          <w:rFonts w:ascii="宋体" w:hAnsi="宋体"/>
          <w:color w:val="auto"/>
          <w:szCs w:val="21"/>
          <w:highlight w:val="none"/>
        </w:rPr>
      </w:pPr>
      <w:r>
        <w:rPr>
          <w:rFonts w:hint="eastAsia" w:ascii="宋体" w:hAnsi="宋体"/>
          <w:color w:val="auto"/>
          <w:szCs w:val="21"/>
          <w:highlight w:val="none"/>
        </w:rPr>
        <w:t>（</w:t>
      </w:r>
      <w:r>
        <w:rPr>
          <w:rFonts w:ascii="宋体" w:hAnsi="宋体"/>
          <w:color w:val="auto"/>
          <w:szCs w:val="21"/>
          <w:highlight w:val="none"/>
        </w:rPr>
        <w:t>2</w:t>
      </w:r>
      <w:r>
        <w:rPr>
          <w:rFonts w:hint="eastAsia" w:ascii="宋体" w:hAnsi="宋体"/>
          <w:color w:val="auto"/>
          <w:szCs w:val="21"/>
          <w:highlight w:val="none"/>
        </w:rPr>
        <w:t>）公布在投标截止时间前递交投标文件的投标人名称；</w:t>
      </w:r>
    </w:p>
    <w:p w14:paraId="49C2C5DC">
      <w:pPr>
        <w:pStyle w:val="12"/>
        <w:kinsoku w:val="0"/>
        <w:overflowPunct w:val="0"/>
        <w:spacing w:line="288" w:lineRule="auto"/>
        <w:ind w:firstLine="420" w:firstLineChars="200"/>
        <w:rPr>
          <w:rFonts w:ascii="宋体" w:hAnsi="宋体"/>
          <w:color w:val="auto"/>
          <w:szCs w:val="21"/>
          <w:highlight w:val="none"/>
        </w:rPr>
      </w:pPr>
      <w:r>
        <w:rPr>
          <w:rFonts w:hint="eastAsia" w:ascii="宋体" w:hAnsi="宋体"/>
          <w:color w:val="auto"/>
          <w:szCs w:val="21"/>
          <w:highlight w:val="none"/>
        </w:rPr>
        <w:t>（</w:t>
      </w:r>
      <w:r>
        <w:rPr>
          <w:rFonts w:ascii="宋体" w:hAnsi="宋体"/>
          <w:color w:val="auto"/>
          <w:szCs w:val="21"/>
          <w:highlight w:val="none"/>
        </w:rPr>
        <w:t>3</w:t>
      </w:r>
      <w:r>
        <w:rPr>
          <w:rFonts w:hint="eastAsia" w:ascii="宋体" w:hAnsi="宋体"/>
          <w:color w:val="auto"/>
          <w:szCs w:val="21"/>
          <w:highlight w:val="none"/>
        </w:rPr>
        <w:t>）宣布开标人、唱标人、记录人、监标人等有关人员姓名；</w:t>
      </w:r>
    </w:p>
    <w:p w14:paraId="5F621EBD">
      <w:pPr>
        <w:pStyle w:val="12"/>
        <w:kinsoku w:val="0"/>
        <w:overflowPunct w:val="0"/>
        <w:spacing w:line="288" w:lineRule="auto"/>
        <w:ind w:firstLine="420" w:firstLineChars="200"/>
        <w:rPr>
          <w:rFonts w:ascii="宋体" w:hAnsi="宋体"/>
          <w:color w:val="auto"/>
          <w:szCs w:val="21"/>
          <w:highlight w:val="none"/>
        </w:rPr>
      </w:pPr>
      <w:r>
        <w:rPr>
          <w:rFonts w:hint="eastAsia" w:ascii="宋体" w:hAnsi="宋体"/>
          <w:color w:val="auto"/>
          <w:szCs w:val="21"/>
          <w:highlight w:val="none"/>
        </w:rPr>
        <w:t>（</w:t>
      </w:r>
      <w:r>
        <w:rPr>
          <w:rFonts w:ascii="宋体" w:hAnsi="宋体"/>
          <w:color w:val="auto"/>
          <w:szCs w:val="21"/>
          <w:highlight w:val="none"/>
        </w:rPr>
        <w:t>4</w:t>
      </w:r>
      <w:r>
        <w:rPr>
          <w:rFonts w:hint="eastAsia" w:ascii="宋体" w:hAnsi="宋体"/>
          <w:color w:val="auto"/>
          <w:szCs w:val="21"/>
          <w:highlight w:val="none"/>
        </w:rPr>
        <w:t>）投标人通过电子招标投标交易平台对已递交的电子投标文件进行解密，公布招标项目名称、投标人名称、投标保证金的递交情况、投标报价及其他内容，并记录在案；</w:t>
      </w:r>
    </w:p>
    <w:p w14:paraId="0597B40B">
      <w:pPr>
        <w:pStyle w:val="12"/>
        <w:kinsoku w:val="0"/>
        <w:overflowPunct w:val="0"/>
        <w:spacing w:line="288" w:lineRule="auto"/>
        <w:ind w:firstLine="420" w:firstLineChars="200"/>
        <w:rPr>
          <w:rFonts w:ascii="宋体" w:hAnsi="宋体"/>
          <w:color w:val="auto"/>
          <w:szCs w:val="21"/>
          <w:highlight w:val="none"/>
        </w:rPr>
      </w:pPr>
      <w:r>
        <w:rPr>
          <w:rFonts w:hint="eastAsia" w:ascii="宋体" w:hAnsi="宋体"/>
          <w:color w:val="auto"/>
          <w:szCs w:val="21"/>
          <w:highlight w:val="none"/>
        </w:rPr>
        <w:t>（</w:t>
      </w:r>
      <w:r>
        <w:rPr>
          <w:rFonts w:ascii="宋体" w:hAnsi="宋体"/>
          <w:color w:val="auto"/>
          <w:szCs w:val="21"/>
          <w:highlight w:val="none"/>
        </w:rPr>
        <w:t>5</w:t>
      </w:r>
      <w:r>
        <w:rPr>
          <w:rFonts w:hint="eastAsia" w:ascii="宋体" w:hAnsi="宋体"/>
          <w:color w:val="auto"/>
          <w:szCs w:val="21"/>
          <w:highlight w:val="none"/>
        </w:rPr>
        <w:t>）投标人代表、招标人代表、监标人、记录人等有关人员在开标记录上签字确认；若有关人员不签字的，不影响开标程序；</w:t>
      </w:r>
    </w:p>
    <w:p w14:paraId="5A967CD9">
      <w:pPr>
        <w:pStyle w:val="12"/>
        <w:kinsoku w:val="0"/>
        <w:overflowPunct w:val="0"/>
        <w:spacing w:line="288" w:lineRule="auto"/>
        <w:ind w:firstLine="420" w:firstLineChars="200"/>
        <w:rPr>
          <w:rFonts w:ascii="宋体" w:hAnsi="宋体"/>
          <w:color w:val="auto"/>
          <w:szCs w:val="21"/>
          <w:highlight w:val="none"/>
        </w:rPr>
      </w:pPr>
      <w:r>
        <w:rPr>
          <w:rFonts w:hint="eastAsia" w:ascii="宋体" w:hAnsi="宋体"/>
          <w:color w:val="auto"/>
          <w:szCs w:val="21"/>
          <w:highlight w:val="none"/>
        </w:rPr>
        <w:t>（</w:t>
      </w:r>
      <w:r>
        <w:rPr>
          <w:rFonts w:ascii="宋体" w:hAnsi="宋体"/>
          <w:color w:val="auto"/>
          <w:szCs w:val="21"/>
          <w:highlight w:val="none"/>
        </w:rPr>
        <w:t>6</w:t>
      </w:r>
      <w:r>
        <w:rPr>
          <w:rFonts w:hint="eastAsia" w:ascii="宋体" w:hAnsi="宋体"/>
          <w:color w:val="auto"/>
          <w:szCs w:val="21"/>
          <w:highlight w:val="none"/>
        </w:rPr>
        <w:t>）开标结束。</w:t>
      </w:r>
    </w:p>
    <w:p w14:paraId="53917EFD">
      <w:pPr>
        <w:pStyle w:val="12"/>
        <w:kinsoku w:val="0"/>
        <w:overflowPunct w:val="0"/>
        <w:spacing w:line="288" w:lineRule="auto"/>
        <w:ind w:firstLine="420" w:firstLineChars="200"/>
        <w:rPr>
          <w:rFonts w:ascii="宋体" w:hAnsi="宋体"/>
          <w:color w:val="auto"/>
          <w:szCs w:val="21"/>
          <w:highlight w:val="none"/>
        </w:rPr>
      </w:pPr>
      <w:r>
        <w:rPr>
          <w:rFonts w:ascii="宋体" w:hAnsi="宋体"/>
          <w:color w:val="auto"/>
          <w:szCs w:val="21"/>
          <w:highlight w:val="none"/>
        </w:rPr>
        <w:t>5.2.2</w:t>
      </w:r>
      <w:r>
        <w:rPr>
          <w:rFonts w:hint="eastAsia" w:ascii="宋体" w:hAnsi="宋体"/>
          <w:color w:val="auto"/>
          <w:szCs w:val="21"/>
          <w:highlight w:val="none"/>
          <w:u w:val="single"/>
        </w:rPr>
        <w:t>投标截止时间前未完成投标文件传输的或因投标人之外的原因造成投标文件未解密且未按要求递交备用光盘的，视为投标人撤回投标文件。因投标人原因造成投标文件未解密或未在规定的时间内解密的，视为撤销其投标文件。本项目要求投标人在投标截止时间后</w:t>
      </w:r>
      <w:r>
        <w:rPr>
          <w:rFonts w:hint="eastAsia" w:ascii="宋体" w:hAnsi="宋体"/>
          <w:color w:val="auto"/>
          <w:szCs w:val="21"/>
          <w:highlight w:val="none"/>
          <w:u w:val="single"/>
          <w:lang w:val="en-US" w:eastAsia="zh-CN"/>
        </w:rPr>
        <w:t>1</w:t>
      </w:r>
      <w:r>
        <w:rPr>
          <w:rFonts w:hint="eastAsia" w:ascii="宋体" w:hAnsi="宋体"/>
          <w:color w:val="auto"/>
          <w:szCs w:val="21"/>
          <w:highlight w:val="none"/>
          <w:u w:val="single"/>
        </w:rPr>
        <w:t>小时内解密其电子投标文件。</w:t>
      </w:r>
    </w:p>
    <w:p w14:paraId="193F9C91">
      <w:pPr>
        <w:pStyle w:val="12"/>
        <w:kinsoku w:val="0"/>
        <w:overflowPunct w:val="0"/>
        <w:spacing w:line="288" w:lineRule="auto"/>
        <w:ind w:firstLine="420" w:firstLineChars="200"/>
        <w:rPr>
          <w:rFonts w:ascii="宋体" w:hAnsi="宋体"/>
          <w:color w:val="auto"/>
          <w:szCs w:val="21"/>
          <w:highlight w:val="none"/>
        </w:rPr>
      </w:pPr>
      <w:r>
        <w:rPr>
          <w:rFonts w:ascii="宋体" w:hAnsi="宋体"/>
          <w:color w:val="auto"/>
          <w:szCs w:val="21"/>
          <w:highlight w:val="none"/>
        </w:rPr>
        <w:t>5.2.3</w:t>
      </w:r>
      <w:r>
        <w:rPr>
          <w:rFonts w:hint="eastAsia" w:ascii="宋体" w:hAnsi="宋体"/>
          <w:color w:val="auto"/>
          <w:szCs w:val="21"/>
          <w:highlight w:val="none"/>
        </w:rPr>
        <w:t>开标时，两个（含两个）以上的投标人加密打包投标文件电脑机器特征码一致的，不参与下一程序，并由评标委员会否决其投标。</w:t>
      </w:r>
    </w:p>
    <w:p w14:paraId="2C581204">
      <w:pPr>
        <w:pStyle w:val="12"/>
        <w:kinsoku w:val="0"/>
        <w:overflowPunct w:val="0"/>
        <w:spacing w:line="288" w:lineRule="auto"/>
        <w:ind w:firstLine="420" w:firstLineChars="200"/>
        <w:rPr>
          <w:rFonts w:ascii="宋体" w:hAnsi="宋体"/>
          <w:color w:val="auto"/>
          <w:szCs w:val="21"/>
          <w:highlight w:val="none"/>
        </w:rPr>
      </w:pPr>
    </w:p>
    <w:p w14:paraId="7B9F9557">
      <w:pPr>
        <w:pStyle w:val="6"/>
        <w:rPr>
          <w:color w:val="auto"/>
          <w:highlight w:val="none"/>
        </w:rPr>
      </w:pPr>
      <w:bookmarkStart w:id="74" w:name="bookmark55"/>
      <w:bookmarkEnd w:id="74"/>
      <w:r>
        <w:rPr>
          <w:color w:val="auto"/>
          <w:highlight w:val="none"/>
        </w:rPr>
        <w:t xml:space="preserve">5.3 </w:t>
      </w:r>
      <w:r>
        <w:rPr>
          <w:rFonts w:hint="eastAsia"/>
          <w:color w:val="auto"/>
          <w:highlight w:val="none"/>
        </w:rPr>
        <w:t>开标异议</w:t>
      </w:r>
    </w:p>
    <w:p w14:paraId="73B71AA4">
      <w:pPr>
        <w:pStyle w:val="12"/>
        <w:kinsoku w:val="0"/>
        <w:overflowPunct w:val="0"/>
        <w:spacing w:line="288" w:lineRule="auto"/>
        <w:ind w:firstLine="420" w:firstLineChars="200"/>
        <w:rPr>
          <w:rFonts w:ascii="宋体" w:hAnsi="宋体"/>
          <w:color w:val="auto"/>
          <w:szCs w:val="21"/>
          <w:highlight w:val="none"/>
        </w:rPr>
      </w:pPr>
      <w:r>
        <w:rPr>
          <w:rFonts w:hint="eastAsia" w:ascii="宋体" w:hAnsi="宋体"/>
          <w:color w:val="auto"/>
          <w:szCs w:val="21"/>
          <w:highlight w:val="none"/>
        </w:rPr>
        <w:t>投标人对开标有异议的，</w:t>
      </w:r>
      <w:r>
        <w:rPr>
          <w:rFonts w:hint="eastAsia" w:ascii="宋体" w:hAnsi="宋体"/>
          <w:color w:val="auto"/>
          <w:szCs w:val="21"/>
          <w:highlight w:val="none"/>
          <w:lang w:val="en-US" w:eastAsia="zh-CN"/>
        </w:rPr>
        <w:t>线下</w:t>
      </w:r>
      <w:r>
        <w:rPr>
          <w:rFonts w:hint="eastAsia" w:ascii="宋体" w:hAnsi="宋体"/>
          <w:color w:val="auto"/>
          <w:szCs w:val="21"/>
          <w:highlight w:val="none"/>
        </w:rPr>
        <w:t>应当在开标现场提出，并出示本人身份证</w:t>
      </w:r>
      <w:r>
        <w:rPr>
          <w:rFonts w:hint="eastAsia" w:ascii="宋体" w:hAnsi="宋体"/>
          <w:color w:val="auto"/>
          <w:szCs w:val="21"/>
          <w:highlight w:val="none"/>
          <w:u w:val="none"/>
          <w:lang w:eastAsia="zh-CN"/>
        </w:rPr>
        <w:t>，</w:t>
      </w:r>
      <w:r>
        <w:rPr>
          <w:rFonts w:hint="eastAsia" w:ascii="宋体" w:hAnsi="宋体"/>
          <w:color w:val="auto"/>
          <w:szCs w:val="21"/>
          <w:highlight w:val="none"/>
        </w:rPr>
        <w:t>招标人当场作出答复，并制作记录。</w:t>
      </w:r>
      <w:r>
        <w:rPr>
          <w:rFonts w:hint="eastAsia" w:ascii="宋体" w:hAnsi="宋体"/>
          <w:color w:val="auto"/>
          <w:szCs w:val="21"/>
          <w:highlight w:val="none"/>
          <w:lang w:val="en-US" w:eastAsia="zh-CN"/>
        </w:rPr>
        <w:t>线上应当在开标期间进行</w:t>
      </w:r>
      <w:r>
        <w:rPr>
          <w:rFonts w:hint="eastAsia" w:ascii="宋体" w:hAnsi="宋体"/>
          <w:color w:val="auto"/>
          <w:szCs w:val="21"/>
          <w:highlight w:val="none"/>
        </w:rPr>
        <w:t>线上提交，应通过交易平台进行，招标人也应通过交易平台答复线上提交的异议。具体按照交易平台相关指南进行操作。</w:t>
      </w:r>
    </w:p>
    <w:p w14:paraId="6AE7A688">
      <w:pPr>
        <w:rPr>
          <w:color w:val="auto"/>
          <w:highlight w:val="none"/>
        </w:rPr>
      </w:pPr>
    </w:p>
    <w:p w14:paraId="2CD6C4F8">
      <w:pPr>
        <w:pStyle w:val="4"/>
        <w:rPr>
          <w:color w:val="auto"/>
          <w:highlight w:val="none"/>
        </w:rPr>
      </w:pPr>
      <w:bookmarkStart w:id="75" w:name="_Toc118553975"/>
      <w:bookmarkStart w:id="76" w:name="_Toc533357313"/>
      <w:r>
        <w:rPr>
          <w:color w:val="auto"/>
          <w:highlight w:val="none"/>
        </w:rPr>
        <w:t xml:space="preserve">6. </w:t>
      </w:r>
      <w:r>
        <w:rPr>
          <w:rFonts w:hint="eastAsia"/>
          <w:color w:val="auto"/>
          <w:highlight w:val="none"/>
        </w:rPr>
        <w:t>评标</w:t>
      </w:r>
      <w:bookmarkEnd w:id="75"/>
      <w:bookmarkEnd w:id="76"/>
    </w:p>
    <w:p w14:paraId="46B29FC1">
      <w:pPr>
        <w:pStyle w:val="6"/>
        <w:ind w:firstLine="0"/>
        <w:rPr>
          <w:color w:val="auto"/>
          <w:highlight w:val="none"/>
        </w:rPr>
      </w:pPr>
      <w:bookmarkStart w:id="77" w:name="bookmark57"/>
      <w:bookmarkEnd w:id="77"/>
      <w:r>
        <w:rPr>
          <w:color w:val="auto"/>
          <w:highlight w:val="none"/>
        </w:rPr>
        <w:t xml:space="preserve">6.1 </w:t>
      </w:r>
      <w:r>
        <w:rPr>
          <w:rFonts w:hint="eastAsia"/>
          <w:color w:val="auto"/>
          <w:highlight w:val="none"/>
        </w:rPr>
        <w:t>评标委员会</w:t>
      </w:r>
    </w:p>
    <w:p w14:paraId="420C0ACE">
      <w:pPr>
        <w:pStyle w:val="12"/>
        <w:kinsoku w:val="0"/>
        <w:overflowPunct w:val="0"/>
        <w:spacing w:line="288" w:lineRule="auto"/>
        <w:ind w:firstLine="420" w:firstLineChars="200"/>
        <w:rPr>
          <w:rFonts w:ascii="宋体" w:hAnsi="宋体"/>
          <w:color w:val="auto"/>
          <w:szCs w:val="21"/>
          <w:highlight w:val="none"/>
        </w:rPr>
      </w:pPr>
      <w:r>
        <w:rPr>
          <w:rFonts w:ascii="宋体" w:hAnsi="宋体"/>
          <w:color w:val="auto"/>
          <w:szCs w:val="21"/>
          <w:highlight w:val="none"/>
        </w:rPr>
        <w:t>6.1.1</w:t>
      </w:r>
      <w:r>
        <w:rPr>
          <w:rFonts w:hint="eastAsia" w:ascii="宋体" w:hAnsi="宋体"/>
          <w:color w:val="auto"/>
          <w:szCs w:val="21"/>
          <w:highlight w:val="none"/>
        </w:rPr>
        <w:t>评标由招标人依法组建的评标委员会负责。评标委员会由招标人或其委托的招标代理机构熟悉相关业务的代表，以及有关技术、经济等方面的专家组成。评标委员会成员人数以及技术、经济等方面专家的确定方式见投标人须知前附表。</w:t>
      </w:r>
    </w:p>
    <w:p w14:paraId="5707B814">
      <w:pPr>
        <w:pStyle w:val="12"/>
        <w:kinsoku w:val="0"/>
        <w:overflowPunct w:val="0"/>
        <w:spacing w:line="288" w:lineRule="auto"/>
        <w:ind w:firstLine="420" w:firstLineChars="200"/>
        <w:rPr>
          <w:rFonts w:ascii="宋体" w:hAnsi="宋体"/>
          <w:color w:val="auto"/>
          <w:szCs w:val="21"/>
          <w:highlight w:val="none"/>
        </w:rPr>
      </w:pPr>
      <w:r>
        <w:rPr>
          <w:rFonts w:ascii="宋体" w:hAnsi="宋体"/>
          <w:color w:val="auto"/>
          <w:szCs w:val="21"/>
          <w:highlight w:val="none"/>
        </w:rPr>
        <w:t>6.1.2</w:t>
      </w:r>
      <w:r>
        <w:rPr>
          <w:rFonts w:hint="eastAsia" w:ascii="宋体" w:hAnsi="宋体"/>
          <w:color w:val="auto"/>
          <w:szCs w:val="21"/>
          <w:highlight w:val="none"/>
        </w:rPr>
        <w:t>评标委员会成员有下列情形之一的，应当回避：</w:t>
      </w:r>
    </w:p>
    <w:p w14:paraId="04C67651">
      <w:pPr>
        <w:pStyle w:val="12"/>
        <w:kinsoku w:val="0"/>
        <w:overflowPunct w:val="0"/>
        <w:spacing w:line="288" w:lineRule="auto"/>
        <w:ind w:firstLine="420" w:firstLineChars="200"/>
        <w:rPr>
          <w:rFonts w:ascii="宋体" w:hAnsi="宋体"/>
          <w:color w:val="auto"/>
          <w:szCs w:val="21"/>
          <w:highlight w:val="none"/>
        </w:rPr>
      </w:pPr>
      <w:r>
        <w:rPr>
          <w:rFonts w:hint="eastAsia" w:ascii="宋体" w:hAnsi="宋体"/>
          <w:color w:val="auto"/>
          <w:szCs w:val="21"/>
          <w:highlight w:val="none"/>
        </w:rPr>
        <w:t>（</w:t>
      </w:r>
      <w:r>
        <w:rPr>
          <w:rFonts w:ascii="宋体" w:hAnsi="宋体"/>
          <w:color w:val="auto"/>
          <w:szCs w:val="21"/>
          <w:highlight w:val="none"/>
        </w:rPr>
        <w:t>1</w:t>
      </w:r>
      <w:r>
        <w:rPr>
          <w:rFonts w:hint="eastAsia" w:ascii="宋体" w:hAnsi="宋体"/>
          <w:color w:val="auto"/>
          <w:szCs w:val="21"/>
          <w:highlight w:val="none"/>
        </w:rPr>
        <w:t>）投标人或投标人主要负责人的近亲属；</w:t>
      </w:r>
    </w:p>
    <w:p w14:paraId="692CEC45">
      <w:pPr>
        <w:pStyle w:val="12"/>
        <w:kinsoku w:val="0"/>
        <w:overflowPunct w:val="0"/>
        <w:spacing w:line="288" w:lineRule="auto"/>
        <w:ind w:firstLine="420" w:firstLineChars="200"/>
        <w:rPr>
          <w:rFonts w:ascii="宋体" w:hAnsi="宋体"/>
          <w:color w:val="auto"/>
          <w:szCs w:val="21"/>
          <w:highlight w:val="none"/>
        </w:rPr>
      </w:pPr>
      <w:r>
        <w:rPr>
          <w:rFonts w:hint="eastAsia" w:ascii="宋体" w:hAnsi="宋体"/>
          <w:color w:val="auto"/>
          <w:szCs w:val="21"/>
          <w:highlight w:val="none"/>
        </w:rPr>
        <w:t>（</w:t>
      </w:r>
      <w:r>
        <w:rPr>
          <w:rFonts w:ascii="宋体" w:hAnsi="宋体"/>
          <w:color w:val="auto"/>
          <w:szCs w:val="21"/>
          <w:highlight w:val="none"/>
        </w:rPr>
        <w:t>2</w:t>
      </w:r>
      <w:r>
        <w:rPr>
          <w:rFonts w:hint="eastAsia" w:ascii="宋体" w:hAnsi="宋体"/>
          <w:color w:val="auto"/>
          <w:szCs w:val="21"/>
          <w:highlight w:val="none"/>
        </w:rPr>
        <w:t>）项目主管部门或者行政监督部门的人员；</w:t>
      </w:r>
    </w:p>
    <w:p w14:paraId="59BC68DB">
      <w:pPr>
        <w:pStyle w:val="12"/>
        <w:kinsoku w:val="0"/>
        <w:overflowPunct w:val="0"/>
        <w:spacing w:line="288" w:lineRule="auto"/>
        <w:ind w:firstLine="420" w:firstLineChars="200"/>
        <w:rPr>
          <w:rFonts w:ascii="宋体" w:hAnsi="宋体"/>
          <w:color w:val="auto"/>
          <w:szCs w:val="21"/>
          <w:highlight w:val="none"/>
        </w:rPr>
      </w:pPr>
      <w:r>
        <w:rPr>
          <w:rFonts w:hint="eastAsia" w:ascii="宋体" w:hAnsi="宋体"/>
          <w:color w:val="auto"/>
          <w:szCs w:val="21"/>
          <w:highlight w:val="none"/>
        </w:rPr>
        <w:t>（</w:t>
      </w:r>
      <w:r>
        <w:rPr>
          <w:rFonts w:ascii="宋体" w:hAnsi="宋体"/>
          <w:color w:val="auto"/>
          <w:szCs w:val="21"/>
          <w:highlight w:val="none"/>
        </w:rPr>
        <w:t>3</w:t>
      </w:r>
      <w:r>
        <w:rPr>
          <w:rFonts w:hint="eastAsia" w:ascii="宋体" w:hAnsi="宋体"/>
          <w:color w:val="auto"/>
          <w:szCs w:val="21"/>
          <w:highlight w:val="none"/>
        </w:rPr>
        <w:t>）与投标人有经济利益关系，可能影响对投标公正评审的；</w:t>
      </w:r>
    </w:p>
    <w:p w14:paraId="49340896">
      <w:pPr>
        <w:pStyle w:val="12"/>
        <w:kinsoku w:val="0"/>
        <w:overflowPunct w:val="0"/>
        <w:spacing w:line="288" w:lineRule="auto"/>
        <w:ind w:firstLine="420" w:firstLineChars="200"/>
        <w:rPr>
          <w:rFonts w:hint="eastAsia" w:ascii="宋体" w:hAnsi="宋体" w:eastAsia="宋体"/>
          <w:color w:val="auto"/>
          <w:szCs w:val="21"/>
          <w:highlight w:val="none"/>
          <w:lang w:eastAsia="zh-CN"/>
        </w:rPr>
      </w:pPr>
      <w:r>
        <w:rPr>
          <w:rFonts w:hint="eastAsia" w:ascii="宋体" w:hAnsi="宋体"/>
          <w:color w:val="auto"/>
          <w:szCs w:val="21"/>
          <w:highlight w:val="none"/>
        </w:rPr>
        <w:t>（</w:t>
      </w:r>
      <w:r>
        <w:rPr>
          <w:rFonts w:ascii="宋体" w:hAnsi="宋体"/>
          <w:color w:val="auto"/>
          <w:szCs w:val="21"/>
          <w:highlight w:val="none"/>
        </w:rPr>
        <w:t>4</w:t>
      </w:r>
      <w:r>
        <w:rPr>
          <w:rFonts w:hint="eastAsia" w:ascii="宋体" w:hAnsi="宋体"/>
          <w:color w:val="auto"/>
          <w:szCs w:val="21"/>
          <w:highlight w:val="none"/>
        </w:rPr>
        <w:t>）曾因在招标、评标以及其他与招标投标有关活动中从事违法行为而受过行政处罚或刑事处罚的</w:t>
      </w:r>
      <w:r>
        <w:rPr>
          <w:rFonts w:hint="eastAsia" w:ascii="宋体" w:hAnsi="宋体"/>
          <w:color w:val="auto"/>
          <w:szCs w:val="21"/>
          <w:highlight w:val="none"/>
          <w:lang w:eastAsia="zh-CN"/>
        </w:rPr>
        <w:t>；</w:t>
      </w:r>
    </w:p>
    <w:p w14:paraId="7E681BED">
      <w:pPr>
        <w:pStyle w:val="12"/>
        <w:kinsoku w:val="0"/>
        <w:overflowPunct w:val="0"/>
        <w:spacing w:line="288" w:lineRule="auto"/>
        <w:ind w:firstLine="420" w:firstLineChars="200"/>
        <w:rPr>
          <w:rFonts w:ascii="宋体" w:hAnsi="宋体"/>
          <w:color w:val="auto"/>
          <w:szCs w:val="21"/>
          <w:highlight w:val="none"/>
        </w:rPr>
      </w:pPr>
      <w:r>
        <w:rPr>
          <w:rFonts w:hint="eastAsia" w:ascii="宋体" w:hAnsi="宋体"/>
          <w:color w:val="auto"/>
          <w:szCs w:val="21"/>
          <w:highlight w:val="none"/>
        </w:rPr>
        <w:t>（</w:t>
      </w:r>
      <w:r>
        <w:rPr>
          <w:rFonts w:ascii="宋体" w:hAnsi="宋体"/>
          <w:color w:val="auto"/>
          <w:szCs w:val="21"/>
          <w:highlight w:val="none"/>
        </w:rPr>
        <w:t>5</w:t>
      </w:r>
      <w:r>
        <w:rPr>
          <w:rFonts w:hint="eastAsia" w:ascii="宋体" w:hAnsi="宋体"/>
          <w:color w:val="auto"/>
          <w:szCs w:val="21"/>
          <w:highlight w:val="none"/>
        </w:rPr>
        <w:t>）与投标人有其他利害关系。</w:t>
      </w:r>
    </w:p>
    <w:p w14:paraId="444001B3">
      <w:pPr>
        <w:pStyle w:val="12"/>
        <w:kinsoku w:val="0"/>
        <w:overflowPunct w:val="0"/>
        <w:spacing w:line="288" w:lineRule="auto"/>
        <w:ind w:firstLine="420" w:firstLineChars="200"/>
        <w:rPr>
          <w:rFonts w:ascii="宋体" w:hAnsi="宋体"/>
          <w:color w:val="auto"/>
          <w:szCs w:val="21"/>
          <w:highlight w:val="none"/>
        </w:rPr>
      </w:pPr>
      <w:r>
        <w:rPr>
          <w:rFonts w:ascii="宋体" w:hAnsi="宋体"/>
          <w:color w:val="auto"/>
          <w:szCs w:val="21"/>
          <w:highlight w:val="none"/>
        </w:rPr>
        <w:t>6.1.3</w:t>
      </w:r>
      <w:r>
        <w:rPr>
          <w:rFonts w:hint="eastAsia" w:ascii="宋体" w:hAnsi="宋体"/>
          <w:color w:val="auto"/>
          <w:szCs w:val="21"/>
          <w:highlight w:val="none"/>
        </w:rPr>
        <w:t>评标过程中，评标委员会成员有回避事由、擅离职守或者因健康等原因不能继续评标的，招标人有权更换。被更换的评标委员会成员作出的评审结论无效，由更换后的评标委员会成员重新进行评审。</w:t>
      </w:r>
    </w:p>
    <w:p w14:paraId="0D0C7063">
      <w:pPr>
        <w:pStyle w:val="12"/>
        <w:kinsoku w:val="0"/>
        <w:overflowPunct w:val="0"/>
        <w:spacing w:line="288" w:lineRule="auto"/>
        <w:ind w:firstLine="420" w:firstLineChars="200"/>
        <w:rPr>
          <w:rFonts w:ascii="宋体" w:hAnsi="宋体"/>
          <w:color w:val="auto"/>
          <w:szCs w:val="21"/>
          <w:highlight w:val="none"/>
        </w:rPr>
      </w:pPr>
    </w:p>
    <w:p w14:paraId="48921FA2">
      <w:pPr>
        <w:pStyle w:val="6"/>
        <w:rPr>
          <w:color w:val="auto"/>
          <w:highlight w:val="none"/>
        </w:rPr>
      </w:pPr>
      <w:bookmarkStart w:id="78" w:name="bookmark58"/>
      <w:bookmarkEnd w:id="78"/>
      <w:r>
        <w:rPr>
          <w:color w:val="auto"/>
          <w:highlight w:val="none"/>
        </w:rPr>
        <w:t xml:space="preserve">6.2 </w:t>
      </w:r>
      <w:r>
        <w:rPr>
          <w:rFonts w:hint="eastAsia"/>
          <w:color w:val="auto"/>
          <w:highlight w:val="none"/>
        </w:rPr>
        <w:t>评标原则</w:t>
      </w:r>
    </w:p>
    <w:p w14:paraId="6AEE87BE">
      <w:pPr>
        <w:pStyle w:val="12"/>
        <w:kinsoku w:val="0"/>
        <w:overflowPunct w:val="0"/>
        <w:spacing w:line="288" w:lineRule="auto"/>
        <w:ind w:firstLine="420" w:firstLineChars="200"/>
        <w:rPr>
          <w:rFonts w:ascii="宋体" w:hAnsi="宋体"/>
          <w:color w:val="auto"/>
          <w:szCs w:val="21"/>
          <w:highlight w:val="none"/>
        </w:rPr>
      </w:pPr>
      <w:r>
        <w:rPr>
          <w:rFonts w:hint="eastAsia" w:ascii="宋体" w:hAnsi="宋体"/>
          <w:color w:val="auto"/>
          <w:szCs w:val="21"/>
          <w:highlight w:val="none"/>
        </w:rPr>
        <w:t>评标活动遵循公平、公正、科学和择优的原则。</w:t>
      </w:r>
    </w:p>
    <w:p w14:paraId="5881D662">
      <w:pPr>
        <w:pStyle w:val="12"/>
        <w:kinsoku w:val="0"/>
        <w:overflowPunct w:val="0"/>
        <w:spacing w:line="288" w:lineRule="auto"/>
        <w:ind w:firstLine="420" w:firstLineChars="200"/>
        <w:rPr>
          <w:rFonts w:ascii="宋体" w:hAnsi="宋体"/>
          <w:color w:val="auto"/>
          <w:szCs w:val="21"/>
          <w:highlight w:val="none"/>
        </w:rPr>
      </w:pPr>
    </w:p>
    <w:p w14:paraId="4B3081F1">
      <w:pPr>
        <w:pStyle w:val="6"/>
        <w:rPr>
          <w:color w:val="auto"/>
          <w:highlight w:val="none"/>
        </w:rPr>
      </w:pPr>
      <w:bookmarkStart w:id="79" w:name="bookmark59"/>
      <w:bookmarkEnd w:id="79"/>
      <w:r>
        <w:rPr>
          <w:color w:val="auto"/>
          <w:highlight w:val="none"/>
        </w:rPr>
        <w:t xml:space="preserve">6.3 </w:t>
      </w:r>
      <w:r>
        <w:rPr>
          <w:rFonts w:hint="eastAsia"/>
          <w:color w:val="auto"/>
          <w:highlight w:val="none"/>
        </w:rPr>
        <w:t>评标</w:t>
      </w:r>
    </w:p>
    <w:p w14:paraId="7489E900">
      <w:pPr>
        <w:pStyle w:val="12"/>
        <w:kinsoku w:val="0"/>
        <w:overflowPunct w:val="0"/>
        <w:spacing w:line="288" w:lineRule="auto"/>
        <w:ind w:firstLine="420" w:firstLineChars="200"/>
        <w:rPr>
          <w:rFonts w:ascii="宋体" w:hAnsi="宋体"/>
          <w:color w:val="auto"/>
          <w:szCs w:val="21"/>
          <w:highlight w:val="none"/>
        </w:rPr>
      </w:pPr>
      <w:r>
        <w:rPr>
          <w:rFonts w:ascii="宋体" w:hAnsi="宋体"/>
          <w:color w:val="auto"/>
          <w:szCs w:val="21"/>
          <w:highlight w:val="none"/>
        </w:rPr>
        <w:t>6.3.1</w:t>
      </w:r>
      <w:r>
        <w:rPr>
          <w:rFonts w:hint="eastAsia" w:ascii="宋体" w:hAnsi="宋体"/>
          <w:color w:val="auto"/>
          <w:szCs w:val="21"/>
          <w:highlight w:val="none"/>
        </w:rPr>
        <w:t>评标委员会按照第三章“评标办法”规定的方法、评审因素、标准和程序对投标文件进行评审。第三章“评标办法”没有规定的方法、评审因素和标准，不作为评标依据。</w:t>
      </w:r>
    </w:p>
    <w:p w14:paraId="24048B77">
      <w:pPr>
        <w:pStyle w:val="12"/>
        <w:kinsoku w:val="0"/>
        <w:overflowPunct w:val="0"/>
        <w:spacing w:line="288" w:lineRule="auto"/>
        <w:ind w:firstLine="420" w:firstLineChars="200"/>
        <w:rPr>
          <w:rFonts w:ascii="宋体" w:hAnsi="宋体"/>
          <w:color w:val="auto"/>
          <w:szCs w:val="21"/>
          <w:highlight w:val="none"/>
        </w:rPr>
      </w:pPr>
      <w:r>
        <w:rPr>
          <w:rFonts w:ascii="宋体" w:hAnsi="宋体"/>
          <w:color w:val="auto"/>
          <w:szCs w:val="21"/>
          <w:highlight w:val="none"/>
        </w:rPr>
        <w:t>6.3.2</w:t>
      </w:r>
      <w:r>
        <w:rPr>
          <w:rFonts w:hint="eastAsia" w:ascii="宋体" w:hAnsi="宋体"/>
          <w:color w:val="auto"/>
          <w:szCs w:val="21"/>
          <w:highlight w:val="none"/>
        </w:rPr>
        <w:t>评标完成后，评标委员会应当向招标人提交书面评标报告和中标候选人名单。评标委员会推荐中标候选人的人数见投标人须知前附表。</w:t>
      </w:r>
    </w:p>
    <w:p w14:paraId="5E521227">
      <w:pPr>
        <w:rPr>
          <w:color w:val="auto"/>
          <w:highlight w:val="none"/>
        </w:rPr>
      </w:pPr>
    </w:p>
    <w:p w14:paraId="5199A28A">
      <w:pPr>
        <w:pStyle w:val="4"/>
        <w:rPr>
          <w:color w:val="auto"/>
          <w:highlight w:val="none"/>
        </w:rPr>
      </w:pPr>
      <w:bookmarkStart w:id="80" w:name="bookmark60"/>
      <w:bookmarkEnd w:id="80"/>
      <w:bookmarkStart w:id="81" w:name="_Toc533357314"/>
      <w:bookmarkStart w:id="82" w:name="_Toc118553976"/>
      <w:r>
        <w:rPr>
          <w:color w:val="auto"/>
          <w:highlight w:val="none"/>
        </w:rPr>
        <w:t xml:space="preserve">7. </w:t>
      </w:r>
      <w:r>
        <w:rPr>
          <w:rFonts w:hint="eastAsia"/>
          <w:color w:val="auto"/>
          <w:highlight w:val="none"/>
        </w:rPr>
        <w:t>合同授予</w:t>
      </w:r>
      <w:bookmarkEnd w:id="81"/>
      <w:bookmarkEnd w:id="82"/>
    </w:p>
    <w:p w14:paraId="09634DC2">
      <w:pPr>
        <w:pStyle w:val="6"/>
        <w:rPr>
          <w:color w:val="auto"/>
          <w:highlight w:val="none"/>
        </w:rPr>
      </w:pPr>
      <w:bookmarkStart w:id="83" w:name="bookmark61"/>
      <w:bookmarkEnd w:id="83"/>
      <w:r>
        <w:rPr>
          <w:color w:val="auto"/>
          <w:highlight w:val="none"/>
        </w:rPr>
        <w:t xml:space="preserve">7.1 </w:t>
      </w:r>
      <w:r>
        <w:rPr>
          <w:rFonts w:hint="eastAsia"/>
          <w:color w:val="auto"/>
          <w:highlight w:val="none"/>
        </w:rPr>
        <w:t>中标候选人公示</w:t>
      </w:r>
    </w:p>
    <w:p w14:paraId="393936EF">
      <w:pPr>
        <w:pStyle w:val="12"/>
        <w:kinsoku w:val="0"/>
        <w:overflowPunct w:val="0"/>
        <w:spacing w:line="288" w:lineRule="auto"/>
        <w:ind w:firstLine="420" w:firstLineChars="200"/>
        <w:rPr>
          <w:rFonts w:ascii="宋体" w:hAnsi="宋体"/>
          <w:color w:val="auto"/>
          <w:szCs w:val="21"/>
          <w:highlight w:val="none"/>
        </w:rPr>
      </w:pPr>
      <w:r>
        <w:rPr>
          <w:rFonts w:hint="eastAsia" w:ascii="宋体" w:hAnsi="宋体"/>
          <w:color w:val="auto"/>
          <w:szCs w:val="21"/>
          <w:highlight w:val="none"/>
        </w:rPr>
        <w:t>招标人在收到评标报告之日起</w:t>
      </w:r>
      <w:r>
        <w:rPr>
          <w:rFonts w:ascii="宋体" w:hAnsi="宋体"/>
          <w:color w:val="auto"/>
          <w:szCs w:val="21"/>
          <w:highlight w:val="none"/>
        </w:rPr>
        <w:t>3</w:t>
      </w:r>
      <w:r>
        <w:rPr>
          <w:rFonts w:hint="eastAsia" w:ascii="宋体" w:hAnsi="宋体"/>
          <w:color w:val="auto"/>
          <w:szCs w:val="21"/>
          <w:highlight w:val="none"/>
        </w:rPr>
        <w:t>日内，按照投标人须知前附表规定的公示媒介和期限公示中标候选人，公示期不得少于</w:t>
      </w:r>
      <w:r>
        <w:rPr>
          <w:rFonts w:ascii="宋体" w:hAnsi="宋体"/>
          <w:color w:val="auto"/>
          <w:szCs w:val="21"/>
          <w:highlight w:val="none"/>
        </w:rPr>
        <w:t>3</w:t>
      </w:r>
      <w:r>
        <w:rPr>
          <w:rFonts w:hint="eastAsia" w:ascii="宋体" w:hAnsi="宋体"/>
          <w:color w:val="auto"/>
          <w:szCs w:val="21"/>
          <w:highlight w:val="none"/>
        </w:rPr>
        <w:t>天。</w:t>
      </w:r>
    </w:p>
    <w:p w14:paraId="6FF20568">
      <w:pPr>
        <w:rPr>
          <w:color w:val="auto"/>
          <w:highlight w:val="none"/>
        </w:rPr>
      </w:pPr>
    </w:p>
    <w:p w14:paraId="54848C58">
      <w:pPr>
        <w:pStyle w:val="6"/>
        <w:rPr>
          <w:color w:val="auto"/>
          <w:highlight w:val="none"/>
        </w:rPr>
      </w:pPr>
      <w:bookmarkStart w:id="84" w:name="bookmark62"/>
      <w:bookmarkEnd w:id="84"/>
      <w:r>
        <w:rPr>
          <w:color w:val="auto"/>
          <w:highlight w:val="none"/>
        </w:rPr>
        <w:t xml:space="preserve">7.2 </w:t>
      </w:r>
      <w:r>
        <w:rPr>
          <w:rFonts w:hint="eastAsia"/>
          <w:color w:val="auto"/>
          <w:highlight w:val="none"/>
        </w:rPr>
        <w:t>评标结果异议</w:t>
      </w:r>
    </w:p>
    <w:p w14:paraId="09B7E928">
      <w:pPr>
        <w:pStyle w:val="12"/>
        <w:kinsoku w:val="0"/>
        <w:overflowPunct w:val="0"/>
        <w:spacing w:line="288" w:lineRule="auto"/>
        <w:ind w:firstLine="420" w:firstLineChars="200"/>
        <w:rPr>
          <w:rFonts w:ascii="宋体" w:hAnsi="宋体"/>
          <w:color w:val="auto"/>
          <w:szCs w:val="21"/>
          <w:highlight w:val="none"/>
        </w:rPr>
      </w:pPr>
      <w:r>
        <w:rPr>
          <w:rFonts w:hint="eastAsia" w:ascii="宋体" w:hAnsi="宋体"/>
          <w:color w:val="auto"/>
          <w:szCs w:val="21"/>
          <w:highlight w:val="none"/>
        </w:rPr>
        <w:t>投标人或者其他利害关系人对评标结果有异议的，应当在中标候选人公示期间提出。招标人将在收到异议之日起</w:t>
      </w:r>
      <w:r>
        <w:rPr>
          <w:rFonts w:ascii="宋体" w:hAnsi="宋体"/>
          <w:color w:val="auto"/>
          <w:szCs w:val="21"/>
          <w:highlight w:val="none"/>
        </w:rPr>
        <w:t>3</w:t>
      </w:r>
      <w:r>
        <w:rPr>
          <w:rFonts w:hint="eastAsia" w:ascii="宋体" w:hAnsi="宋体"/>
          <w:color w:val="auto"/>
          <w:szCs w:val="21"/>
          <w:highlight w:val="none"/>
        </w:rPr>
        <w:t>日内作出答复；作出答复前，将暂停招标投标活动。</w:t>
      </w:r>
    </w:p>
    <w:p w14:paraId="41B905C3">
      <w:pPr>
        <w:pStyle w:val="12"/>
        <w:kinsoku w:val="0"/>
        <w:overflowPunct w:val="0"/>
        <w:spacing w:line="288" w:lineRule="auto"/>
        <w:ind w:firstLine="420" w:firstLineChars="200"/>
        <w:rPr>
          <w:rFonts w:ascii="宋体" w:hAnsi="宋体"/>
          <w:color w:val="auto"/>
          <w:szCs w:val="21"/>
          <w:highlight w:val="none"/>
        </w:rPr>
      </w:pPr>
    </w:p>
    <w:p w14:paraId="42C4B3D6">
      <w:pPr>
        <w:pStyle w:val="6"/>
        <w:rPr>
          <w:color w:val="auto"/>
          <w:highlight w:val="none"/>
        </w:rPr>
      </w:pPr>
      <w:bookmarkStart w:id="85" w:name="bookmark63"/>
      <w:bookmarkEnd w:id="85"/>
      <w:r>
        <w:rPr>
          <w:color w:val="auto"/>
          <w:highlight w:val="none"/>
        </w:rPr>
        <w:t xml:space="preserve">7.3 </w:t>
      </w:r>
      <w:r>
        <w:rPr>
          <w:rFonts w:hint="eastAsia"/>
          <w:color w:val="auto"/>
          <w:highlight w:val="none"/>
        </w:rPr>
        <w:t>中标候选人履约能力审查</w:t>
      </w:r>
    </w:p>
    <w:p w14:paraId="16691D94">
      <w:pPr>
        <w:pStyle w:val="12"/>
        <w:kinsoku w:val="0"/>
        <w:overflowPunct w:val="0"/>
        <w:spacing w:line="288" w:lineRule="auto"/>
        <w:ind w:firstLine="420" w:firstLineChars="200"/>
        <w:rPr>
          <w:rFonts w:ascii="宋体" w:hAnsi="宋体"/>
          <w:color w:val="auto"/>
          <w:szCs w:val="21"/>
          <w:highlight w:val="none"/>
        </w:rPr>
      </w:pPr>
      <w:r>
        <w:rPr>
          <w:rFonts w:hint="eastAsia" w:ascii="宋体" w:hAnsi="宋体"/>
          <w:color w:val="auto"/>
          <w:szCs w:val="21"/>
          <w:highlight w:val="none"/>
        </w:rPr>
        <w:t>中标候选人的经营、财务状况发生较大变化或存在违法行为，招标人认为可能影响其履约能力的，将在发出中标通知书前提请原评标委员会按照招标文件规定的标准和方法进行审查确认。</w:t>
      </w:r>
    </w:p>
    <w:p w14:paraId="1F925DA2">
      <w:pPr>
        <w:pStyle w:val="12"/>
        <w:kinsoku w:val="0"/>
        <w:overflowPunct w:val="0"/>
        <w:spacing w:line="288" w:lineRule="auto"/>
        <w:ind w:firstLine="420" w:firstLineChars="200"/>
        <w:rPr>
          <w:rFonts w:ascii="宋体" w:hAnsi="宋体"/>
          <w:color w:val="auto"/>
          <w:szCs w:val="21"/>
          <w:highlight w:val="none"/>
        </w:rPr>
      </w:pPr>
    </w:p>
    <w:p w14:paraId="2E7E4E2F">
      <w:pPr>
        <w:pStyle w:val="6"/>
        <w:rPr>
          <w:color w:val="auto"/>
          <w:highlight w:val="none"/>
        </w:rPr>
      </w:pPr>
      <w:bookmarkStart w:id="86" w:name="bookmark64"/>
      <w:bookmarkEnd w:id="86"/>
      <w:r>
        <w:rPr>
          <w:color w:val="auto"/>
          <w:highlight w:val="none"/>
        </w:rPr>
        <w:t xml:space="preserve">7.4 </w:t>
      </w:r>
      <w:r>
        <w:rPr>
          <w:rFonts w:hint="eastAsia"/>
          <w:color w:val="auto"/>
          <w:highlight w:val="none"/>
        </w:rPr>
        <w:t>定标</w:t>
      </w:r>
    </w:p>
    <w:p w14:paraId="7410DE4C">
      <w:pPr>
        <w:pStyle w:val="12"/>
        <w:kinsoku w:val="0"/>
        <w:overflowPunct w:val="0"/>
        <w:spacing w:line="288" w:lineRule="auto"/>
        <w:ind w:firstLine="420" w:firstLineChars="200"/>
        <w:rPr>
          <w:rFonts w:ascii="宋体" w:hAnsi="宋体"/>
          <w:color w:val="auto"/>
          <w:szCs w:val="21"/>
          <w:highlight w:val="none"/>
        </w:rPr>
      </w:pPr>
      <w:r>
        <w:rPr>
          <w:rFonts w:hint="eastAsia" w:ascii="宋体" w:hAnsi="宋体"/>
          <w:color w:val="auto"/>
          <w:szCs w:val="21"/>
          <w:highlight w:val="none"/>
        </w:rPr>
        <w:t>按照投标人须知前附表的规定，招标人或招标人授权的评标委员会依法确定中标人。</w:t>
      </w:r>
    </w:p>
    <w:p w14:paraId="1C8988C8">
      <w:pPr>
        <w:pStyle w:val="12"/>
        <w:kinsoku w:val="0"/>
        <w:overflowPunct w:val="0"/>
        <w:spacing w:line="288" w:lineRule="auto"/>
        <w:ind w:firstLine="420" w:firstLineChars="200"/>
        <w:rPr>
          <w:rFonts w:ascii="宋体" w:hAnsi="宋体"/>
          <w:color w:val="auto"/>
          <w:szCs w:val="21"/>
          <w:highlight w:val="none"/>
        </w:rPr>
      </w:pPr>
    </w:p>
    <w:p w14:paraId="3BAFB780">
      <w:pPr>
        <w:pStyle w:val="6"/>
        <w:rPr>
          <w:color w:val="auto"/>
          <w:highlight w:val="none"/>
        </w:rPr>
      </w:pPr>
      <w:bookmarkStart w:id="87" w:name="bookmark65"/>
      <w:bookmarkEnd w:id="87"/>
      <w:r>
        <w:rPr>
          <w:color w:val="auto"/>
          <w:highlight w:val="none"/>
        </w:rPr>
        <w:t xml:space="preserve">7.5 </w:t>
      </w:r>
      <w:r>
        <w:rPr>
          <w:rFonts w:hint="eastAsia"/>
          <w:color w:val="auto"/>
          <w:highlight w:val="none"/>
        </w:rPr>
        <w:t>中标通知</w:t>
      </w:r>
    </w:p>
    <w:p w14:paraId="12198D18">
      <w:pPr>
        <w:pStyle w:val="12"/>
        <w:kinsoku w:val="0"/>
        <w:overflowPunct w:val="0"/>
        <w:spacing w:line="288" w:lineRule="auto"/>
        <w:ind w:firstLine="420" w:firstLineChars="200"/>
        <w:rPr>
          <w:rFonts w:ascii="宋体" w:hAnsi="宋体"/>
          <w:color w:val="auto"/>
          <w:szCs w:val="21"/>
          <w:highlight w:val="none"/>
        </w:rPr>
      </w:pPr>
      <w:r>
        <w:rPr>
          <w:rFonts w:hint="eastAsia" w:ascii="宋体" w:hAnsi="宋体"/>
          <w:color w:val="auto"/>
          <w:szCs w:val="21"/>
          <w:highlight w:val="none"/>
        </w:rPr>
        <w:t>在本章第</w:t>
      </w:r>
      <w:r>
        <w:rPr>
          <w:rFonts w:ascii="宋体" w:hAnsi="宋体"/>
          <w:color w:val="auto"/>
          <w:szCs w:val="21"/>
          <w:highlight w:val="none"/>
        </w:rPr>
        <w:t>3.3</w:t>
      </w:r>
      <w:r>
        <w:rPr>
          <w:rFonts w:hint="eastAsia" w:ascii="宋体" w:hAnsi="宋体"/>
          <w:color w:val="auto"/>
          <w:szCs w:val="21"/>
          <w:highlight w:val="none"/>
        </w:rPr>
        <w:t>款规定的投标有效期内，招标人以书面形式向中标人发出中标通知书，同时将中标结果通知未中标的投标人。</w:t>
      </w:r>
    </w:p>
    <w:p w14:paraId="09AC9115">
      <w:pPr>
        <w:pStyle w:val="12"/>
        <w:kinsoku w:val="0"/>
        <w:overflowPunct w:val="0"/>
        <w:spacing w:line="288" w:lineRule="auto"/>
        <w:ind w:firstLine="420" w:firstLineChars="200"/>
        <w:rPr>
          <w:rFonts w:ascii="宋体" w:hAnsi="宋体"/>
          <w:color w:val="auto"/>
          <w:szCs w:val="21"/>
          <w:highlight w:val="none"/>
        </w:rPr>
      </w:pPr>
    </w:p>
    <w:p w14:paraId="22A17265">
      <w:pPr>
        <w:pStyle w:val="6"/>
        <w:rPr>
          <w:color w:val="auto"/>
          <w:highlight w:val="none"/>
        </w:rPr>
      </w:pPr>
      <w:bookmarkStart w:id="88" w:name="bookmark66"/>
      <w:bookmarkEnd w:id="88"/>
      <w:r>
        <w:rPr>
          <w:color w:val="auto"/>
          <w:highlight w:val="none"/>
        </w:rPr>
        <w:t xml:space="preserve">7.6 </w:t>
      </w:r>
      <w:r>
        <w:rPr>
          <w:rFonts w:hint="eastAsia"/>
          <w:color w:val="auto"/>
          <w:highlight w:val="none"/>
        </w:rPr>
        <w:t>履约保证金</w:t>
      </w:r>
    </w:p>
    <w:p w14:paraId="2B4B0A73">
      <w:pPr>
        <w:pStyle w:val="12"/>
        <w:kinsoku w:val="0"/>
        <w:overflowPunct w:val="0"/>
        <w:spacing w:line="288" w:lineRule="auto"/>
        <w:ind w:firstLine="420" w:firstLineChars="200"/>
        <w:rPr>
          <w:rFonts w:ascii="宋体" w:hAnsi="宋体"/>
          <w:color w:val="auto"/>
          <w:szCs w:val="21"/>
          <w:highlight w:val="none"/>
        </w:rPr>
      </w:pPr>
      <w:r>
        <w:rPr>
          <w:rFonts w:ascii="宋体" w:hAnsi="宋体"/>
          <w:color w:val="auto"/>
          <w:szCs w:val="21"/>
          <w:highlight w:val="none"/>
        </w:rPr>
        <w:t>7.6.1</w:t>
      </w:r>
      <w:r>
        <w:rPr>
          <w:rFonts w:hint="eastAsia" w:ascii="宋体" w:hAnsi="宋体"/>
          <w:color w:val="auto"/>
          <w:szCs w:val="21"/>
          <w:highlight w:val="none"/>
        </w:rPr>
        <w:t>在签订合同</w:t>
      </w:r>
      <w:r>
        <w:rPr>
          <w:rFonts w:hint="eastAsia" w:ascii="宋体" w:hAnsi="宋体"/>
          <w:color w:val="auto"/>
          <w:szCs w:val="21"/>
          <w:highlight w:val="none"/>
          <w:lang w:val="en-US" w:eastAsia="zh-CN"/>
        </w:rPr>
        <w:t>后的30天内</w:t>
      </w:r>
      <w:r>
        <w:rPr>
          <w:rFonts w:hint="eastAsia" w:ascii="宋体" w:hAnsi="宋体"/>
          <w:color w:val="auto"/>
          <w:szCs w:val="21"/>
          <w:highlight w:val="none"/>
        </w:rPr>
        <w:t>，中标人应按投标人须知前附表规定的形式、金额和招标文件第四章“合同条款及格式”规定的或者事先经过招标人书面认可的履约保证金格式向招标人提交履约保证金。除投标人须知前附表另有规定外，履约保证金为中标合同金额的</w:t>
      </w:r>
      <w:r>
        <w:rPr>
          <w:rFonts w:ascii="宋体" w:hAnsi="宋体"/>
          <w:color w:val="auto"/>
          <w:szCs w:val="21"/>
          <w:highlight w:val="none"/>
        </w:rPr>
        <w:t>10%</w:t>
      </w:r>
      <w:r>
        <w:rPr>
          <w:rFonts w:hint="eastAsia" w:ascii="宋体" w:hAnsi="宋体"/>
          <w:color w:val="auto"/>
          <w:szCs w:val="21"/>
          <w:highlight w:val="none"/>
        </w:rPr>
        <w:t>。联合体中标的，其履约保证金以联合体各方或者联合体中牵头人的名义提交。</w:t>
      </w:r>
    </w:p>
    <w:p w14:paraId="0EBF5BE5">
      <w:pPr>
        <w:pStyle w:val="12"/>
        <w:kinsoku w:val="0"/>
        <w:overflowPunct w:val="0"/>
        <w:spacing w:line="288" w:lineRule="auto"/>
        <w:ind w:firstLine="420" w:firstLineChars="200"/>
        <w:rPr>
          <w:rFonts w:ascii="宋体" w:hAnsi="宋体"/>
          <w:color w:val="auto"/>
          <w:szCs w:val="21"/>
          <w:highlight w:val="none"/>
        </w:rPr>
      </w:pPr>
      <w:r>
        <w:rPr>
          <w:rFonts w:ascii="宋体" w:hAnsi="宋体"/>
          <w:color w:val="auto"/>
          <w:szCs w:val="21"/>
          <w:highlight w:val="none"/>
        </w:rPr>
        <w:t>7.6.2</w:t>
      </w:r>
      <w:r>
        <w:rPr>
          <w:rFonts w:hint="eastAsia" w:ascii="宋体" w:hAnsi="宋体"/>
          <w:color w:val="auto"/>
          <w:szCs w:val="21"/>
          <w:highlight w:val="none"/>
        </w:rPr>
        <w:t>中标人不能按本章第</w:t>
      </w:r>
      <w:r>
        <w:rPr>
          <w:rFonts w:ascii="宋体" w:hAnsi="宋体"/>
          <w:color w:val="auto"/>
          <w:szCs w:val="21"/>
          <w:highlight w:val="none"/>
        </w:rPr>
        <w:t>7.6.1</w:t>
      </w:r>
      <w:r>
        <w:rPr>
          <w:rFonts w:hint="eastAsia" w:ascii="宋体" w:hAnsi="宋体"/>
          <w:color w:val="auto"/>
          <w:szCs w:val="21"/>
          <w:highlight w:val="none"/>
        </w:rPr>
        <w:t>项要求提交履约保证金的，视为放弃中标，其投标保证金不予退还，给招标人造成的损失超过投标保证金数额的，中标人还应当对超过部分予以赔偿。</w:t>
      </w:r>
    </w:p>
    <w:p w14:paraId="7FC05AF0">
      <w:pPr>
        <w:pStyle w:val="12"/>
        <w:kinsoku w:val="0"/>
        <w:overflowPunct w:val="0"/>
        <w:spacing w:line="288" w:lineRule="auto"/>
        <w:ind w:firstLine="420" w:firstLineChars="200"/>
        <w:rPr>
          <w:rFonts w:ascii="宋体" w:hAnsi="宋体"/>
          <w:color w:val="auto"/>
          <w:szCs w:val="21"/>
          <w:highlight w:val="none"/>
        </w:rPr>
      </w:pPr>
    </w:p>
    <w:p w14:paraId="572C6FAD">
      <w:pPr>
        <w:pStyle w:val="6"/>
        <w:rPr>
          <w:color w:val="auto"/>
          <w:highlight w:val="none"/>
        </w:rPr>
      </w:pPr>
      <w:bookmarkStart w:id="89" w:name="bookmark67"/>
      <w:bookmarkEnd w:id="89"/>
      <w:r>
        <w:rPr>
          <w:color w:val="auto"/>
          <w:highlight w:val="none"/>
        </w:rPr>
        <w:t xml:space="preserve">7.7 </w:t>
      </w:r>
      <w:r>
        <w:rPr>
          <w:rFonts w:hint="eastAsia"/>
          <w:color w:val="auto"/>
          <w:highlight w:val="none"/>
        </w:rPr>
        <w:t>签订合同</w:t>
      </w:r>
    </w:p>
    <w:p w14:paraId="0C67756C">
      <w:pPr>
        <w:pStyle w:val="12"/>
        <w:kinsoku w:val="0"/>
        <w:overflowPunct w:val="0"/>
        <w:spacing w:line="288" w:lineRule="auto"/>
        <w:ind w:firstLine="420" w:firstLineChars="200"/>
        <w:rPr>
          <w:rFonts w:ascii="宋体" w:hAnsi="宋体"/>
          <w:color w:val="auto"/>
          <w:szCs w:val="21"/>
          <w:highlight w:val="none"/>
        </w:rPr>
      </w:pPr>
      <w:r>
        <w:rPr>
          <w:rFonts w:ascii="宋体" w:hAnsi="宋体"/>
          <w:color w:val="auto"/>
          <w:szCs w:val="21"/>
          <w:highlight w:val="none"/>
        </w:rPr>
        <w:t>7.7.1</w:t>
      </w:r>
      <w:r>
        <w:rPr>
          <w:rFonts w:hint="eastAsia" w:ascii="宋体" w:hAnsi="宋体"/>
          <w:color w:val="auto"/>
          <w:szCs w:val="21"/>
          <w:highlight w:val="none"/>
        </w:rPr>
        <w:t>招标人和中标人应当在中标通知书发出之日起</w:t>
      </w:r>
      <w:r>
        <w:rPr>
          <w:rFonts w:ascii="宋体" w:hAnsi="宋体"/>
          <w:color w:val="auto"/>
          <w:szCs w:val="21"/>
          <w:highlight w:val="none"/>
        </w:rPr>
        <w:t>30</w:t>
      </w:r>
      <w:r>
        <w:rPr>
          <w:rFonts w:hint="eastAsia" w:ascii="宋体" w:hAnsi="宋体"/>
          <w:color w:val="auto"/>
          <w:szCs w:val="21"/>
          <w:highlight w:val="none"/>
        </w:rPr>
        <w:t>日内，根据招标文件和中标人的投标文件订立书面合同。中标人无正当理由拒签合同，在签订合同时向招标人提出附加条件，或者不按照招标文件要求提交履约保证金的，招标人有权取消其中标资格，其投标保证金不予退还；给招标人造成的损失超过投标保证金数额的，中标人还应当对超过部分予以赔偿。</w:t>
      </w:r>
    </w:p>
    <w:p w14:paraId="09E49792">
      <w:pPr>
        <w:pStyle w:val="12"/>
        <w:kinsoku w:val="0"/>
        <w:overflowPunct w:val="0"/>
        <w:spacing w:line="288" w:lineRule="auto"/>
        <w:ind w:firstLine="420" w:firstLineChars="200"/>
        <w:rPr>
          <w:rFonts w:ascii="宋体" w:hAnsi="宋体"/>
          <w:color w:val="auto"/>
          <w:szCs w:val="21"/>
          <w:highlight w:val="none"/>
        </w:rPr>
      </w:pPr>
      <w:r>
        <w:rPr>
          <w:rFonts w:ascii="宋体" w:hAnsi="宋体"/>
          <w:color w:val="auto"/>
          <w:szCs w:val="21"/>
          <w:highlight w:val="none"/>
        </w:rPr>
        <w:t>7.7.2</w:t>
      </w:r>
      <w:r>
        <w:rPr>
          <w:rFonts w:hint="eastAsia" w:ascii="宋体" w:hAnsi="宋体"/>
          <w:color w:val="auto"/>
          <w:szCs w:val="21"/>
          <w:highlight w:val="none"/>
        </w:rPr>
        <w:t>发出中标通知书后，招标人无正当理由拒签合同，或者在签订合同时向中标人提出附加条件的，招标人向中标人退还投标保证金；给中标人造成损失的，还应当赔偿损失。</w:t>
      </w:r>
    </w:p>
    <w:p w14:paraId="3A0AA8F2">
      <w:pPr>
        <w:pStyle w:val="12"/>
        <w:kinsoku w:val="0"/>
        <w:overflowPunct w:val="0"/>
        <w:spacing w:line="288" w:lineRule="auto"/>
        <w:ind w:firstLine="420" w:firstLineChars="200"/>
        <w:rPr>
          <w:rFonts w:ascii="宋体" w:hAnsi="宋体"/>
          <w:color w:val="auto"/>
          <w:szCs w:val="21"/>
          <w:highlight w:val="none"/>
        </w:rPr>
      </w:pPr>
      <w:r>
        <w:rPr>
          <w:rFonts w:ascii="宋体" w:hAnsi="宋体"/>
          <w:color w:val="auto"/>
          <w:szCs w:val="21"/>
          <w:highlight w:val="none"/>
        </w:rPr>
        <w:t>7.7.3</w:t>
      </w:r>
      <w:r>
        <w:rPr>
          <w:rFonts w:hint="eastAsia" w:ascii="宋体" w:hAnsi="宋体"/>
          <w:color w:val="auto"/>
          <w:szCs w:val="21"/>
          <w:highlight w:val="none"/>
        </w:rPr>
        <w:t>联合体中标的，联合体各方应当共同与招标人签订合同，就中标项目向招标人承担连带责任。</w:t>
      </w:r>
    </w:p>
    <w:p w14:paraId="53037B2F">
      <w:pPr>
        <w:rPr>
          <w:color w:val="auto"/>
          <w:highlight w:val="none"/>
        </w:rPr>
      </w:pPr>
    </w:p>
    <w:p w14:paraId="1D5AC278">
      <w:pPr>
        <w:pStyle w:val="4"/>
        <w:rPr>
          <w:color w:val="auto"/>
          <w:highlight w:val="none"/>
        </w:rPr>
      </w:pPr>
      <w:bookmarkStart w:id="90" w:name="bookmark68"/>
      <w:bookmarkEnd w:id="90"/>
      <w:bookmarkStart w:id="91" w:name="_Toc533357315"/>
      <w:bookmarkStart w:id="92" w:name="_Toc118553977"/>
      <w:r>
        <w:rPr>
          <w:color w:val="auto"/>
          <w:highlight w:val="none"/>
        </w:rPr>
        <w:t xml:space="preserve">8. </w:t>
      </w:r>
      <w:r>
        <w:rPr>
          <w:rFonts w:hint="eastAsia"/>
          <w:color w:val="auto"/>
          <w:highlight w:val="none"/>
        </w:rPr>
        <w:t>纪律和监督</w:t>
      </w:r>
      <w:bookmarkEnd w:id="91"/>
      <w:bookmarkEnd w:id="92"/>
    </w:p>
    <w:p w14:paraId="0C96C65F">
      <w:pPr>
        <w:pStyle w:val="6"/>
        <w:rPr>
          <w:color w:val="auto"/>
          <w:highlight w:val="none"/>
        </w:rPr>
      </w:pPr>
      <w:bookmarkStart w:id="93" w:name="bookmark69"/>
      <w:bookmarkEnd w:id="93"/>
      <w:r>
        <w:rPr>
          <w:color w:val="auto"/>
          <w:highlight w:val="none"/>
        </w:rPr>
        <w:t xml:space="preserve">8.1 </w:t>
      </w:r>
      <w:r>
        <w:rPr>
          <w:rFonts w:hint="eastAsia"/>
          <w:color w:val="auto"/>
          <w:highlight w:val="none"/>
        </w:rPr>
        <w:t>对招标人的纪律要求</w:t>
      </w:r>
    </w:p>
    <w:p w14:paraId="12614F58">
      <w:pPr>
        <w:pStyle w:val="12"/>
        <w:kinsoku w:val="0"/>
        <w:overflowPunct w:val="0"/>
        <w:spacing w:line="288" w:lineRule="auto"/>
        <w:ind w:firstLine="420" w:firstLineChars="200"/>
        <w:rPr>
          <w:rFonts w:ascii="宋体" w:hAnsi="宋体"/>
          <w:color w:val="auto"/>
          <w:szCs w:val="21"/>
          <w:highlight w:val="none"/>
        </w:rPr>
      </w:pPr>
      <w:r>
        <w:rPr>
          <w:rFonts w:hint="eastAsia" w:ascii="宋体" w:hAnsi="宋体"/>
          <w:color w:val="auto"/>
          <w:szCs w:val="21"/>
          <w:highlight w:val="none"/>
        </w:rPr>
        <w:t>招标人不得泄露招标投标活动中应当保密的情况和资料，不得与投标人串通损害国家利益、社会公共利益或者他人合法权益。</w:t>
      </w:r>
    </w:p>
    <w:p w14:paraId="2A6C6F78">
      <w:pPr>
        <w:pStyle w:val="12"/>
        <w:kinsoku w:val="0"/>
        <w:overflowPunct w:val="0"/>
        <w:spacing w:line="288" w:lineRule="auto"/>
        <w:ind w:firstLine="420" w:firstLineChars="200"/>
        <w:rPr>
          <w:rFonts w:ascii="宋体" w:hAnsi="宋体"/>
          <w:color w:val="auto"/>
          <w:szCs w:val="21"/>
          <w:highlight w:val="none"/>
        </w:rPr>
      </w:pPr>
    </w:p>
    <w:p w14:paraId="26E91154">
      <w:pPr>
        <w:pStyle w:val="6"/>
        <w:rPr>
          <w:color w:val="auto"/>
          <w:highlight w:val="none"/>
        </w:rPr>
      </w:pPr>
      <w:bookmarkStart w:id="94" w:name="bookmark70"/>
      <w:bookmarkEnd w:id="94"/>
      <w:r>
        <w:rPr>
          <w:color w:val="auto"/>
          <w:highlight w:val="none"/>
        </w:rPr>
        <w:t xml:space="preserve">8.2 </w:t>
      </w:r>
      <w:r>
        <w:rPr>
          <w:rFonts w:hint="eastAsia"/>
          <w:color w:val="auto"/>
          <w:highlight w:val="none"/>
        </w:rPr>
        <w:t>对投标人的纪律要求</w:t>
      </w:r>
    </w:p>
    <w:p w14:paraId="00D68E34">
      <w:pPr>
        <w:pStyle w:val="12"/>
        <w:kinsoku w:val="0"/>
        <w:overflowPunct w:val="0"/>
        <w:spacing w:line="288" w:lineRule="auto"/>
        <w:ind w:firstLine="420" w:firstLineChars="200"/>
        <w:rPr>
          <w:rFonts w:ascii="宋体" w:hAnsi="宋体"/>
          <w:color w:val="auto"/>
          <w:szCs w:val="21"/>
          <w:highlight w:val="none"/>
        </w:rPr>
      </w:pPr>
      <w:r>
        <w:rPr>
          <w:rFonts w:hint="eastAsia" w:ascii="宋体" w:hAnsi="宋体"/>
          <w:color w:val="auto"/>
          <w:szCs w:val="21"/>
          <w:highlight w:val="none"/>
        </w:rPr>
        <w:t>投标人不得相互串通投标或者与招标人串通投标，不得向招标人或者评标委员会成员行贿谋取中标，不得以他人名义投标或者以其他方式弄虚作假骗取中标；投标人不得以任何方式干扰、影响评标工作。</w:t>
      </w:r>
    </w:p>
    <w:p w14:paraId="6F1F580C">
      <w:pPr>
        <w:pStyle w:val="12"/>
        <w:kinsoku w:val="0"/>
        <w:overflowPunct w:val="0"/>
        <w:spacing w:line="288" w:lineRule="auto"/>
        <w:ind w:firstLine="420" w:firstLineChars="200"/>
        <w:rPr>
          <w:rFonts w:ascii="宋体" w:hAnsi="宋体"/>
          <w:color w:val="auto"/>
          <w:szCs w:val="21"/>
          <w:highlight w:val="none"/>
        </w:rPr>
      </w:pPr>
    </w:p>
    <w:p w14:paraId="26099E5F">
      <w:pPr>
        <w:pStyle w:val="6"/>
        <w:rPr>
          <w:color w:val="auto"/>
          <w:highlight w:val="none"/>
        </w:rPr>
      </w:pPr>
      <w:bookmarkStart w:id="95" w:name="bookmark71"/>
      <w:bookmarkEnd w:id="95"/>
      <w:r>
        <w:rPr>
          <w:color w:val="auto"/>
          <w:highlight w:val="none"/>
        </w:rPr>
        <w:t xml:space="preserve">8.3 </w:t>
      </w:r>
      <w:r>
        <w:rPr>
          <w:rFonts w:hint="eastAsia"/>
          <w:color w:val="auto"/>
          <w:highlight w:val="none"/>
        </w:rPr>
        <w:t>对评标委员会成员的纪律要求</w:t>
      </w:r>
    </w:p>
    <w:p w14:paraId="37FDCD3A">
      <w:pPr>
        <w:pStyle w:val="12"/>
        <w:kinsoku w:val="0"/>
        <w:overflowPunct w:val="0"/>
        <w:spacing w:line="288" w:lineRule="auto"/>
        <w:ind w:firstLine="420" w:firstLineChars="200"/>
        <w:rPr>
          <w:rFonts w:ascii="宋体" w:hAnsi="宋体"/>
          <w:color w:val="auto"/>
          <w:szCs w:val="21"/>
          <w:highlight w:val="none"/>
        </w:rPr>
      </w:pPr>
      <w:r>
        <w:rPr>
          <w:rFonts w:hint="eastAsia" w:ascii="宋体" w:hAnsi="宋体"/>
          <w:color w:val="auto"/>
          <w:szCs w:val="21"/>
          <w:highlight w:val="none"/>
        </w:rPr>
        <w:t>评标委员会成员不得收受他人的财物或者其他好处，不得向他人透露对投标文件的评审和比较、中标候选人的推荐情况以及评标有关的其他情况。在评标活动中，评标委员会成员应当客观、公正地履行职责，遵守职业道德，不得擅离职守，影响评标程序正常进行，不得使用第三章“评标办法”没有规定的评审因素和标准进行评标。</w:t>
      </w:r>
    </w:p>
    <w:p w14:paraId="22FD6C4C">
      <w:pPr>
        <w:pStyle w:val="12"/>
        <w:kinsoku w:val="0"/>
        <w:overflowPunct w:val="0"/>
        <w:spacing w:line="288" w:lineRule="auto"/>
        <w:ind w:firstLine="420" w:firstLineChars="200"/>
        <w:rPr>
          <w:rFonts w:ascii="宋体" w:hAnsi="宋体"/>
          <w:color w:val="auto"/>
          <w:szCs w:val="21"/>
          <w:highlight w:val="none"/>
        </w:rPr>
      </w:pPr>
    </w:p>
    <w:p w14:paraId="28EC7B45">
      <w:pPr>
        <w:pStyle w:val="6"/>
        <w:rPr>
          <w:color w:val="auto"/>
          <w:highlight w:val="none"/>
        </w:rPr>
      </w:pPr>
      <w:bookmarkStart w:id="96" w:name="bookmark72"/>
      <w:bookmarkEnd w:id="96"/>
      <w:r>
        <w:rPr>
          <w:color w:val="auto"/>
          <w:highlight w:val="none"/>
        </w:rPr>
        <w:t xml:space="preserve">8.4 </w:t>
      </w:r>
      <w:r>
        <w:rPr>
          <w:rFonts w:hint="eastAsia"/>
          <w:color w:val="auto"/>
          <w:highlight w:val="none"/>
        </w:rPr>
        <w:t>对与评标活动有关的工作人员的纪律要求</w:t>
      </w:r>
    </w:p>
    <w:p w14:paraId="3160A916">
      <w:pPr>
        <w:pStyle w:val="12"/>
        <w:kinsoku w:val="0"/>
        <w:overflowPunct w:val="0"/>
        <w:spacing w:line="288" w:lineRule="auto"/>
        <w:ind w:firstLine="420" w:firstLineChars="200"/>
        <w:rPr>
          <w:rFonts w:ascii="宋体" w:hAnsi="宋体"/>
          <w:color w:val="auto"/>
          <w:szCs w:val="21"/>
          <w:highlight w:val="none"/>
        </w:rPr>
      </w:pPr>
      <w:r>
        <w:rPr>
          <w:rFonts w:hint="eastAsia" w:ascii="宋体" w:hAnsi="宋体"/>
          <w:color w:val="auto"/>
          <w:szCs w:val="21"/>
          <w:highlight w:val="none"/>
        </w:rPr>
        <w:t>与评标活动有关的工作人员不得收受他人的财物或者其他好处，不得向他人透露对投标文件的评审和比较、中标候选人的推荐情况以及评标有关的其他情况。在评标活动中，与评标活动有关的工作人员不得擅离职守，影响评标程序正常进行。</w:t>
      </w:r>
    </w:p>
    <w:p w14:paraId="66601E37">
      <w:pPr>
        <w:pStyle w:val="12"/>
        <w:kinsoku w:val="0"/>
        <w:overflowPunct w:val="0"/>
        <w:spacing w:line="288" w:lineRule="auto"/>
        <w:ind w:firstLine="420" w:firstLineChars="200"/>
        <w:rPr>
          <w:rFonts w:ascii="宋体" w:hAnsi="宋体"/>
          <w:color w:val="auto"/>
          <w:szCs w:val="21"/>
          <w:highlight w:val="none"/>
        </w:rPr>
      </w:pPr>
    </w:p>
    <w:p w14:paraId="6E2C6045">
      <w:pPr>
        <w:pStyle w:val="6"/>
        <w:rPr>
          <w:color w:val="auto"/>
          <w:highlight w:val="none"/>
        </w:rPr>
      </w:pPr>
      <w:bookmarkStart w:id="97" w:name="bookmark73"/>
      <w:bookmarkEnd w:id="97"/>
      <w:r>
        <w:rPr>
          <w:color w:val="auto"/>
          <w:highlight w:val="none"/>
        </w:rPr>
        <w:t xml:space="preserve">8.5 </w:t>
      </w:r>
      <w:r>
        <w:rPr>
          <w:rFonts w:hint="eastAsia"/>
          <w:color w:val="auto"/>
          <w:highlight w:val="none"/>
        </w:rPr>
        <w:t>投诉</w:t>
      </w:r>
    </w:p>
    <w:p w14:paraId="1F469A22">
      <w:pPr>
        <w:pStyle w:val="12"/>
        <w:kinsoku w:val="0"/>
        <w:overflowPunct w:val="0"/>
        <w:spacing w:line="288" w:lineRule="auto"/>
        <w:ind w:firstLine="420" w:firstLineChars="200"/>
        <w:rPr>
          <w:rFonts w:ascii="宋体" w:hAnsi="宋体"/>
          <w:color w:val="auto"/>
          <w:szCs w:val="21"/>
          <w:highlight w:val="none"/>
        </w:rPr>
      </w:pPr>
      <w:r>
        <w:rPr>
          <w:rFonts w:ascii="宋体" w:hAnsi="宋体"/>
          <w:color w:val="auto"/>
          <w:szCs w:val="21"/>
          <w:highlight w:val="none"/>
        </w:rPr>
        <w:t>8.5.1</w:t>
      </w:r>
      <w:r>
        <w:rPr>
          <w:rFonts w:hint="eastAsia" w:ascii="宋体" w:hAnsi="宋体"/>
          <w:color w:val="auto"/>
          <w:szCs w:val="21"/>
          <w:highlight w:val="none"/>
        </w:rPr>
        <w:t>投标人或者其他利害关系人认为招标投标活动不符合法律、行政法规规定的，可以自知道或者应当知道之日起</w:t>
      </w:r>
      <w:r>
        <w:rPr>
          <w:rFonts w:ascii="宋体" w:hAnsi="宋体"/>
          <w:color w:val="auto"/>
          <w:szCs w:val="21"/>
          <w:highlight w:val="none"/>
        </w:rPr>
        <w:t>10</w:t>
      </w:r>
      <w:r>
        <w:rPr>
          <w:rFonts w:hint="eastAsia" w:ascii="宋体" w:hAnsi="宋体"/>
          <w:color w:val="auto"/>
          <w:szCs w:val="21"/>
          <w:highlight w:val="none"/>
        </w:rPr>
        <w:t>日内向有关行政监督部门投诉。投诉应当有明确的请求和必要的证明材料。</w:t>
      </w:r>
    </w:p>
    <w:p w14:paraId="678E3756">
      <w:pPr>
        <w:pStyle w:val="12"/>
        <w:kinsoku w:val="0"/>
        <w:overflowPunct w:val="0"/>
        <w:spacing w:line="288" w:lineRule="auto"/>
        <w:ind w:firstLine="420" w:firstLineChars="200"/>
        <w:rPr>
          <w:rFonts w:ascii="宋体" w:hAnsi="宋体"/>
          <w:color w:val="auto"/>
          <w:szCs w:val="21"/>
          <w:highlight w:val="none"/>
        </w:rPr>
      </w:pPr>
      <w:r>
        <w:rPr>
          <w:rFonts w:ascii="宋体" w:hAnsi="宋体"/>
          <w:color w:val="auto"/>
          <w:szCs w:val="21"/>
          <w:highlight w:val="none"/>
        </w:rPr>
        <w:t>8.5.2</w:t>
      </w:r>
      <w:r>
        <w:rPr>
          <w:rFonts w:hint="eastAsia" w:ascii="宋体" w:hAnsi="宋体"/>
          <w:color w:val="auto"/>
          <w:szCs w:val="21"/>
          <w:highlight w:val="none"/>
        </w:rPr>
        <w:t>投标人或者其他利害关系人对招标文件、开标和评标结果提出投诉的，应当按照投标人须知第</w:t>
      </w:r>
      <w:r>
        <w:rPr>
          <w:rFonts w:ascii="宋体" w:hAnsi="宋体"/>
          <w:color w:val="auto"/>
          <w:szCs w:val="21"/>
          <w:highlight w:val="none"/>
        </w:rPr>
        <w:t>2.4</w:t>
      </w:r>
      <w:r>
        <w:rPr>
          <w:rFonts w:hint="eastAsia" w:ascii="宋体" w:hAnsi="宋体"/>
          <w:color w:val="auto"/>
          <w:szCs w:val="21"/>
          <w:highlight w:val="none"/>
        </w:rPr>
        <w:t>款、第</w:t>
      </w:r>
      <w:r>
        <w:rPr>
          <w:rFonts w:ascii="宋体" w:hAnsi="宋体"/>
          <w:color w:val="auto"/>
          <w:szCs w:val="21"/>
          <w:highlight w:val="none"/>
        </w:rPr>
        <w:t>5.3</w:t>
      </w:r>
      <w:r>
        <w:rPr>
          <w:rFonts w:hint="eastAsia" w:ascii="宋体" w:hAnsi="宋体"/>
          <w:color w:val="auto"/>
          <w:szCs w:val="21"/>
          <w:highlight w:val="none"/>
        </w:rPr>
        <w:t>款和第</w:t>
      </w:r>
      <w:r>
        <w:rPr>
          <w:rFonts w:ascii="宋体" w:hAnsi="宋体"/>
          <w:color w:val="auto"/>
          <w:szCs w:val="21"/>
          <w:highlight w:val="none"/>
        </w:rPr>
        <w:t>7.2</w:t>
      </w:r>
      <w:r>
        <w:rPr>
          <w:rFonts w:hint="eastAsia" w:ascii="宋体" w:hAnsi="宋体"/>
          <w:color w:val="auto"/>
          <w:szCs w:val="21"/>
          <w:highlight w:val="none"/>
        </w:rPr>
        <w:t>款的规定先向招标人提出异议。异议答复期间不计算在第</w:t>
      </w:r>
      <w:r>
        <w:rPr>
          <w:rFonts w:ascii="宋体" w:hAnsi="宋体"/>
          <w:color w:val="auto"/>
          <w:szCs w:val="21"/>
          <w:highlight w:val="none"/>
        </w:rPr>
        <w:t>8.5.1</w:t>
      </w:r>
      <w:r>
        <w:rPr>
          <w:rFonts w:hint="eastAsia" w:ascii="宋体" w:hAnsi="宋体"/>
          <w:color w:val="auto"/>
          <w:szCs w:val="21"/>
          <w:highlight w:val="none"/>
        </w:rPr>
        <w:t>项规定的期限内。</w:t>
      </w:r>
    </w:p>
    <w:p w14:paraId="48062E8F">
      <w:pPr>
        <w:rPr>
          <w:color w:val="auto"/>
          <w:highlight w:val="none"/>
        </w:rPr>
      </w:pPr>
    </w:p>
    <w:p w14:paraId="771634C6">
      <w:pPr>
        <w:pStyle w:val="4"/>
        <w:rPr>
          <w:color w:val="auto"/>
          <w:highlight w:val="none"/>
        </w:rPr>
      </w:pPr>
      <w:bookmarkStart w:id="98" w:name="bookmark74"/>
      <w:bookmarkEnd w:id="98"/>
      <w:bookmarkStart w:id="99" w:name="_Toc118553978"/>
      <w:r>
        <w:rPr>
          <w:rFonts w:ascii="Times New Roman" w:hAnsi="Times New Roman"/>
          <w:bCs/>
          <w:color w:val="auto"/>
          <w:sz w:val="24"/>
          <w:szCs w:val="24"/>
          <w:highlight w:val="none"/>
        </w:rPr>
        <w:t xml:space="preserve">9. </w:t>
      </w:r>
      <w:r>
        <w:rPr>
          <w:rFonts w:hint="eastAsia"/>
          <w:color w:val="auto"/>
          <w:sz w:val="24"/>
          <w:szCs w:val="24"/>
          <w:highlight w:val="none"/>
        </w:rPr>
        <w:t>是否采用电子招标投标</w:t>
      </w:r>
      <w:bookmarkEnd w:id="99"/>
    </w:p>
    <w:p w14:paraId="2FB8DA3B">
      <w:pPr>
        <w:pStyle w:val="12"/>
        <w:kinsoku w:val="0"/>
        <w:overflowPunct w:val="0"/>
        <w:spacing w:line="288" w:lineRule="auto"/>
        <w:ind w:firstLine="420" w:firstLineChars="200"/>
        <w:rPr>
          <w:rFonts w:ascii="宋体" w:hAnsi="宋体"/>
          <w:color w:val="auto"/>
          <w:szCs w:val="21"/>
          <w:highlight w:val="none"/>
        </w:rPr>
      </w:pPr>
      <w:r>
        <w:rPr>
          <w:rFonts w:hint="eastAsia" w:ascii="宋体" w:hAnsi="宋体"/>
          <w:color w:val="auto"/>
          <w:szCs w:val="21"/>
          <w:highlight w:val="none"/>
        </w:rPr>
        <w:t>本招标项目采用电子招标投标方式，具体要求见投标人须知前附表。</w:t>
      </w:r>
    </w:p>
    <w:p w14:paraId="3B72A70F">
      <w:pPr>
        <w:pStyle w:val="12"/>
        <w:kinsoku w:val="0"/>
        <w:overflowPunct w:val="0"/>
        <w:spacing w:line="288" w:lineRule="auto"/>
        <w:ind w:firstLine="420" w:firstLineChars="200"/>
        <w:rPr>
          <w:rFonts w:ascii="宋体" w:hAnsi="宋体"/>
          <w:color w:val="auto"/>
          <w:szCs w:val="21"/>
          <w:highlight w:val="none"/>
        </w:rPr>
      </w:pPr>
    </w:p>
    <w:p w14:paraId="3DFAFEB7">
      <w:pPr>
        <w:pStyle w:val="4"/>
        <w:rPr>
          <w:color w:val="auto"/>
          <w:highlight w:val="none"/>
        </w:rPr>
      </w:pPr>
      <w:bookmarkStart w:id="100" w:name="bookmark75"/>
      <w:bookmarkEnd w:id="100"/>
      <w:bookmarkStart w:id="101" w:name="_Toc118553979"/>
      <w:r>
        <w:rPr>
          <w:rFonts w:ascii="Times New Roman" w:hAnsi="Times New Roman"/>
          <w:bCs/>
          <w:color w:val="auto"/>
          <w:sz w:val="24"/>
          <w:szCs w:val="24"/>
          <w:highlight w:val="none"/>
        </w:rPr>
        <w:t xml:space="preserve">10. </w:t>
      </w:r>
      <w:r>
        <w:rPr>
          <w:rFonts w:hint="eastAsia"/>
          <w:color w:val="auto"/>
          <w:sz w:val="24"/>
          <w:szCs w:val="24"/>
          <w:highlight w:val="none"/>
        </w:rPr>
        <w:t>需要补充的其他内容</w:t>
      </w:r>
      <w:bookmarkEnd w:id="101"/>
    </w:p>
    <w:p w14:paraId="6DA30739">
      <w:pPr>
        <w:ind w:firstLine="424" w:firstLineChars="202"/>
        <w:rPr>
          <w:rFonts w:ascii="宋体" w:hAnsi="宋体"/>
          <w:color w:val="auto"/>
          <w:highlight w:val="none"/>
        </w:rPr>
      </w:pPr>
      <w:r>
        <w:rPr>
          <w:rFonts w:hint="eastAsia" w:ascii="宋体" w:hAnsi="宋体"/>
          <w:color w:val="auto"/>
          <w:highlight w:val="none"/>
        </w:rPr>
        <w:t>需要补充的其他内容：见投标人须知前附表。</w:t>
      </w:r>
    </w:p>
    <w:p w14:paraId="6120166C">
      <w:pPr>
        <w:ind w:firstLine="424" w:firstLineChars="202"/>
        <w:rPr>
          <w:rFonts w:ascii="宋体" w:hAnsi="宋体"/>
          <w:color w:val="auto"/>
          <w:highlight w:val="none"/>
        </w:rPr>
      </w:pPr>
    </w:p>
    <w:p w14:paraId="68F8E490">
      <w:pPr>
        <w:ind w:firstLine="424" w:firstLineChars="202"/>
        <w:rPr>
          <w:rFonts w:ascii="宋体" w:hAnsi="宋体"/>
          <w:color w:val="auto"/>
          <w:highlight w:val="none"/>
        </w:rPr>
      </w:pPr>
    </w:p>
    <w:p w14:paraId="6640DCB1">
      <w:pPr>
        <w:ind w:firstLine="424" w:firstLineChars="202"/>
        <w:rPr>
          <w:rFonts w:ascii="宋体" w:hAnsi="宋体"/>
          <w:color w:val="auto"/>
          <w:highlight w:val="none"/>
        </w:rPr>
      </w:pPr>
    </w:p>
    <w:p w14:paraId="3DBB308C">
      <w:pPr>
        <w:pStyle w:val="2"/>
        <w:rPr>
          <w:color w:val="auto"/>
          <w:highlight w:val="none"/>
        </w:rPr>
      </w:pPr>
      <w:r>
        <w:rPr>
          <w:color w:val="auto"/>
          <w:szCs w:val="24"/>
          <w:highlight w:val="none"/>
        </w:rPr>
        <w:br w:type="page"/>
      </w:r>
      <w:bookmarkStart w:id="102" w:name="_Toc533357317"/>
      <w:bookmarkStart w:id="103" w:name="_Toc118553980"/>
      <w:r>
        <w:rPr>
          <w:rFonts w:hint="eastAsia"/>
          <w:color w:val="auto"/>
          <w:highlight w:val="none"/>
        </w:rPr>
        <w:t>第三章  评标办法（综合评估法）</w:t>
      </w:r>
      <w:bookmarkEnd w:id="102"/>
      <w:bookmarkEnd w:id="103"/>
    </w:p>
    <w:p w14:paraId="6840E314">
      <w:pPr>
        <w:pStyle w:val="3"/>
        <w:rPr>
          <w:rFonts w:ascii="宋体" w:hAnsi="宋体"/>
          <w:color w:val="auto"/>
          <w:highlight w:val="none"/>
        </w:rPr>
      </w:pPr>
      <w:bookmarkStart w:id="104" w:name="_Toc118553981"/>
      <w:bookmarkStart w:id="105" w:name="_Toc533357318"/>
      <w:r>
        <w:rPr>
          <w:rFonts w:hint="eastAsia" w:ascii="宋体" w:hAnsi="宋体"/>
          <w:color w:val="auto"/>
          <w:highlight w:val="none"/>
        </w:rPr>
        <w:t>评标办法前附表</w:t>
      </w:r>
      <w:bookmarkEnd w:id="104"/>
      <w:bookmarkEnd w:id="105"/>
    </w:p>
    <w:tbl>
      <w:tblPr>
        <w:tblStyle w:val="27"/>
        <w:tblW w:w="103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7"/>
        <w:gridCol w:w="851"/>
        <w:gridCol w:w="1550"/>
        <w:gridCol w:w="7136"/>
      </w:tblGrid>
      <w:tr w14:paraId="3E7831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618" w:type="dxa"/>
            <w:gridSpan w:val="2"/>
            <w:vAlign w:val="center"/>
          </w:tcPr>
          <w:p w14:paraId="1A8725DB">
            <w:pPr>
              <w:spacing w:line="400" w:lineRule="exact"/>
              <w:jc w:val="center"/>
              <w:rPr>
                <w:rFonts w:ascii="宋体" w:hAnsi="宋体"/>
                <w:b/>
                <w:color w:val="auto"/>
                <w:szCs w:val="21"/>
                <w:highlight w:val="none"/>
              </w:rPr>
            </w:pPr>
            <w:r>
              <w:rPr>
                <w:rFonts w:hint="eastAsia" w:ascii="宋体" w:hAnsi="宋体"/>
                <w:b/>
                <w:color w:val="auto"/>
                <w:szCs w:val="21"/>
                <w:highlight w:val="none"/>
              </w:rPr>
              <w:t>条款号</w:t>
            </w:r>
          </w:p>
        </w:tc>
        <w:tc>
          <w:tcPr>
            <w:tcW w:w="1550" w:type="dxa"/>
            <w:vAlign w:val="center"/>
          </w:tcPr>
          <w:p w14:paraId="157B52EE">
            <w:pPr>
              <w:spacing w:line="400" w:lineRule="exact"/>
              <w:jc w:val="center"/>
              <w:rPr>
                <w:rFonts w:ascii="宋体" w:hAnsi="宋体"/>
                <w:b/>
                <w:color w:val="auto"/>
                <w:szCs w:val="21"/>
                <w:highlight w:val="none"/>
              </w:rPr>
            </w:pPr>
            <w:r>
              <w:rPr>
                <w:rFonts w:hint="eastAsia" w:ascii="宋体" w:hAnsi="宋体"/>
                <w:b/>
                <w:color w:val="auto"/>
                <w:szCs w:val="21"/>
                <w:highlight w:val="none"/>
              </w:rPr>
              <w:t>评审因素</w:t>
            </w:r>
          </w:p>
        </w:tc>
        <w:tc>
          <w:tcPr>
            <w:tcW w:w="7136" w:type="dxa"/>
            <w:vAlign w:val="center"/>
          </w:tcPr>
          <w:p w14:paraId="70EF0BAA">
            <w:pPr>
              <w:spacing w:line="400" w:lineRule="exact"/>
              <w:jc w:val="center"/>
              <w:rPr>
                <w:rFonts w:ascii="宋体" w:hAnsi="宋体"/>
                <w:b/>
                <w:color w:val="auto"/>
                <w:szCs w:val="21"/>
                <w:highlight w:val="none"/>
              </w:rPr>
            </w:pPr>
            <w:r>
              <w:rPr>
                <w:rFonts w:hint="eastAsia" w:ascii="宋体" w:hAnsi="宋体"/>
                <w:b/>
                <w:color w:val="auto"/>
                <w:szCs w:val="21"/>
                <w:highlight w:val="none"/>
              </w:rPr>
              <w:t>评审标准</w:t>
            </w:r>
          </w:p>
        </w:tc>
      </w:tr>
      <w:tr w14:paraId="502CDC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67" w:type="dxa"/>
            <w:vAlign w:val="center"/>
          </w:tcPr>
          <w:p w14:paraId="1B46DD30">
            <w:pPr>
              <w:spacing w:line="400" w:lineRule="exact"/>
              <w:jc w:val="center"/>
              <w:rPr>
                <w:rFonts w:ascii="宋体" w:hAnsi="宋体"/>
                <w:color w:val="auto"/>
                <w:szCs w:val="21"/>
                <w:highlight w:val="none"/>
              </w:rPr>
            </w:pPr>
            <w:r>
              <w:rPr>
                <w:rFonts w:ascii="宋体" w:hAnsi="宋体"/>
                <w:color w:val="auto"/>
                <w:szCs w:val="21"/>
                <w:highlight w:val="none"/>
              </w:rPr>
              <w:t>1</w:t>
            </w:r>
          </w:p>
        </w:tc>
        <w:tc>
          <w:tcPr>
            <w:tcW w:w="851" w:type="dxa"/>
            <w:vAlign w:val="center"/>
          </w:tcPr>
          <w:p w14:paraId="23B9D218">
            <w:pPr>
              <w:spacing w:line="400" w:lineRule="exact"/>
              <w:jc w:val="center"/>
              <w:rPr>
                <w:rFonts w:ascii="宋体" w:hAnsi="宋体"/>
                <w:color w:val="auto"/>
                <w:szCs w:val="21"/>
                <w:highlight w:val="none"/>
              </w:rPr>
            </w:pPr>
            <w:r>
              <w:rPr>
                <w:rFonts w:hint="eastAsia" w:ascii="宋体" w:hAnsi="宋体"/>
                <w:color w:val="auto"/>
                <w:szCs w:val="21"/>
                <w:highlight w:val="none"/>
              </w:rPr>
              <w:t>评标方法</w:t>
            </w:r>
          </w:p>
        </w:tc>
        <w:tc>
          <w:tcPr>
            <w:tcW w:w="1550" w:type="dxa"/>
            <w:vAlign w:val="center"/>
          </w:tcPr>
          <w:p w14:paraId="5D65A109">
            <w:pPr>
              <w:spacing w:line="400" w:lineRule="exact"/>
              <w:jc w:val="center"/>
              <w:rPr>
                <w:rFonts w:ascii="宋体" w:hAnsi="宋体" w:cs="宋体"/>
                <w:color w:val="auto"/>
                <w:szCs w:val="21"/>
                <w:highlight w:val="none"/>
              </w:rPr>
            </w:pPr>
            <w:r>
              <w:rPr>
                <w:rFonts w:hint="eastAsia" w:ascii="宋体" w:hAnsi="宋体" w:cs="宋体"/>
                <w:color w:val="auto"/>
                <w:szCs w:val="21"/>
                <w:highlight w:val="none"/>
              </w:rPr>
              <w:t>中标候选人排序方法</w:t>
            </w:r>
          </w:p>
        </w:tc>
        <w:tc>
          <w:tcPr>
            <w:tcW w:w="7136" w:type="dxa"/>
            <w:vAlign w:val="center"/>
          </w:tcPr>
          <w:p w14:paraId="7387BF3C">
            <w:pPr>
              <w:spacing w:line="400" w:lineRule="exact"/>
              <w:rPr>
                <w:rFonts w:ascii="宋体" w:hAnsi="宋体"/>
                <w:color w:val="auto"/>
                <w:szCs w:val="21"/>
                <w:highlight w:val="none"/>
              </w:rPr>
            </w:pPr>
            <w:r>
              <w:rPr>
                <w:rFonts w:hint="eastAsia" w:ascii="宋体" w:hAnsi="宋体"/>
                <w:color w:val="auto"/>
                <w:szCs w:val="21"/>
                <w:highlight w:val="none"/>
              </w:rPr>
              <w:t>本次评标采用综合评估法。评标委员会对满足招标文件实质性要求的投标文件，按照本章第2.2款规定的评分标准进行打分，并按总得分由高到低顺序推荐中标候选人，排序的前一~三名为第一中标候选人、第二中标候选人和第三中标候选人。总得分相等时，以投标报价低的优先；若投标报价也相等，以项目检测</w:t>
            </w:r>
            <w:r>
              <w:rPr>
                <w:rFonts w:hint="eastAsia" w:ascii="宋体" w:hAnsi="宋体"/>
                <w:color w:val="auto"/>
                <w:szCs w:val="21"/>
                <w:highlight w:val="none"/>
                <w:lang w:val="en-US" w:eastAsia="zh-CN"/>
              </w:rPr>
              <w:t>监测</w:t>
            </w:r>
            <w:r>
              <w:rPr>
                <w:rFonts w:hint="eastAsia" w:ascii="宋体" w:hAnsi="宋体"/>
                <w:color w:val="auto"/>
                <w:szCs w:val="21"/>
                <w:highlight w:val="none"/>
              </w:rPr>
              <w:t>方案得分高的优先；若项目检测</w:t>
            </w:r>
            <w:r>
              <w:rPr>
                <w:rFonts w:hint="eastAsia" w:ascii="宋体" w:hAnsi="宋体"/>
                <w:color w:val="auto"/>
                <w:szCs w:val="21"/>
                <w:highlight w:val="none"/>
                <w:lang w:val="en-US" w:eastAsia="zh-CN"/>
              </w:rPr>
              <w:t>监测</w:t>
            </w:r>
            <w:r>
              <w:rPr>
                <w:rFonts w:hint="eastAsia" w:ascii="宋体" w:hAnsi="宋体"/>
                <w:color w:val="auto"/>
                <w:szCs w:val="21"/>
                <w:highlight w:val="none"/>
              </w:rPr>
              <w:t>方案得分也相等，由评标委员会采用记名投票方式，以得票多的优先。</w:t>
            </w:r>
          </w:p>
        </w:tc>
      </w:tr>
      <w:tr w14:paraId="13149C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67" w:type="dxa"/>
            <w:vMerge w:val="restart"/>
            <w:vAlign w:val="center"/>
          </w:tcPr>
          <w:p w14:paraId="17D7E72A">
            <w:pPr>
              <w:spacing w:line="400" w:lineRule="exact"/>
              <w:jc w:val="center"/>
              <w:rPr>
                <w:rFonts w:ascii="宋体" w:hAnsi="宋体"/>
                <w:color w:val="auto"/>
                <w:szCs w:val="21"/>
                <w:highlight w:val="none"/>
              </w:rPr>
            </w:pPr>
            <w:r>
              <w:rPr>
                <w:rFonts w:ascii="宋体" w:hAnsi="宋体"/>
                <w:color w:val="auto"/>
                <w:szCs w:val="21"/>
                <w:highlight w:val="none"/>
              </w:rPr>
              <w:t>2.1.1</w:t>
            </w:r>
          </w:p>
        </w:tc>
        <w:tc>
          <w:tcPr>
            <w:tcW w:w="851" w:type="dxa"/>
            <w:vMerge w:val="restart"/>
            <w:vAlign w:val="center"/>
          </w:tcPr>
          <w:p w14:paraId="27D79D50">
            <w:pPr>
              <w:spacing w:line="400" w:lineRule="exact"/>
              <w:jc w:val="center"/>
              <w:rPr>
                <w:rFonts w:ascii="宋体" w:hAnsi="宋体"/>
                <w:color w:val="auto"/>
                <w:szCs w:val="21"/>
                <w:highlight w:val="none"/>
              </w:rPr>
            </w:pPr>
            <w:r>
              <w:rPr>
                <w:rFonts w:hint="eastAsia" w:ascii="宋体" w:hAnsi="宋体"/>
                <w:color w:val="auto"/>
                <w:szCs w:val="21"/>
                <w:highlight w:val="none"/>
              </w:rPr>
              <w:t>形式评审标准</w:t>
            </w:r>
          </w:p>
        </w:tc>
        <w:tc>
          <w:tcPr>
            <w:tcW w:w="1550" w:type="dxa"/>
            <w:vAlign w:val="center"/>
          </w:tcPr>
          <w:p w14:paraId="759B65C5">
            <w:pPr>
              <w:spacing w:line="400" w:lineRule="exact"/>
              <w:jc w:val="center"/>
              <w:rPr>
                <w:rFonts w:ascii="宋体" w:hAnsi="宋体" w:cs="宋体"/>
                <w:color w:val="auto"/>
                <w:szCs w:val="21"/>
                <w:highlight w:val="none"/>
              </w:rPr>
            </w:pPr>
            <w:r>
              <w:rPr>
                <w:rFonts w:hint="eastAsia" w:ascii="宋体" w:hAnsi="宋体" w:cs="宋体"/>
                <w:color w:val="auto"/>
                <w:szCs w:val="21"/>
                <w:highlight w:val="none"/>
              </w:rPr>
              <w:t>投标人名称</w:t>
            </w:r>
          </w:p>
        </w:tc>
        <w:tc>
          <w:tcPr>
            <w:tcW w:w="7136" w:type="dxa"/>
            <w:vAlign w:val="center"/>
          </w:tcPr>
          <w:p w14:paraId="77C69F1A">
            <w:pPr>
              <w:spacing w:line="400" w:lineRule="exact"/>
              <w:rPr>
                <w:rFonts w:ascii="宋体" w:hAnsi="宋体"/>
                <w:color w:val="auto"/>
                <w:szCs w:val="21"/>
                <w:highlight w:val="none"/>
              </w:rPr>
            </w:pPr>
            <w:r>
              <w:rPr>
                <w:rFonts w:hint="eastAsia" w:ascii="宋体" w:hAnsi="宋体"/>
                <w:color w:val="auto"/>
                <w:szCs w:val="21"/>
                <w:highlight w:val="none"/>
              </w:rPr>
              <w:t>与企业法人营业执照（或事业单位法人证书）、计量认证合格证书、资质证书一致。联合体投标的，联合体各方名称须和相应的企业法人营业执照（或事业单位法人证书）、计量认证合格证书、资质证书的名称一致。</w:t>
            </w:r>
          </w:p>
        </w:tc>
      </w:tr>
      <w:tr w14:paraId="7515A7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67" w:type="dxa"/>
            <w:vMerge w:val="continue"/>
            <w:vAlign w:val="center"/>
          </w:tcPr>
          <w:p w14:paraId="51A514AA">
            <w:pPr>
              <w:spacing w:line="400" w:lineRule="exact"/>
              <w:rPr>
                <w:rFonts w:ascii="宋体" w:hAnsi="宋体"/>
                <w:color w:val="auto"/>
                <w:szCs w:val="21"/>
                <w:highlight w:val="none"/>
              </w:rPr>
            </w:pPr>
          </w:p>
        </w:tc>
        <w:tc>
          <w:tcPr>
            <w:tcW w:w="851" w:type="dxa"/>
            <w:vMerge w:val="continue"/>
            <w:vAlign w:val="center"/>
          </w:tcPr>
          <w:p w14:paraId="7EB1763C">
            <w:pPr>
              <w:spacing w:line="400" w:lineRule="exact"/>
              <w:rPr>
                <w:rFonts w:ascii="宋体" w:hAnsi="宋体"/>
                <w:color w:val="auto"/>
                <w:szCs w:val="21"/>
                <w:highlight w:val="none"/>
              </w:rPr>
            </w:pPr>
          </w:p>
        </w:tc>
        <w:tc>
          <w:tcPr>
            <w:tcW w:w="1550" w:type="dxa"/>
            <w:vAlign w:val="center"/>
          </w:tcPr>
          <w:p w14:paraId="04840ECD">
            <w:pPr>
              <w:spacing w:line="400" w:lineRule="exact"/>
              <w:jc w:val="center"/>
              <w:rPr>
                <w:rFonts w:ascii="宋体" w:hAnsi="宋体" w:cs="宋体"/>
                <w:color w:val="auto"/>
                <w:szCs w:val="21"/>
                <w:highlight w:val="none"/>
              </w:rPr>
            </w:pPr>
            <w:r>
              <w:rPr>
                <w:rFonts w:hint="eastAsia" w:ascii="宋体" w:hAnsi="宋体" w:cs="宋体"/>
                <w:color w:val="auto"/>
                <w:szCs w:val="21"/>
                <w:highlight w:val="none"/>
              </w:rPr>
              <w:t>投标函及其附表签字盖章</w:t>
            </w:r>
          </w:p>
        </w:tc>
        <w:tc>
          <w:tcPr>
            <w:tcW w:w="7136" w:type="dxa"/>
            <w:vAlign w:val="center"/>
          </w:tcPr>
          <w:p w14:paraId="35543E0D">
            <w:pPr>
              <w:spacing w:line="400" w:lineRule="exact"/>
              <w:rPr>
                <w:rFonts w:ascii="宋体" w:hAnsi="宋体"/>
                <w:color w:val="auto"/>
                <w:szCs w:val="21"/>
                <w:highlight w:val="none"/>
              </w:rPr>
            </w:pPr>
            <w:r>
              <w:rPr>
                <w:rFonts w:hint="eastAsia" w:ascii="宋体" w:hAnsi="宋体"/>
                <w:color w:val="auto"/>
                <w:szCs w:val="21"/>
                <w:highlight w:val="none"/>
              </w:rPr>
              <w:t>投标函及其附表格式及签字盖章符合招标文件要求，由法定代表人签字或盖章的，应附法定代表人证明书，由代理人签字或盖章的，应附法定代表人证明书及授权委托书。</w:t>
            </w:r>
          </w:p>
        </w:tc>
      </w:tr>
      <w:tr w14:paraId="2E0E31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jc w:val="center"/>
        </w:trPr>
        <w:tc>
          <w:tcPr>
            <w:tcW w:w="767" w:type="dxa"/>
            <w:vMerge w:val="continue"/>
            <w:vAlign w:val="center"/>
          </w:tcPr>
          <w:p w14:paraId="051F7D5C">
            <w:pPr>
              <w:spacing w:line="400" w:lineRule="exact"/>
              <w:rPr>
                <w:rFonts w:ascii="宋体" w:hAnsi="宋体"/>
                <w:color w:val="auto"/>
                <w:szCs w:val="21"/>
                <w:highlight w:val="none"/>
              </w:rPr>
            </w:pPr>
          </w:p>
        </w:tc>
        <w:tc>
          <w:tcPr>
            <w:tcW w:w="851" w:type="dxa"/>
            <w:vMerge w:val="continue"/>
            <w:vAlign w:val="center"/>
          </w:tcPr>
          <w:p w14:paraId="3E058524">
            <w:pPr>
              <w:spacing w:line="400" w:lineRule="exact"/>
              <w:rPr>
                <w:rFonts w:ascii="宋体" w:hAnsi="宋体"/>
                <w:color w:val="auto"/>
                <w:szCs w:val="21"/>
                <w:highlight w:val="none"/>
              </w:rPr>
            </w:pPr>
          </w:p>
        </w:tc>
        <w:tc>
          <w:tcPr>
            <w:tcW w:w="1550" w:type="dxa"/>
            <w:vAlign w:val="center"/>
          </w:tcPr>
          <w:p w14:paraId="34506C61">
            <w:pPr>
              <w:spacing w:line="400" w:lineRule="exact"/>
              <w:jc w:val="center"/>
              <w:rPr>
                <w:rFonts w:ascii="宋体" w:hAnsi="宋体" w:cs="宋体"/>
                <w:color w:val="auto"/>
                <w:szCs w:val="21"/>
                <w:highlight w:val="none"/>
              </w:rPr>
            </w:pPr>
            <w:r>
              <w:rPr>
                <w:rFonts w:hint="eastAsia" w:ascii="宋体" w:hAnsi="宋体" w:cs="宋体"/>
                <w:color w:val="auto"/>
                <w:szCs w:val="21"/>
                <w:highlight w:val="none"/>
              </w:rPr>
              <w:t>投标文件格式</w:t>
            </w:r>
          </w:p>
        </w:tc>
        <w:tc>
          <w:tcPr>
            <w:tcW w:w="7136" w:type="dxa"/>
            <w:vAlign w:val="center"/>
          </w:tcPr>
          <w:p w14:paraId="456B0811">
            <w:pPr>
              <w:spacing w:line="400" w:lineRule="exact"/>
              <w:rPr>
                <w:rFonts w:ascii="宋体" w:hAnsi="宋体"/>
                <w:color w:val="auto"/>
                <w:szCs w:val="21"/>
                <w:highlight w:val="none"/>
              </w:rPr>
            </w:pPr>
            <w:r>
              <w:rPr>
                <w:rFonts w:hint="eastAsia" w:ascii="宋体" w:hAnsi="宋体"/>
                <w:color w:val="auto"/>
                <w:szCs w:val="21"/>
                <w:highlight w:val="none"/>
              </w:rPr>
              <w:t>符合第六章投标文件格式中“投标函”“投标函附表”“投标报价书”“投标申请人声明”“联合体协议书”（如有）的规定。</w:t>
            </w:r>
          </w:p>
        </w:tc>
      </w:tr>
      <w:tr w14:paraId="0AE75F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767" w:type="dxa"/>
            <w:vMerge w:val="continue"/>
            <w:vAlign w:val="center"/>
          </w:tcPr>
          <w:p w14:paraId="513A4318">
            <w:pPr>
              <w:spacing w:line="400" w:lineRule="exact"/>
              <w:rPr>
                <w:rFonts w:ascii="宋体" w:hAnsi="宋体"/>
                <w:color w:val="auto"/>
                <w:szCs w:val="21"/>
                <w:highlight w:val="none"/>
              </w:rPr>
            </w:pPr>
          </w:p>
        </w:tc>
        <w:tc>
          <w:tcPr>
            <w:tcW w:w="851" w:type="dxa"/>
            <w:vMerge w:val="continue"/>
            <w:vAlign w:val="center"/>
          </w:tcPr>
          <w:p w14:paraId="7CFDD841">
            <w:pPr>
              <w:spacing w:line="400" w:lineRule="exact"/>
              <w:rPr>
                <w:rFonts w:ascii="宋体" w:hAnsi="宋体"/>
                <w:color w:val="auto"/>
                <w:szCs w:val="21"/>
                <w:highlight w:val="none"/>
              </w:rPr>
            </w:pPr>
          </w:p>
        </w:tc>
        <w:tc>
          <w:tcPr>
            <w:tcW w:w="1550" w:type="dxa"/>
            <w:vAlign w:val="center"/>
          </w:tcPr>
          <w:p w14:paraId="5D91DE45">
            <w:pPr>
              <w:spacing w:line="400" w:lineRule="exact"/>
              <w:jc w:val="center"/>
              <w:rPr>
                <w:rFonts w:ascii="宋体" w:hAnsi="宋体" w:cs="宋体"/>
                <w:color w:val="auto"/>
                <w:szCs w:val="21"/>
                <w:highlight w:val="none"/>
              </w:rPr>
            </w:pPr>
            <w:r>
              <w:rPr>
                <w:rFonts w:hint="eastAsia" w:ascii="宋体" w:hAnsi="宋体" w:cs="宋体"/>
                <w:color w:val="auto"/>
                <w:szCs w:val="21"/>
                <w:highlight w:val="none"/>
              </w:rPr>
              <w:t>备选投标方案</w:t>
            </w:r>
          </w:p>
        </w:tc>
        <w:tc>
          <w:tcPr>
            <w:tcW w:w="7136" w:type="dxa"/>
            <w:vAlign w:val="center"/>
          </w:tcPr>
          <w:p w14:paraId="3CFD6305">
            <w:pPr>
              <w:spacing w:line="400" w:lineRule="exact"/>
              <w:rPr>
                <w:rFonts w:ascii="宋体" w:hAnsi="宋体"/>
                <w:color w:val="auto"/>
                <w:szCs w:val="21"/>
                <w:highlight w:val="none"/>
              </w:rPr>
            </w:pPr>
            <w:r>
              <w:rPr>
                <w:rFonts w:hint="eastAsia" w:ascii="宋体" w:hAnsi="宋体"/>
                <w:color w:val="auto"/>
                <w:szCs w:val="21"/>
                <w:highlight w:val="none"/>
              </w:rPr>
              <w:t>没有提交备选投标方案。</w:t>
            </w:r>
          </w:p>
        </w:tc>
      </w:tr>
      <w:tr w14:paraId="49BBAA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767" w:type="dxa"/>
            <w:vMerge w:val="continue"/>
            <w:vAlign w:val="center"/>
          </w:tcPr>
          <w:p w14:paraId="6590B5F5">
            <w:pPr>
              <w:spacing w:line="400" w:lineRule="exact"/>
              <w:rPr>
                <w:rFonts w:ascii="宋体" w:hAnsi="宋体"/>
                <w:color w:val="auto"/>
                <w:szCs w:val="21"/>
                <w:highlight w:val="none"/>
              </w:rPr>
            </w:pPr>
          </w:p>
        </w:tc>
        <w:tc>
          <w:tcPr>
            <w:tcW w:w="851" w:type="dxa"/>
            <w:vMerge w:val="continue"/>
            <w:vAlign w:val="center"/>
          </w:tcPr>
          <w:p w14:paraId="2D063074">
            <w:pPr>
              <w:spacing w:line="400" w:lineRule="exact"/>
              <w:rPr>
                <w:rFonts w:ascii="宋体" w:hAnsi="宋体"/>
                <w:color w:val="auto"/>
                <w:szCs w:val="21"/>
                <w:highlight w:val="none"/>
              </w:rPr>
            </w:pPr>
          </w:p>
        </w:tc>
        <w:tc>
          <w:tcPr>
            <w:tcW w:w="1550" w:type="dxa"/>
            <w:vAlign w:val="center"/>
          </w:tcPr>
          <w:p w14:paraId="12CEB92D">
            <w:pPr>
              <w:spacing w:line="400" w:lineRule="exact"/>
              <w:jc w:val="center"/>
              <w:rPr>
                <w:rFonts w:ascii="宋体" w:hAnsi="宋体" w:cs="宋体"/>
                <w:color w:val="auto"/>
                <w:szCs w:val="21"/>
                <w:highlight w:val="none"/>
              </w:rPr>
            </w:pPr>
            <w:r>
              <w:rPr>
                <w:rFonts w:hint="eastAsia" w:ascii="宋体" w:hAnsi="宋体" w:cs="宋体"/>
                <w:color w:val="auto"/>
                <w:szCs w:val="21"/>
                <w:highlight w:val="none"/>
              </w:rPr>
              <w:t>投标人机器码</w:t>
            </w:r>
          </w:p>
        </w:tc>
        <w:tc>
          <w:tcPr>
            <w:tcW w:w="7136" w:type="dxa"/>
            <w:vAlign w:val="center"/>
          </w:tcPr>
          <w:p w14:paraId="1067A751">
            <w:pPr>
              <w:spacing w:line="400" w:lineRule="exact"/>
              <w:rPr>
                <w:rFonts w:ascii="宋体" w:hAnsi="宋体"/>
                <w:color w:val="auto"/>
                <w:szCs w:val="21"/>
                <w:highlight w:val="none"/>
              </w:rPr>
            </w:pPr>
            <w:r>
              <w:rPr>
                <w:rFonts w:hint="eastAsia" w:ascii="宋体" w:hAnsi="宋体"/>
                <w:color w:val="auto"/>
                <w:szCs w:val="21"/>
                <w:highlight w:val="none"/>
              </w:rPr>
              <w:t>投标人与本项目其他投标人加密打包投标文件电脑机器特征码一致的(以</w:t>
            </w:r>
            <w:r>
              <w:rPr>
                <w:rFonts w:hint="eastAsia" w:ascii="宋体" w:hAnsi="宋体"/>
                <w:color w:val="auto"/>
                <w:szCs w:val="21"/>
                <w:highlight w:val="none"/>
                <w:lang w:eastAsia="zh-CN"/>
              </w:rPr>
              <w:t>广州交易集团有限公司（广州公共资源交易中心）</w:t>
            </w:r>
            <w:r>
              <w:rPr>
                <w:rFonts w:hint="eastAsia" w:ascii="宋体" w:hAnsi="宋体"/>
                <w:color w:val="auto"/>
                <w:szCs w:val="21"/>
                <w:highlight w:val="none"/>
              </w:rPr>
              <w:t>评标系统的检索信息为准)，其投标将被否决。</w:t>
            </w:r>
          </w:p>
        </w:tc>
      </w:tr>
      <w:tr w14:paraId="40C15C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67" w:type="dxa"/>
            <w:vMerge w:val="restart"/>
            <w:vAlign w:val="center"/>
          </w:tcPr>
          <w:p w14:paraId="5814AE66">
            <w:pPr>
              <w:spacing w:line="400" w:lineRule="exact"/>
              <w:jc w:val="center"/>
              <w:rPr>
                <w:rFonts w:ascii="宋体" w:hAnsi="宋体"/>
                <w:color w:val="auto"/>
                <w:szCs w:val="21"/>
                <w:highlight w:val="none"/>
              </w:rPr>
            </w:pPr>
            <w:r>
              <w:rPr>
                <w:rFonts w:ascii="宋体" w:hAnsi="宋体"/>
                <w:color w:val="auto"/>
                <w:szCs w:val="21"/>
                <w:highlight w:val="none"/>
              </w:rPr>
              <w:t>2.1.2</w:t>
            </w:r>
          </w:p>
        </w:tc>
        <w:tc>
          <w:tcPr>
            <w:tcW w:w="851" w:type="dxa"/>
            <w:vMerge w:val="restart"/>
            <w:vAlign w:val="center"/>
          </w:tcPr>
          <w:p w14:paraId="3CE25D51">
            <w:pPr>
              <w:spacing w:line="400" w:lineRule="exact"/>
              <w:jc w:val="center"/>
              <w:rPr>
                <w:rFonts w:ascii="宋体" w:hAnsi="宋体"/>
                <w:color w:val="auto"/>
                <w:szCs w:val="21"/>
                <w:highlight w:val="none"/>
              </w:rPr>
            </w:pPr>
            <w:r>
              <w:rPr>
                <w:rFonts w:hint="eastAsia" w:ascii="宋体" w:hAnsi="宋体"/>
                <w:color w:val="auto"/>
                <w:szCs w:val="21"/>
                <w:highlight w:val="none"/>
              </w:rPr>
              <w:t>资格评审标准</w:t>
            </w:r>
          </w:p>
        </w:tc>
        <w:tc>
          <w:tcPr>
            <w:tcW w:w="1550" w:type="dxa"/>
            <w:vAlign w:val="center"/>
          </w:tcPr>
          <w:p w14:paraId="3EFE415F">
            <w:pPr>
              <w:spacing w:line="400" w:lineRule="exact"/>
              <w:jc w:val="center"/>
              <w:rPr>
                <w:rFonts w:ascii="宋体" w:hAnsi="宋体" w:cs="宋体"/>
                <w:color w:val="auto"/>
                <w:szCs w:val="21"/>
                <w:highlight w:val="none"/>
              </w:rPr>
            </w:pPr>
            <w:r>
              <w:rPr>
                <w:rFonts w:hint="eastAsia" w:ascii="宋体" w:hAnsi="宋体" w:cs="宋体"/>
                <w:color w:val="auto"/>
                <w:szCs w:val="21"/>
                <w:highlight w:val="none"/>
              </w:rPr>
              <w:t>企业法人营业执照</w:t>
            </w:r>
            <w:r>
              <w:rPr>
                <w:rFonts w:hint="eastAsia" w:ascii="宋体" w:hAnsi="宋体" w:cs="宋体"/>
                <w:color w:val="auto"/>
                <w:szCs w:val="21"/>
                <w:highlight w:val="none"/>
                <w:u w:val="single"/>
              </w:rPr>
              <w:t>（或事业单位法人证书）</w:t>
            </w:r>
          </w:p>
        </w:tc>
        <w:tc>
          <w:tcPr>
            <w:tcW w:w="7136" w:type="dxa"/>
            <w:vAlign w:val="center"/>
          </w:tcPr>
          <w:p w14:paraId="205BD8B1">
            <w:pPr>
              <w:spacing w:line="400" w:lineRule="exact"/>
              <w:rPr>
                <w:rFonts w:ascii="宋体" w:hAnsi="宋体" w:cs="宋体"/>
                <w:color w:val="auto"/>
                <w:szCs w:val="21"/>
                <w:highlight w:val="none"/>
              </w:rPr>
            </w:pPr>
            <w:r>
              <w:rPr>
                <w:rFonts w:hint="eastAsia" w:ascii="宋体" w:hAnsi="宋体" w:cs="宋体"/>
                <w:color w:val="auto"/>
                <w:szCs w:val="21"/>
                <w:highlight w:val="none"/>
              </w:rPr>
              <w:t>符合第二章“投标人须知”第3.5.1项规定。</w:t>
            </w:r>
          </w:p>
        </w:tc>
      </w:tr>
      <w:tr w14:paraId="56D264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jc w:val="center"/>
        </w:trPr>
        <w:tc>
          <w:tcPr>
            <w:tcW w:w="767" w:type="dxa"/>
            <w:vMerge w:val="continue"/>
            <w:vAlign w:val="center"/>
          </w:tcPr>
          <w:p w14:paraId="3ABE8DE4">
            <w:pPr>
              <w:spacing w:line="400" w:lineRule="exact"/>
              <w:jc w:val="center"/>
              <w:rPr>
                <w:rFonts w:ascii="宋体" w:hAnsi="宋体"/>
                <w:color w:val="auto"/>
                <w:szCs w:val="21"/>
                <w:highlight w:val="none"/>
              </w:rPr>
            </w:pPr>
          </w:p>
        </w:tc>
        <w:tc>
          <w:tcPr>
            <w:tcW w:w="851" w:type="dxa"/>
            <w:vMerge w:val="continue"/>
            <w:vAlign w:val="center"/>
          </w:tcPr>
          <w:p w14:paraId="1115A570">
            <w:pPr>
              <w:spacing w:line="400" w:lineRule="exact"/>
              <w:jc w:val="center"/>
              <w:rPr>
                <w:rFonts w:ascii="宋体" w:hAnsi="宋体"/>
                <w:color w:val="auto"/>
                <w:szCs w:val="21"/>
                <w:highlight w:val="none"/>
              </w:rPr>
            </w:pPr>
          </w:p>
        </w:tc>
        <w:tc>
          <w:tcPr>
            <w:tcW w:w="1550" w:type="dxa"/>
            <w:vAlign w:val="center"/>
          </w:tcPr>
          <w:p w14:paraId="7AE17758">
            <w:pPr>
              <w:spacing w:line="400" w:lineRule="exact"/>
              <w:jc w:val="center"/>
              <w:rPr>
                <w:rFonts w:ascii="宋体" w:hAnsi="宋体" w:cs="宋体"/>
                <w:color w:val="auto"/>
                <w:szCs w:val="21"/>
                <w:highlight w:val="none"/>
              </w:rPr>
            </w:pPr>
            <w:r>
              <w:rPr>
                <w:rFonts w:hint="eastAsia" w:ascii="宋体" w:hAnsi="宋体" w:cs="宋体"/>
                <w:color w:val="auto"/>
                <w:szCs w:val="21"/>
                <w:highlight w:val="none"/>
              </w:rPr>
              <w:t>资质要求</w:t>
            </w:r>
          </w:p>
        </w:tc>
        <w:tc>
          <w:tcPr>
            <w:tcW w:w="7136" w:type="dxa"/>
            <w:vAlign w:val="center"/>
          </w:tcPr>
          <w:p w14:paraId="2218477D">
            <w:pPr>
              <w:spacing w:line="400" w:lineRule="exact"/>
              <w:rPr>
                <w:rFonts w:ascii="宋体" w:hAnsi="宋体" w:cs="宋体"/>
                <w:color w:val="auto"/>
                <w:szCs w:val="21"/>
                <w:highlight w:val="none"/>
              </w:rPr>
            </w:pPr>
            <w:r>
              <w:rPr>
                <w:rFonts w:hint="eastAsia" w:ascii="宋体" w:hAnsi="宋体" w:cs="宋体"/>
                <w:color w:val="auto"/>
                <w:szCs w:val="21"/>
                <w:highlight w:val="none"/>
              </w:rPr>
              <w:t>符合第二章“投标人须知”第1.4.1项规定。</w:t>
            </w:r>
          </w:p>
        </w:tc>
      </w:tr>
      <w:tr w14:paraId="5D133E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67" w:type="dxa"/>
            <w:vMerge w:val="continue"/>
            <w:vAlign w:val="center"/>
          </w:tcPr>
          <w:p w14:paraId="78D17BDD">
            <w:pPr>
              <w:spacing w:line="400" w:lineRule="exact"/>
              <w:jc w:val="center"/>
              <w:rPr>
                <w:rFonts w:ascii="宋体" w:hAnsi="宋体"/>
                <w:color w:val="auto"/>
                <w:szCs w:val="21"/>
                <w:highlight w:val="none"/>
              </w:rPr>
            </w:pPr>
          </w:p>
        </w:tc>
        <w:tc>
          <w:tcPr>
            <w:tcW w:w="851" w:type="dxa"/>
            <w:vMerge w:val="continue"/>
            <w:vAlign w:val="center"/>
          </w:tcPr>
          <w:p w14:paraId="77CFEC3B">
            <w:pPr>
              <w:spacing w:line="400" w:lineRule="exact"/>
              <w:jc w:val="center"/>
              <w:rPr>
                <w:rFonts w:ascii="宋体" w:hAnsi="宋体"/>
                <w:color w:val="auto"/>
                <w:szCs w:val="21"/>
                <w:highlight w:val="none"/>
              </w:rPr>
            </w:pPr>
          </w:p>
        </w:tc>
        <w:tc>
          <w:tcPr>
            <w:tcW w:w="1550" w:type="dxa"/>
            <w:vAlign w:val="center"/>
          </w:tcPr>
          <w:p w14:paraId="7162B56F">
            <w:pPr>
              <w:spacing w:line="400" w:lineRule="exact"/>
              <w:jc w:val="center"/>
              <w:rPr>
                <w:rFonts w:ascii="宋体" w:hAnsi="宋体" w:cs="宋体"/>
                <w:color w:val="auto"/>
                <w:szCs w:val="21"/>
                <w:highlight w:val="none"/>
              </w:rPr>
            </w:pPr>
            <w:r>
              <w:rPr>
                <w:rFonts w:hint="eastAsia" w:ascii="宋体" w:hAnsi="宋体" w:cs="宋体"/>
                <w:color w:val="auto"/>
                <w:szCs w:val="21"/>
                <w:highlight w:val="none"/>
              </w:rPr>
              <w:t>业绩要求</w:t>
            </w:r>
          </w:p>
        </w:tc>
        <w:tc>
          <w:tcPr>
            <w:tcW w:w="7136" w:type="dxa"/>
            <w:vAlign w:val="center"/>
          </w:tcPr>
          <w:p w14:paraId="5492A426">
            <w:pPr>
              <w:spacing w:line="400" w:lineRule="exact"/>
              <w:rPr>
                <w:rFonts w:ascii="宋体" w:hAnsi="宋体" w:cs="宋体"/>
                <w:color w:val="auto"/>
                <w:szCs w:val="21"/>
                <w:highlight w:val="none"/>
              </w:rPr>
            </w:pPr>
            <w:r>
              <w:rPr>
                <w:rFonts w:hint="eastAsia" w:ascii="宋体" w:hAnsi="宋体" w:cs="宋体"/>
                <w:color w:val="auto"/>
                <w:szCs w:val="21"/>
                <w:highlight w:val="none"/>
              </w:rPr>
              <w:t>/</w:t>
            </w:r>
          </w:p>
        </w:tc>
      </w:tr>
      <w:tr w14:paraId="5F77E1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67" w:type="dxa"/>
            <w:vMerge w:val="continue"/>
            <w:vAlign w:val="center"/>
          </w:tcPr>
          <w:p w14:paraId="55AA267A">
            <w:pPr>
              <w:spacing w:line="400" w:lineRule="exact"/>
              <w:jc w:val="center"/>
              <w:rPr>
                <w:rFonts w:ascii="宋体" w:hAnsi="宋体"/>
                <w:color w:val="auto"/>
                <w:szCs w:val="21"/>
                <w:highlight w:val="none"/>
              </w:rPr>
            </w:pPr>
          </w:p>
        </w:tc>
        <w:tc>
          <w:tcPr>
            <w:tcW w:w="851" w:type="dxa"/>
            <w:vMerge w:val="continue"/>
            <w:vAlign w:val="center"/>
          </w:tcPr>
          <w:p w14:paraId="60D2662B">
            <w:pPr>
              <w:spacing w:line="400" w:lineRule="exact"/>
              <w:jc w:val="center"/>
              <w:rPr>
                <w:rFonts w:ascii="宋体" w:hAnsi="宋体"/>
                <w:color w:val="auto"/>
                <w:szCs w:val="21"/>
                <w:highlight w:val="none"/>
              </w:rPr>
            </w:pPr>
          </w:p>
        </w:tc>
        <w:tc>
          <w:tcPr>
            <w:tcW w:w="1550" w:type="dxa"/>
            <w:vAlign w:val="center"/>
          </w:tcPr>
          <w:p w14:paraId="405DD5A4">
            <w:pPr>
              <w:spacing w:line="400" w:lineRule="exact"/>
              <w:jc w:val="center"/>
              <w:rPr>
                <w:rFonts w:ascii="宋体" w:hAnsi="宋体" w:cs="宋体"/>
                <w:color w:val="auto"/>
                <w:szCs w:val="21"/>
                <w:highlight w:val="none"/>
              </w:rPr>
            </w:pPr>
            <w:r>
              <w:rPr>
                <w:rFonts w:hint="eastAsia" w:ascii="宋体" w:hAnsi="宋体" w:cs="宋体"/>
                <w:color w:val="auto"/>
                <w:szCs w:val="21"/>
                <w:highlight w:val="none"/>
              </w:rPr>
              <w:t>项目负责人</w:t>
            </w:r>
          </w:p>
        </w:tc>
        <w:tc>
          <w:tcPr>
            <w:tcW w:w="7136" w:type="dxa"/>
            <w:vAlign w:val="center"/>
          </w:tcPr>
          <w:p w14:paraId="275BD347">
            <w:pPr>
              <w:spacing w:line="400" w:lineRule="exact"/>
              <w:rPr>
                <w:rFonts w:ascii="宋体" w:hAnsi="宋体" w:cs="宋体"/>
                <w:color w:val="auto"/>
                <w:szCs w:val="21"/>
                <w:highlight w:val="none"/>
              </w:rPr>
            </w:pPr>
            <w:r>
              <w:rPr>
                <w:rFonts w:hint="eastAsia" w:ascii="宋体" w:hAnsi="宋体" w:cs="宋体"/>
                <w:color w:val="auto"/>
                <w:szCs w:val="21"/>
                <w:highlight w:val="none"/>
              </w:rPr>
              <w:t>符合第二章“投标人须知”第1.4.1项规定。</w:t>
            </w:r>
          </w:p>
        </w:tc>
      </w:tr>
      <w:tr w14:paraId="54B61D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jc w:val="center"/>
        </w:trPr>
        <w:tc>
          <w:tcPr>
            <w:tcW w:w="767" w:type="dxa"/>
            <w:vMerge w:val="continue"/>
            <w:vAlign w:val="center"/>
          </w:tcPr>
          <w:p w14:paraId="0338A3FA">
            <w:pPr>
              <w:spacing w:line="400" w:lineRule="exact"/>
              <w:jc w:val="center"/>
              <w:rPr>
                <w:rFonts w:ascii="宋体" w:hAnsi="宋体"/>
                <w:color w:val="auto"/>
                <w:szCs w:val="21"/>
                <w:highlight w:val="none"/>
              </w:rPr>
            </w:pPr>
          </w:p>
        </w:tc>
        <w:tc>
          <w:tcPr>
            <w:tcW w:w="851" w:type="dxa"/>
            <w:vMerge w:val="continue"/>
            <w:vAlign w:val="center"/>
          </w:tcPr>
          <w:p w14:paraId="391BA850">
            <w:pPr>
              <w:spacing w:line="400" w:lineRule="exact"/>
              <w:jc w:val="center"/>
              <w:rPr>
                <w:rFonts w:ascii="宋体" w:hAnsi="宋体"/>
                <w:color w:val="auto"/>
                <w:szCs w:val="21"/>
                <w:highlight w:val="none"/>
              </w:rPr>
            </w:pPr>
          </w:p>
        </w:tc>
        <w:tc>
          <w:tcPr>
            <w:tcW w:w="1550" w:type="dxa"/>
            <w:vAlign w:val="center"/>
          </w:tcPr>
          <w:p w14:paraId="2EA86C28">
            <w:pPr>
              <w:spacing w:line="400" w:lineRule="exact"/>
              <w:jc w:val="center"/>
              <w:rPr>
                <w:rFonts w:ascii="宋体" w:hAnsi="宋体" w:cs="宋体"/>
                <w:color w:val="auto"/>
                <w:szCs w:val="21"/>
                <w:highlight w:val="none"/>
              </w:rPr>
            </w:pPr>
            <w:r>
              <w:rPr>
                <w:rFonts w:hint="eastAsia" w:ascii="宋体" w:hAnsi="宋体" w:cs="宋体"/>
                <w:color w:val="auto"/>
                <w:szCs w:val="21"/>
                <w:highlight w:val="none"/>
              </w:rPr>
              <w:t>其他主要人员</w:t>
            </w:r>
          </w:p>
        </w:tc>
        <w:tc>
          <w:tcPr>
            <w:tcW w:w="7136" w:type="dxa"/>
            <w:vAlign w:val="center"/>
          </w:tcPr>
          <w:p w14:paraId="3E6044B4">
            <w:pPr>
              <w:spacing w:line="400" w:lineRule="exact"/>
              <w:rPr>
                <w:rFonts w:ascii="宋体" w:hAnsi="宋体" w:cs="宋体"/>
                <w:color w:val="auto"/>
                <w:szCs w:val="21"/>
                <w:highlight w:val="none"/>
              </w:rPr>
            </w:pPr>
            <w:r>
              <w:rPr>
                <w:rFonts w:hint="eastAsia" w:ascii="宋体" w:hAnsi="宋体" w:cs="宋体"/>
                <w:color w:val="auto"/>
                <w:szCs w:val="21"/>
                <w:highlight w:val="none"/>
              </w:rPr>
              <w:t>/</w:t>
            </w:r>
          </w:p>
        </w:tc>
      </w:tr>
      <w:tr w14:paraId="4D76BB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67" w:type="dxa"/>
            <w:vMerge w:val="continue"/>
            <w:vAlign w:val="center"/>
          </w:tcPr>
          <w:p w14:paraId="73416C93">
            <w:pPr>
              <w:spacing w:line="400" w:lineRule="exact"/>
              <w:jc w:val="center"/>
              <w:rPr>
                <w:rFonts w:ascii="宋体" w:hAnsi="宋体"/>
                <w:color w:val="auto"/>
                <w:szCs w:val="21"/>
                <w:highlight w:val="none"/>
              </w:rPr>
            </w:pPr>
          </w:p>
        </w:tc>
        <w:tc>
          <w:tcPr>
            <w:tcW w:w="851" w:type="dxa"/>
            <w:vMerge w:val="continue"/>
            <w:vAlign w:val="center"/>
          </w:tcPr>
          <w:p w14:paraId="6851FEF2">
            <w:pPr>
              <w:spacing w:line="400" w:lineRule="exact"/>
              <w:jc w:val="center"/>
              <w:rPr>
                <w:rFonts w:ascii="宋体" w:hAnsi="宋体"/>
                <w:color w:val="auto"/>
                <w:szCs w:val="21"/>
                <w:highlight w:val="none"/>
              </w:rPr>
            </w:pPr>
          </w:p>
        </w:tc>
        <w:tc>
          <w:tcPr>
            <w:tcW w:w="1550" w:type="dxa"/>
            <w:vAlign w:val="center"/>
          </w:tcPr>
          <w:p w14:paraId="633A584E">
            <w:pPr>
              <w:spacing w:line="400" w:lineRule="exact"/>
              <w:jc w:val="center"/>
              <w:rPr>
                <w:rFonts w:ascii="宋体" w:hAnsi="宋体" w:cs="宋体"/>
                <w:color w:val="auto"/>
                <w:szCs w:val="21"/>
                <w:highlight w:val="none"/>
              </w:rPr>
            </w:pPr>
            <w:r>
              <w:rPr>
                <w:rFonts w:hint="eastAsia" w:ascii="宋体" w:hAnsi="宋体" w:cs="宋体"/>
                <w:color w:val="auto"/>
                <w:szCs w:val="21"/>
                <w:highlight w:val="none"/>
              </w:rPr>
              <w:t>试验检测仪器设备</w:t>
            </w:r>
          </w:p>
        </w:tc>
        <w:tc>
          <w:tcPr>
            <w:tcW w:w="7136" w:type="dxa"/>
            <w:vAlign w:val="center"/>
          </w:tcPr>
          <w:p w14:paraId="210ED776">
            <w:pPr>
              <w:spacing w:line="400" w:lineRule="exact"/>
              <w:rPr>
                <w:rFonts w:ascii="宋体" w:hAnsi="宋体" w:cs="宋体"/>
                <w:color w:val="auto"/>
                <w:szCs w:val="21"/>
                <w:highlight w:val="none"/>
              </w:rPr>
            </w:pPr>
            <w:r>
              <w:rPr>
                <w:rFonts w:hint="eastAsia" w:ascii="宋体" w:hAnsi="宋体" w:cs="宋体"/>
                <w:color w:val="auto"/>
                <w:szCs w:val="21"/>
                <w:highlight w:val="none"/>
              </w:rPr>
              <w:t>/</w:t>
            </w:r>
          </w:p>
        </w:tc>
      </w:tr>
      <w:tr w14:paraId="74D679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67" w:type="dxa"/>
            <w:vMerge w:val="continue"/>
            <w:vAlign w:val="center"/>
          </w:tcPr>
          <w:p w14:paraId="21531936">
            <w:pPr>
              <w:spacing w:line="400" w:lineRule="exact"/>
              <w:jc w:val="center"/>
              <w:rPr>
                <w:rFonts w:ascii="宋体" w:hAnsi="宋体"/>
                <w:color w:val="auto"/>
                <w:szCs w:val="21"/>
                <w:highlight w:val="none"/>
              </w:rPr>
            </w:pPr>
          </w:p>
        </w:tc>
        <w:tc>
          <w:tcPr>
            <w:tcW w:w="851" w:type="dxa"/>
            <w:vMerge w:val="continue"/>
            <w:vAlign w:val="center"/>
          </w:tcPr>
          <w:p w14:paraId="08EC0501">
            <w:pPr>
              <w:spacing w:line="400" w:lineRule="exact"/>
              <w:jc w:val="center"/>
              <w:rPr>
                <w:rFonts w:ascii="宋体" w:hAnsi="宋体"/>
                <w:color w:val="auto"/>
                <w:szCs w:val="21"/>
                <w:highlight w:val="none"/>
              </w:rPr>
            </w:pPr>
          </w:p>
        </w:tc>
        <w:tc>
          <w:tcPr>
            <w:tcW w:w="1550" w:type="dxa"/>
            <w:vAlign w:val="center"/>
          </w:tcPr>
          <w:p w14:paraId="0CBAF051">
            <w:pPr>
              <w:spacing w:line="400" w:lineRule="exact"/>
              <w:jc w:val="center"/>
              <w:rPr>
                <w:rFonts w:ascii="宋体" w:hAnsi="宋体" w:cs="宋体"/>
                <w:color w:val="auto"/>
                <w:szCs w:val="21"/>
                <w:highlight w:val="none"/>
              </w:rPr>
            </w:pPr>
            <w:r>
              <w:rPr>
                <w:rFonts w:hint="eastAsia" w:ascii="宋体" w:hAnsi="宋体" w:cs="宋体"/>
                <w:color w:val="auto"/>
                <w:szCs w:val="21"/>
                <w:highlight w:val="none"/>
              </w:rPr>
              <w:t>其他要求</w:t>
            </w:r>
          </w:p>
        </w:tc>
        <w:tc>
          <w:tcPr>
            <w:tcW w:w="7136" w:type="dxa"/>
            <w:vAlign w:val="center"/>
          </w:tcPr>
          <w:p w14:paraId="1B5929F2">
            <w:pPr>
              <w:spacing w:line="400" w:lineRule="exact"/>
              <w:rPr>
                <w:rFonts w:ascii="宋体" w:hAnsi="宋体" w:cs="宋体"/>
                <w:color w:val="auto"/>
                <w:szCs w:val="21"/>
                <w:highlight w:val="none"/>
              </w:rPr>
            </w:pPr>
            <w:r>
              <w:rPr>
                <w:rFonts w:hint="eastAsia" w:ascii="宋体" w:hAnsi="宋体" w:cs="宋体"/>
                <w:color w:val="auto"/>
                <w:szCs w:val="21"/>
                <w:highlight w:val="none"/>
              </w:rPr>
              <w:t>符合第二章“投标人须知”第1.4.1项规定。</w:t>
            </w:r>
          </w:p>
        </w:tc>
      </w:tr>
      <w:tr w14:paraId="7BB27C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67" w:type="dxa"/>
            <w:vMerge w:val="continue"/>
            <w:vAlign w:val="center"/>
          </w:tcPr>
          <w:p w14:paraId="01F7BC36">
            <w:pPr>
              <w:spacing w:line="400" w:lineRule="exact"/>
              <w:jc w:val="center"/>
              <w:rPr>
                <w:rFonts w:ascii="宋体" w:hAnsi="宋体"/>
                <w:color w:val="auto"/>
                <w:szCs w:val="21"/>
                <w:highlight w:val="none"/>
              </w:rPr>
            </w:pPr>
          </w:p>
        </w:tc>
        <w:tc>
          <w:tcPr>
            <w:tcW w:w="851" w:type="dxa"/>
            <w:vMerge w:val="continue"/>
            <w:vAlign w:val="center"/>
          </w:tcPr>
          <w:p w14:paraId="28C216BD">
            <w:pPr>
              <w:spacing w:line="400" w:lineRule="exact"/>
              <w:jc w:val="center"/>
              <w:rPr>
                <w:rFonts w:ascii="宋体" w:hAnsi="宋体"/>
                <w:color w:val="auto"/>
                <w:szCs w:val="21"/>
                <w:highlight w:val="none"/>
              </w:rPr>
            </w:pPr>
          </w:p>
        </w:tc>
        <w:tc>
          <w:tcPr>
            <w:tcW w:w="1550" w:type="dxa"/>
            <w:vAlign w:val="center"/>
          </w:tcPr>
          <w:p w14:paraId="42C3172D">
            <w:pPr>
              <w:spacing w:line="400" w:lineRule="exact"/>
              <w:jc w:val="center"/>
              <w:rPr>
                <w:rFonts w:ascii="宋体" w:hAnsi="宋体" w:cs="宋体"/>
                <w:color w:val="auto"/>
                <w:szCs w:val="21"/>
                <w:highlight w:val="none"/>
              </w:rPr>
            </w:pPr>
            <w:r>
              <w:rPr>
                <w:rFonts w:hint="eastAsia" w:ascii="宋体" w:hAnsi="宋体" w:cs="宋体"/>
                <w:color w:val="auto"/>
                <w:szCs w:val="21"/>
                <w:highlight w:val="none"/>
              </w:rPr>
              <w:t>联合体投标人</w:t>
            </w:r>
          </w:p>
        </w:tc>
        <w:tc>
          <w:tcPr>
            <w:tcW w:w="7136" w:type="dxa"/>
            <w:vAlign w:val="center"/>
          </w:tcPr>
          <w:p w14:paraId="3C835548">
            <w:pPr>
              <w:spacing w:line="400" w:lineRule="exact"/>
              <w:rPr>
                <w:rFonts w:ascii="宋体" w:hAnsi="宋体" w:cs="宋体"/>
                <w:color w:val="auto"/>
                <w:szCs w:val="21"/>
                <w:highlight w:val="none"/>
              </w:rPr>
            </w:pPr>
            <w:r>
              <w:rPr>
                <w:rFonts w:hint="eastAsia" w:ascii="宋体" w:hAnsi="宋体" w:cs="宋体"/>
                <w:color w:val="auto"/>
                <w:szCs w:val="21"/>
                <w:highlight w:val="none"/>
              </w:rPr>
              <w:t>本项目接受联合体投标。</w:t>
            </w:r>
          </w:p>
        </w:tc>
      </w:tr>
      <w:tr w14:paraId="00FB2A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5" w:hRule="atLeast"/>
          <w:jc w:val="center"/>
        </w:trPr>
        <w:tc>
          <w:tcPr>
            <w:tcW w:w="767" w:type="dxa"/>
            <w:vMerge w:val="continue"/>
            <w:vAlign w:val="center"/>
          </w:tcPr>
          <w:p w14:paraId="671FC21B">
            <w:pPr>
              <w:spacing w:line="400" w:lineRule="exact"/>
              <w:jc w:val="center"/>
              <w:rPr>
                <w:rFonts w:ascii="宋体" w:hAnsi="宋体"/>
                <w:color w:val="auto"/>
                <w:szCs w:val="21"/>
                <w:highlight w:val="none"/>
              </w:rPr>
            </w:pPr>
          </w:p>
        </w:tc>
        <w:tc>
          <w:tcPr>
            <w:tcW w:w="851" w:type="dxa"/>
            <w:vMerge w:val="continue"/>
            <w:vAlign w:val="center"/>
          </w:tcPr>
          <w:p w14:paraId="4BAC8C3B">
            <w:pPr>
              <w:spacing w:line="400" w:lineRule="exact"/>
              <w:jc w:val="center"/>
              <w:rPr>
                <w:rFonts w:ascii="宋体" w:hAnsi="宋体"/>
                <w:color w:val="auto"/>
                <w:szCs w:val="21"/>
                <w:highlight w:val="none"/>
              </w:rPr>
            </w:pPr>
          </w:p>
        </w:tc>
        <w:tc>
          <w:tcPr>
            <w:tcW w:w="1550" w:type="dxa"/>
            <w:vAlign w:val="center"/>
          </w:tcPr>
          <w:p w14:paraId="314771C7">
            <w:pPr>
              <w:spacing w:line="400" w:lineRule="exact"/>
              <w:jc w:val="center"/>
              <w:rPr>
                <w:rFonts w:ascii="宋体" w:hAnsi="宋体" w:cs="宋体"/>
                <w:color w:val="auto"/>
                <w:szCs w:val="21"/>
                <w:highlight w:val="none"/>
              </w:rPr>
            </w:pPr>
            <w:r>
              <w:rPr>
                <w:rFonts w:hint="eastAsia" w:ascii="宋体" w:hAnsi="宋体" w:cs="宋体"/>
                <w:color w:val="auto"/>
                <w:szCs w:val="21"/>
                <w:highlight w:val="none"/>
              </w:rPr>
              <w:t>不存在禁止投标的情形</w:t>
            </w:r>
          </w:p>
        </w:tc>
        <w:tc>
          <w:tcPr>
            <w:tcW w:w="7136" w:type="dxa"/>
            <w:vAlign w:val="center"/>
          </w:tcPr>
          <w:p w14:paraId="208C3C15">
            <w:pPr>
              <w:spacing w:line="400" w:lineRule="exact"/>
              <w:rPr>
                <w:rFonts w:ascii="宋体" w:hAnsi="宋体" w:cs="宋体"/>
                <w:color w:val="auto"/>
                <w:szCs w:val="21"/>
                <w:highlight w:val="none"/>
                <w:u w:val="single"/>
              </w:rPr>
            </w:pPr>
            <w:r>
              <w:rPr>
                <w:rFonts w:hint="eastAsia" w:ascii="宋体" w:hAnsi="宋体" w:cs="宋体"/>
                <w:color w:val="auto"/>
                <w:szCs w:val="21"/>
                <w:highlight w:val="none"/>
              </w:rPr>
              <w:t>不存在第二章“投标人须知”第 1.4.3 项规定的任何一种情形（以《投标申请人声明》为准）</w:t>
            </w:r>
          </w:p>
        </w:tc>
      </w:tr>
      <w:tr w14:paraId="2AE658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767" w:type="dxa"/>
            <w:vMerge w:val="restart"/>
            <w:vAlign w:val="center"/>
          </w:tcPr>
          <w:p w14:paraId="20B35102">
            <w:pPr>
              <w:spacing w:line="400" w:lineRule="exact"/>
              <w:jc w:val="center"/>
              <w:rPr>
                <w:rFonts w:ascii="宋体" w:hAnsi="宋体"/>
                <w:color w:val="auto"/>
                <w:szCs w:val="21"/>
                <w:highlight w:val="none"/>
              </w:rPr>
            </w:pPr>
            <w:r>
              <w:rPr>
                <w:rFonts w:ascii="宋体" w:hAnsi="宋体"/>
                <w:color w:val="auto"/>
                <w:szCs w:val="21"/>
                <w:highlight w:val="none"/>
              </w:rPr>
              <w:t>2.1.3</w:t>
            </w:r>
          </w:p>
        </w:tc>
        <w:tc>
          <w:tcPr>
            <w:tcW w:w="851" w:type="dxa"/>
            <w:vMerge w:val="restart"/>
            <w:vAlign w:val="center"/>
          </w:tcPr>
          <w:p w14:paraId="7BE5636D">
            <w:pPr>
              <w:spacing w:line="400" w:lineRule="exact"/>
              <w:jc w:val="center"/>
              <w:rPr>
                <w:rFonts w:ascii="宋体" w:hAnsi="宋体"/>
                <w:color w:val="auto"/>
                <w:szCs w:val="21"/>
                <w:highlight w:val="none"/>
              </w:rPr>
            </w:pPr>
            <w:r>
              <w:rPr>
                <w:rFonts w:hint="eastAsia" w:ascii="宋体" w:hAnsi="宋体"/>
                <w:color w:val="auto"/>
                <w:szCs w:val="21"/>
                <w:highlight w:val="none"/>
              </w:rPr>
              <w:t>响应性评审标准</w:t>
            </w:r>
          </w:p>
        </w:tc>
        <w:tc>
          <w:tcPr>
            <w:tcW w:w="1550" w:type="dxa"/>
            <w:vAlign w:val="center"/>
          </w:tcPr>
          <w:p w14:paraId="09614033">
            <w:pPr>
              <w:spacing w:line="400" w:lineRule="exact"/>
              <w:jc w:val="center"/>
              <w:rPr>
                <w:rFonts w:ascii="宋体" w:hAnsi="宋体" w:cs="宋体"/>
                <w:color w:val="auto"/>
                <w:szCs w:val="21"/>
                <w:highlight w:val="none"/>
              </w:rPr>
            </w:pPr>
            <w:r>
              <w:rPr>
                <w:rFonts w:hint="eastAsia" w:ascii="宋体" w:hAnsi="宋体" w:cs="宋体"/>
                <w:color w:val="auto"/>
                <w:szCs w:val="21"/>
                <w:highlight w:val="none"/>
              </w:rPr>
              <w:t>投标报价</w:t>
            </w:r>
          </w:p>
        </w:tc>
        <w:tc>
          <w:tcPr>
            <w:tcW w:w="7136" w:type="dxa"/>
            <w:vAlign w:val="center"/>
          </w:tcPr>
          <w:p w14:paraId="068C2CFE">
            <w:pPr>
              <w:spacing w:line="400" w:lineRule="exact"/>
              <w:rPr>
                <w:rFonts w:ascii="宋体" w:hAnsi="宋体" w:cs="宋体"/>
                <w:color w:val="auto"/>
                <w:szCs w:val="21"/>
                <w:highlight w:val="none"/>
              </w:rPr>
            </w:pPr>
            <w:r>
              <w:rPr>
                <w:rFonts w:hint="eastAsia" w:ascii="宋体" w:hAnsi="宋体" w:cs="宋体"/>
                <w:color w:val="auto"/>
                <w:szCs w:val="21"/>
                <w:highlight w:val="none"/>
              </w:rPr>
              <w:t>符合第二章“投标人须知”第3.2规定；</w:t>
            </w:r>
          </w:p>
        </w:tc>
      </w:tr>
      <w:tr w14:paraId="2ABDC2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67" w:type="dxa"/>
            <w:vMerge w:val="continue"/>
            <w:vAlign w:val="center"/>
          </w:tcPr>
          <w:p w14:paraId="679DEF2D">
            <w:pPr>
              <w:spacing w:line="400" w:lineRule="exact"/>
              <w:jc w:val="center"/>
              <w:rPr>
                <w:rFonts w:ascii="宋体" w:hAnsi="宋体"/>
                <w:color w:val="auto"/>
                <w:szCs w:val="21"/>
                <w:highlight w:val="none"/>
              </w:rPr>
            </w:pPr>
          </w:p>
        </w:tc>
        <w:tc>
          <w:tcPr>
            <w:tcW w:w="851" w:type="dxa"/>
            <w:vMerge w:val="continue"/>
            <w:vAlign w:val="center"/>
          </w:tcPr>
          <w:p w14:paraId="43FBB2CD">
            <w:pPr>
              <w:spacing w:line="400" w:lineRule="exact"/>
              <w:jc w:val="center"/>
              <w:rPr>
                <w:rFonts w:ascii="宋体" w:hAnsi="宋体"/>
                <w:color w:val="auto"/>
                <w:szCs w:val="21"/>
                <w:highlight w:val="none"/>
              </w:rPr>
            </w:pPr>
          </w:p>
        </w:tc>
        <w:tc>
          <w:tcPr>
            <w:tcW w:w="1550" w:type="dxa"/>
            <w:vAlign w:val="center"/>
          </w:tcPr>
          <w:p w14:paraId="1CD26C2E">
            <w:pPr>
              <w:spacing w:line="400" w:lineRule="exact"/>
              <w:jc w:val="center"/>
              <w:rPr>
                <w:rFonts w:ascii="宋体" w:hAnsi="宋体" w:cs="宋体"/>
                <w:color w:val="auto"/>
                <w:szCs w:val="21"/>
                <w:highlight w:val="none"/>
              </w:rPr>
            </w:pPr>
            <w:r>
              <w:rPr>
                <w:rFonts w:hint="eastAsia" w:ascii="宋体" w:hAnsi="宋体" w:cs="宋体"/>
                <w:color w:val="auto"/>
                <w:szCs w:val="21"/>
                <w:highlight w:val="none"/>
              </w:rPr>
              <w:t>投标内容</w:t>
            </w:r>
          </w:p>
        </w:tc>
        <w:tc>
          <w:tcPr>
            <w:tcW w:w="7136" w:type="dxa"/>
            <w:vAlign w:val="center"/>
          </w:tcPr>
          <w:p w14:paraId="60130378">
            <w:pPr>
              <w:spacing w:line="400" w:lineRule="exact"/>
              <w:rPr>
                <w:rFonts w:ascii="宋体" w:hAnsi="宋体" w:cs="宋体"/>
                <w:color w:val="auto"/>
                <w:szCs w:val="21"/>
                <w:highlight w:val="none"/>
              </w:rPr>
            </w:pPr>
            <w:r>
              <w:rPr>
                <w:rFonts w:hint="eastAsia" w:ascii="宋体" w:hAnsi="宋体" w:cs="宋体"/>
                <w:color w:val="auto"/>
                <w:szCs w:val="21"/>
                <w:highlight w:val="none"/>
              </w:rPr>
              <w:t>符合第二章“投标人须知”第1.3.1规定；</w:t>
            </w:r>
          </w:p>
        </w:tc>
      </w:tr>
      <w:tr w14:paraId="30244C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67" w:type="dxa"/>
            <w:vMerge w:val="continue"/>
            <w:vAlign w:val="center"/>
          </w:tcPr>
          <w:p w14:paraId="36E04BC0">
            <w:pPr>
              <w:spacing w:line="400" w:lineRule="exact"/>
              <w:jc w:val="center"/>
              <w:rPr>
                <w:rFonts w:ascii="宋体" w:hAnsi="宋体"/>
                <w:color w:val="auto"/>
                <w:szCs w:val="21"/>
                <w:highlight w:val="none"/>
              </w:rPr>
            </w:pPr>
          </w:p>
        </w:tc>
        <w:tc>
          <w:tcPr>
            <w:tcW w:w="851" w:type="dxa"/>
            <w:vMerge w:val="continue"/>
            <w:vAlign w:val="center"/>
          </w:tcPr>
          <w:p w14:paraId="4E272B88">
            <w:pPr>
              <w:spacing w:line="400" w:lineRule="exact"/>
              <w:jc w:val="center"/>
              <w:rPr>
                <w:rFonts w:ascii="宋体" w:hAnsi="宋体"/>
                <w:color w:val="auto"/>
                <w:szCs w:val="21"/>
                <w:highlight w:val="none"/>
              </w:rPr>
            </w:pPr>
          </w:p>
        </w:tc>
        <w:tc>
          <w:tcPr>
            <w:tcW w:w="1550" w:type="dxa"/>
            <w:vAlign w:val="center"/>
          </w:tcPr>
          <w:p w14:paraId="3517AF9D">
            <w:pPr>
              <w:spacing w:line="400" w:lineRule="exact"/>
              <w:jc w:val="center"/>
              <w:rPr>
                <w:rFonts w:ascii="宋体" w:hAnsi="宋体" w:cs="宋体"/>
                <w:color w:val="auto"/>
                <w:szCs w:val="21"/>
                <w:highlight w:val="none"/>
              </w:rPr>
            </w:pPr>
            <w:r>
              <w:rPr>
                <w:rFonts w:hint="eastAsia" w:ascii="宋体" w:hAnsi="宋体" w:cs="宋体"/>
                <w:color w:val="auto"/>
                <w:szCs w:val="21"/>
                <w:highlight w:val="none"/>
              </w:rPr>
              <w:t>服务期限</w:t>
            </w:r>
          </w:p>
        </w:tc>
        <w:tc>
          <w:tcPr>
            <w:tcW w:w="7136" w:type="dxa"/>
            <w:vAlign w:val="center"/>
          </w:tcPr>
          <w:p w14:paraId="05F79B4C">
            <w:pPr>
              <w:spacing w:line="400" w:lineRule="exact"/>
              <w:rPr>
                <w:rFonts w:ascii="宋体" w:hAnsi="宋体" w:cs="宋体"/>
                <w:color w:val="auto"/>
                <w:szCs w:val="21"/>
                <w:highlight w:val="none"/>
              </w:rPr>
            </w:pPr>
            <w:r>
              <w:rPr>
                <w:rFonts w:hint="eastAsia" w:ascii="宋体" w:hAnsi="宋体" w:cs="宋体"/>
                <w:color w:val="auto"/>
                <w:szCs w:val="21"/>
                <w:highlight w:val="none"/>
              </w:rPr>
              <w:t>符合第二章“投标人须知”第1.3.2规定；</w:t>
            </w:r>
          </w:p>
        </w:tc>
      </w:tr>
      <w:tr w14:paraId="252743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67" w:type="dxa"/>
            <w:vMerge w:val="continue"/>
            <w:vAlign w:val="center"/>
          </w:tcPr>
          <w:p w14:paraId="6EF72540">
            <w:pPr>
              <w:spacing w:line="400" w:lineRule="exact"/>
              <w:jc w:val="center"/>
              <w:rPr>
                <w:rFonts w:ascii="宋体" w:hAnsi="宋体"/>
                <w:color w:val="auto"/>
                <w:szCs w:val="21"/>
                <w:highlight w:val="none"/>
              </w:rPr>
            </w:pPr>
          </w:p>
        </w:tc>
        <w:tc>
          <w:tcPr>
            <w:tcW w:w="851" w:type="dxa"/>
            <w:vMerge w:val="continue"/>
            <w:vAlign w:val="center"/>
          </w:tcPr>
          <w:p w14:paraId="6AC94352">
            <w:pPr>
              <w:spacing w:line="400" w:lineRule="exact"/>
              <w:jc w:val="center"/>
              <w:rPr>
                <w:rFonts w:ascii="宋体" w:hAnsi="宋体"/>
                <w:color w:val="auto"/>
                <w:szCs w:val="21"/>
                <w:highlight w:val="none"/>
              </w:rPr>
            </w:pPr>
          </w:p>
        </w:tc>
        <w:tc>
          <w:tcPr>
            <w:tcW w:w="1550" w:type="dxa"/>
            <w:vAlign w:val="center"/>
          </w:tcPr>
          <w:p w14:paraId="0C8E1D3B">
            <w:pPr>
              <w:spacing w:line="400" w:lineRule="exact"/>
              <w:jc w:val="center"/>
              <w:rPr>
                <w:rFonts w:ascii="宋体" w:hAnsi="宋体" w:cs="宋体"/>
                <w:color w:val="auto"/>
                <w:szCs w:val="21"/>
                <w:highlight w:val="none"/>
              </w:rPr>
            </w:pPr>
            <w:r>
              <w:rPr>
                <w:rFonts w:hint="eastAsia" w:ascii="宋体" w:hAnsi="宋体" w:cs="宋体"/>
                <w:color w:val="auto"/>
                <w:szCs w:val="21"/>
                <w:highlight w:val="none"/>
              </w:rPr>
              <w:t>质量标准</w:t>
            </w:r>
          </w:p>
        </w:tc>
        <w:tc>
          <w:tcPr>
            <w:tcW w:w="7136" w:type="dxa"/>
            <w:vAlign w:val="center"/>
          </w:tcPr>
          <w:p w14:paraId="0AAE3FA7">
            <w:pPr>
              <w:spacing w:line="400" w:lineRule="exact"/>
              <w:rPr>
                <w:rFonts w:ascii="宋体" w:hAnsi="宋体" w:cs="宋体"/>
                <w:color w:val="auto"/>
                <w:szCs w:val="21"/>
                <w:highlight w:val="none"/>
              </w:rPr>
            </w:pPr>
            <w:r>
              <w:rPr>
                <w:rFonts w:hint="eastAsia" w:ascii="宋体" w:hAnsi="宋体" w:cs="宋体"/>
                <w:color w:val="auto"/>
                <w:szCs w:val="21"/>
                <w:highlight w:val="none"/>
              </w:rPr>
              <w:t>符合第二章“投标人须知”第1.3.3规定；</w:t>
            </w:r>
          </w:p>
        </w:tc>
      </w:tr>
      <w:tr w14:paraId="2077E3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67" w:type="dxa"/>
            <w:vMerge w:val="continue"/>
            <w:vAlign w:val="center"/>
          </w:tcPr>
          <w:p w14:paraId="1EB97AB4">
            <w:pPr>
              <w:spacing w:line="400" w:lineRule="exact"/>
              <w:jc w:val="center"/>
              <w:rPr>
                <w:rFonts w:ascii="宋体" w:hAnsi="宋体"/>
                <w:color w:val="auto"/>
                <w:szCs w:val="21"/>
                <w:highlight w:val="none"/>
              </w:rPr>
            </w:pPr>
          </w:p>
        </w:tc>
        <w:tc>
          <w:tcPr>
            <w:tcW w:w="851" w:type="dxa"/>
            <w:vMerge w:val="continue"/>
            <w:vAlign w:val="center"/>
          </w:tcPr>
          <w:p w14:paraId="2ABB11BD">
            <w:pPr>
              <w:spacing w:line="400" w:lineRule="exact"/>
              <w:jc w:val="center"/>
              <w:rPr>
                <w:rFonts w:ascii="宋体" w:hAnsi="宋体"/>
                <w:color w:val="auto"/>
                <w:szCs w:val="21"/>
                <w:highlight w:val="none"/>
              </w:rPr>
            </w:pPr>
          </w:p>
        </w:tc>
        <w:tc>
          <w:tcPr>
            <w:tcW w:w="1550" w:type="dxa"/>
            <w:vAlign w:val="center"/>
          </w:tcPr>
          <w:p w14:paraId="79D749FF">
            <w:pPr>
              <w:spacing w:line="400" w:lineRule="exact"/>
              <w:jc w:val="center"/>
              <w:rPr>
                <w:rFonts w:ascii="宋体" w:hAnsi="宋体" w:cs="宋体"/>
                <w:color w:val="auto"/>
                <w:szCs w:val="21"/>
                <w:highlight w:val="none"/>
              </w:rPr>
            </w:pPr>
            <w:r>
              <w:rPr>
                <w:rFonts w:hint="eastAsia" w:ascii="宋体" w:hAnsi="宋体" w:cs="宋体"/>
                <w:color w:val="auto"/>
                <w:szCs w:val="21"/>
                <w:highlight w:val="none"/>
              </w:rPr>
              <w:t>投标有效期</w:t>
            </w:r>
          </w:p>
        </w:tc>
        <w:tc>
          <w:tcPr>
            <w:tcW w:w="7136" w:type="dxa"/>
          </w:tcPr>
          <w:p w14:paraId="159B3A2D">
            <w:pPr>
              <w:spacing w:line="400" w:lineRule="exact"/>
              <w:rPr>
                <w:rFonts w:ascii="宋体" w:hAnsi="宋体" w:cs="宋体"/>
                <w:color w:val="auto"/>
                <w:szCs w:val="21"/>
                <w:highlight w:val="none"/>
              </w:rPr>
            </w:pPr>
            <w:r>
              <w:rPr>
                <w:rFonts w:hint="eastAsia" w:ascii="宋体" w:hAnsi="宋体" w:cs="宋体"/>
                <w:color w:val="auto"/>
                <w:szCs w:val="21"/>
                <w:highlight w:val="none"/>
              </w:rPr>
              <w:t>符合第二章“投标人须知”第3.3.1规定；</w:t>
            </w:r>
          </w:p>
        </w:tc>
      </w:tr>
      <w:tr w14:paraId="745A4B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67" w:type="dxa"/>
            <w:vMerge w:val="continue"/>
            <w:vAlign w:val="center"/>
          </w:tcPr>
          <w:p w14:paraId="7C42F233">
            <w:pPr>
              <w:spacing w:line="400" w:lineRule="exact"/>
              <w:jc w:val="center"/>
              <w:rPr>
                <w:rFonts w:ascii="宋体" w:hAnsi="宋体"/>
                <w:color w:val="auto"/>
                <w:szCs w:val="21"/>
                <w:highlight w:val="none"/>
              </w:rPr>
            </w:pPr>
          </w:p>
        </w:tc>
        <w:tc>
          <w:tcPr>
            <w:tcW w:w="851" w:type="dxa"/>
            <w:vMerge w:val="continue"/>
            <w:vAlign w:val="center"/>
          </w:tcPr>
          <w:p w14:paraId="260BC00C">
            <w:pPr>
              <w:spacing w:line="400" w:lineRule="exact"/>
              <w:jc w:val="center"/>
              <w:rPr>
                <w:rFonts w:ascii="宋体" w:hAnsi="宋体"/>
                <w:color w:val="auto"/>
                <w:szCs w:val="21"/>
                <w:highlight w:val="none"/>
              </w:rPr>
            </w:pPr>
          </w:p>
        </w:tc>
        <w:tc>
          <w:tcPr>
            <w:tcW w:w="1550" w:type="dxa"/>
            <w:vAlign w:val="center"/>
          </w:tcPr>
          <w:p w14:paraId="0FA6DE18">
            <w:pPr>
              <w:spacing w:line="400" w:lineRule="exact"/>
              <w:jc w:val="center"/>
              <w:rPr>
                <w:rFonts w:ascii="宋体" w:hAnsi="宋体" w:cs="宋体"/>
                <w:color w:val="auto"/>
                <w:szCs w:val="21"/>
                <w:highlight w:val="none"/>
              </w:rPr>
            </w:pPr>
            <w:r>
              <w:rPr>
                <w:rFonts w:hint="eastAsia" w:ascii="宋体" w:hAnsi="宋体" w:cs="宋体"/>
                <w:color w:val="auto"/>
                <w:szCs w:val="21"/>
                <w:highlight w:val="none"/>
              </w:rPr>
              <w:t>投标保证金</w:t>
            </w:r>
          </w:p>
        </w:tc>
        <w:tc>
          <w:tcPr>
            <w:tcW w:w="7136" w:type="dxa"/>
          </w:tcPr>
          <w:p w14:paraId="236771A5">
            <w:pPr>
              <w:spacing w:line="400" w:lineRule="exact"/>
              <w:rPr>
                <w:rFonts w:ascii="宋体" w:hAnsi="宋体" w:cs="宋体"/>
                <w:color w:val="auto"/>
                <w:szCs w:val="21"/>
                <w:highlight w:val="none"/>
              </w:rPr>
            </w:pPr>
            <w:r>
              <w:rPr>
                <w:rFonts w:hint="eastAsia" w:ascii="宋体" w:hAnsi="宋体" w:cs="宋体"/>
                <w:color w:val="auto"/>
                <w:szCs w:val="21"/>
                <w:highlight w:val="none"/>
              </w:rPr>
              <w:t>符合第二章“投标人须知”第3.4.1规定；</w:t>
            </w:r>
          </w:p>
        </w:tc>
      </w:tr>
      <w:tr w14:paraId="73E564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67" w:type="dxa"/>
            <w:vMerge w:val="continue"/>
            <w:vAlign w:val="center"/>
          </w:tcPr>
          <w:p w14:paraId="6623A9E5">
            <w:pPr>
              <w:spacing w:line="400" w:lineRule="exact"/>
              <w:jc w:val="center"/>
              <w:rPr>
                <w:rFonts w:ascii="宋体" w:hAnsi="宋体"/>
                <w:color w:val="auto"/>
                <w:szCs w:val="21"/>
                <w:highlight w:val="none"/>
              </w:rPr>
            </w:pPr>
          </w:p>
        </w:tc>
        <w:tc>
          <w:tcPr>
            <w:tcW w:w="851" w:type="dxa"/>
            <w:vMerge w:val="continue"/>
            <w:vAlign w:val="center"/>
          </w:tcPr>
          <w:p w14:paraId="3CC47621">
            <w:pPr>
              <w:spacing w:line="400" w:lineRule="exact"/>
              <w:jc w:val="center"/>
              <w:rPr>
                <w:rFonts w:ascii="宋体" w:hAnsi="宋体"/>
                <w:color w:val="auto"/>
                <w:szCs w:val="21"/>
                <w:highlight w:val="none"/>
              </w:rPr>
            </w:pPr>
          </w:p>
        </w:tc>
        <w:tc>
          <w:tcPr>
            <w:tcW w:w="1550" w:type="dxa"/>
            <w:vAlign w:val="center"/>
          </w:tcPr>
          <w:p w14:paraId="7087D3B9">
            <w:pPr>
              <w:spacing w:line="400" w:lineRule="exact"/>
              <w:jc w:val="center"/>
              <w:rPr>
                <w:rFonts w:ascii="宋体" w:hAnsi="宋体" w:cs="宋体"/>
                <w:color w:val="auto"/>
                <w:szCs w:val="21"/>
                <w:highlight w:val="none"/>
              </w:rPr>
            </w:pPr>
            <w:r>
              <w:rPr>
                <w:rFonts w:hint="eastAsia" w:ascii="宋体" w:hAnsi="宋体" w:cs="宋体"/>
                <w:color w:val="auto"/>
                <w:szCs w:val="21"/>
                <w:highlight w:val="none"/>
              </w:rPr>
              <w:t>串通投标情形</w:t>
            </w:r>
          </w:p>
        </w:tc>
        <w:tc>
          <w:tcPr>
            <w:tcW w:w="7136" w:type="dxa"/>
          </w:tcPr>
          <w:p w14:paraId="4A6C566C">
            <w:pPr>
              <w:spacing w:line="400" w:lineRule="exact"/>
              <w:rPr>
                <w:rFonts w:ascii="宋体" w:hAnsi="宋体" w:cs="宋体"/>
                <w:color w:val="auto"/>
                <w:szCs w:val="21"/>
                <w:highlight w:val="none"/>
              </w:rPr>
            </w:pPr>
            <w:r>
              <w:rPr>
                <w:rFonts w:hint="eastAsia" w:ascii="宋体" w:hAnsi="宋体" w:cs="宋体"/>
                <w:color w:val="auto"/>
                <w:szCs w:val="21"/>
                <w:highlight w:val="none"/>
              </w:rPr>
              <w:t>不存在串通投标情形（串通投标情形以《中华人民共和国招标投标法实施条例》的规定为准）；</w:t>
            </w:r>
          </w:p>
        </w:tc>
      </w:tr>
      <w:tr w14:paraId="488BD4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618" w:type="dxa"/>
            <w:gridSpan w:val="2"/>
            <w:vAlign w:val="center"/>
          </w:tcPr>
          <w:p w14:paraId="1C2D4FFF">
            <w:pPr>
              <w:spacing w:line="400" w:lineRule="exact"/>
              <w:jc w:val="center"/>
              <w:rPr>
                <w:rFonts w:ascii="宋体" w:hAnsi="宋体"/>
                <w:color w:val="auto"/>
                <w:szCs w:val="21"/>
                <w:highlight w:val="none"/>
              </w:rPr>
            </w:pPr>
            <w:r>
              <w:rPr>
                <w:rFonts w:ascii="宋体" w:hAnsi="宋体"/>
                <w:color w:val="auto"/>
                <w:szCs w:val="21"/>
                <w:highlight w:val="none"/>
              </w:rPr>
              <w:t>2.2.1</w:t>
            </w:r>
          </w:p>
        </w:tc>
        <w:tc>
          <w:tcPr>
            <w:tcW w:w="1550" w:type="dxa"/>
            <w:vAlign w:val="center"/>
          </w:tcPr>
          <w:p w14:paraId="60927984">
            <w:pPr>
              <w:spacing w:line="400" w:lineRule="exact"/>
              <w:jc w:val="center"/>
              <w:rPr>
                <w:rFonts w:ascii="宋体" w:hAnsi="宋体" w:cs="宋体"/>
                <w:color w:val="auto"/>
                <w:szCs w:val="21"/>
                <w:highlight w:val="none"/>
              </w:rPr>
            </w:pPr>
            <w:r>
              <w:rPr>
                <w:rFonts w:hint="eastAsia" w:ascii="宋体" w:hAnsi="宋体" w:cs="宋体"/>
                <w:color w:val="auto"/>
                <w:szCs w:val="21"/>
                <w:highlight w:val="none"/>
              </w:rPr>
              <w:t>分值构成</w:t>
            </w:r>
          </w:p>
          <w:p w14:paraId="1DE48CE4">
            <w:pPr>
              <w:spacing w:line="400" w:lineRule="exact"/>
              <w:jc w:val="center"/>
              <w:rPr>
                <w:rFonts w:ascii="宋体" w:hAnsi="宋体" w:cs="宋体"/>
                <w:color w:val="auto"/>
                <w:szCs w:val="21"/>
                <w:highlight w:val="none"/>
              </w:rPr>
            </w:pPr>
            <w:r>
              <w:rPr>
                <w:rFonts w:ascii="宋体" w:hAnsi="宋体" w:cs="宋体"/>
                <w:color w:val="auto"/>
                <w:szCs w:val="21"/>
                <w:highlight w:val="none"/>
              </w:rPr>
              <w:t>(</w:t>
            </w:r>
            <w:r>
              <w:rPr>
                <w:rFonts w:hint="eastAsia" w:ascii="宋体" w:hAnsi="宋体" w:cs="宋体"/>
                <w:color w:val="auto"/>
                <w:szCs w:val="21"/>
                <w:highlight w:val="none"/>
              </w:rPr>
              <w:t>总分</w:t>
            </w:r>
            <w:r>
              <w:rPr>
                <w:rFonts w:ascii="宋体" w:hAnsi="宋体" w:cs="宋体"/>
                <w:color w:val="auto"/>
                <w:szCs w:val="21"/>
                <w:highlight w:val="none"/>
              </w:rPr>
              <w:t>100</w:t>
            </w:r>
            <w:r>
              <w:rPr>
                <w:rFonts w:hint="eastAsia" w:ascii="宋体" w:hAnsi="宋体" w:cs="宋体"/>
                <w:color w:val="auto"/>
                <w:szCs w:val="21"/>
                <w:highlight w:val="none"/>
              </w:rPr>
              <w:t>分</w:t>
            </w:r>
            <w:r>
              <w:rPr>
                <w:rFonts w:ascii="宋体" w:hAnsi="宋体" w:cs="宋体"/>
                <w:color w:val="auto"/>
                <w:szCs w:val="21"/>
                <w:highlight w:val="none"/>
              </w:rPr>
              <w:t>)</w:t>
            </w:r>
          </w:p>
        </w:tc>
        <w:tc>
          <w:tcPr>
            <w:tcW w:w="7136" w:type="dxa"/>
            <w:vAlign w:val="center"/>
          </w:tcPr>
          <w:p w14:paraId="4AD2EFFE">
            <w:pPr>
              <w:spacing w:line="400" w:lineRule="exact"/>
              <w:jc w:val="left"/>
              <w:rPr>
                <w:rFonts w:ascii="宋体" w:hAnsi="宋体"/>
                <w:color w:val="auto"/>
                <w:szCs w:val="21"/>
                <w:highlight w:val="none"/>
              </w:rPr>
            </w:pPr>
            <w:r>
              <w:rPr>
                <w:rFonts w:hint="eastAsia" w:ascii="宋体" w:hAnsi="宋体"/>
                <w:b/>
                <w:color w:val="auto"/>
                <w:szCs w:val="21"/>
                <w:highlight w:val="none"/>
              </w:rPr>
              <w:t>A企业综合实力部分：</w:t>
            </w:r>
            <w:r>
              <w:rPr>
                <w:rFonts w:hint="eastAsia" w:ascii="宋体" w:hAnsi="宋体"/>
                <w:color w:val="auto"/>
                <w:szCs w:val="21"/>
                <w:highlight w:val="none"/>
                <w:u w:val="single"/>
                <w:lang w:val="en-US" w:eastAsia="zh-CN"/>
              </w:rPr>
              <w:t>6</w:t>
            </w:r>
            <w:r>
              <w:rPr>
                <w:rFonts w:hint="eastAsia" w:ascii="宋体" w:hAnsi="宋体"/>
                <w:color w:val="auto"/>
                <w:szCs w:val="21"/>
                <w:highlight w:val="none"/>
                <w:u w:val="single"/>
              </w:rPr>
              <w:t>0</w:t>
            </w:r>
            <w:r>
              <w:rPr>
                <w:rFonts w:hint="eastAsia" w:ascii="宋体" w:hAnsi="宋体"/>
                <w:color w:val="auto"/>
                <w:szCs w:val="21"/>
                <w:highlight w:val="none"/>
              </w:rPr>
              <w:t>分</w:t>
            </w:r>
          </w:p>
          <w:p w14:paraId="12C06A88">
            <w:pPr>
              <w:spacing w:line="400" w:lineRule="exact"/>
              <w:rPr>
                <w:rFonts w:ascii="宋体" w:hAnsi="宋体"/>
                <w:b/>
                <w:color w:val="auto"/>
                <w:szCs w:val="21"/>
                <w:highlight w:val="none"/>
              </w:rPr>
            </w:pPr>
            <w:r>
              <w:rPr>
                <w:rFonts w:ascii="宋体" w:hAnsi="宋体"/>
                <w:b/>
                <w:color w:val="auto"/>
                <w:szCs w:val="21"/>
                <w:highlight w:val="none"/>
              </w:rPr>
              <w:t>B技术方案部分：</w:t>
            </w:r>
            <w:r>
              <w:rPr>
                <w:rFonts w:hint="eastAsia" w:ascii="宋体" w:hAnsi="宋体"/>
                <w:bCs/>
                <w:color w:val="auto"/>
                <w:szCs w:val="21"/>
                <w:highlight w:val="none"/>
                <w:u w:val="single"/>
                <w:lang w:val="en-US" w:eastAsia="zh-CN"/>
              </w:rPr>
              <w:t>2</w:t>
            </w:r>
            <w:r>
              <w:rPr>
                <w:rFonts w:hint="eastAsia" w:ascii="宋体" w:hAnsi="宋体"/>
                <w:bCs/>
                <w:color w:val="auto"/>
                <w:szCs w:val="21"/>
                <w:highlight w:val="none"/>
                <w:u w:val="single"/>
              </w:rPr>
              <w:t>0</w:t>
            </w:r>
            <w:r>
              <w:rPr>
                <w:rFonts w:hint="eastAsia" w:ascii="宋体" w:hAnsi="宋体"/>
                <w:bCs/>
                <w:color w:val="auto"/>
                <w:szCs w:val="21"/>
                <w:highlight w:val="none"/>
              </w:rPr>
              <w:t>分</w:t>
            </w:r>
          </w:p>
          <w:p w14:paraId="71C91EFC">
            <w:pPr>
              <w:spacing w:line="400" w:lineRule="exact"/>
              <w:rPr>
                <w:rFonts w:ascii="宋体" w:hAnsi="宋体"/>
                <w:color w:val="auto"/>
                <w:szCs w:val="21"/>
                <w:highlight w:val="none"/>
              </w:rPr>
            </w:pPr>
            <w:r>
              <w:rPr>
                <w:rFonts w:ascii="宋体" w:hAnsi="宋体"/>
                <w:b/>
                <w:color w:val="auto"/>
                <w:szCs w:val="21"/>
                <w:highlight w:val="none"/>
              </w:rPr>
              <w:t>C投标报价部分：</w:t>
            </w:r>
            <w:r>
              <w:rPr>
                <w:rFonts w:hint="eastAsia" w:ascii="宋体" w:hAnsi="宋体"/>
                <w:bCs/>
                <w:color w:val="auto"/>
                <w:szCs w:val="21"/>
                <w:highlight w:val="none"/>
                <w:u w:val="single"/>
                <w:lang w:val="en-US" w:eastAsia="zh-CN"/>
              </w:rPr>
              <w:t>2</w:t>
            </w:r>
            <w:r>
              <w:rPr>
                <w:rFonts w:hint="eastAsia" w:ascii="宋体" w:hAnsi="宋体"/>
                <w:bCs/>
                <w:color w:val="auto"/>
                <w:szCs w:val="21"/>
                <w:highlight w:val="none"/>
                <w:u w:val="single"/>
              </w:rPr>
              <w:t>0</w:t>
            </w:r>
            <w:r>
              <w:rPr>
                <w:rFonts w:hint="eastAsia" w:ascii="宋体" w:hAnsi="宋体"/>
                <w:bCs/>
                <w:color w:val="auto"/>
                <w:szCs w:val="21"/>
                <w:highlight w:val="none"/>
              </w:rPr>
              <w:t>分</w:t>
            </w:r>
          </w:p>
          <w:p w14:paraId="75E58E9E">
            <w:pPr>
              <w:spacing w:line="400" w:lineRule="exact"/>
              <w:rPr>
                <w:color w:val="auto"/>
                <w:highlight w:val="none"/>
              </w:rPr>
            </w:pPr>
            <w:r>
              <w:rPr>
                <w:rFonts w:hint="eastAsia" w:ascii="宋体" w:hAnsi="宋体" w:cs="宋体"/>
                <w:color w:val="auto"/>
                <w:szCs w:val="21"/>
                <w:highlight w:val="none"/>
              </w:rPr>
              <w:t>注：投标人综合得分为各评委A+B+C的总分的算术平均分（分数出现小数点时，保留小数点后二位，第三位小数四舍五入）。</w:t>
            </w:r>
          </w:p>
        </w:tc>
      </w:tr>
      <w:tr w14:paraId="1B9835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618" w:type="dxa"/>
            <w:gridSpan w:val="2"/>
            <w:vAlign w:val="center"/>
          </w:tcPr>
          <w:p w14:paraId="65D43AE9">
            <w:pPr>
              <w:spacing w:line="400" w:lineRule="exact"/>
              <w:jc w:val="center"/>
              <w:rPr>
                <w:rFonts w:ascii="宋体" w:hAnsi="宋体"/>
                <w:color w:val="auto"/>
                <w:szCs w:val="21"/>
                <w:highlight w:val="none"/>
              </w:rPr>
            </w:pPr>
            <w:r>
              <w:rPr>
                <w:rFonts w:ascii="宋体" w:hAnsi="宋体"/>
                <w:color w:val="auto"/>
                <w:szCs w:val="21"/>
                <w:highlight w:val="none"/>
              </w:rPr>
              <w:t>2.2.2</w:t>
            </w:r>
          </w:p>
        </w:tc>
        <w:tc>
          <w:tcPr>
            <w:tcW w:w="1550" w:type="dxa"/>
            <w:vAlign w:val="center"/>
          </w:tcPr>
          <w:p w14:paraId="1CF10C16">
            <w:pPr>
              <w:spacing w:line="400" w:lineRule="exact"/>
              <w:jc w:val="center"/>
              <w:rPr>
                <w:rFonts w:ascii="宋体" w:hAnsi="宋体" w:cs="宋体"/>
                <w:color w:val="auto"/>
                <w:szCs w:val="21"/>
                <w:highlight w:val="none"/>
              </w:rPr>
            </w:pPr>
            <w:r>
              <w:rPr>
                <w:rFonts w:hint="eastAsia" w:ascii="宋体" w:hAnsi="宋体" w:cs="宋体"/>
                <w:color w:val="auto"/>
                <w:szCs w:val="21"/>
                <w:highlight w:val="none"/>
              </w:rPr>
              <w:t>评标基准价计算方法</w:t>
            </w:r>
          </w:p>
        </w:tc>
        <w:tc>
          <w:tcPr>
            <w:tcW w:w="7136" w:type="dxa"/>
            <w:vAlign w:val="center"/>
          </w:tcPr>
          <w:p w14:paraId="3A258F93">
            <w:pPr>
              <w:spacing w:line="400" w:lineRule="exact"/>
              <w:jc w:val="left"/>
              <w:rPr>
                <w:rFonts w:ascii="宋体" w:hAnsi="宋体"/>
                <w:color w:val="auto"/>
                <w:szCs w:val="21"/>
                <w:highlight w:val="none"/>
              </w:rPr>
            </w:pPr>
            <w:r>
              <w:rPr>
                <w:rFonts w:hint="eastAsia" w:ascii="宋体" w:hAnsi="宋体" w:cs="宋体"/>
                <w:color w:val="auto"/>
                <w:szCs w:val="21"/>
                <w:highlight w:val="none"/>
              </w:rPr>
              <w:t>以通过初步评审并经算术校核的投标人有效投标报价中，若位于[最高投标限价×80%，最高投标限价]区间的有效投标报价大于5个，去一个最高价和一个最低价后，剩余报价的算术平均值为评标基准价。若位于[最高投标限价×80%，最高投标限价]区间的有效投标报价少于或等于5个，直接取区间中的报价的算术平均值为评标基准价。若没有有效投标报价位于[最高投标限价×80%，最高投标限价]区间，直接取最高投标限价×80%作为评标基准价。评标基准价保留到小数点后两位，第三位四舍五入。</w:t>
            </w:r>
          </w:p>
        </w:tc>
      </w:tr>
      <w:tr w14:paraId="29CDC6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jc w:val="center"/>
        </w:trPr>
        <w:tc>
          <w:tcPr>
            <w:tcW w:w="1618" w:type="dxa"/>
            <w:gridSpan w:val="2"/>
            <w:vAlign w:val="center"/>
          </w:tcPr>
          <w:p w14:paraId="593C5B74">
            <w:pPr>
              <w:spacing w:line="400" w:lineRule="exact"/>
              <w:jc w:val="center"/>
              <w:rPr>
                <w:rFonts w:ascii="宋体" w:hAnsi="宋体"/>
                <w:color w:val="auto"/>
                <w:szCs w:val="21"/>
                <w:highlight w:val="none"/>
              </w:rPr>
            </w:pPr>
            <w:r>
              <w:rPr>
                <w:rFonts w:ascii="宋体" w:hAnsi="宋体"/>
                <w:color w:val="auto"/>
                <w:szCs w:val="21"/>
                <w:highlight w:val="none"/>
              </w:rPr>
              <w:t>2.2.3</w:t>
            </w:r>
          </w:p>
        </w:tc>
        <w:tc>
          <w:tcPr>
            <w:tcW w:w="1550" w:type="dxa"/>
            <w:vAlign w:val="center"/>
          </w:tcPr>
          <w:p w14:paraId="2DA76AE6">
            <w:pPr>
              <w:spacing w:line="400" w:lineRule="exact"/>
              <w:jc w:val="center"/>
              <w:rPr>
                <w:rFonts w:ascii="宋体" w:hAnsi="宋体" w:cs="宋体"/>
                <w:color w:val="auto"/>
                <w:szCs w:val="21"/>
                <w:highlight w:val="none"/>
              </w:rPr>
            </w:pPr>
            <w:r>
              <w:rPr>
                <w:rFonts w:hint="eastAsia" w:ascii="宋体" w:hAnsi="宋体" w:cs="宋体"/>
                <w:color w:val="auto"/>
                <w:szCs w:val="21"/>
                <w:highlight w:val="none"/>
              </w:rPr>
              <w:t>投标报价的偏差率计算公式</w:t>
            </w:r>
          </w:p>
        </w:tc>
        <w:tc>
          <w:tcPr>
            <w:tcW w:w="7136" w:type="dxa"/>
            <w:vAlign w:val="center"/>
          </w:tcPr>
          <w:p w14:paraId="73EDFF3D">
            <w:pPr>
              <w:spacing w:line="400" w:lineRule="exact"/>
              <w:rPr>
                <w:rFonts w:ascii="宋体" w:hAnsi="宋体"/>
                <w:color w:val="auto"/>
                <w:szCs w:val="21"/>
                <w:highlight w:val="none"/>
              </w:rPr>
            </w:pPr>
            <w:r>
              <w:rPr>
                <w:rFonts w:hint="eastAsia" w:ascii="宋体" w:hAnsi="宋体"/>
                <w:color w:val="auto"/>
                <w:szCs w:val="21"/>
                <w:highlight w:val="none"/>
              </w:rPr>
              <w:t>投标报价的偏差率=（有效投标报价-</w:t>
            </w:r>
            <w:r>
              <w:rPr>
                <w:rFonts w:hint="eastAsia" w:ascii="宋体" w:hAnsi="宋体" w:cs="宋体"/>
                <w:color w:val="auto"/>
                <w:szCs w:val="21"/>
                <w:highlight w:val="none"/>
              </w:rPr>
              <w:t>评标基准价</w:t>
            </w:r>
            <w:r>
              <w:rPr>
                <w:rFonts w:hint="eastAsia" w:ascii="宋体" w:hAnsi="宋体"/>
                <w:color w:val="auto"/>
                <w:szCs w:val="21"/>
                <w:highlight w:val="none"/>
              </w:rPr>
              <w:t>）/</w:t>
            </w:r>
            <w:r>
              <w:rPr>
                <w:rFonts w:hint="eastAsia" w:ascii="宋体" w:hAnsi="宋体" w:cs="宋体"/>
                <w:color w:val="auto"/>
                <w:szCs w:val="21"/>
                <w:highlight w:val="none"/>
              </w:rPr>
              <w:t>评标基准价</w:t>
            </w:r>
            <w:r>
              <w:rPr>
                <w:rFonts w:hint="eastAsia" w:ascii="宋体" w:hAnsi="宋体"/>
                <w:color w:val="auto"/>
                <w:szCs w:val="21"/>
                <w:highlight w:val="none"/>
              </w:rPr>
              <w:t>×100%（偏差率出现小数点时，保留小数点后2位，第三位小数四舍五入。）</w:t>
            </w:r>
          </w:p>
        </w:tc>
      </w:tr>
      <w:tr w14:paraId="77B9AF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jc w:val="center"/>
        </w:trPr>
        <w:tc>
          <w:tcPr>
            <w:tcW w:w="767" w:type="dxa"/>
            <w:vMerge w:val="restart"/>
            <w:vAlign w:val="center"/>
          </w:tcPr>
          <w:p w14:paraId="16D93694">
            <w:pPr>
              <w:spacing w:line="400" w:lineRule="exact"/>
              <w:jc w:val="center"/>
              <w:rPr>
                <w:rFonts w:ascii="宋体" w:hAnsi="宋体"/>
                <w:color w:val="auto"/>
                <w:szCs w:val="21"/>
                <w:highlight w:val="none"/>
              </w:rPr>
            </w:pPr>
            <w:r>
              <w:rPr>
                <w:rFonts w:hint="eastAsia" w:ascii="宋体" w:hAnsi="宋体" w:cs="宋体"/>
                <w:color w:val="auto"/>
                <w:szCs w:val="21"/>
                <w:highlight w:val="none"/>
              </w:rPr>
              <w:t>2.2.4（1）</w:t>
            </w:r>
          </w:p>
        </w:tc>
        <w:tc>
          <w:tcPr>
            <w:tcW w:w="851" w:type="dxa"/>
            <w:vMerge w:val="restart"/>
            <w:vAlign w:val="center"/>
          </w:tcPr>
          <w:p w14:paraId="4F08E769">
            <w:pPr>
              <w:spacing w:line="400" w:lineRule="exact"/>
              <w:jc w:val="center"/>
              <w:rPr>
                <w:rFonts w:ascii="宋体" w:hAnsi="宋体" w:cs="宋体"/>
                <w:color w:val="auto"/>
                <w:szCs w:val="21"/>
                <w:highlight w:val="none"/>
              </w:rPr>
            </w:pPr>
            <w:r>
              <w:rPr>
                <w:rFonts w:hint="eastAsia" w:ascii="宋体" w:hAnsi="宋体" w:cs="宋体"/>
                <w:color w:val="auto"/>
                <w:szCs w:val="21"/>
                <w:highlight w:val="none"/>
              </w:rPr>
              <w:t>企业综合实力评分标准</w:t>
            </w:r>
          </w:p>
        </w:tc>
        <w:tc>
          <w:tcPr>
            <w:tcW w:w="1550" w:type="dxa"/>
            <w:vAlign w:val="center"/>
          </w:tcPr>
          <w:p w14:paraId="025E055C">
            <w:pPr>
              <w:spacing w:line="400" w:lineRule="exact"/>
              <w:jc w:val="center"/>
              <w:rPr>
                <w:rFonts w:ascii="宋体" w:hAnsi="宋体" w:cs="宋体"/>
                <w:color w:val="auto"/>
                <w:szCs w:val="21"/>
                <w:highlight w:val="none"/>
              </w:rPr>
            </w:pPr>
            <w:r>
              <w:rPr>
                <w:rFonts w:hint="eastAsia" w:ascii="宋体" w:hAnsi="宋体" w:cs="宋体"/>
                <w:color w:val="auto"/>
                <w:szCs w:val="21"/>
                <w:highlight w:val="none"/>
              </w:rPr>
              <w:t>类似项目业绩</w:t>
            </w:r>
          </w:p>
        </w:tc>
        <w:tc>
          <w:tcPr>
            <w:tcW w:w="7136" w:type="dxa"/>
            <w:vAlign w:val="center"/>
          </w:tcPr>
          <w:p w14:paraId="3719DFF0">
            <w:pPr>
              <w:spacing w:line="400" w:lineRule="exact"/>
              <w:jc w:val="left"/>
              <w:rPr>
                <w:rFonts w:ascii="宋体" w:hAnsi="宋体" w:cs="宋体"/>
                <w:color w:val="auto"/>
                <w:szCs w:val="21"/>
                <w:highlight w:val="none"/>
              </w:rPr>
            </w:pPr>
            <w:r>
              <w:rPr>
                <w:rFonts w:hint="eastAsia" w:ascii="宋体" w:hAnsi="宋体" w:cs="宋体"/>
                <w:color w:val="auto"/>
                <w:szCs w:val="21"/>
                <w:highlight w:val="none"/>
              </w:rPr>
              <w:t>详见本章附表：综合评分表</w:t>
            </w:r>
          </w:p>
        </w:tc>
      </w:tr>
      <w:tr w14:paraId="6FD2DD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jc w:val="center"/>
        </w:trPr>
        <w:tc>
          <w:tcPr>
            <w:tcW w:w="767" w:type="dxa"/>
            <w:vMerge w:val="continue"/>
            <w:vAlign w:val="center"/>
          </w:tcPr>
          <w:p w14:paraId="3BA60F36">
            <w:pPr>
              <w:spacing w:line="400" w:lineRule="exact"/>
              <w:jc w:val="center"/>
              <w:rPr>
                <w:rFonts w:ascii="宋体" w:hAnsi="宋体"/>
                <w:color w:val="auto"/>
                <w:szCs w:val="21"/>
                <w:highlight w:val="none"/>
              </w:rPr>
            </w:pPr>
          </w:p>
        </w:tc>
        <w:tc>
          <w:tcPr>
            <w:tcW w:w="851" w:type="dxa"/>
            <w:vMerge w:val="continue"/>
            <w:vAlign w:val="center"/>
          </w:tcPr>
          <w:p w14:paraId="54ACFA6A">
            <w:pPr>
              <w:spacing w:line="400" w:lineRule="exact"/>
              <w:jc w:val="center"/>
              <w:rPr>
                <w:rFonts w:ascii="宋体" w:hAnsi="宋体"/>
                <w:color w:val="auto"/>
                <w:szCs w:val="21"/>
                <w:highlight w:val="none"/>
              </w:rPr>
            </w:pPr>
          </w:p>
        </w:tc>
        <w:tc>
          <w:tcPr>
            <w:tcW w:w="1550" w:type="dxa"/>
            <w:vAlign w:val="center"/>
          </w:tcPr>
          <w:p w14:paraId="63C22C97">
            <w:pPr>
              <w:spacing w:line="400" w:lineRule="exact"/>
              <w:jc w:val="center"/>
              <w:rPr>
                <w:rFonts w:ascii="宋体" w:hAnsi="宋体" w:cs="宋体"/>
                <w:color w:val="auto"/>
                <w:szCs w:val="21"/>
                <w:highlight w:val="none"/>
              </w:rPr>
            </w:pPr>
            <w:r>
              <w:rPr>
                <w:rFonts w:hint="eastAsia" w:ascii="宋体" w:hAnsi="宋体" w:cs="宋体"/>
                <w:color w:val="auto"/>
                <w:szCs w:val="21"/>
                <w:highlight w:val="none"/>
              </w:rPr>
              <w:t>投标人信誉综合评价</w:t>
            </w:r>
          </w:p>
        </w:tc>
        <w:tc>
          <w:tcPr>
            <w:tcW w:w="7136" w:type="dxa"/>
            <w:vAlign w:val="center"/>
          </w:tcPr>
          <w:p w14:paraId="5FA17F5C">
            <w:pPr>
              <w:spacing w:line="400" w:lineRule="exact"/>
              <w:jc w:val="left"/>
              <w:rPr>
                <w:rFonts w:ascii="宋体" w:hAnsi="宋体" w:cs="宋体"/>
                <w:color w:val="auto"/>
                <w:szCs w:val="21"/>
                <w:highlight w:val="none"/>
              </w:rPr>
            </w:pPr>
            <w:r>
              <w:rPr>
                <w:rFonts w:hint="eastAsia" w:ascii="宋体" w:hAnsi="宋体" w:cs="宋体"/>
                <w:color w:val="auto"/>
                <w:szCs w:val="21"/>
                <w:highlight w:val="none"/>
              </w:rPr>
              <w:t>详见本章附表：综合评分表</w:t>
            </w:r>
          </w:p>
        </w:tc>
      </w:tr>
      <w:tr w14:paraId="699117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767" w:type="dxa"/>
            <w:vMerge w:val="continue"/>
            <w:vAlign w:val="center"/>
          </w:tcPr>
          <w:p w14:paraId="27C76B52">
            <w:pPr>
              <w:spacing w:line="400" w:lineRule="exact"/>
              <w:jc w:val="center"/>
              <w:rPr>
                <w:rFonts w:ascii="宋体" w:hAnsi="宋体"/>
                <w:color w:val="auto"/>
                <w:szCs w:val="21"/>
                <w:highlight w:val="none"/>
              </w:rPr>
            </w:pPr>
          </w:p>
        </w:tc>
        <w:tc>
          <w:tcPr>
            <w:tcW w:w="851" w:type="dxa"/>
            <w:vMerge w:val="continue"/>
            <w:vAlign w:val="center"/>
          </w:tcPr>
          <w:p w14:paraId="79CA5816">
            <w:pPr>
              <w:spacing w:line="400" w:lineRule="exact"/>
              <w:jc w:val="center"/>
              <w:rPr>
                <w:rFonts w:ascii="宋体" w:hAnsi="宋体"/>
                <w:color w:val="auto"/>
                <w:szCs w:val="21"/>
                <w:highlight w:val="none"/>
              </w:rPr>
            </w:pPr>
          </w:p>
        </w:tc>
        <w:tc>
          <w:tcPr>
            <w:tcW w:w="1550" w:type="dxa"/>
            <w:vAlign w:val="center"/>
          </w:tcPr>
          <w:p w14:paraId="44E495B9">
            <w:pPr>
              <w:spacing w:line="400" w:lineRule="exact"/>
              <w:jc w:val="center"/>
              <w:rPr>
                <w:rFonts w:hint="eastAsia" w:ascii="宋体" w:hAnsi="宋体" w:cs="宋体"/>
                <w:color w:val="auto"/>
                <w:szCs w:val="21"/>
                <w:highlight w:val="none"/>
              </w:rPr>
            </w:pPr>
            <w:r>
              <w:rPr>
                <w:rFonts w:hint="eastAsia" w:ascii="宋体" w:hAnsi="宋体" w:cs="宋体"/>
                <w:color w:val="auto"/>
                <w:szCs w:val="21"/>
                <w:highlight w:val="none"/>
              </w:rPr>
              <w:t>拟投入人员综合水平</w:t>
            </w:r>
          </w:p>
        </w:tc>
        <w:tc>
          <w:tcPr>
            <w:tcW w:w="7136" w:type="dxa"/>
            <w:vAlign w:val="center"/>
          </w:tcPr>
          <w:p w14:paraId="3DA3A9A9">
            <w:pPr>
              <w:spacing w:line="400" w:lineRule="exact"/>
              <w:jc w:val="left"/>
              <w:rPr>
                <w:rFonts w:hint="eastAsia" w:ascii="宋体" w:hAnsi="宋体" w:cs="宋体"/>
                <w:color w:val="auto"/>
                <w:szCs w:val="21"/>
                <w:highlight w:val="none"/>
              </w:rPr>
            </w:pPr>
            <w:r>
              <w:rPr>
                <w:rFonts w:hint="eastAsia" w:ascii="宋体" w:hAnsi="宋体" w:cs="宋体"/>
                <w:color w:val="auto"/>
                <w:szCs w:val="21"/>
                <w:highlight w:val="none"/>
              </w:rPr>
              <w:t>详见本章附表：综合评分表</w:t>
            </w:r>
          </w:p>
        </w:tc>
      </w:tr>
      <w:tr w14:paraId="0105F9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767" w:type="dxa"/>
            <w:vMerge w:val="restart"/>
            <w:vAlign w:val="center"/>
          </w:tcPr>
          <w:p w14:paraId="02F9B699">
            <w:pPr>
              <w:spacing w:line="400" w:lineRule="exact"/>
              <w:jc w:val="center"/>
              <w:rPr>
                <w:rFonts w:ascii="宋体" w:hAnsi="宋体"/>
                <w:color w:val="auto"/>
                <w:szCs w:val="21"/>
                <w:highlight w:val="none"/>
              </w:rPr>
            </w:pPr>
            <w:r>
              <w:rPr>
                <w:rFonts w:hint="eastAsia" w:ascii="宋体" w:hAnsi="宋体" w:cs="宋体"/>
                <w:color w:val="auto"/>
                <w:szCs w:val="21"/>
                <w:highlight w:val="none"/>
              </w:rPr>
              <w:t>2.2.4（2）</w:t>
            </w:r>
          </w:p>
        </w:tc>
        <w:tc>
          <w:tcPr>
            <w:tcW w:w="851" w:type="dxa"/>
            <w:vMerge w:val="restart"/>
            <w:vAlign w:val="center"/>
          </w:tcPr>
          <w:p w14:paraId="52B76C0B">
            <w:pPr>
              <w:spacing w:line="400" w:lineRule="exact"/>
              <w:ind w:left="0" w:firstLine="0" w:firstLineChars="0"/>
              <w:rPr>
                <w:rFonts w:hint="eastAsia" w:ascii="宋体" w:hAnsi="宋体" w:eastAsia="宋体" w:cs="宋体"/>
                <w:color w:val="auto"/>
                <w:szCs w:val="21"/>
                <w:highlight w:val="none"/>
              </w:rPr>
            </w:pPr>
            <w:r>
              <w:rPr>
                <w:rFonts w:hint="eastAsia" w:ascii="宋体" w:hAnsi="宋体" w:eastAsia="宋体" w:cs="宋体"/>
                <w:color w:val="auto"/>
                <w:szCs w:val="21"/>
                <w:highlight w:val="none"/>
              </w:rPr>
              <w:t>技术方案评分标准</w:t>
            </w:r>
          </w:p>
        </w:tc>
        <w:tc>
          <w:tcPr>
            <w:tcW w:w="1550" w:type="dxa"/>
            <w:vAlign w:val="center"/>
          </w:tcPr>
          <w:p w14:paraId="454FEA98">
            <w:pPr>
              <w:spacing w:line="400" w:lineRule="exact"/>
              <w:ind w:left="0" w:firstLine="0" w:firstLineChars="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拟投入机械设备计划</w:t>
            </w:r>
          </w:p>
        </w:tc>
        <w:tc>
          <w:tcPr>
            <w:tcW w:w="7136" w:type="dxa"/>
            <w:vAlign w:val="center"/>
          </w:tcPr>
          <w:p w14:paraId="067D42BC">
            <w:pPr>
              <w:spacing w:line="400" w:lineRule="exact"/>
              <w:ind w:left="0" w:firstLine="0" w:firstLineChars="0"/>
              <w:rPr>
                <w:rFonts w:ascii="宋体" w:hAnsi="宋体" w:cs="宋体"/>
                <w:color w:val="auto"/>
                <w:kern w:val="0"/>
                <w:szCs w:val="21"/>
                <w:highlight w:val="none"/>
              </w:rPr>
            </w:pPr>
            <w:r>
              <w:rPr>
                <w:rFonts w:hint="eastAsia" w:ascii="宋体" w:hAnsi="宋体" w:cs="宋体"/>
                <w:color w:val="auto"/>
                <w:szCs w:val="21"/>
                <w:highlight w:val="none"/>
              </w:rPr>
              <w:t>详见本章附表：综合评分表</w:t>
            </w:r>
          </w:p>
        </w:tc>
      </w:tr>
      <w:tr w14:paraId="1FDEEE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jc w:val="center"/>
        </w:trPr>
        <w:tc>
          <w:tcPr>
            <w:tcW w:w="767" w:type="dxa"/>
            <w:vMerge w:val="continue"/>
            <w:vAlign w:val="center"/>
          </w:tcPr>
          <w:p w14:paraId="27593544">
            <w:pPr>
              <w:spacing w:line="400" w:lineRule="exact"/>
              <w:jc w:val="center"/>
              <w:rPr>
                <w:rFonts w:ascii="宋体" w:hAnsi="宋体" w:cs="宋体"/>
                <w:color w:val="auto"/>
                <w:szCs w:val="21"/>
                <w:highlight w:val="none"/>
              </w:rPr>
            </w:pPr>
          </w:p>
        </w:tc>
        <w:tc>
          <w:tcPr>
            <w:tcW w:w="851" w:type="dxa"/>
            <w:vMerge w:val="continue"/>
            <w:vAlign w:val="center"/>
          </w:tcPr>
          <w:p w14:paraId="29A981C7">
            <w:pPr>
              <w:spacing w:line="400" w:lineRule="exact"/>
              <w:jc w:val="center"/>
              <w:rPr>
                <w:rFonts w:ascii="宋体" w:hAnsi="宋体" w:cs="宋体"/>
                <w:color w:val="auto"/>
                <w:szCs w:val="21"/>
                <w:highlight w:val="none"/>
              </w:rPr>
            </w:pPr>
          </w:p>
        </w:tc>
        <w:tc>
          <w:tcPr>
            <w:tcW w:w="1550" w:type="dxa"/>
            <w:vAlign w:val="center"/>
          </w:tcPr>
          <w:p w14:paraId="12D4274A">
            <w:pPr>
              <w:spacing w:line="400" w:lineRule="exact"/>
              <w:jc w:val="center"/>
              <w:rPr>
                <w:rFonts w:ascii="宋体" w:hAnsi="宋体"/>
                <w:color w:val="auto"/>
                <w:szCs w:val="21"/>
                <w:highlight w:val="none"/>
              </w:rPr>
            </w:pPr>
            <w:r>
              <w:rPr>
                <w:rFonts w:hint="eastAsia" w:ascii="宋体" w:hAnsi="宋体"/>
                <w:color w:val="auto"/>
                <w:szCs w:val="21"/>
                <w:highlight w:val="none"/>
              </w:rPr>
              <w:t>检测方案</w:t>
            </w:r>
          </w:p>
        </w:tc>
        <w:tc>
          <w:tcPr>
            <w:tcW w:w="7136" w:type="dxa"/>
            <w:vAlign w:val="center"/>
          </w:tcPr>
          <w:p w14:paraId="2E9E436C">
            <w:pPr>
              <w:spacing w:line="400" w:lineRule="exact"/>
              <w:ind w:left="420" w:hanging="420" w:hangingChars="200"/>
              <w:rPr>
                <w:rFonts w:ascii="宋体" w:hAnsi="宋体" w:cs="宋体"/>
                <w:color w:val="auto"/>
                <w:kern w:val="0"/>
                <w:szCs w:val="21"/>
                <w:highlight w:val="none"/>
              </w:rPr>
            </w:pPr>
            <w:r>
              <w:rPr>
                <w:rFonts w:hint="eastAsia" w:ascii="宋体" w:hAnsi="宋体" w:cs="宋体"/>
                <w:color w:val="auto"/>
                <w:szCs w:val="21"/>
                <w:highlight w:val="none"/>
              </w:rPr>
              <w:t>详见本章附表：综合评分表</w:t>
            </w:r>
          </w:p>
        </w:tc>
      </w:tr>
      <w:tr w14:paraId="79794E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5" w:hRule="atLeast"/>
          <w:jc w:val="center"/>
        </w:trPr>
        <w:tc>
          <w:tcPr>
            <w:tcW w:w="767" w:type="dxa"/>
            <w:vAlign w:val="center"/>
          </w:tcPr>
          <w:p w14:paraId="710DE715">
            <w:pPr>
              <w:spacing w:line="400" w:lineRule="exact"/>
              <w:jc w:val="center"/>
              <w:rPr>
                <w:rFonts w:ascii="宋体" w:hAnsi="宋体" w:cs="宋体"/>
                <w:color w:val="auto"/>
                <w:szCs w:val="21"/>
                <w:highlight w:val="none"/>
              </w:rPr>
            </w:pPr>
            <w:r>
              <w:rPr>
                <w:rFonts w:hint="eastAsia" w:ascii="宋体" w:hAnsi="宋体" w:cs="宋体"/>
                <w:color w:val="auto"/>
                <w:szCs w:val="21"/>
                <w:highlight w:val="none"/>
              </w:rPr>
              <w:t>2.2.4（3）</w:t>
            </w:r>
          </w:p>
        </w:tc>
        <w:tc>
          <w:tcPr>
            <w:tcW w:w="851" w:type="dxa"/>
            <w:vAlign w:val="center"/>
          </w:tcPr>
          <w:p w14:paraId="508599CE">
            <w:pPr>
              <w:spacing w:line="400" w:lineRule="exact"/>
              <w:ind w:left="-107" w:leftChars="-51" w:right="-107" w:rightChars="-51"/>
              <w:jc w:val="center"/>
              <w:rPr>
                <w:rFonts w:ascii="宋体" w:hAnsi="宋体" w:cs="宋体"/>
                <w:color w:val="auto"/>
                <w:szCs w:val="21"/>
                <w:highlight w:val="none"/>
              </w:rPr>
            </w:pPr>
            <w:r>
              <w:rPr>
                <w:rFonts w:hint="eastAsia" w:ascii="宋体" w:hAnsi="宋体" w:cs="宋体"/>
                <w:color w:val="auto"/>
                <w:szCs w:val="21"/>
                <w:highlight w:val="none"/>
              </w:rPr>
              <w:t>投标报价评分标准</w:t>
            </w:r>
          </w:p>
        </w:tc>
        <w:tc>
          <w:tcPr>
            <w:tcW w:w="8686" w:type="dxa"/>
            <w:gridSpan w:val="2"/>
            <w:vAlign w:val="center"/>
          </w:tcPr>
          <w:p w14:paraId="71F5BD81">
            <w:pPr>
              <w:widowControl/>
              <w:spacing w:line="400" w:lineRule="exact"/>
              <w:rPr>
                <w:rFonts w:ascii="宋体" w:hAnsi="宋体" w:cs="宋体"/>
                <w:color w:val="auto"/>
                <w:kern w:val="0"/>
                <w:szCs w:val="21"/>
                <w:highlight w:val="none"/>
              </w:rPr>
            </w:pPr>
            <w:r>
              <w:rPr>
                <w:rFonts w:hint="eastAsia" w:ascii="宋体" w:hAnsi="宋体"/>
                <w:color w:val="auto"/>
                <w:szCs w:val="21"/>
                <w:highlight w:val="none"/>
              </w:rPr>
              <w:t>以评标基准价作为计算各有效投标报价得分的基础，当有效投标报价等于评标基准价时得</w:t>
            </w:r>
            <w:r>
              <w:rPr>
                <w:rFonts w:hint="eastAsia" w:ascii="宋体" w:hAnsi="宋体"/>
                <w:color w:val="auto"/>
                <w:szCs w:val="21"/>
                <w:highlight w:val="none"/>
                <w:lang w:val="en-US" w:eastAsia="zh-CN"/>
              </w:rPr>
              <w:t>2</w:t>
            </w:r>
            <w:r>
              <w:rPr>
                <w:rFonts w:hint="eastAsia" w:ascii="宋体" w:hAnsi="宋体"/>
                <w:color w:val="auto"/>
                <w:szCs w:val="21"/>
                <w:highlight w:val="none"/>
              </w:rPr>
              <w:t>0分；有效投标报价与评标基准价之差，每上偏1%扣</w:t>
            </w:r>
            <w:r>
              <w:rPr>
                <w:rFonts w:hint="eastAsia" w:ascii="宋体" w:hAnsi="宋体"/>
                <w:color w:val="auto"/>
                <w:szCs w:val="21"/>
                <w:highlight w:val="none"/>
                <w:lang w:val="en-US" w:eastAsia="zh-CN"/>
              </w:rPr>
              <w:t>0.75</w:t>
            </w:r>
            <w:r>
              <w:rPr>
                <w:rFonts w:hint="eastAsia" w:ascii="宋体" w:hAnsi="宋体"/>
                <w:color w:val="auto"/>
                <w:szCs w:val="21"/>
                <w:highlight w:val="none"/>
              </w:rPr>
              <w:t>分，下偏1%扣0.</w:t>
            </w:r>
            <w:r>
              <w:rPr>
                <w:rFonts w:hint="eastAsia" w:ascii="宋体" w:hAnsi="宋体"/>
                <w:color w:val="auto"/>
                <w:szCs w:val="21"/>
                <w:highlight w:val="none"/>
                <w:lang w:val="en-US" w:eastAsia="zh-CN"/>
              </w:rPr>
              <w:t>5</w:t>
            </w:r>
            <w:r>
              <w:rPr>
                <w:rFonts w:hint="eastAsia" w:ascii="宋体" w:hAnsi="宋体"/>
                <w:color w:val="auto"/>
                <w:szCs w:val="21"/>
                <w:highlight w:val="none"/>
              </w:rPr>
              <w:t>分；最多减至0分止。</w:t>
            </w:r>
            <w:r>
              <w:rPr>
                <w:rFonts w:hint="eastAsia" w:ascii="宋体" w:hAnsi="宋体"/>
                <w:b/>
                <w:color w:val="auto"/>
                <w:szCs w:val="21"/>
                <w:highlight w:val="none"/>
              </w:rPr>
              <w:t>得分精确到小数点后两位。</w:t>
            </w:r>
          </w:p>
        </w:tc>
      </w:tr>
    </w:tbl>
    <w:p w14:paraId="2DA8E85B">
      <w:pPr>
        <w:pStyle w:val="4"/>
        <w:rPr>
          <w:color w:val="auto"/>
          <w:highlight w:val="none"/>
        </w:rPr>
      </w:pPr>
      <w:r>
        <w:rPr>
          <w:rFonts w:cs="宋体"/>
          <w:color w:val="auto"/>
          <w:szCs w:val="21"/>
          <w:highlight w:val="none"/>
        </w:rPr>
        <w:br w:type="page"/>
      </w:r>
      <w:bookmarkStart w:id="106" w:name="_Toc118553982"/>
      <w:r>
        <w:rPr>
          <w:rFonts w:hint="eastAsia"/>
          <w:color w:val="auto"/>
          <w:highlight w:val="none"/>
        </w:rPr>
        <w:t>附表一：形式评审表</w:t>
      </w:r>
      <w:bookmarkEnd w:id="106"/>
    </w:p>
    <w:p w14:paraId="2A97A28B">
      <w:pPr>
        <w:spacing w:line="360" w:lineRule="auto"/>
        <w:jc w:val="center"/>
        <w:rPr>
          <w:rFonts w:ascii="宋体" w:hAnsi="宋体" w:cs="宋体"/>
          <w:color w:val="auto"/>
          <w:sz w:val="28"/>
          <w:szCs w:val="28"/>
          <w:highlight w:val="none"/>
        </w:rPr>
      </w:pPr>
      <w:r>
        <w:rPr>
          <w:rFonts w:hint="eastAsia" w:ascii="宋体" w:hAnsi="宋体" w:cs="宋体"/>
          <w:color w:val="auto"/>
          <w:sz w:val="28"/>
          <w:szCs w:val="28"/>
          <w:highlight w:val="none"/>
        </w:rPr>
        <w:t>形式评审表</w:t>
      </w:r>
    </w:p>
    <w:tbl>
      <w:tblPr>
        <w:tblStyle w:val="27"/>
        <w:tblpPr w:leftFromText="180" w:rightFromText="180" w:vertAnchor="text" w:horzAnchor="margin" w:tblpY="157"/>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0"/>
        <w:gridCol w:w="4794"/>
        <w:gridCol w:w="856"/>
        <w:gridCol w:w="857"/>
        <w:gridCol w:w="857"/>
        <w:gridCol w:w="857"/>
        <w:gridCol w:w="857"/>
      </w:tblGrid>
      <w:tr w14:paraId="7616E4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trPr>
        <w:tc>
          <w:tcPr>
            <w:tcW w:w="600" w:type="dxa"/>
            <w:vAlign w:val="center"/>
          </w:tcPr>
          <w:p w14:paraId="71B1D52C">
            <w:pPr>
              <w:tabs>
                <w:tab w:val="left" w:pos="720"/>
              </w:tabs>
              <w:snapToGrid w:val="0"/>
              <w:spacing w:line="276" w:lineRule="auto"/>
              <w:jc w:val="center"/>
              <w:rPr>
                <w:rFonts w:ascii="宋体" w:hAnsi="宋体"/>
                <w:color w:val="auto"/>
                <w:szCs w:val="21"/>
                <w:highlight w:val="none"/>
              </w:rPr>
            </w:pPr>
            <w:r>
              <w:rPr>
                <w:rFonts w:hint="eastAsia" w:ascii="宋体" w:hAnsi="宋体"/>
                <w:color w:val="auto"/>
                <w:szCs w:val="21"/>
                <w:highlight w:val="none"/>
              </w:rPr>
              <w:t>编号</w:t>
            </w:r>
          </w:p>
        </w:tc>
        <w:tc>
          <w:tcPr>
            <w:tcW w:w="4794" w:type="dxa"/>
            <w:tcBorders>
              <w:tl2br w:val="single" w:color="auto" w:sz="4" w:space="0"/>
            </w:tcBorders>
            <w:vAlign w:val="center"/>
          </w:tcPr>
          <w:p w14:paraId="25EDD15B">
            <w:pPr>
              <w:tabs>
                <w:tab w:val="left" w:pos="720"/>
              </w:tabs>
              <w:snapToGrid w:val="0"/>
              <w:spacing w:line="276" w:lineRule="auto"/>
              <w:ind w:firstLine="2415" w:firstLineChars="1150"/>
              <w:rPr>
                <w:rFonts w:ascii="宋体" w:hAnsi="宋体"/>
                <w:color w:val="auto"/>
                <w:szCs w:val="21"/>
                <w:highlight w:val="none"/>
              </w:rPr>
            </w:pPr>
            <w:r>
              <w:rPr>
                <w:rFonts w:hint="eastAsia" w:ascii="宋体" w:hAnsi="宋体"/>
                <w:color w:val="auto"/>
                <w:szCs w:val="21"/>
                <w:highlight w:val="none"/>
              </w:rPr>
              <w:t>投标人名称</w:t>
            </w:r>
          </w:p>
          <w:p w14:paraId="19C814D7">
            <w:pPr>
              <w:tabs>
                <w:tab w:val="left" w:pos="720"/>
              </w:tabs>
              <w:snapToGrid w:val="0"/>
              <w:spacing w:line="276" w:lineRule="auto"/>
              <w:rPr>
                <w:rFonts w:ascii="宋体" w:hAnsi="宋体"/>
                <w:color w:val="auto"/>
                <w:szCs w:val="21"/>
                <w:highlight w:val="none"/>
              </w:rPr>
            </w:pPr>
            <w:r>
              <w:rPr>
                <w:rFonts w:hint="eastAsia" w:ascii="宋体" w:hAnsi="宋体"/>
                <w:color w:val="auto"/>
                <w:szCs w:val="21"/>
                <w:highlight w:val="none"/>
              </w:rPr>
              <w:t>评审项目</w:t>
            </w:r>
          </w:p>
        </w:tc>
        <w:tc>
          <w:tcPr>
            <w:tcW w:w="856" w:type="dxa"/>
            <w:vAlign w:val="center"/>
          </w:tcPr>
          <w:p w14:paraId="30C2B203">
            <w:pPr>
              <w:tabs>
                <w:tab w:val="left" w:pos="720"/>
              </w:tabs>
              <w:snapToGrid w:val="0"/>
              <w:spacing w:line="276" w:lineRule="auto"/>
              <w:rPr>
                <w:rFonts w:ascii="宋体" w:hAnsi="宋体"/>
                <w:color w:val="auto"/>
                <w:sz w:val="18"/>
                <w:szCs w:val="18"/>
                <w:highlight w:val="none"/>
              </w:rPr>
            </w:pPr>
          </w:p>
        </w:tc>
        <w:tc>
          <w:tcPr>
            <w:tcW w:w="857" w:type="dxa"/>
            <w:vAlign w:val="center"/>
          </w:tcPr>
          <w:p w14:paraId="22E7705B">
            <w:pPr>
              <w:tabs>
                <w:tab w:val="left" w:pos="720"/>
              </w:tabs>
              <w:snapToGrid w:val="0"/>
              <w:spacing w:line="276" w:lineRule="auto"/>
              <w:jc w:val="center"/>
              <w:rPr>
                <w:rFonts w:ascii="宋体" w:hAnsi="宋体"/>
                <w:color w:val="auto"/>
                <w:sz w:val="18"/>
                <w:szCs w:val="18"/>
                <w:highlight w:val="none"/>
              </w:rPr>
            </w:pPr>
          </w:p>
        </w:tc>
        <w:tc>
          <w:tcPr>
            <w:tcW w:w="857" w:type="dxa"/>
            <w:vAlign w:val="center"/>
          </w:tcPr>
          <w:p w14:paraId="5881E17D">
            <w:pPr>
              <w:tabs>
                <w:tab w:val="left" w:pos="720"/>
              </w:tabs>
              <w:snapToGrid w:val="0"/>
              <w:spacing w:line="276" w:lineRule="auto"/>
              <w:jc w:val="center"/>
              <w:rPr>
                <w:rFonts w:ascii="宋体" w:hAnsi="宋体"/>
                <w:color w:val="auto"/>
                <w:sz w:val="18"/>
                <w:szCs w:val="18"/>
                <w:highlight w:val="none"/>
              </w:rPr>
            </w:pPr>
          </w:p>
        </w:tc>
        <w:tc>
          <w:tcPr>
            <w:tcW w:w="857" w:type="dxa"/>
            <w:vAlign w:val="center"/>
          </w:tcPr>
          <w:p w14:paraId="44CE102C">
            <w:pPr>
              <w:tabs>
                <w:tab w:val="left" w:pos="720"/>
              </w:tabs>
              <w:snapToGrid w:val="0"/>
              <w:spacing w:line="276" w:lineRule="auto"/>
              <w:jc w:val="center"/>
              <w:rPr>
                <w:rFonts w:ascii="宋体" w:hAnsi="宋体"/>
                <w:color w:val="auto"/>
                <w:sz w:val="18"/>
                <w:szCs w:val="18"/>
                <w:highlight w:val="none"/>
              </w:rPr>
            </w:pPr>
          </w:p>
        </w:tc>
        <w:tc>
          <w:tcPr>
            <w:tcW w:w="857" w:type="dxa"/>
            <w:vAlign w:val="center"/>
          </w:tcPr>
          <w:p w14:paraId="4732F577">
            <w:pPr>
              <w:tabs>
                <w:tab w:val="left" w:pos="720"/>
              </w:tabs>
              <w:snapToGrid w:val="0"/>
              <w:spacing w:line="276" w:lineRule="auto"/>
              <w:jc w:val="center"/>
              <w:rPr>
                <w:rFonts w:ascii="宋体" w:hAnsi="宋体"/>
                <w:color w:val="auto"/>
                <w:sz w:val="18"/>
                <w:szCs w:val="18"/>
                <w:highlight w:val="none"/>
              </w:rPr>
            </w:pPr>
          </w:p>
        </w:tc>
      </w:tr>
      <w:tr w14:paraId="3978F1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4" w:hRule="atLeast"/>
        </w:trPr>
        <w:tc>
          <w:tcPr>
            <w:tcW w:w="600" w:type="dxa"/>
            <w:vAlign w:val="center"/>
          </w:tcPr>
          <w:p w14:paraId="74C33934">
            <w:pPr>
              <w:tabs>
                <w:tab w:val="left" w:pos="720"/>
              </w:tabs>
              <w:snapToGrid w:val="0"/>
              <w:spacing w:line="276" w:lineRule="auto"/>
              <w:jc w:val="center"/>
              <w:rPr>
                <w:rFonts w:ascii="宋体" w:hAnsi="宋体"/>
                <w:color w:val="auto"/>
                <w:szCs w:val="21"/>
                <w:highlight w:val="none"/>
              </w:rPr>
            </w:pPr>
            <w:r>
              <w:rPr>
                <w:rFonts w:ascii="宋体" w:hAnsi="宋体"/>
                <w:color w:val="auto"/>
                <w:szCs w:val="21"/>
                <w:highlight w:val="none"/>
              </w:rPr>
              <w:t>1</w:t>
            </w:r>
          </w:p>
        </w:tc>
        <w:tc>
          <w:tcPr>
            <w:tcW w:w="4794" w:type="dxa"/>
            <w:vAlign w:val="center"/>
          </w:tcPr>
          <w:p w14:paraId="3254483C">
            <w:pPr>
              <w:tabs>
                <w:tab w:val="left" w:pos="720"/>
              </w:tabs>
              <w:snapToGrid w:val="0"/>
              <w:spacing w:line="276" w:lineRule="auto"/>
              <w:rPr>
                <w:rFonts w:ascii="宋体" w:hAnsi="宋体"/>
                <w:color w:val="auto"/>
                <w:szCs w:val="21"/>
                <w:highlight w:val="none"/>
              </w:rPr>
            </w:pPr>
            <w:r>
              <w:rPr>
                <w:rFonts w:hint="eastAsia" w:ascii="宋体" w:hAnsi="宋体"/>
                <w:color w:val="auto"/>
                <w:szCs w:val="21"/>
                <w:highlight w:val="none"/>
              </w:rPr>
              <w:t>投标人名称：与企业法人营业执照（或事业单位法人证书）、CMA 计量认证合格证书（检验检测机构资质认定证书）、资质证书一致。联合体投标的，联合体各方名称须和相应的企业法人营业执照（或事业单位法人证书）、CMA 计量认证合格证书（检验检测机构资质认定证书）、资质证书的名称一致。</w:t>
            </w:r>
          </w:p>
        </w:tc>
        <w:tc>
          <w:tcPr>
            <w:tcW w:w="856" w:type="dxa"/>
            <w:vAlign w:val="center"/>
          </w:tcPr>
          <w:p w14:paraId="6A6206BF">
            <w:pPr>
              <w:tabs>
                <w:tab w:val="left" w:pos="720"/>
              </w:tabs>
              <w:snapToGrid w:val="0"/>
              <w:spacing w:line="276" w:lineRule="auto"/>
              <w:jc w:val="center"/>
              <w:rPr>
                <w:rFonts w:ascii="宋体" w:hAnsi="宋体"/>
                <w:color w:val="auto"/>
                <w:sz w:val="18"/>
                <w:szCs w:val="18"/>
                <w:highlight w:val="none"/>
              </w:rPr>
            </w:pPr>
          </w:p>
        </w:tc>
        <w:tc>
          <w:tcPr>
            <w:tcW w:w="857" w:type="dxa"/>
            <w:vAlign w:val="center"/>
          </w:tcPr>
          <w:p w14:paraId="1F69AE70">
            <w:pPr>
              <w:tabs>
                <w:tab w:val="left" w:pos="720"/>
              </w:tabs>
              <w:snapToGrid w:val="0"/>
              <w:spacing w:line="276" w:lineRule="auto"/>
              <w:jc w:val="center"/>
              <w:rPr>
                <w:rFonts w:ascii="宋体" w:hAnsi="宋体"/>
                <w:color w:val="auto"/>
                <w:sz w:val="18"/>
                <w:szCs w:val="18"/>
                <w:highlight w:val="none"/>
              </w:rPr>
            </w:pPr>
          </w:p>
        </w:tc>
        <w:tc>
          <w:tcPr>
            <w:tcW w:w="857" w:type="dxa"/>
            <w:vAlign w:val="center"/>
          </w:tcPr>
          <w:p w14:paraId="2BBAD6F2">
            <w:pPr>
              <w:tabs>
                <w:tab w:val="left" w:pos="720"/>
              </w:tabs>
              <w:snapToGrid w:val="0"/>
              <w:spacing w:line="276" w:lineRule="auto"/>
              <w:jc w:val="center"/>
              <w:rPr>
                <w:rFonts w:ascii="宋体" w:hAnsi="宋体"/>
                <w:color w:val="auto"/>
                <w:sz w:val="18"/>
                <w:szCs w:val="18"/>
                <w:highlight w:val="none"/>
              </w:rPr>
            </w:pPr>
          </w:p>
        </w:tc>
        <w:tc>
          <w:tcPr>
            <w:tcW w:w="857" w:type="dxa"/>
            <w:vAlign w:val="center"/>
          </w:tcPr>
          <w:p w14:paraId="38AEEC3C">
            <w:pPr>
              <w:tabs>
                <w:tab w:val="left" w:pos="720"/>
              </w:tabs>
              <w:snapToGrid w:val="0"/>
              <w:spacing w:line="276" w:lineRule="auto"/>
              <w:jc w:val="center"/>
              <w:rPr>
                <w:rFonts w:ascii="宋体" w:hAnsi="宋体"/>
                <w:color w:val="auto"/>
                <w:sz w:val="18"/>
                <w:szCs w:val="18"/>
                <w:highlight w:val="none"/>
              </w:rPr>
            </w:pPr>
          </w:p>
        </w:tc>
        <w:tc>
          <w:tcPr>
            <w:tcW w:w="857" w:type="dxa"/>
            <w:vAlign w:val="center"/>
          </w:tcPr>
          <w:p w14:paraId="28D11705">
            <w:pPr>
              <w:tabs>
                <w:tab w:val="left" w:pos="720"/>
              </w:tabs>
              <w:snapToGrid w:val="0"/>
              <w:spacing w:line="276" w:lineRule="auto"/>
              <w:jc w:val="center"/>
              <w:rPr>
                <w:rFonts w:ascii="宋体" w:hAnsi="宋体"/>
                <w:color w:val="auto"/>
                <w:sz w:val="18"/>
                <w:szCs w:val="18"/>
                <w:highlight w:val="none"/>
              </w:rPr>
            </w:pPr>
          </w:p>
        </w:tc>
      </w:tr>
      <w:tr w14:paraId="5688D6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9" w:hRule="atLeast"/>
        </w:trPr>
        <w:tc>
          <w:tcPr>
            <w:tcW w:w="600" w:type="dxa"/>
            <w:vAlign w:val="center"/>
          </w:tcPr>
          <w:p w14:paraId="22446990">
            <w:pPr>
              <w:tabs>
                <w:tab w:val="left" w:pos="720"/>
              </w:tabs>
              <w:snapToGrid w:val="0"/>
              <w:spacing w:line="276" w:lineRule="auto"/>
              <w:jc w:val="center"/>
              <w:rPr>
                <w:rFonts w:ascii="宋体" w:hAnsi="宋体"/>
                <w:color w:val="auto"/>
                <w:szCs w:val="21"/>
                <w:highlight w:val="none"/>
              </w:rPr>
            </w:pPr>
            <w:r>
              <w:rPr>
                <w:rFonts w:ascii="宋体" w:hAnsi="宋体"/>
                <w:color w:val="auto"/>
                <w:szCs w:val="21"/>
                <w:highlight w:val="none"/>
              </w:rPr>
              <w:t>2</w:t>
            </w:r>
          </w:p>
        </w:tc>
        <w:tc>
          <w:tcPr>
            <w:tcW w:w="4794" w:type="dxa"/>
            <w:vAlign w:val="center"/>
          </w:tcPr>
          <w:p w14:paraId="23E94941">
            <w:pPr>
              <w:tabs>
                <w:tab w:val="left" w:pos="720"/>
              </w:tabs>
              <w:snapToGrid w:val="0"/>
              <w:spacing w:line="276" w:lineRule="auto"/>
              <w:rPr>
                <w:rFonts w:ascii="宋体" w:hAnsi="宋体"/>
                <w:color w:val="auto"/>
                <w:szCs w:val="21"/>
                <w:highlight w:val="none"/>
              </w:rPr>
            </w:pPr>
            <w:r>
              <w:rPr>
                <w:rFonts w:hint="eastAsia" w:ascii="宋体" w:hAnsi="宋体"/>
                <w:color w:val="auto"/>
                <w:szCs w:val="21"/>
                <w:highlight w:val="none"/>
              </w:rPr>
              <w:t>投标函及其附表签字盖章：投标函及其附表格式及签字盖章符合招标文件要求，由法定代表人签字或盖章的，应附法定代表人证明书，由代理人签字或盖章的，应附法定代表人证明书及授权委托书。</w:t>
            </w:r>
          </w:p>
        </w:tc>
        <w:tc>
          <w:tcPr>
            <w:tcW w:w="856" w:type="dxa"/>
            <w:vAlign w:val="center"/>
          </w:tcPr>
          <w:p w14:paraId="60AE2313">
            <w:pPr>
              <w:tabs>
                <w:tab w:val="left" w:pos="720"/>
              </w:tabs>
              <w:snapToGrid w:val="0"/>
              <w:spacing w:line="276" w:lineRule="auto"/>
              <w:jc w:val="center"/>
              <w:rPr>
                <w:rFonts w:ascii="宋体" w:hAnsi="宋体"/>
                <w:color w:val="auto"/>
                <w:sz w:val="18"/>
                <w:szCs w:val="18"/>
                <w:highlight w:val="none"/>
              </w:rPr>
            </w:pPr>
          </w:p>
        </w:tc>
        <w:tc>
          <w:tcPr>
            <w:tcW w:w="857" w:type="dxa"/>
            <w:vAlign w:val="center"/>
          </w:tcPr>
          <w:p w14:paraId="1183295E">
            <w:pPr>
              <w:tabs>
                <w:tab w:val="left" w:pos="720"/>
              </w:tabs>
              <w:snapToGrid w:val="0"/>
              <w:spacing w:line="276" w:lineRule="auto"/>
              <w:jc w:val="center"/>
              <w:rPr>
                <w:rFonts w:ascii="宋体" w:hAnsi="宋体"/>
                <w:color w:val="auto"/>
                <w:sz w:val="18"/>
                <w:szCs w:val="18"/>
                <w:highlight w:val="none"/>
              </w:rPr>
            </w:pPr>
          </w:p>
        </w:tc>
        <w:tc>
          <w:tcPr>
            <w:tcW w:w="857" w:type="dxa"/>
            <w:vAlign w:val="center"/>
          </w:tcPr>
          <w:p w14:paraId="325EDC31">
            <w:pPr>
              <w:tabs>
                <w:tab w:val="left" w:pos="720"/>
              </w:tabs>
              <w:snapToGrid w:val="0"/>
              <w:spacing w:line="276" w:lineRule="auto"/>
              <w:jc w:val="center"/>
              <w:rPr>
                <w:rFonts w:ascii="宋体" w:hAnsi="宋体"/>
                <w:color w:val="auto"/>
                <w:sz w:val="18"/>
                <w:szCs w:val="18"/>
                <w:highlight w:val="none"/>
              </w:rPr>
            </w:pPr>
          </w:p>
        </w:tc>
        <w:tc>
          <w:tcPr>
            <w:tcW w:w="857" w:type="dxa"/>
            <w:vAlign w:val="center"/>
          </w:tcPr>
          <w:p w14:paraId="6EA3CFE3">
            <w:pPr>
              <w:tabs>
                <w:tab w:val="left" w:pos="720"/>
              </w:tabs>
              <w:snapToGrid w:val="0"/>
              <w:spacing w:line="276" w:lineRule="auto"/>
              <w:jc w:val="center"/>
              <w:rPr>
                <w:rFonts w:ascii="宋体" w:hAnsi="宋体"/>
                <w:color w:val="auto"/>
                <w:sz w:val="18"/>
                <w:szCs w:val="18"/>
                <w:highlight w:val="none"/>
              </w:rPr>
            </w:pPr>
          </w:p>
        </w:tc>
        <w:tc>
          <w:tcPr>
            <w:tcW w:w="857" w:type="dxa"/>
            <w:vAlign w:val="center"/>
          </w:tcPr>
          <w:p w14:paraId="6E346C4C">
            <w:pPr>
              <w:tabs>
                <w:tab w:val="left" w:pos="720"/>
              </w:tabs>
              <w:snapToGrid w:val="0"/>
              <w:spacing w:line="276" w:lineRule="auto"/>
              <w:jc w:val="center"/>
              <w:rPr>
                <w:rFonts w:ascii="宋体" w:hAnsi="宋体"/>
                <w:color w:val="auto"/>
                <w:sz w:val="18"/>
                <w:szCs w:val="18"/>
                <w:highlight w:val="none"/>
              </w:rPr>
            </w:pPr>
          </w:p>
        </w:tc>
      </w:tr>
      <w:tr w14:paraId="26D115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4" w:hRule="atLeast"/>
        </w:trPr>
        <w:tc>
          <w:tcPr>
            <w:tcW w:w="600" w:type="dxa"/>
            <w:vAlign w:val="center"/>
          </w:tcPr>
          <w:p w14:paraId="36A396D2">
            <w:pPr>
              <w:tabs>
                <w:tab w:val="left" w:pos="720"/>
              </w:tabs>
              <w:snapToGrid w:val="0"/>
              <w:spacing w:line="276" w:lineRule="auto"/>
              <w:jc w:val="center"/>
              <w:rPr>
                <w:rFonts w:ascii="宋体" w:hAnsi="宋体"/>
                <w:color w:val="auto"/>
                <w:szCs w:val="21"/>
                <w:highlight w:val="none"/>
              </w:rPr>
            </w:pPr>
            <w:r>
              <w:rPr>
                <w:rFonts w:ascii="宋体" w:hAnsi="宋体"/>
                <w:color w:val="auto"/>
                <w:szCs w:val="21"/>
                <w:highlight w:val="none"/>
              </w:rPr>
              <w:t>3</w:t>
            </w:r>
          </w:p>
        </w:tc>
        <w:tc>
          <w:tcPr>
            <w:tcW w:w="4794" w:type="dxa"/>
            <w:vAlign w:val="center"/>
          </w:tcPr>
          <w:p w14:paraId="54268C1A">
            <w:pPr>
              <w:tabs>
                <w:tab w:val="left" w:pos="720"/>
              </w:tabs>
              <w:snapToGrid w:val="0"/>
              <w:spacing w:line="276" w:lineRule="auto"/>
              <w:rPr>
                <w:rFonts w:ascii="宋体" w:hAnsi="宋体"/>
                <w:color w:val="auto"/>
                <w:szCs w:val="21"/>
                <w:highlight w:val="none"/>
              </w:rPr>
            </w:pPr>
            <w:r>
              <w:rPr>
                <w:rFonts w:hint="eastAsia" w:ascii="宋体" w:hAnsi="宋体"/>
                <w:color w:val="auto"/>
                <w:szCs w:val="21"/>
                <w:highlight w:val="none"/>
              </w:rPr>
              <w:t>符合第六章投标文件格式中“投标函”“投标函附表”“投标报价书”“投标申请人声明”“联合体协议书”（如有）的规定。</w:t>
            </w:r>
          </w:p>
        </w:tc>
        <w:tc>
          <w:tcPr>
            <w:tcW w:w="856" w:type="dxa"/>
            <w:vAlign w:val="center"/>
          </w:tcPr>
          <w:p w14:paraId="47A5867A">
            <w:pPr>
              <w:tabs>
                <w:tab w:val="left" w:pos="720"/>
              </w:tabs>
              <w:snapToGrid w:val="0"/>
              <w:spacing w:line="276" w:lineRule="auto"/>
              <w:jc w:val="center"/>
              <w:rPr>
                <w:rFonts w:ascii="宋体" w:hAnsi="宋体"/>
                <w:color w:val="auto"/>
                <w:sz w:val="18"/>
                <w:szCs w:val="18"/>
                <w:highlight w:val="none"/>
              </w:rPr>
            </w:pPr>
          </w:p>
        </w:tc>
        <w:tc>
          <w:tcPr>
            <w:tcW w:w="857" w:type="dxa"/>
            <w:vAlign w:val="center"/>
          </w:tcPr>
          <w:p w14:paraId="4489124E">
            <w:pPr>
              <w:tabs>
                <w:tab w:val="left" w:pos="720"/>
              </w:tabs>
              <w:snapToGrid w:val="0"/>
              <w:spacing w:line="276" w:lineRule="auto"/>
              <w:jc w:val="center"/>
              <w:rPr>
                <w:rFonts w:ascii="宋体" w:hAnsi="宋体"/>
                <w:color w:val="auto"/>
                <w:sz w:val="18"/>
                <w:szCs w:val="18"/>
                <w:highlight w:val="none"/>
              </w:rPr>
            </w:pPr>
          </w:p>
        </w:tc>
        <w:tc>
          <w:tcPr>
            <w:tcW w:w="857" w:type="dxa"/>
            <w:vAlign w:val="center"/>
          </w:tcPr>
          <w:p w14:paraId="2AE23B9A">
            <w:pPr>
              <w:tabs>
                <w:tab w:val="left" w:pos="720"/>
              </w:tabs>
              <w:snapToGrid w:val="0"/>
              <w:spacing w:line="276" w:lineRule="auto"/>
              <w:jc w:val="center"/>
              <w:rPr>
                <w:rFonts w:ascii="宋体" w:hAnsi="宋体"/>
                <w:color w:val="auto"/>
                <w:sz w:val="18"/>
                <w:szCs w:val="18"/>
                <w:highlight w:val="none"/>
              </w:rPr>
            </w:pPr>
          </w:p>
        </w:tc>
        <w:tc>
          <w:tcPr>
            <w:tcW w:w="857" w:type="dxa"/>
            <w:vAlign w:val="center"/>
          </w:tcPr>
          <w:p w14:paraId="5BBC45FF">
            <w:pPr>
              <w:tabs>
                <w:tab w:val="left" w:pos="720"/>
              </w:tabs>
              <w:snapToGrid w:val="0"/>
              <w:spacing w:line="276" w:lineRule="auto"/>
              <w:jc w:val="center"/>
              <w:rPr>
                <w:rFonts w:ascii="宋体" w:hAnsi="宋体"/>
                <w:color w:val="auto"/>
                <w:sz w:val="18"/>
                <w:szCs w:val="18"/>
                <w:highlight w:val="none"/>
              </w:rPr>
            </w:pPr>
          </w:p>
        </w:tc>
        <w:tc>
          <w:tcPr>
            <w:tcW w:w="857" w:type="dxa"/>
            <w:vAlign w:val="center"/>
          </w:tcPr>
          <w:p w14:paraId="7D00AD19">
            <w:pPr>
              <w:tabs>
                <w:tab w:val="left" w:pos="720"/>
              </w:tabs>
              <w:snapToGrid w:val="0"/>
              <w:spacing w:line="276" w:lineRule="auto"/>
              <w:jc w:val="center"/>
              <w:rPr>
                <w:rFonts w:ascii="宋体" w:hAnsi="宋体"/>
                <w:color w:val="auto"/>
                <w:sz w:val="18"/>
                <w:szCs w:val="18"/>
                <w:highlight w:val="none"/>
              </w:rPr>
            </w:pPr>
          </w:p>
        </w:tc>
      </w:tr>
      <w:tr w14:paraId="18D081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600" w:type="dxa"/>
            <w:vAlign w:val="center"/>
          </w:tcPr>
          <w:p w14:paraId="14FE02FC">
            <w:pPr>
              <w:tabs>
                <w:tab w:val="left" w:pos="720"/>
              </w:tabs>
              <w:snapToGrid w:val="0"/>
              <w:spacing w:line="276" w:lineRule="auto"/>
              <w:jc w:val="center"/>
              <w:rPr>
                <w:rFonts w:ascii="宋体" w:hAnsi="宋体"/>
                <w:color w:val="auto"/>
                <w:szCs w:val="21"/>
                <w:highlight w:val="none"/>
              </w:rPr>
            </w:pPr>
            <w:r>
              <w:rPr>
                <w:rFonts w:ascii="宋体" w:hAnsi="宋体"/>
                <w:color w:val="auto"/>
                <w:szCs w:val="21"/>
                <w:highlight w:val="none"/>
              </w:rPr>
              <w:t>4</w:t>
            </w:r>
          </w:p>
        </w:tc>
        <w:tc>
          <w:tcPr>
            <w:tcW w:w="4794" w:type="dxa"/>
            <w:vAlign w:val="center"/>
          </w:tcPr>
          <w:p w14:paraId="79D18E95">
            <w:pPr>
              <w:tabs>
                <w:tab w:val="left" w:pos="720"/>
              </w:tabs>
              <w:snapToGrid w:val="0"/>
              <w:spacing w:line="276" w:lineRule="auto"/>
              <w:rPr>
                <w:rFonts w:ascii="宋体" w:hAnsi="宋体"/>
                <w:color w:val="auto"/>
                <w:szCs w:val="21"/>
                <w:highlight w:val="none"/>
              </w:rPr>
            </w:pPr>
            <w:r>
              <w:rPr>
                <w:rFonts w:hint="eastAsia" w:ascii="宋体" w:hAnsi="宋体"/>
                <w:color w:val="auto"/>
                <w:szCs w:val="21"/>
                <w:highlight w:val="none"/>
              </w:rPr>
              <w:t>备选投标方案：没有提交备选投标方案。</w:t>
            </w:r>
          </w:p>
        </w:tc>
        <w:tc>
          <w:tcPr>
            <w:tcW w:w="856" w:type="dxa"/>
            <w:vAlign w:val="center"/>
          </w:tcPr>
          <w:p w14:paraId="5464C1A7">
            <w:pPr>
              <w:tabs>
                <w:tab w:val="left" w:pos="720"/>
              </w:tabs>
              <w:snapToGrid w:val="0"/>
              <w:spacing w:line="276" w:lineRule="auto"/>
              <w:jc w:val="center"/>
              <w:rPr>
                <w:rFonts w:ascii="宋体" w:hAnsi="宋体"/>
                <w:color w:val="auto"/>
                <w:sz w:val="18"/>
                <w:szCs w:val="18"/>
                <w:highlight w:val="none"/>
              </w:rPr>
            </w:pPr>
          </w:p>
        </w:tc>
        <w:tc>
          <w:tcPr>
            <w:tcW w:w="857" w:type="dxa"/>
            <w:vAlign w:val="center"/>
          </w:tcPr>
          <w:p w14:paraId="00E8CAB5">
            <w:pPr>
              <w:tabs>
                <w:tab w:val="left" w:pos="720"/>
              </w:tabs>
              <w:snapToGrid w:val="0"/>
              <w:spacing w:line="276" w:lineRule="auto"/>
              <w:jc w:val="center"/>
              <w:rPr>
                <w:rFonts w:ascii="宋体" w:hAnsi="宋体"/>
                <w:color w:val="auto"/>
                <w:sz w:val="18"/>
                <w:szCs w:val="18"/>
                <w:highlight w:val="none"/>
              </w:rPr>
            </w:pPr>
          </w:p>
        </w:tc>
        <w:tc>
          <w:tcPr>
            <w:tcW w:w="857" w:type="dxa"/>
            <w:vAlign w:val="center"/>
          </w:tcPr>
          <w:p w14:paraId="78BD931E">
            <w:pPr>
              <w:tabs>
                <w:tab w:val="left" w:pos="720"/>
              </w:tabs>
              <w:snapToGrid w:val="0"/>
              <w:spacing w:line="276" w:lineRule="auto"/>
              <w:jc w:val="center"/>
              <w:rPr>
                <w:rFonts w:ascii="宋体" w:hAnsi="宋体"/>
                <w:color w:val="auto"/>
                <w:sz w:val="18"/>
                <w:szCs w:val="18"/>
                <w:highlight w:val="none"/>
              </w:rPr>
            </w:pPr>
          </w:p>
        </w:tc>
        <w:tc>
          <w:tcPr>
            <w:tcW w:w="857" w:type="dxa"/>
            <w:vAlign w:val="center"/>
          </w:tcPr>
          <w:p w14:paraId="2398F00A">
            <w:pPr>
              <w:tabs>
                <w:tab w:val="left" w:pos="720"/>
              </w:tabs>
              <w:snapToGrid w:val="0"/>
              <w:spacing w:line="276" w:lineRule="auto"/>
              <w:jc w:val="center"/>
              <w:rPr>
                <w:rFonts w:ascii="宋体" w:hAnsi="宋体"/>
                <w:color w:val="auto"/>
                <w:sz w:val="18"/>
                <w:szCs w:val="18"/>
                <w:highlight w:val="none"/>
              </w:rPr>
            </w:pPr>
          </w:p>
        </w:tc>
        <w:tc>
          <w:tcPr>
            <w:tcW w:w="857" w:type="dxa"/>
            <w:vAlign w:val="center"/>
          </w:tcPr>
          <w:p w14:paraId="3CC9DA0A">
            <w:pPr>
              <w:tabs>
                <w:tab w:val="left" w:pos="720"/>
              </w:tabs>
              <w:snapToGrid w:val="0"/>
              <w:spacing w:line="276" w:lineRule="auto"/>
              <w:jc w:val="center"/>
              <w:rPr>
                <w:rFonts w:ascii="宋体" w:hAnsi="宋体"/>
                <w:color w:val="auto"/>
                <w:sz w:val="18"/>
                <w:szCs w:val="18"/>
                <w:highlight w:val="none"/>
              </w:rPr>
            </w:pPr>
          </w:p>
        </w:tc>
      </w:tr>
      <w:tr w14:paraId="0572FD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9" w:hRule="atLeast"/>
        </w:trPr>
        <w:tc>
          <w:tcPr>
            <w:tcW w:w="600" w:type="dxa"/>
            <w:vAlign w:val="center"/>
          </w:tcPr>
          <w:p w14:paraId="54ECEB27">
            <w:pPr>
              <w:tabs>
                <w:tab w:val="left" w:pos="720"/>
              </w:tabs>
              <w:snapToGrid w:val="0"/>
              <w:spacing w:line="276" w:lineRule="auto"/>
              <w:jc w:val="center"/>
              <w:rPr>
                <w:rFonts w:ascii="宋体" w:hAnsi="宋体"/>
                <w:color w:val="auto"/>
                <w:szCs w:val="21"/>
                <w:highlight w:val="none"/>
              </w:rPr>
            </w:pPr>
            <w:r>
              <w:rPr>
                <w:rFonts w:ascii="宋体" w:hAnsi="宋体"/>
                <w:color w:val="auto"/>
                <w:szCs w:val="21"/>
                <w:highlight w:val="none"/>
              </w:rPr>
              <w:t>5</w:t>
            </w:r>
          </w:p>
        </w:tc>
        <w:tc>
          <w:tcPr>
            <w:tcW w:w="4794" w:type="dxa"/>
            <w:vAlign w:val="center"/>
          </w:tcPr>
          <w:p w14:paraId="253D6C55">
            <w:pPr>
              <w:tabs>
                <w:tab w:val="left" w:pos="720"/>
              </w:tabs>
              <w:snapToGrid w:val="0"/>
              <w:spacing w:line="276" w:lineRule="auto"/>
              <w:rPr>
                <w:rFonts w:ascii="宋体" w:hAnsi="宋体"/>
                <w:color w:val="auto"/>
                <w:szCs w:val="21"/>
                <w:highlight w:val="none"/>
              </w:rPr>
            </w:pPr>
            <w:r>
              <w:rPr>
                <w:rFonts w:hint="eastAsia" w:ascii="宋体" w:hAnsi="宋体"/>
                <w:color w:val="auto"/>
                <w:szCs w:val="21"/>
                <w:highlight w:val="none"/>
              </w:rPr>
              <w:t>投标人机器码：投标人与本项目其他投标人加密打包投标文件电脑机器特征码一致的</w:t>
            </w:r>
            <w:r>
              <w:rPr>
                <w:rFonts w:ascii="宋体" w:hAnsi="宋体"/>
                <w:color w:val="auto"/>
                <w:szCs w:val="21"/>
                <w:highlight w:val="none"/>
              </w:rPr>
              <w:t>(以</w:t>
            </w:r>
            <w:r>
              <w:rPr>
                <w:rFonts w:hint="eastAsia" w:ascii="宋体" w:hAnsi="宋体"/>
                <w:color w:val="auto"/>
                <w:szCs w:val="21"/>
                <w:highlight w:val="none"/>
                <w:lang w:eastAsia="zh-CN"/>
              </w:rPr>
              <w:t>广州交易集团有限公司（广州公共资源交易中心）</w:t>
            </w:r>
            <w:r>
              <w:rPr>
                <w:rFonts w:ascii="宋体" w:hAnsi="宋体"/>
                <w:color w:val="auto"/>
                <w:szCs w:val="21"/>
                <w:highlight w:val="none"/>
              </w:rPr>
              <w:t>评标系统的检索信息为准)</w:t>
            </w:r>
            <w:r>
              <w:rPr>
                <w:rFonts w:hint="eastAsia" w:ascii="宋体" w:hAnsi="宋体"/>
                <w:color w:val="auto"/>
                <w:szCs w:val="21"/>
                <w:highlight w:val="none"/>
              </w:rPr>
              <w:t>，</w:t>
            </w:r>
            <w:r>
              <w:rPr>
                <w:rFonts w:ascii="宋体" w:hAnsi="宋体"/>
                <w:color w:val="auto"/>
                <w:szCs w:val="21"/>
                <w:highlight w:val="none"/>
              </w:rPr>
              <w:t>其投标将被否决。</w:t>
            </w:r>
          </w:p>
        </w:tc>
        <w:tc>
          <w:tcPr>
            <w:tcW w:w="856" w:type="dxa"/>
            <w:vAlign w:val="center"/>
          </w:tcPr>
          <w:p w14:paraId="2438094B">
            <w:pPr>
              <w:tabs>
                <w:tab w:val="left" w:pos="720"/>
              </w:tabs>
              <w:snapToGrid w:val="0"/>
              <w:spacing w:line="276" w:lineRule="auto"/>
              <w:jc w:val="center"/>
              <w:rPr>
                <w:rFonts w:ascii="宋体" w:hAnsi="宋体"/>
                <w:color w:val="auto"/>
                <w:sz w:val="18"/>
                <w:szCs w:val="18"/>
                <w:highlight w:val="none"/>
              </w:rPr>
            </w:pPr>
          </w:p>
        </w:tc>
        <w:tc>
          <w:tcPr>
            <w:tcW w:w="857" w:type="dxa"/>
            <w:vAlign w:val="center"/>
          </w:tcPr>
          <w:p w14:paraId="06C5944C">
            <w:pPr>
              <w:tabs>
                <w:tab w:val="left" w:pos="720"/>
              </w:tabs>
              <w:snapToGrid w:val="0"/>
              <w:spacing w:line="276" w:lineRule="auto"/>
              <w:jc w:val="center"/>
              <w:rPr>
                <w:rFonts w:ascii="宋体" w:hAnsi="宋体"/>
                <w:color w:val="auto"/>
                <w:sz w:val="18"/>
                <w:szCs w:val="18"/>
                <w:highlight w:val="none"/>
              </w:rPr>
            </w:pPr>
          </w:p>
        </w:tc>
        <w:tc>
          <w:tcPr>
            <w:tcW w:w="857" w:type="dxa"/>
            <w:vAlign w:val="center"/>
          </w:tcPr>
          <w:p w14:paraId="6152E57A">
            <w:pPr>
              <w:tabs>
                <w:tab w:val="left" w:pos="720"/>
              </w:tabs>
              <w:snapToGrid w:val="0"/>
              <w:spacing w:line="276" w:lineRule="auto"/>
              <w:jc w:val="center"/>
              <w:rPr>
                <w:rFonts w:ascii="宋体" w:hAnsi="宋体"/>
                <w:color w:val="auto"/>
                <w:sz w:val="18"/>
                <w:szCs w:val="18"/>
                <w:highlight w:val="none"/>
              </w:rPr>
            </w:pPr>
          </w:p>
        </w:tc>
        <w:tc>
          <w:tcPr>
            <w:tcW w:w="857" w:type="dxa"/>
            <w:vAlign w:val="center"/>
          </w:tcPr>
          <w:p w14:paraId="287E92F9">
            <w:pPr>
              <w:tabs>
                <w:tab w:val="left" w:pos="720"/>
              </w:tabs>
              <w:snapToGrid w:val="0"/>
              <w:spacing w:line="276" w:lineRule="auto"/>
              <w:jc w:val="center"/>
              <w:rPr>
                <w:rFonts w:ascii="宋体" w:hAnsi="宋体"/>
                <w:color w:val="auto"/>
                <w:sz w:val="18"/>
                <w:szCs w:val="18"/>
                <w:highlight w:val="none"/>
              </w:rPr>
            </w:pPr>
          </w:p>
        </w:tc>
        <w:tc>
          <w:tcPr>
            <w:tcW w:w="857" w:type="dxa"/>
            <w:vAlign w:val="center"/>
          </w:tcPr>
          <w:p w14:paraId="4492FDE7">
            <w:pPr>
              <w:tabs>
                <w:tab w:val="left" w:pos="720"/>
              </w:tabs>
              <w:snapToGrid w:val="0"/>
              <w:spacing w:line="276" w:lineRule="auto"/>
              <w:jc w:val="center"/>
              <w:rPr>
                <w:rFonts w:ascii="宋体" w:hAnsi="宋体"/>
                <w:color w:val="auto"/>
                <w:sz w:val="18"/>
                <w:szCs w:val="18"/>
                <w:highlight w:val="none"/>
              </w:rPr>
            </w:pPr>
          </w:p>
        </w:tc>
      </w:tr>
      <w:tr w14:paraId="3F848F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trPr>
        <w:tc>
          <w:tcPr>
            <w:tcW w:w="600" w:type="dxa"/>
            <w:vAlign w:val="center"/>
          </w:tcPr>
          <w:p w14:paraId="7CB6E291">
            <w:pPr>
              <w:tabs>
                <w:tab w:val="left" w:pos="720"/>
              </w:tabs>
              <w:snapToGrid w:val="0"/>
              <w:spacing w:line="276" w:lineRule="auto"/>
              <w:jc w:val="center"/>
              <w:rPr>
                <w:rFonts w:ascii="宋体" w:hAnsi="宋体"/>
                <w:color w:val="auto"/>
                <w:szCs w:val="21"/>
                <w:highlight w:val="none"/>
              </w:rPr>
            </w:pPr>
            <w:r>
              <w:rPr>
                <w:rFonts w:hint="eastAsia" w:ascii="宋体" w:hAnsi="宋体"/>
                <w:color w:val="auto"/>
                <w:szCs w:val="21"/>
                <w:highlight w:val="none"/>
              </w:rPr>
              <w:t>结论</w:t>
            </w:r>
          </w:p>
        </w:tc>
        <w:tc>
          <w:tcPr>
            <w:tcW w:w="4794" w:type="dxa"/>
            <w:vAlign w:val="center"/>
          </w:tcPr>
          <w:p w14:paraId="5F493FA6">
            <w:pPr>
              <w:tabs>
                <w:tab w:val="left" w:pos="720"/>
              </w:tabs>
              <w:snapToGrid w:val="0"/>
              <w:spacing w:line="276" w:lineRule="auto"/>
              <w:rPr>
                <w:rFonts w:ascii="宋体" w:hAnsi="宋体"/>
                <w:color w:val="auto"/>
                <w:szCs w:val="21"/>
                <w:highlight w:val="none"/>
              </w:rPr>
            </w:pPr>
            <w:r>
              <w:rPr>
                <w:rFonts w:hint="eastAsia" w:ascii="宋体" w:hAnsi="宋体"/>
                <w:color w:val="auto"/>
                <w:szCs w:val="21"/>
                <w:highlight w:val="none"/>
              </w:rPr>
              <w:t>是否通过并进入下一阶段评审</w:t>
            </w:r>
          </w:p>
        </w:tc>
        <w:tc>
          <w:tcPr>
            <w:tcW w:w="856" w:type="dxa"/>
            <w:vAlign w:val="center"/>
          </w:tcPr>
          <w:p w14:paraId="7CEA8FE3">
            <w:pPr>
              <w:tabs>
                <w:tab w:val="left" w:pos="720"/>
              </w:tabs>
              <w:snapToGrid w:val="0"/>
              <w:spacing w:line="276" w:lineRule="auto"/>
              <w:jc w:val="center"/>
              <w:rPr>
                <w:rFonts w:ascii="宋体" w:hAnsi="宋体"/>
                <w:color w:val="auto"/>
                <w:sz w:val="18"/>
                <w:szCs w:val="18"/>
                <w:highlight w:val="none"/>
              </w:rPr>
            </w:pPr>
          </w:p>
        </w:tc>
        <w:tc>
          <w:tcPr>
            <w:tcW w:w="857" w:type="dxa"/>
            <w:vAlign w:val="center"/>
          </w:tcPr>
          <w:p w14:paraId="0E31B563">
            <w:pPr>
              <w:tabs>
                <w:tab w:val="left" w:pos="720"/>
              </w:tabs>
              <w:snapToGrid w:val="0"/>
              <w:spacing w:line="276" w:lineRule="auto"/>
              <w:jc w:val="center"/>
              <w:rPr>
                <w:rFonts w:ascii="宋体" w:hAnsi="宋体"/>
                <w:color w:val="auto"/>
                <w:sz w:val="18"/>
                <w:szCs w:val="18"/>
                <w:highlight w:val="none"/>
              </w:rPr>
            </w:pPr>
          </w:p>
        </w:tc>
        <w:tc>
          <w:tcPr>
            <w:tcW w:w="857" w:type="dxa"/>
            <w:vAlign w:val="center"/>
          </w:tcPr>
          <w:p w14:paraId="41653E84">
            <w:pPr>
              <w:tabs>
                <w:tab w:val="left" w:pos="720"/>
              </w:tabs>
              <w:snapToGrid w:val="0"/>
              <w:spacing w:line="276" w:lineRule="auto"/>
              <w:jc w:val="center"/>
              <w:rPr>
                <w:rFonts w:ascii="宋体" w:hAnsi="宋体"/>
                <w:color w:val="auto"/>
                <w:sz w:val="18"/>
                <w:szCs w:val="18"/>
                <w:highlight w:val="none"/>
              </w:rPr>
            </w:pPr>
          </w:p>
        </w:tc>
        <w:tc>
          <w:tcPr>
            <w:tcW w:w="857" w:type="dxa"/>
            <w:vAlign w:val="center"/>
          </w:tcPr>
          <w:p w14:paraId="3B26DE8E">
            <w:pPr>
              <w:tabs>
                <w:tab w:val="left" w:pos="720"/>
              </w:tabs>
              <w:snapToGrid w:val="0"/>
              <w:spacing w:line="276" w:lineRule="auto"/>
              <w:jc w:val="center"/>
              <w:rPr>
                <w:rFonts w:ascii="宋体" w:hAnsi="宋体"/>
                <w:color w:val="auto"/>
                <w:sz w:val="18"/>
                <w:szCs w:val="18"/>
                <w:highlight w:val="none"/>
              </w:rPr>
            </w:pPr>
          </w:p>
        </w:tc>
        <w:tc>
          <w:tcPr>
            <w:tcW w:w="857" w:type="dxa"/>
            <w:vAlign w:val="center"/>
          </w:tcPr>
          <w:p w14:paraId="30441DE6">
            <w:pPr>
              <w:tabs>
                <w:tab w:val="left" w:pos="720"/>
              </w:tabs>
              <w:snapToGrid w:val="0"/>
              <w:spacing w:line="276" w:lineRule="auto"/>
              <w:jc w:val="center"/>
              <w:rPr>
                <w:rFonts w:ascii="宋体" w:hAnsi="宋体"/>
                <w:color w:val="auto"/>
                <w:sz w:val="18"/>
                <w:szCs w:val="18"/>
                <w:highlight w:val="none"/>
              </w:rPr>
            </w:pPr>
          </w:p>
        </w:tc>
      </w:tr>
    </w:tbl>
    <w:p w14:paraId="7E115C81">
      <w:pPr>
        <w:rPr>
          <w:rFonts w:ascii="宋体" w:hAnsi="宋体"/>
          <w:color w:val="auto"/>
          <w:sz w:val="18"/>
          <w:szCs w:val="18"/>
          <w:highlight w:val="none"/>
        </w:rPr>
      </w:pPr>
    </w:p>
    <w:p w14:paraId="7AE73238">
      <w:pPr>
        <w:pStyle w:val="4"/>
        <w:spacing w:line="360" w:lineRule="auto"/>
        <w:jc w:val="left"/>
        <w:rPr>
          <w:rFonts w:hint="eastAsia"/>
          <w:b w:val="0"/>
          <w:color w:val="auto"/>
          <w:sz w:val="20"/>
          <w:szCs w:val="20"/>
          <w:highlight w:val="none"/>
        </w:rPr>
      </w:pPr>
      <w:r>
        <w:rPr>
          <w:rFonts w:hint="eastAsia"/>
          <w:b w:val="0"/>
          <w:color w:val="auto"/>
          <w:sz w:val="20"/>
          <w:szCs w:val="20"/>
          <w:highlight w:val="none"/>
        </w:rPr>
        <w:t>备注：1、“是否通过并进入下一阶段评审”一栏应写“通过”“不通过”。2、表中全部条件满足为“通过”，同意进入下一阶段评审。3、若评委意见不一致时，则按少数服从多数的原则，决定该投标人是否通过符合性审查，进入下一阶段评审。</w:t>
      </w:r>
    </w:p>
    <w:p w14:paraId="59C381CA">
      <w:pPr>
        <w:pStyle w:val="4"/>
        <w:spacing w:line="360" w:lineRule="auto"/>
        <w:jc w:val="left"/>
        <w:rPr>
          <w:rFonts w:hint="eastAsia" w:ascii="宋体" w:hAnsi="宋体" w:cs="宋体"/>
          <w:color w:val="auto"/>
          <w:sz w:val="28"/>
          <w:szCs w:val="28"/>
          <w:highlight w:val="none"/>
        </w:rPr>
      </w:pPr>
      <w:r>
        <w:rPr>
          <w:rFonts w:hint="eastAsia"/>
          <w:b w:val="0"/>
          <w:color w:val="auto"/>
          <w:sz w:val="21"/>
          <w:szCs w:val="21"/>
          <w:highlight w:val="none"/>
        </w:rPr>
        <w:t>评委签名：                                            日期：</w:t>
      </w:r>
      <w:r>
        <w:rPr>
          <w:color w:val="auto"/>
          <w:highlight w:val="none"/>
        </w:rPr>
        <w:br w:type="page"/>
      </w:r>
      <w:bookmarkStart w:id="107" w:name="_Toc118553983"/>
      <w:r>
        <w:rPr>
          <w:rFonts w:hint="eastAsia"/>
          <w:color w:val="auto"/>
          <w:highlight w:val="none"/>
        </w:rPr>
        <w:t>附表二：资格评审表</w:t>
      </w:r>
      <w:bookmarkEnd w:id="107"/>
      <w:r>
        <w:rPr>
          <w:rFonts w:hint="eastAsia" w:cs="宋体"/>
          <w:color w:val="auto"/>
          <w:sz w:val="28"/>
          <w:szCs w:val="28"/>
          <w:highlight w:val="none"/>
          <w:lang w:val="en-US" w:eastAsia="zh-CN"/>
        </w:rPr>
        <w:t xml:space="preserve">                   </w:t>
      </w:r>
    </w:p>
    <w:tbl>
      <w:tblPr>
        <w:tblStyle w:val="27"/>
        <w:tblpPr w:leftFromText="180" w:rightFromText="180" w:vertAnchor="text" w:horzAnchor="margin" w:tblpXSpec="center" w:tblpY="121"/>
        <w:tblOverlap w:val="never"/>
        <w:tblW w:w="95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1"/>
        <w:gridCol w:w="7295"/>
        <w:gridCol w:w="553"/>
        <w:gridCol w:w="553"/>
        <w:gridCol w:w="554"/>
      </w:tblGrid>
      <w:tr w14:paraId="03243A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641" w:type="dxa"/>
            <w:vAlign w:val="center"/>
          </w:tcPr>
          <w:p w14:paraId="72A57427">
            <w:pPr>
              <w:tabs>
                <w:tab w:val="left" w:pos="720"/>
              </w:tabs>
              <w:snapToGrid w:val="0"/>
              <w:spacing w:line="276" w:lineRule="auto"/>
              <w:jc w:val="center"/>
              <w:rPr>
                <w:rFonts w:ascii="宋体" w:hAnsi="宋体"/>
                <w:color w:val="auto"/>
                <w:sz w:val="21"/>
                <w:szCs w:val="21"/>
                <w:highlight w:val="none"/>
              </w:rPr>
            </w:pPr>
            <w:r>
              <w:rPr>
                <w:rFonts w:hint="eastAsia" w:ascii="宋体" w:hAnsi="宋体"/>
                <w:color w:val="auto"/>
                <w:sz w:val="21"/>
                <w:szCs w:val="21"/>
                <w:highlight w:val="none"/>
              </w:rPr>
              <w:t>编号</w:t>
            </w:r>
          </w:p>
        </w:tc>
        <w:tc>
          <w:tcPr>
            <w:tcW w:w="7295" w:type="dxa"/>
            <w:tcBorders>
              <w:tl2br w:val="single" w:color="auto" w:sz="4" w:space="0"/>
            </w:tcBorders>
            <w:vAlign w:val="center"/>
          </w:tcPr>
          <w:p w14:paraId="119CB24E">
            <w:pPr>
              <w:tabs>
                <w:tab w:val="left" w:pos="720"/>
              </w:tabs>
              <w:snapToGrid w:val="0"/>
              <w:spacing w:line="276" w:lineRule="auto"/>
              <w:ind w:firstLine="0" w:firstLineChars="0"/>
              <w:jc w:val="right"/>
              <w:rPr>
                <w:rFonts w:ascii="宋体" w:hAnsi="宋体"/>
                <w:color w:val="auto"/>
                <w:sz w:val="21"/>
                <w:szCs w:val="21"/>
                <w:highlight w:val="none"/>
              </w:rPr>
            </w:pPr>
            <w:r>
              <w:rPr>
                <w:rFonts w:hint="eastAsia" w:ascii="宋体" w:hAnsi="宋体"/>
                <w:color w:val="auto"/>
                <w:sz w:val="21"/>
                <w:szCs w:val="21"/>
                <w:highlight w:val="none"/>
              </w:rPr>
              <w:t>投标人名称</w:t>
            </w:r>
          </w:p>
          <w:p w14:paraId="50C30654">
            <w:pPr>
              <w:tabs>
                <w:tab w:val="left" w:pos="720"/>
              </w:tabs>
              <w:snapToGrid w:val="0"/>
              <w:spacing w:line="276" w:lineRule="auto"/>
              <w:rPr>
                <w:rFonts w:ascii="宋体" w:hAnsi="宋体"/>
                <w:color w:val="auto"/>
                <w:sz w:val="21"/>
                <w:szCs w:val="21"/>
                <w:highlight w:val="none"/>
              </w:rPr>
            </w:pPr>
            <w:r>
              <w:rPr>
                <w:rFonts w:hint="eastAsia" w:ascii="宋体" w:hAnsi="宋体"/>
                <w:color w:val="auto"/>
                <w:sz w:val="21"/>
                <w:szCs w:val="21"/>
                <w:highlight w:val="none"/>
              </w:rPr>
              <w:t>审查项目</w:t>
            </w:r>
          </w:p>
        </w:tc>
        <w:tc>
          <w:tcPr>
            <w:tcW w:w="553" w:type="dxa"/>
            <w:vAlign w:val="center"/>
          </w:tcPr>
          <w:p w14:paraId="4CA3161D">
            <w:pPr>
              <w:tabs>
                <w:tab w:val="left" w:pos="720"/>
              </w:tabs>
              <w:snapToGrid w:val="0"/>
              <w:spacing w:line="276" w:lineRule="auto"/>
              <w:jc w:val="center"/>
              <w:rPr>
                <w:rFonts w:ascii="宋体" w:hAnsi="宋体"/>
                <w:color w:val="auto"/>
                <w:sz w:val="21"/>
                <w:szCs w:val="21"/>
                <w:highlight w:val="none"/>
              </w:rPr>
            </w:pPr>
          </w:p>
        </w:tc>
        <w:tc>
          <w:tcPr>
            <w:tcW w:w="553" w:type="dxa"/>
            <w:vAlign w:val="center"/>
          </w:tcPr>
          <w:p w14:paraId="57AF0EF2">
            <w:pPr>
              <w:tabs>
                <w:tab w:val="left" w:pos="720"/>
              </w:tabs>
              <w:snapToGrid w:val="0"/>
              <w:spacing w:line="276" w:lineRule="auto"/>
              <w:jc w:val="center"/>
              <w:rPr>
                <w:rFonts w:ascii="宋体" w:hAnsi="宋体"/>
                <w:color w:val="auto"/>
                <w:sz w:val="21"/>
                <w:szCs w:val="21"/>
                <w:highlight w:val="none"/>
              </w:rPr>
            </w:pPr>
          </w:p>
        </w:tc>
        <w:tc>
          <w:tcPr>
            <w:tcW w:w="554" w:type="dxa"/>
            <w:vAlign w:val="center"/>
          </w:tcPr>
          <w:p w14:paraId="14BB2858">
            <w:pPr>
              <w:tabs>
                <w:tab w:val="left" w:pos="720"/>
              </w:tabs>
              <w:snapToGrid w:val="0"/>
              <w:spacing w:line="276" w:lineRule="auto"/>
              <w:jc w:val="center"/>
              <w:rPr>
                <w:rFonts w:ascii="宋体" w:hAnsi="宋体"/>
                <w:color w:val="auto"/>
                <w:sz w:val="21"/>
                <w:szCs w:val="21"/>
                <w:highlight w:val="none"/>
              </w:rPr>
            </w:pPr>
          </w:p>
        </w:tc>
      </w:tr>
      <w:tr w14:paraId="7BCFE3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jc w:val="center"/>
        </w:trPr>
        <w:tc>
          <w:tcPr>
            <w:tcW w:w="641" w:type="dxa"/>
            <w:vAlign w:val="center"/>
          </w:tcPr>
          <w:p w14:paraId="06CDFFE8">
            <w:pPr>
              <w:tabs>
                <w:tab w:val="left" w:pos="720"/>
              </w:tabs>
              <w:snapToGrid w:val="0"/>
              <w:spacing w:line="276" w:lineRule="auto"/>
              <w:jc w:val="center"/>
              <w:rPr>
                <w:rFonts w:ascii="宋体" w:hAnsi="宋体"/>
                <w:color w:val="auto"/>
                <w:sz w:val="21"/>
                <w:szCs w:val="21"/>
                <w:highlight w:val="none"/>
              </w:rPr>
            </w:pPr>
            <w:r>
              <w:rPr>
                <w:rFonts w:hint="eastAsia" w:ascii="宋体" w:hAnsi="宋体"/>
                <w:color w:val="auto"/>
                <w:sz w:val="21"/>
                <w:szCs w:val="21"/>
                <w:highlight w:val="none"/>
              </w:rPr>
              <w:t>1</w:t>
            </w:r>
          </w:p>
        </w:tc>
        <w:tc>
          <w:tcPr>
            <w:tcW w:w="7295" w:type="dxa"/>
            <w:vAlign w:val="center"/>
          </w:tcPr>
          <w:p w14:paraId="39A4CC42">
            <w:pPr>
              <w:tabs>
                <w:tab w:val="left" w:pos="720"/>
              </w:tabs>
              <w:snapToGrid w:val="0"/>
              <w:spacing w:line="276" w:lineRule="auto"/>
              <w:rPr>
                <w:rFonts w:ascii="宋体" w:hAnsi="宋体"/>
                <w:color w:val="auto"/>
                <w:sz w:val="21"/>
                <w:szCs w:val="21"/>
                <w:highlight w:val="none"/>
              </w:rPr>
            </w:pPr>
            <w:r>
              <w:rPr>
                <w:rFonts w:hint="eastAsia" w:ascii="宋体" w:hAnsi="宋体"/>
                <w:color w:val="auto"/>
                <w:sz w:val="21"/>
                <w:szCs w:val="21"/>
                <w:highlight w:val="none"/>
              </w:rPr>
              <w:t>投标人参加投标的意思表达清楚，投标人代表被授权有效。</w:t>
            </w:r>
          </w:p>
        </w:tc>
        <w:tc>
          <w:tcPr>
            <w:tcW w:w="553" w:type="dxa"/>
            <w:vAlign w:val="center"/>
          </w:tcPr>
          <w:p w14:paraId="63F024B8">
            <w:pPr>
              <w:tabs>
                <w:tab w:val="left" w:pos="720"/>
              </w:tabs>
              <w:snapToGrid w:val="0"/>
              <w:spacing w:line="276" w:lineRule="auto"/>
              <w:jc w:val="center"/>
              <w:rPr>
                <w:rFonts w:ascii="宋体" w:hAnsi="宋体"/>
                <w:color w:val="auto"/>
                <w:sz w:val="21"/>
                <w:szCs w:val="21"/>
                <w:highlight w:val="none"/>
              </w:rPr>
            </w:pPr>
          </w:p>
        </w:tc>
        <w:tc>
          <w:tcPr>
            <w:tcW w:w="553" w:type="dxa"/>
            <w:vAlign w:val="center"/>
          </w:tcPr>
          <w:p w14:paraId="67A08BAB">
            <w:pPr>
              <w:tabs>
                <w:tab w:val="left" w:pos="720"/>
              </w:tabs>
              <w:snapToGrid w:val="0"/>
              <w:spacing w:line="276" w:lineRule="auto"/>
              <w:jc w:val="center"/>
              <w:rPr>
                <w:rFonts w:ascii="宋体" w:hAnsi="宋体"/>
                <w:color w:val="auto"/>
                <w:sz w:val="21"/>
                <w:szCs w:val="21"/>
                <w:highlight w:val="none"/>
              </w:rPr>
            </w:pPr>
          </w:p>
        </w:tc>
        <w:tc>
          <w:tcPr>
            <w:tcW w:w="554" w:type="dxa"/>
            <w:vAlign w:val="center"/>
          </w:tcPr>
          <w:p w14:paraId="27E89347">
            <w:pPr>
              <w:tabs>
                <w:tab w:val="left" w:pos="720"/>
              </w:tabs>
              <w:snapToGrid w:val="0"/>
              <w:spacing w:line="276" w:lineRule="auto"/>
              <w:jc w:val="center"/>
              <w:rPr>
                <w:rFonts w:ascii="宋体" w:hAnsi="宋体"/>
                <w:color w:val="auto"/>
                <w:sz w:val="21"/>
                <w:szCs w:val="21"/>
                <w:highlight w:val="none"/>
              </w:rPr>
            </w:pPr>
          </w:p>
        </w:tc>
      </w:tr>
      <w:tr w14:paraId="3A4A22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641" w:type="dxa"/>
            <w:vAlign w:val="center"/>
          </w:tcPr>
          <w:p w14:paraId="773B74F9">
            <w:pPr>
              <w:tabs>
                <w:tab w:val="left" w:pos="720"/>
              </w:tabs>
              <w:snapToGrid w:val="0"/>
              <w:spacing w:line="276" w:lineRule="auto"/>
              <w:jc w:val="center"/>
              <w:rPr>
                <w:rFonts w:ascii="宋体" w:hAnsi="宋体"/>
                <w:color w:val="auto"/>
                <w:sz w:val="21"/>
                <w:szCs w:val="21"/>
                <w:highlight w:val="none"/>
              </w:rPr>
            </w:pPr>
            <w:r>
              <w:rPr>
                <w:rFonts w:hint="eastAsia" w:ascii="宋体" w:hAnsi="宋体"/>
                <w:color w:val="auto"/>
                <w:sz w:val="21"/>
                <w:szCs w:val="21"/>
                <w:highlight w:val="none"/>
              </w:rPr>
              <w:t>2</w:t>
            </w:r>
          </w:p>
        </w:tc>
        <w:tc>
          <w:tcPr>
            <w:tcW w:w="7295" w:type="dxa"/>
            <w:vAlign w:val="center"/>
          </w:tcPr>
          <w:p w14:paraId="33D9D34C">
            <w:pPr>
              <w:tabs>
                <w:tab w:val="left" w:pos="720"/>
              </w:tabs>
              <w:snapToGrid w:val="0"/>
              <w:spacing w:line="276" w:lineRule="auto"/>
              <w:rPr>
                <w:rFonts w:ascii="宋体" w:hAnsi="宋体"/>
                <w:color w:val="auto"/>
                <w:sz w:val="21"/>
                <w:szCs w:val="21"/>
                <w:highlight w:val="none"/>
              </w:rPr>
            </w:pPr>
            <w:r>
              <w:rPr>
                <w:rFonts w:hint="eastAsia" w:ascii="宋体" w:hAnsi="宋体"/>
                <w:color w:val="auto"/>
                <w:sz w:val="21"/>
                <w:szCs w:val="21"/>
                <w:highlight w:val="none"/>
              </w:rPr>
              <w:t>投标人（若为联合体投标，指联合体各方）均具有独立法人资格，持有事业单位登记管理部门核发的事业单位法人证书或工商行政管理部门核发的企业法人营业执照，且在营业期限内。</w:t>
            </w:r>
          </w:p>
        </w:tc>
        <w:tc>
          <w:tcPr>
            <w:tcW w:w="553" w:type="dxa"/>
            <w:vAlign w:val="center"/>
          </w:tcPr>
          <w:p w14:paraId="7D8C1677">
            <w:pPr>
              <w:tabs>
                <w:tab w:val="left" w:pos="720"/>
              </w:tabs>
              <w:snapToGrid w:val="0"/>
              <w:spacing w:line="276" w:lineRule="auto"/>
              <w:jc w:val="center"/>
              <w:rPr>
                <w:rFonts w:ascii="宋体" w:hAnsi="宋体"/>
                <w:color w:val="auto"/>
                <w:sz w:val="21"/>
                <w:szCs w:val="21"/>
                <w:highlight w:val="none"/>
              </w:rPr>
            </w:pPr>
          </w:p>
        </w:tc>
        <w:tc>
          <w:tcPr>
            <w:tcW w:w="553" w:type="dxa"/>
            <w:vAlign w:val="center"/>
          </w:tcPr>
          <w:p w14:paraId="37496D7A">
            <w:pPr>
              <w:tabs>
                <w:tab w:val="left" w:pos="720"/>
              </w:tabs>
              <w:snapToGrid w:val="0"/>
              <w:spacing w:line="276" w:lineRule="auto"/>
              <w:jc w:val="center"/>
              <w:rPr>
                <w:rFonts w:ascii="宋体" w:hAnsi="宋体"/>
                <w:color w:val="auto"/>
                <w:sz w:val="21"/>
                <w:szCs w:val="21"/>
                <w:highlight w:val="none"/>
              </w:rPr>
            </w:pPr>
          </w:p>
        </w:tc>
        <w:tc>
          <w:tcPr>
            <w:tcW w:w="554" w:type="dxa"/>
            <w:vAlign w:val="center"/>
          </w:tcPr>
          <w:p w14:paraId="7DD83997">
            <w:pPr>
              <w:tabs>
                <w:tab w:val="left" w:pos="720"/>
              </w:tabs>
              <w:snapToGrid w:val="0"/>
              <w:spacing w:line="276" w:lineRule="auto"/>
              <w:jc w:val="center"/>
              <w:rPr>
                <w:rFonts w:ascii="宋体" w:hAnsi="宋体"/>
                <w:color w:val="auto"/>
                <w:sz w:val="21"/>
                <w:szCs w:val="21"/>
                <w:highlight w:val="none"/>
              </w:rPr>
            </w:pPr>
          </w:p>
        </w:tc>
      </w:tr>
      <w:tr w14:paraId="3DC29F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jc w:val="center"/>
        </w:trPr>
        <w:tc>
          <w:tcPr>
            <w:tcW w:w="641" w:type="dxa"/>
            <w:vAlign w:val="center"/>
          </w:tcPr>
          <w:p w14:paraId="6CE0F4F7">
            <w:pPr>
              <w:tabs>
                <w:tab w:val="left" w:pos="720"/>
              </w:tabs>
              <w:snapToGrid w:val="0"/>
              <w:spacing w:line="276" w:lineRule="auto"/>
              <w:jc w:val="center"/>
              <w:rPr>
                <w:rFonts w:ascii="宋体" w:hAnsi="宋体"/>
                <w:color w:val="auto"/>
                <w:sz w:val="21"/>
                <w:szCs w:val="21"/>
                <w:highlight w:val="none"/>
              </w:rPr>
            </w:pPr>
            <w:r>
              <w:rPr>
                <w:rFonts w:hint="eastAsia" w:ascii="宋体" w:hAnsi="宋体"/>
                <w:color w:val="auto"/>
                <w:sz w:val="21"/>
                <w:szCs w:val="21"/>
                <w:highlight w:val="none"/>
              </w:rPr>
              <w:t>3</w:t>
            </w:r>
          </w:p>
        </w:tc>
        <w:tc>
          <w:tcPr>
            <w:tcW w:w="7295" w:type="dxa"/>
            <w:vAlign w:val="center"/>
          </w:tcPr>
          <w:p w14:paraId="1E57BE05">
            <w:pPr>
              <w:tabs>
                <w:tab w:val="left" w:pos="720"/>
              </w:tabs>
              <w:wordWrap/>
              <w:snapToGrid w:val="0"/>
              <w:spacing w:line="276" w:lineRule="auto"/>
              <w:ind w:firstLine="0" w:firstLineChars="0"/>
              <w:rPr>
                <w:rFonts w:hint="eastAsia" w:ascii="宋体" w:hAnsi="宋体" w:cs="Times New Roman"/>
                <w:color w:val="auto"/>
                <w:sz w:val="21"/>
                <w:szCs w:val="21"/>
                <w:highlight w:val="none"/>
              </w:rPr>
            </w:pPr>
            <w:r>
              <w:rPr>
                <w:rFonts w:hint="eastAsia" w:ascii="宋体" w:hAnsi="宋体" w:cs="Times New Roman"/>
                <w:color w:val="auto"/>
                <w:sz w:val="21"/>
                <w:szCs w:val="21"/>
                <w:highlight w:val="none"/>
              </w:rPr>
              <w:t>投标人（若为联合体投标，指联合体承担检测任务的单位）具备建设行政主管部门颁发的建设工程质量检测机构资质证书（检测范围覆盖地基基础检测、主体结构工程现场检测、见证取样检测），且证书在有效期内。根据《住房和城乡建设部关于印发《建设工程质量检测机构资质标准》的通知》（建质规〔2023〕1号，以下简称新标准</w:t>
            </w:r>
            <w:r>
              <w:rPr>
                <w:rFonts w:hint="eastAsia" w:ascii="宋体" w:hAnsi="宋体" w:cs="Times New Roman"/>
                <w:color w:val="auto"/>
                <w:sz w:val="21"/>
                <w:szCs w:val="21"/>
                <w:highlight w:val="none"/>
                <w:lang w:eastAsia="zh-CN"/>
              </w:rPr>
              <w:t>）</w:t>
            </w:r>
            <w:r>
              <w:rPr>
                <w:rFonts w:hint="eastAsia" w:ascii="宋体" w:hAnsi="宋体" w:cs="Times New Roman"/>
                <w:color w:val="auto"/>
                <w:sz w:val="21"/>
                <w:szCs w:val="21"/>
                <w:highlight w:val="none"/>
              </w:rPr>
              <w:t>，持前述新标准的建设工程质量检测机构资质证书的单位，资质条件应满足：综合资质证书或专项资质证书（专项资质证书包括：建筑材料及构配件、主体结构及装饰装修、地基基础、建筑节能）；</w:t>
            </w:r>
          </w:p>
          <w:p w14:paraId="376E6025">
            <w:pPr>
              <w:tabs>
                <w:tab w:val="left" w:pos="720"/>
              </w:tabs>
              <w:snapToGrid w:val="0"/>
              <w:spacing w:line="276" w:lineRule="auto"/>
              <w:rPr>
                <w:rFonts w:hint="eastAsia" w:ascii="宋体" w:hAnsi="宋体"/>
                <w:color w:val="auto"/>
                <w:sz w:val="21"/>
                <w:szCs w:val="21"/>
                <w:highlight w:val="none"/>
              </w:rPr>
            </w:pPr>
            <w:r>
              <w:rPr>
                <w:rFonts w:hint="eastAsia" w:ascii="宋体" w:hAnsi="宋体" w:cs="Times New Roman"/>
                <w:color w:val="auto"/>
                <w:sz w:val="21"/>
                <w:szCs w:val="21"/>
                <w:highlight w:val="none"/>
              </w:rPr>
              <w:t>注：如投标人检测机构资质证书的检测项目与上述名称不同，但表达的意思一致也视为满足该项条件；资质内容按照《住房和城乡建设部关于印发《建设工程质量检测机构资质标准》的通知》建质规〔2023〕1号、《住房和城乡建设部办公厅关于做好建设工程质量检测机构新旧资质标准过渡工作的通知》建办质函〔2023〕100号文规定。</w:t>
            </w:r>
          </w:p>
        </w:tc>
        <w:tc>
          <w:tcPr>
            <w:tcW w:w="553" w:type="dxa"/>
            <w:vAlign w:val="center"/>
          </w:tcPr>
          <w:p w14:paraId="5DE7098D">
            <w:pPr>
              <w:tabs>
                <w:tab w:val="left" w:pos="720"/>
              </w:tabs>
              <w:snapToGrid w:val="0"/>
              <w:spacing w:line="276" w:lineRule="auto"/>
              <w:jc w:val="center"/>
              <w:rPr>
                <w:rFonts w:ascii="宋体" w:hAnsi="宋体"/>
                <w:color w:val="auto"/>
                <w:sz w:val="21"/>
                <w:szCs w:val="21"/>
                <w:highlight w:val="none"/>
              </w:rPr>
            </w:pPr>
          </w:p>
        </w:tc>
        <w:tc>
          <w:tcPr>
            <w:tcW w:w="553" w:type="dxa"/>
            <w:vAlign w:val="center"/>
          </w:tcPr>
          <w:p w14:paraId="437CBC88">
            <w:pPr>
              <w:tabs>
                <w:tab w:val="left" w:pos="720"/>
              </w:tabs>
              <w:snapToGrid w:val="0"/>
              <w:spacing w:line="276" w:lineRule="auto"/>
              <w:jc w:val="center"/>
              <w:rPr>
                <w:rFonts w:ascii="宋体" w:hAnsi="宋体"/>
                <w:color w:val="auto"/>
                <w:sz w:val="21"/>
                <w:szCs w:val="21"/>
                <w:highlight w:val="none"/>
              </w:rPr>
            </w:pPr>
          </w:p>
        </w:tc>
        <w:tc>
          <w:tcPr>
            <w:tcW w:w="554" w:type="dxa"/>
            <w:vAlign w:val="center"/>
          </w:tcPr>
          <w:p w14:paraId="4E91A666">
            <w:pPr>
              <w:tabs>
                <w:tab w:val="left" w:pos="720"/>
              </w:tabs>
              <w:snapToGrid w:val="0"/>
              <w:spacing w:line="276" w:lineRule="auto"/>
              <w:jc w:val="center"/>
              <w:rPr>
                <w:rFonts w:ascii="宋体" w:hAnsi="宋体"/>
                <w:color w:val="auto"/>
                <w:sz w:val="21"/>
                <w:szCs w:val="21"/>
                <w:highlight w:val="none"/>
              </w:rPr>
            </w:pPr>
          </w:p>
        </w:tc>
      </w:tr>
      <w:tr w14:paraId="223203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jc w:val="center"/>
        </w:trPr>
        <w:tc>
          <w:tcPr>
            <w:tcW w:w="641" w:type="dxa"/>
            <w:vAlign w:val="center"/>
          </w:tcPr>
          <w:p w14:paraId="01F368A8">
            <w:pPr>
              <w:tabs>
                <w:tab w:val="left" w:pos="720"/>
              </w:tabs>
              <w:snapToGrid w:val="0"/>
              <w:spacing w:line="276" w:lineRule="auto"/>
              <w:jc w:val="center"/>
              <w:rPr>
                <w:rFonts w:ascii="宋体" w:hAnsi="宋体"/>
                <w:color w:val="auto"/>
                <w:sz w:val="21"/>
                <w:szCs w:val="21"/>
                <w:highlight w:val="none"/>
              </w:rPr>
            </w:pPr>
            <w:r>
              <w:rPr>
                <w:rFonts w:hint="eastAsia" w:ascii="宋体" w:hAnsi="宋体"/>
                <w:color w:val="auto"/>
                <w:sz w:val="21"/>
                <w:szCs w:val="21"/>
                <w:highlight w:val="none"/>
              </w:rPr>
              <w:t>4</w:t>
            </w:r>
          </w:p>
        </w:tc>
        <w:tc>
          <w:tcPr>
            <w:tcW w:w="7295" w:type="dxa"/>
            <w:vAlign w:val="center"/>
          </w:tcPr>
          <w:p w14:paraId="377E8F3C">
            <w:pPr>
              <w:tabs>
                <w:tab w:val="left" w:pos="720"/>
              </w:tabs>
              <w:snapToGrid w:val="0"/>
              <w:spacing w:line="276" w:lineRule="auto"/>
              <w:rPr>
                <w:rFonts w:hint="eastAsia" w:ascii="宋体" w:hAnsi="宋体"/>
                <w:color w:val="auto"/>
                <w:sz w:val="21"/>
                <w:szCs w:val="21"/>
                <w:highlight w:val="none"/>
              </w:rPr>
            </w:pPr>
            <w:r>
              <w:rPr>
                <w:rFonts w:hint="eastAsia" w:ascii="宋体" w:hAnsi="宋体" w:cs="Times New Roman"/>
                <w:color w:val="auto"/>
                <w:sz w:val="21"/>
                <w:szCs w:val="21"/>
                <w:highlight w:val="none"/>
              </w:rPr>
              <w:t>投标人（若为联合体投标，指联合体承担监测任务的单位）须具有建设行政主管部门颁发的以下勘察资质要求之一：①工程勘察综合甲级资质；②同时具备工程勘察专业资质岩土工程专项</w:t>
            </w:r>
            <w:r>
              <w:rPr>
                <w:rFonts w:hint="eastAsia" w:ascii="宋体" w:hAnsi="宋体" w:cs="Times New Roman"/>
                <w:color w:val="auto"/>
                <w:sz w:val="21"/>
                <w:szCs w:val="21"/>
                <w:highlight w:val="none"/>
                <w:lang w:val="en-US" w:eastAsia="zh-CN"/>
              </w:rPr>
              <w:t>乙</w:t>
            </w:r>
            <w:r>
              <w:rPr>
                <w:rFonts w:hint="eastAsia" w:ascii="宋体" w:hAnsi="宋体" w:cs="Times New Roman"/>
                <w:color w:val="auto"/>
                <w:sz w:val="21"/>
                <w:szCs w:val="21"/>
                <w:highlight w:val="none"/>
              </w:rPr>
              <w:t>级资质</w:t>
            </w:r>
            <w:r>
              <w:rPr>
                <w:rFonts w:hint="eastAsia" w:ascii="宋体" w:hAnsi="宋体" w:cs="Times New Roman"/>
                <w:color w:val="auto"/>
                <w:sz w:val="21"/>
                <w:szCs w:val="21"/>
                <w:highlight w:val="none"/>
                <w:lang w:eastAsia="zh-CN"/>
              </w:rPr>
              <w:t>（</w:t>
            </w:r>
            <w:r>
              <w:rPr>
                <w:rFonts w:hint="eastAsia" w:ascii="宋体" w:hAnsi="宋体" w:cs="Times New Roman"/>
                <w:color w:val="auto"/>
                <w:sz w:val="21"/>
                <w:szCs w:val="21"/>
                <w:highlight w:val="none"/>
                <w:lang w:val="en-US" w:eastAsia="zh-CN"/>
              </w:rPr>
              <w:t>或以上</w:t>
            </w:r>
            <w:r>
              <w:rPr>
                <w:rFonts w:hint="eastAsia" w:ascii="宋体" w:hAnsi="宋体" w:cs="Times New Roman"/>
                <w:color w:val="auto"/>
                <w:sz w:val="21"/>
                <w:szCs w:val="21"/>
                <w:highlight w:val="none"/>
                <w:lang w:eastAsia="zh-CN"/>
              </w:rPr>
              <w:t>）</w:t>
            </w:r>
            <w:r>
              <w:rPr>
                <w:rFonts w:hint="eastAsia" w:ascii="宋体" w:hAnsi="宋体" w:cs="Times New Roman"/>
                <w:color w:val="auto"/>
                <w:sz w:val="21"/>
                <w:szCs w:val="21"/>
                <w:highlight w:val="none"/>
              </w:rPr>
              <w:t>和工程勘察专业资质工程测量</w:t>
            </w:r>
            <w:r>
              <w:rPr>
                <w:rFonts w:hint="eastAsia" w:ascii="宋体" w:hAnsi="宋体" w:cs="Times New Roman"/>
                <w:color w:val="auto"/>
                <w:sz w:val="21"/>
                <w:szCs w:val="21"/>
                <w:highlight w:val="none"/>
                <w:lang w:val="en-US" w:eastAsia="zh-CN"/>
              </w:rPr>
              <w:t>甲</w:t>
            </w:r>
            <w:r>
              <w:rPr>
                <w:rFonts w:hint="eastAsia" w:ascii="宋体" w:hAnsi="宋体" w:cs="Times New Roman"/>
                <w:color w:val="auto"/>
                <w:sz w:val="21"/>
                <w:szCs w:val="21"/>
                <w:highlight w:val="none"/>
              </w:rPr>
              <w:t>级</w:t>
            </w:r>
            <w:r>
              <w:rPr>
                <w:rFonts w:hint="eastAsia" w:ascii="宋体" w:hAnsi="宋体" w:cs="Times New Roman"/>
                <w:color w:val="auto"/>
                <w:sz w:val="21"/>
                <w:szCs w:val="21"/>
                <w:highlight w:val="none"/>
                <w:lang w:eastAsia="zh-CN"/>
              </w:rPr>
              <w:t>资质</w:t>
            </w:r>
            <w:r>
              <w:rPr>
                <w:rFonts w:hint="eastAsia" w:ascii="宋体" w:hAnsi="宋体" w:cs="Times New Roman"/>
                <w:color w:val="auto"/>
                <w:sz w:val="21"/>
                <w:szCs w:val="21"/>
                <w:highlight w:val="none"/>
              </w:rPr>
              <w:t>。③同时具备工程勘察专业资质岩土工程（分项）物探测试检测监测专项</w:t>
            </w:r>
            <w:r>
              <w:rPr>
                <w:rFonts w:hint="eastAsia" w:ascii="宋体" w:hAnsi="宋体" w:cs="Times New Roman"/>
                <w:color w:val="auto"/>
                <w:sz w:val="21"/>
                <w:szCs w:val="21"/>
                <w:highlight w:val="none"/>
                <w:lang w:val="en-US" w:eastAsia="zh-CN"/>
              </w:rPr>
              <w:t>乙</w:t>
            </w:r>
            <w:r>
              <w:rPr>
                <w:rFonts w:hint="eastAsia" w:ascii="宋体" w:hAnsi="宋体" w:cs="Times New Roman"/>
                <w:color w:val="auto"/>
                <w:sz w:val="21"/>
                <w:szCs w:val="21"/>
                <w:highlight w:val="none"/>
              </w:rPr>
              <w:t>级</w:t>
            </w:r>
            <w:r>
              <w:rPr>
                <w:rFonts w:hint="eastAsia" w:ascii="宋体" w:hAnsi="宋体" w:cs="Times New Roman"/>
                <w:color w:val="auto"/>
                <w:sz w:val="21"/>
                <w:szCs w:val="21"/>
                <w:highlight w:val="none"/>
                <w:lang w:eastAsia="zh-CN"/>
              </w:rPr>
              <w:t>（</w:t>
            </w:r>
            <w:r>
              <w:rPr>
                <w:rFonts w:hint="eastAsia" w:ascii="宋体" w:hAnsi="宋体" w:cs="Times New Roman"/>
                <w:color w:val="auto"/>
                <w:sz w:val="21"/>
                <w:szCs w:val="21"/>
                <w:highlight w:val="none"/>
                <w:lang w:val="en-US" w:eastAsia="zh-CN"/>
              </w:rPr>
              <w:t>或以上</w:t>
            </w:r>
            <w:r>
              <w:rPr>
                <w:rFonts w:hint="eastAsia" w:ascii="宋体" w:hAnsi="宋体" w:cs="Times New Roman"/>
                <w:color w:val="auto"/>
                <w:sz w:val="21"/>
                <w:szCs w:val="21"/>
                <w:highlight w:val="none"/>
                <w:lang w:eastAsia="zh-CN"/>
              </w:rPr>
              <w:t>）</w:t>
            </w:r>
            <w:r>
              <w:rPr>
                <w:rFonts w:hint="eastAsia" w:ascii="宋体" w:hAnsi="宋体" w:cs="Times New Roman"/>
                <w:color w:val="auto"/>
                <w:sz w:val="21"/>
                <w:szCs w:val="21"/>
                <w:highlight w:val="none"/>
              </w:rPr>
              <w:t>资质和工程勘察专业资质工程测量</w:t>
            </w:r>
            <w:r>
              <w:rPr>
                <w:rFonts w:hint="eastAsia" w:ascii="宋体" w:hAnsi="宋体" w:cs="Times New Roman"/>
                <w:color w:val="auto"/>
                <w:sz w:val="21"/>
                <w:szCs w:val="21"/>
                <w:highlight w:val="none"/>
                <w:lang w:val="en-US" w:eastAsia="zh-CN"/>
              </w:rPr>
              <w:t>甲</w:t>
            </w:r>
            <w:r>
              <w:rPr>
                <w:rFonts w:hint="eastAsia" w:ascii="宋体" w:hAnsi="宋体" w:cs="Times New Roman"/>
                <w:color w:val="auto"/>
                <w:sz w:val="21"/>
                <w:szCs w:val="21"/>
                <w:highlight w:val="none"/>
              </w:rPr>
              <w:t>级资质。</w:t>
            </w:r>
            <w:r>
              <w:rPr>
                <w:rFonts w:hint="eastAsia" w:ascii="宋体" w:hAnsi="宋体" w:cs="Times New Roman"/>
                <w:color w:val="auto"/>
                <w:sz w:val="21"/>
                <w:szCs w:val="21"/>
                <w:highlight w:val="none"/>
                <w:u w:val="none"/>
              </w:rPr>
              <w:t>香港企业参加投标的，须在广东省住房和城乡建设主管部门备案且备案的业务范围满足本项目招标文件要求。[注：依据《广东省住房和城乡建设厅关于印发香港工程建设咨询企业和专业人士在粤港澳大湾区内地城市开业执业试点管理暂行办法的通知》（粤建规范[2020]1号）确定]。</w:t>
            </w:r>
          </w:p>
        </w:tc>
        <w:tc>
          <w:tcPr>
            <w:tcW w:w="553" w:type="dxa"/>
            <w:vAlign w:val="center"/>
          </w:tcPr>
          <w:p w14:paraId="2919A582">
            <w:pPr>
              <w:tabs>
                <w:tab w:val="left" w:pos="720"/>
              </w:tabs>
              <w:snapToGrid w:val="0"/>
              <w:spacing w:line="276" w:lineRule="auto"/>
              <w:jc w:val="center"/>
              <w:rPr>
                <w:rFonts w:ascii="宋体" w:hAnsi="宋体"/>
                <w:color w:val="auto"/>
                <w:sz w:val="21"/>
                <w:szCs w:val="21"/>
                <w:highlight w:val="none"/>
              </w:rPr>
            </w:pPr>
          </w:p>
        </w:tc>
        <w:tc>
          <w:tcPr>
            <w:tcW w:w="553" w:type="dxa"/>
            <w:vAlign w:val="center"/>
          </w:tcPr>
          <w:p w14:paraId="53227C0C">
            <w:pPr>
              <w:tabs>
                <w:tab w:val="left" w:pos="720"/>
              </w:tabs>
              <w:snapToGrid w:val="0"/>
              <w:spacing w:line="276" w:lineRule="auto"/>
              <w:jc w:val="center"/>
              <w:rPr>
                <w:rFonts w:ascii="宋体" w:hAnsi="宋体"/>
                <w:color w:val="auto"/>
                <w:sz w:val="21"/>
                <w:szCs w:val="21"/>
                <w:highlight w:val="none"/>
              </w:rPr>
            </w:pPr>
          </w:p>
        </w:tc>
        <w:tc>
          <w:tcPr>
            <w:tcW w:w="554" w:type="dxa"/>
            <w:vAlign w:val="center"/>
          </w:tcPr>
          <w:p w14:paraId="2BA5E924">
            <w:pPr>
              <w:tabs>
                <w:tab w:val="left" w:pos="720"/>
              </w:tabs>
              <w:snapToGrid w:val="0"/>
              <w:spacing w:line="276" w:lineRule="auto"/>
              <w:jc w:val="center"/>
              <w:rPr>
                <w:rFonts w:ascii="宋体" w:hAnsi="宋体"/>
                <w:color w:val="auto"/>
                <w:sz w:val="21"/>
                <w:szCs w:val="21"/>
                <w:highlight w:val="none"/>
              </w:rPr>
            </w:pPr>
          </w:p>
        </w:tc>
      </w:tr>
      <w:tr w14:paraId="0200CA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jc w:val="center"/>
        </w:trPr>
        <w:tc>
          <w:tcPr>
            <w:tcW w:w="641" w:type="dxa"/>
            <w:vAlign w:val="center"/>
          </w:tcPr>
          <w:p w14:paraId="2A1AACF7">
            <w:pPr>
              <w:tabs>
                <w:tab w:val="left" w:pos="720"/>
              </w:tabs>
              <w:snapToGrid w:val="0"/>
              <w:spacing w:line="276" w:lineRule="auto"/>
              <w:jc w:val="center"/>
              <w:rPr>
                <w:rFonts w:ascii="宋体" w:hAnsi="宋体"/>
                <w:color w:val="auto"/>
                <w:sz w:val="21"/>
                <w:szCs w:val="21"/>
                <w:highlight w:val="none"/>
              </w:rPr>
            </w:pPr>
            <w:r>
              <w:rPr>
                <w:rFonts w:hint="eastAsia" w:ascii="宋体" w:hAnsi="宋体"/>
                <w:color w:val="auto"/>
                <w:sz w:val="21"/>
                <w:szCs w:val="21"/>
                <w:highlight w:val="none"/>
              </w:rPr>
              <w:t>5</w:t>
            </w:r>
          </w:p>
        </w:tc>
        <w:tc>
          <w:tcPr>
            <w:tcW w:w="7295" w:type="dxa"/>
            <w:vAlign w:val="center"/>
          </w:tcPr>
          <w:p w14:paraId="06897787">
            <w:pPr>
              <w:tabs>
                <w:tab w:val="left" w:pos="720"/>
              </w:tabs>
              <w:snapToGrid w:val="0"/>
              <w:spacing w:line="276" w:lineRule="auto"/>
              <w:rPr>
                <w:rFonts w:ascii="宋体" w:hAnsi="宋体"/>
                <w:color w:val="auto"/>
                <w:sz w:val="21"/>
                <w:szCs w:val="21"/>
                <w:highlight w:val="none"/>
              </w:rPr>
            </w:pPr>
            <w:r>
              <w:rPr>
                <w:rFonts w:hint="eastAsia" w:ascii="宋体" w:hAnsi="宋体"/>
                <w:color w:val="auto"/>
                <w:sz w:val="21"/>
                <w:szCs w:val="21"/>
                <w:highlight w:val="none"/>
              </w:rPr>
              <w:t>投标人（若为联合体投标，指联合体各方）</w:t>
            </w:r>
            <w:r>
              <w:rPr>
                <w:rFonts w:hint="eastAsia" w:ascii="宋体" w:hAnsi="宋体" w:cs="Times New Roman"/>
                <w:color w:val="auto"/>
                <w:sz w:val="21"/>
                <w:szCs w:val="21"/>
                <w:highlight w:val="none"/>
                <w:lang w:bidi="ar"/>
              </w:rPr>
              <w:t>均具备</w:t>
            </w:r>
            <w:r>
              <w:rPr>
                <w:rFonts w:hint="eastAsia" w:ascii="宋体" w:hAnsi="宋体"/>
                <w:color w:val="auto"/>
                <w:sz w:val="21"/>
                <w:szCs w:val="21"/>
                <w:highlight w:val="none"/>
              </w:rPr>
              <w:t>质量技术监督部门颁发的 CMA 计量认证合格证书（检验检测机构资质认定证书），且证书在有效期内。同时，认证范围覆盖本次招标主要内容：①承担检测任务的单位认证范围为工程材料、地基与基础工程检测、主体结构工程检测。②承担监测任务的单位认证范围为基坑监测、高支模监测、主体沉降观测；如 CMA 计量认证合格证书中的认证项目与上述名称不同，但表达的意思一致也视为满足该项条件，且在有效期内。</w:t>
            </w:r>
          </w:p>
        </w:tc>
        <w:tc>
          <w:tcPr>
            <w:tcW w:w="553" w:type="dxa"/>
            <w:vAlign w:val="center"/>
          </w:tcPr>
          <w:p w14:paraId="238ECD65">
            <w:pPr>
              <w:tabs>
                <w:tab w:val="left" w:pos="720"/>
              </w:tabs>
              <w:snapToGrid w:val="0"/>
              <w:spacing w:line="276" w:lineRule="auto"/>
              <w:jc w:val="center"/>
              <w:rPr>
                <w:rFonts w:ascii="宋体" w:hAnsi="宋体"/>
                <w:color w:val="auto"/>
                <w:sz w:val="21"/>
                <w:szCs w:val="21"/>
                <w:highlight w:val="none"/>
              </w:rPr>
            </w:pPr>
          </w:p>
        </w:tc>
        <w:tc>
          <w:tcPr>
            <w:tcW w:w="553" w:type="dxa"/>
            <w:vAlign w:val="center"/>
          </w:tcPr>
          <w:p w14:paraId="3DC12ABF">
            <w:pPr>
              <w:tabs>
                <w:tab w:val="left" w:pos="720"/>
              </w:tabs>
              <w:snapToGrid w:val="0"/>
              <w:spacing w:line="276" w:lineRule="auto"/>
              <w:jc w:val="center"/>
              <w:rPr>
                <w:rFonts w:ascii="宋体" w:hAnsi="宋体"/>
                <w:color w:val="auto"/>
                <w:sz w:val="21"/>
                <w:szCs w:val="21"/>
                <w:highlight w:val="none"/>
              </w:rPr>
            </w:pPr>
          </w:p>
        </w:tc>
        <w:tc>
          <w:tcPr>
            <w:tcW w:w="554" w:type="dxa"/>
            <w:vAlign w:val="center"/>
          </w:tcPr>
          <w:p w14:paraId="392EA804">
            <w:pPr>
              <w:tabs>
                <w:tab w:val="left" w:pos="720"/>
              </w:tabs>
              <w:snapToGrid w:val="0"/>
              <w:spacing w:line="276" w:lineRule="auto"/>
              <w:jc w:val="center"/>
              <w:rPr>
                <w:rFonts w:ascii="宋体" w:hAnsi="宋体"/>
                <w:color w:val="auto"/>
                <w:sz w:val="21"/>
                <w:szCs w:val="21"/>
                <w:highlight w:val="none"/>
              </w:rPr>
            </w:pPr>
          </w:p>
        </w:tc>
      </w:tr>
      <w:tr w14:paraId="195F19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8" w:hRule="atLeast"/>
          <w:jc w:val="center"/>
        </w:trPr>
        <w:tc>
          <w:tcPr>
            <w:tcW w:w="641" w:type="dxa"/>
            <w:vAlign w:val="center"/>
          </w:tcPr>
          <w:p w14:paraId="03E9A0C3">
            <w:pPr>
              <w:tabs>
                <w:tab w:val="left" w:pos="720"/>
              </w:tabs>
              <w:snapToGrid w:val="0"/>
              <w:spacing w:line="276" w:lineRule="auto"/>
              <w:jc w:val="center"/>
              <w:rPr>
                <w:rFonts w:ascii="宋体" w:hAnsi="宋体"/>
                <w:color w:val="auto"/>
                <w:sz w:val="21"/>
                <w:szCs w:val="21"/>
                <w:highlight w:val="none"/>
              </w:rPr>
            </w:pPr>
            <w:r>
              <w:rPr>
                <w:rFonts w:hint="eastAsia" w:ascii="宋体" w:hAnsi="宋体"/>
                <w:color w:val="auto"/>
                <w:sz w:val="21"/>
                <w:szCs w:val="21"/>
                <w:highlight w:val="none"/>
              </w:rPr>
              <w:t>6</w:t>
            </w:r>
          </w:p>
        </w:tc>
        <w:tc>
          <w:tcPr>
            <w:tcW w:w="7295" w:type="dxa"/>
            <w:vAlign w:val="center"/>
          </w:tcPr>
          <w:p w14:paraId="2EF5CD4C">
            <w:pPr>
              <w:tabs>
                <w:tab w:val="left" w:pos="720"/>
              </w:tabs>
              <w:snapToGrid w:val="0"/>
              <w:spacing w:line="276" w:lineRule="auto"/>
              <w:rPr>
                <w:rFonts w:ascii="宋体" w:hAnsi="宋体"/>
                <w:color w:val="auto"/>
                <w:sz w:val="21"/>
                <w:szCs w:val="21"/>
                <w:highlight w:val="none"/>
              </w:rPr>
            </w:pPr>
            <w:r>
              <w:rPr>
                <w:rFonts w:hint="eastAsia" w:ascii="宋体" w:hAnsi="宋体"/>
                <w:color w:val="auto"/>
                <w:sz w:val="21"/>
                <w:szCs w:val="21"/>
                <w:highlight w:val="none"/>
              </w:rPr>
              <w:t>投标人拟担任本工程项目负责人应为具有工程类中级工程师或以上技术职称，且须持有建设行政主管部门或其委托的机构、行业协会颁发的检测员证或检测鉴定培训合格证【若为联合体投标，项目负责人须是联合体主办方正式员工，需提供近</w:t>
            </w:r>
            <w:r>
              <w:rPr>
                <w:rFonts w:hint="eastAsia" w:ascii="宋体" w:hAnsi="宋体"/>
                <w:color w:val="auto"/>
                <w:sz w:val="21"/>
                <w:szCs w:val="21"/>
                <w:highlight w:val="none"/>
                <w:lang w:val="en-US" w:eastAsia="zh-CN"/>
              </w:rPr>
              <w:t>1</w:t>
            </w:r>
            <w:r>
              <w:rPr>
                <w:rFonts w:hint="eastAsia" w:ascii="宋体" w:hAnsi="宋体"/>
                <w:color w:val="auto"/>
                <w:sz w:val="21"/>
                <w:szCs w:val="21"/>
                <w:highlight w:val="none"/>
              </w:rPr>
              <w:t>个月（即扣除招标公告发布当月前一个月）有效的所在投标单位社保证明材料。】</w:t>
            </w:r>
          </w:p>
        </w:tc>
        <w:tc>
          <w:tcPr>
            <w:tcW w:w="553" w:type="dxa"/>
            <w:vAlign w:val="center"/>
          </w:tcPr>
          <w:p w14:paraId="2ED27DF7">
            <w:pPr>
              <w:tabs>
                <w:tab w:val="left" w:pos="720"/>
              </w:tabs>
              <w:snapToGrid w:val="0"/>
              <w:spacing w:line="276" w:lineRule="auto"/>
              <w:jc w:val="center"/>
              <w:rPr>
                <w:rFonts w:ascii="宋体" w:hAnsi="宋体"/>
                <w:color w:val="auto"/>
                <w:sz w:val="21"/>
                <w:szCs w:val="21"/>
                <w:highlight w:val="none"/>
              </w:rPr>
            </w:pPr>
          </w:p>
        </w:tc>
        <w:tc>
          <w:tcPr>
            <w:tcW w:w="553" w:type="dxa"/>
            <w:vAlign w:val="center"/>
          </w:tcPr>
          <w:p w14:paraId="782126CC">
            <w:pPr>
              <w:tabs>
                <w:tab w:val="left" w:pos="720"/>
              </w:tabs>
              <w:snapToGrid w:val="0"/>
              <w:spacing w:line="276" w:lineRule="auto"/>
              <w:jc w:val="center"/>
              <w:rPr>
                <w:rFonts w:ascii="宋体" w:hAnsi="宋体"/>
                <w:color w:val="auto"/>
                <w:sz w:val="21"/>
                <w:szCs w:val="21"/>
                <w:highlight w:val="none"/>
              </w:rPr>
            </w:pPr>
          </w:p>
        </w:tc>
        <w:tc>
          <w:tcPr>
            <w:tcW w:w="554" w:type="dxa"/>
            <w:vAlign w:val="center"/>
          </w:tcPr>
          <w:p w14:paraId="1556F156">
            <w:pPr>
              <w:tabs>
                <w:tab w:val="left" w:pos="720"/>
              </w:tabs>
              <w:snapToGrid w:val="0"/>
              <w:spacing w:line="276" w:lineRule="auto"/>
              <w:jc w:val="center"/>
              <w:rPr>
                <w:rFonts w:ascii="宋体" w:hAnsi="宋体"/>
                <w:color w:val="auto"/>
                <w:sz w:val="21"/>
                <w:szCs w:val="21"/>
                <w:highlight w:val="none"/>
              </w:rPr>
            </w:pPr>
          </w:p>
        </w:tc>
      </w:tr>
      <w:tr w14:paraId="5BA984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41" w:type="dxa"/>
            <w:vAlign w:val="center"/>
          </w:tcPr>
          <w:p w14:paraId="1C984A26">
            <w:pPr>
              <w:tabs>
                <w:tab w:val="left" w:pos="720"/>
              </w:tabs>
              <w:snapToGrid w:val="0"/>
              <w:spacing w:line="276" w:lineRule="auto"/>
              <w:jc w:val="center"/>
              <w:rPr>
                <w:rFonts w:ascii="宋体" w:hAnsi="宋体"/>
                <w:color w:val="auto"/>
                <w:sz w:val="21"/>
                <w:szCs w:val="21"/>
                <w:highlight w:val="none"/>
              </w:rPr>
            </w:pPr>
            <w:r>
              <w:rPr>
                <w:rFonts w:hint="eastAsia" w:ascii="宋体" w:hAnsi="宋体"/>
                <w:color w:val="auto"/>
                <w:sz w:val="21"/>
                <w:szCs w:val="21"/>
                <w:highlight w:val="none"/>
              </w:rPr>
              <w:t>7</w:t>
            </w:r>
          </w:p>
        </w:tc>
        <w:tc>
          <w:tcPr>
            <w:tcW w:w="7295" w:type="dxa"/>
            <w:vAlign w:val="center"/>
          </w:tcPr>
          <w:p w14:paraId="49331532">
            <w:pPr>
              <w:tabs>
                <w:tab w:val="left" w:pos="720"/>
              </w:tabs>
              <w:snapToGrid w:val="0"/>
              <w:spacing w:line="276" w:lineRule="auto"/>
              <w:rPr>
                <w:rFonts w:ascii="宋体" w:hAnsi="宋体"/>
                <w:color w:val="auto"/>
                <w:sz w:val="21"/>
                <w:szCs w:val="21"/>
                <w:highlight w:val="none"/>
              </w:rPr>
            </w:pPr>
            <w:r>
              <w:rPr>
                <w:rFonts w:hint="eastAsia" w:ascii="宋体" w:hAnsi="宋体"/>
                <w:color w:val="auto"/>
                <w:sz w:val="21"/>
                <w:szCs w:val="21"/>
                <w:highlight w:val="none"/>
              </w:rPr>
              <w:t>投标人（若为联合体投标，指联合体各方）在广州市住建行业信用管理平台建立诚信档案。</w:t>
            </w:r>
          </w:p>
        </w:tc>
        <w:tc>
          <w:tcPr>
            <w:tcW w:w="553" w:type="dxa"/>
            <w:vAlign w:val="center"/>
          </w:tcPr>
          <w:p w14:paraId="2E5B08C6">
            <w:pPr>
              <w:tabs>
                <w:tab w:val="left" w:pos="720"/>
              </w:tabs>
              <w:snapToGrid w:val="0"/>
              <w:spacing w:line="276" w:lineRule="auto"/>
              <w:jc w:val="center"/>
              <w:rPr>
                <w:rFonts w:ascii="宋体" w:hAnsi="宋体"/>
                <w:color w:val="auto"/>
                <w:sz w:val="21"/>
                <w:szCs w:val="21"/>
                <w:highlight w:val="none"/>
              </w:rPr>
            </w:pPr>
          </w:p>
        </w:tc>
        <w:tc>
          <w:tcPr>
            <w:tcW w:w="553" w:type="dxa"/>
            <w:vAlign w:val="center"/>
          </w:tcPr>
          <w:p w14:paraId="51DF0971">
            <w:pPr>
              <w:tabs>
                <w:tab w:val="left" w:pos="720"/>
              </w:tabs>
              <w:snapToGrid w:val="0"/>
              <w:spacing w:line="276" w:lineRule="auto"/>
              <w:jc w:val="center"/>
              <w:rPr>
                <w:rFonts w:ascii="宋体" w:hAnsi="宋体"/>
                <w:color w:val="auto"/>
                <w:sz w:val="21"/>
                <w:szCs w:val="21"/>
                <w:highlight w:val="none"/>
              </w:rPr>
            </w:pPr>
          </w:p>
        </w:tc>
        <w:tc>
          <w:tcPr>
            <w:tcW w:w="554" w:type="dxa"/>
            <w:vAlign w:val="center"/>
          </w:tcPr>
          <w:p w14:paraId="728EA981">
            <w:pPr>
              <w:tabs>
                <w:tab w:val="left" w:pos="720"/>
              </w:tabs>
              <w:snapToGrid w:val="0"/>
              <w:spacing w:line="276" w:lineRule="auto"/>
              <w:jc w:val="center"/>
              <w:rPr>
                <w:rFonts w:ascii="宋体" w:hAnsi="宋体"/>
                <w:color w:val="auto"/>
                <w:sz w:val="21"/>
                <w:szCs w:val="21"/>
                <w:highlight w:val="none"/>
              </w:rPr>
            </w:pPr>
          </w:p>
        </w:tc>
      </w:tr>
      <w:tr w14:paraId="36AA27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641" w:type="dxa"/>
            <w:vAlign w:val="center"/>
          </w:tcPr>
          <w:p w14:paraId="41EBC9F0">
            <w:pPr>
              <w:tabs>
                <w:tab w:val="left" w:pos="720"/>
              </w:tabs>
              <w:snapToGrid w:val="0"/>
              <w:spacing w:line="276" w:lineRule="auto"/>
              <w:jc w:val="center"/>
              <w:rPr>
                <w:rFonts w:ascii="宋体" w:hAnsi="宋体"/>
                <w:color w:val="auto"/>
                <w:sz w:val="21"/>
                <w:szCs w:val="21"/>
                <w:highlight w:val="none"/>
              </w:rPr>
            </w:pPr>
            <w:r>
              <w:rPr>
                <w:rFonts w:hint="eastAsia" w:ascii="宋体" w:hAnsi="宋体"/>
                <w:color w:val="auto"/>
                <w:sz w:val="21"/>
                <w:szCs w:val="21"/>
                <w:highlight w:val="none"/>
              </w:rPr>
              <w:t>8</w:t>
            </w:r>
          </w:p>
        </w:tc>
        <w:tc>
          <w:tcPr>
            <w:tcW w:w="7295" w:type="dxa"/>
            <w:vAlign w:val="center"/>
          </w:tcPr>
          <w:p w14:paraId="70C5CD03">
            <w:pPr>
              <w:tabs>
                <w:tab w:val="left" w:pos="720"/>
              </w:tabs>
              <w:snapToGrid w:val="0"/>
              <w:spacing w:line="276" w:lineRule="auto"/>
              <w:rPr>
                <w:rFonts w:ascii="宋体" w:hAnsi="宋体"/>
                <w:color w:val="auto"/>
                <w:sz w:val="21"/>
                <w:szCs w:val="21"/>
                <w:highlight w:val="none"/>
              </w:rPr>
            </w:pPr>
            <w:r>
              <w:rPr>
                <w:rFonts w:hint="eastAsia" w:ascii="宋体" w:hAnsi="宋体"/>
                <w:color w:val="auto"/>
                <w:sz w:val="21"/>
                <w:szCs w:val="21"/>
                <w:highlight w:val="none"/>
              </w:rPr>
              <w:t>投标人已按照招标公告附件一的内容签署盖章的《投标</w:t>
            </w:r>
            <w:r>
              <w:rPr>
                <w:rFonts w:hint="eastAsia" w:ascii="宋体" w:hAnsi="宋体"/>
                <w:color w:val="auto"/>
                <w:sz w:val="21"/>
                <w:szCs w:val="21"/>
                <w:highlight w:val="none"/>
                <w:lang w:val="en-US" w:eastAsia="zh-CN"/>
              </w:rPr>
              <w:t>申请</w:t>
            </w:r>
            <w:r>
              <w:rPr>
                <w:rFonts w:hint="eastAsia" w:ascii="宋体" w:hAnsi="宋体"/>
                <w:color w:val="auto"/>
                <w:sz w:val="21"/>
                <w:szCs w:val="21"/>
                <w:highlight w:val="none"/>
              </w:rPr>
              <w:t>人声明》。</w:t>
            </w:r>
          </w:p>
        </w:tc>
        <w:tc>
          <w:tcPr>
            <w:tcW w:w="553" w:type="dxa"/>
            <w:vAlign w:val="center"/>
          </w:tcPr>
          <w:p w14:paraId="4CB59B90">
            <w:pPr>
              <w:tabs>
                <w:tab w:val="left" w:pos="720"/>
              </w:tabs>
              <w:snapToGrid w:val="0"/>
              <w:spacing w:line="276" w:lineRule="auto"/>
              <w:jc w:val="center"/>
              <w:rPr>
                <w:rFonts w:ascii="宋体" w:hAnsi="宋体"/>
                <w:color w:val="auto"/>
                <w:sz w:val="21"/>
                <w:szCs w:val="21"/>
                <w:highlight w:val="none"/>
              </w:rPr>
            </w:pPr>
          </w:p>
        </w:tc>
        <w:tc>
          <w:tcPr>
            <w:tcW w:w="553" w:type="dxa"/>
            <w:vAlign w:val="center"/>
          </w:tcPr>
          <w:p w14:paraId="49135D74">
            <w:pPr>
              <w:tabs>
                <w:tab w:val="left" w:pos="720"/>
              </w:tabs>
              <w:snapToGrid w:val="0"/>
              <w:spacing w:line="276" w:lineRule="auto"/>
              <w:jc w:val="center"/>
              <w:rPr>
                <w:rFonts w:ascii="宋体" w:hAnsi="宋体"/>
                <w:color w:val="auto"/>
                <w:sz w:val="21"/>
                <w:szCs w:val="21"/>
                <w:highlight w:val="none"/>
              </w:rPr>
            </w:pPr>
          </w:p>
        </w:tc>
        <w:tc>
          <w:tcPr>
            <w:tcW w:w="554" w:type="dxa"/>
            <w:vAlign w:val="center"/>
          </w:tcPr>
          <w:p w14:paraId="23FEF2D1">
            <w:pPr>
              <w:tabs>
                <w:tab w:val="left" w:pos="720"/>
              </w:tabs>
              <w:snapToGrid w:val="0"/>
              <w:spacing w:line="276" w:lineRule="auto"/>
              <w:jc w:val="center"/>
              <w:rPr>
                <w:rFonts w:ascii="宋体" w:hAnsi="宋体"/>
                <w:color w:val="auto"/>
                <w:sz w:val="21"/>
                <w:szCs w:val="21"/>
                <w:highlight w:val="none"/>
              </w:rPr>
            </w:pPr>
          </w:p>
        </w:tc>
      </w:tr>
      <w:tr w14:paraId="6FF51D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641" w:type="dxa"/>
            <w:vAlign w:val="center"/>
          </w:tcPr>
          <w:p w14:paraId="2E95CC15">
            <w:pPr>
              <w:tabs>
                <w:tab w:val="left" w:pos="720"/>
              </w:tabs>
              <w:snapToGrid w:val="0"/>
              <w:spacing w:line="276" w:lineRule="auto"/>
              <w:jc w:val="center"/>
              <w:rPr>
                <w:rFonts w:ascii="宋体" w:hAnsi="宋体"/>
                <w:color w:val="auto"/>
                <w:sz w:val="21"/>
                <w:szCs w:val="21"/>
                <w:highlight w:val="none"/>
              </w:rPr>
            </w:pPr>
            <w:r>
              <w:rPr>
                <w:rFonts w:hint="eastAsia" w:ascii="宋体" w:hAnsi="宋体"/>
                <w:color w:val="auto"/>
                <w:sz w:val="21"/>
                <w:szCs w:val="21"/>
                <w:highlight w:val="none"/>
              </w:rPr>
              <w:t>9</w:t>
            </w:r>
          </w:p>
        </w:tc>
        <w:tc>
          <w:tcPr>
            <w:tcW w:w="7295" w:type="dxa"/>
            <w:vAlign w:val="center"/>
          </w:tcPr>
          <w:p w14:paraId="2AE07820">
            <w:pPr>
              <w:tabs>
                <w:tab w:val="left" w:pos="720"/>
              </w:tabs>
              <w:snapToGrid w:val="0"/>
              <w:spacing w:line="276" w:lineRule="auto"/>
              <w:rPr>
                <w:rFonts w:hint="eastAsia" w:ascii="宋体" w:hAnsi="宋体"/>
                <w:color w:val="auto"/>
                <w:sz w:val="21"/>
                <w:szCs w:val="21"/>
                <w:highlight w:val="none"/>
              </w:rPr>
            </w:pPr>
            <w:r>
              <w:rPr>
                <w:rFonts w:hint="eastAsia" w:ascii="宋体" w:hAnsi="宋体"/>
                <w:color w:val="auto"/>
                <w:sz w:val="21"/>
                <w:szCs w:val="21"/>
                <w:highlight w:val="none"/>
              </w:rPr>
              <w:t>关于联合体投标：本项目接受联合体投标，但只接受最多由</w:t>
            </w:r>
            <w:r>
              <w:rPr>
                <w:rFonts w:hint="eastAsia" w:ascii="宋体" w:hAnsi="宋体"/>
                <w:color w:val="auto"/>
                <w:sz w:val="21"/>
                <w:szCs w:val="21"/>
                <w:highlight w:val="none"/>
                <w:lang w:val="en-US" w:eastAsia="zh-CN"/>
              </w:rPr>
              <w:t>3</w:t>
            </w:r>
            <w:r>
              <w:rPr>
                <w:rFonts w:hint="eastAsia" w:ascii="宋体" w:hAnsi="宋体"/>
                <w:color w:val="auto"/>
                <w:sz w:val="21"/>
                <w:szCs w:val="21"/>
                <w:highlight w:val="none"/>
              </w:rPr>
              <w:t>家单位组成联合体投标，联合体主办方必须为负责检测任务的单位。</w:t>
            </w:r>
          </w:p>
          <w:p w14:paraId="052E919D">
            <w:pPr>
              <w:tabs>
                <w:tab w:val="left" w:pos="720"/>
              </w:tabs>
              <w:snapToGrid w:val="0"/>
              <w:spacing w:line="276" w:lineRule="auto"/>
              <w:rPr>
                <w:rFonts w:hint="eastAsia" w:ascii="宋体" w:hAnsi="宋体"/>
                <w:color w:val="auto"/>
                <w:sz w:val="21"/>
                <w:szCs w:val="21"/>
                <w:highlight w:val="none"/>
              </w:rPr>
            </w:pPr>
            <w:r>
              <w:rPr>
                <w:rFonts w:hint="eastAsia" w:ascii="宋体" w:hAnsi="宋体"/>
                <w:color w:val="auto"/>
                <w:sz w:val="21"/>
                <w:szCs w:val="21"/>
                <w:highlight w:val="none"/>
              </w:rPr>
              <w:t>注：（1）联合体各方应按招标文件提供的格式签订联合体协议书，明确联合体主办方和各方权利义务，并将该联合体协议书随投标文件一并提交招标人；</w:t>
            </w:r>
          </w:p>
          <w:p w14:paraId="7690CBDF">
            <w:pPr>
              <w:tabs>
                <w:tab w:val="left" w:pos="720"/>
              </w:tabs>
              <w:snapToGrid w:val="0"/>
              <w:spacing w:line="276" w:lineRule="auto"/>
              <w:rPr>
                <w:rFonts w:hint="eastAsia" w:ascii="宋体" w:hAnsi="宋体"/>
                <w:color w:val="auto"/>
                <w:sz w:val="21"/>
                <w:szCs w:val="21"/>
                <w:highlight w:val="none"/>
              </w:rPr>
            </w:pPr>
            <w:r>
              <w:rPr>
                <w:rFonts w:hint="eastAsia" w:ascii="宋体" w:hAnsi="宋体"/>
                <w:color w:val="auto"/>
                <w:sz w:val="21"/>
                <w:szCs w:val="21"/>
                <w:highlight w:val="none"/>
              </w:rPr>
              <w:t>（2）联合体各方不得再以自己名义单独或参加其他联合体在本招标项目中投标，否则各相关投标均无效；</w:t>
            </w:r>
          </w:p>
          <w:p w14:paraId="0CE01F38">
            <w:pPr>
              <w:tabs>
                <w:tab w:val="left" w:pos="720"/>
              </w:tabs>
              <w:snapToGrid w:val="0"/>
              <w:spacing w:line="276" w:lineRule="auto"/>
              <w:rPr>
                <w:rFonts w:hint="eastAsia" w:ascii="宋体" w:hAnsi="宋体"/>
                <w:color w:val="auto"/>
                <w:sz w:val="21"/>
                <w:szCs w:val="21"/>
                <w:highlight w:val="none"/>
              </w:rPr>
            </w:pPr>
            <w:r>
              <w:rPr>
                <w:rFonts w:hint="eastAsia" w:ascii="宋体" w:hAnsi="宋体"/>
                <w:color w:val="auto"/>
                <w:sz w:val="21"/>
                <w:szCs w:val="21"/>
                <w:highlight w:val="none"/>
              </w:rPr>
              <w:t>（3）如投标人组成联合体，须签订联合体协议书。投标人拟任本工程项目负责人须为主办方正式员工，投标截止后联合体增减、更换成员的，其投标无效；</w:t>
            </w:r>
          </w:p>
          <w:p w14:paraId="6526BA41">
            <w:pPr>
              <w:tabs>
                <w:tab w:val="left" w:pos="720"/>
              </w:tabs>
              <w:snapToGrid w:val="0"/>
              <w:spacing w:line="276" w:lineRule="auto"/>
              <w:rPr>
                <w:rFonts w:hint="eastAsia" w:ascii="宋体" w:hAnsi="宋体"/>
                <w:color w:val="auto"/>
                <w:sz w:val="21"/>
                <w:szCs w:val="21"/>
                <w:highlight w:val="none"/>
              </w:rPr>
            </w:pPr>
            <w:r>
              <w:rPr>
                <w:rFonts w:hint="eastAsia" w:ascii="宋体" w:hAnsi="宋体"/>
                <w:color w:val="auto"/>
                <w:sz w:val="21"/>
                <w:szCs w:val="21"/>
                <w:highlight w:val="none"/>
              </w:rPr>
              <w:t>（4）联合体主办方的被授权人作为联合体各方的代表，承担责任和指令，并负责整个投标过程中的一切责任；</w:t>
            </w:r>
          </w:p>
          <w:p w14:paraId="56353550">
            <w:pPr>
              <w:tabs>
                <w:tab w:val="left" w:pos="720"/>
              </w:tabs>
              <w:snapToGrid w:val="0"/>
              <w:spacing w:line="276" w:lineRule="auto"/>
              <w:rPr>
                <w:rFonts w:ascii="宋体" w:hAnsi="宋体"/>
                <w:color w:val="auto"/>
                <w:sz w:val="21"/>
                <w:szCs w:val="21"/>
                <w:highlight w:val="none"/>
              </w:rPr>
            </w:pPr>
            <w:r>
              <w:rPr>
                <w:rFonts w:hint="eastAsia" w:ascii="宋体" w:hAnsi="宋体"/>
                <w:color w:val="auto"/>
                <w:sz w:val="21"/>
                <w:szCs w:val="21"/>
                <w:highlight w:val="none"/>
              </w:rPr>
              <w:t>（5）联合体投标时，除“联合体协议书”需由联合体各方分别按要求进行签字或盖章外，其他资料若需要签字或盖章的均可由联合体主办方签字或盖章即可；投标资料封面及其他内容及落款中的“投标人”应填写联合体各方的单位全称【格式示例为：（主）单位全称（成）单位全称】，由联合体主办方按要求签字或盖章即可。电子签章由主办方进行签章即可。</w:t>
            </w:r>
          </w:p>
        </w:tc>
        <w:tc>
          <w:tcPr>
            <w:tcW w:w="553" w:type="dxa"/>
            <w:vAlign w:val="center"/>
          </w:tcPr>
          <w:p w14:paraId="0A8EC912">
            <w:pPr>
              <w:tabs>
                <w:tab w:val="left" w:pos="720"/>
              </w:tabs>
              <w:snapToGrid w:val="0"/>
              <w:spacing w:line="276" w:lineRule="auto"/>
              <w:jc w:val="center"/>
              <w:rPr>
                <w:rFonts w:ascii="宋体" w:hAnsi="宋体"/>
                <w:color w:val="auto"/>
                <w:sz w:val="21"/>
                <w:szCs w:val="21"/>
                <w:highlight w:val="none"/>
              </w:rPr>
            </w:pPr>
          </w:p>
        </w:tc>
        <w:tc>
          <w:tcPr>
            <w:tcW w:w="553" w:type="dxa"/>
            <w:vAlign w:val="center"/>
          </w:tcPr>
          <w:p w14:paraId="0D1AC04B">
            <w:pPr>
              <w:tabs>
                <w:tab w:val="left" w:pos="720"/>
              </w:tabs>
              <w:snapToGrid w:val="0"/>
              <w:spacing w:line="276" w:lineRule="auto"/>
              <w:jc w:val="center"/>
              <w:rPr>
                <w:rFonts w:ascii="宋体" w:hAnsi="宋体"/>
                <w:color w:val="auto"/>
                <w:sz w:val="21"/>
                <w:szCs w:val="21"/>
                <w:highlight w:val="none"/>
              </w:rPr>
            </w:pPr>
          </w:p>
        </w:tc>
        <w:tc>
          <w:tcPr>
            <w:tcW w:w="554" w:type="dxa"/>
            <w:vAlign w:val="center"/>
          </w:tcPr>
          <w:p w14:paraId="733D4257">
            <w:pPr>
              <w:tabs>
                <w:tab w:val="left" w:pos="720"/>
              </w:tabs>
              <w:snapToGrid w:val="0"/>
              <w:spacing w:line="276" w:lineRule="auto"/>
              <w:jc w:val="center"/>
              <w:rPr>
                <w:rFonts w:ascii="宋体" w:hAnsi="宋体"/>
                <w:color w:val="auto"/>
                <w:sz w:val="21"/>
                <w:szCs w:val="21"/>
                <w:highlight w:val="none"/>
              </w:rPr>
            </w:pPr>
          </w:p>
        </w:tc>
      </w:tr>
      <w:tr w14:paraId="56AE66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 w:hRule="atLeast"/>
          <w:jc w:val="center"/>
        </w:trPr>
        <w:tc>
          <w:tcPr>
            <w:tcW w:w="641" w:type="dxa"/>
            <w:vAlign w:val="center"/>
          </w:tcPr>
          <w:p w14:paraId="0DEF9170">
            <w:pPr>
              <w:tabs>
                <w:tab w:val="left" w:pos="720"/>
              </w:tabs>
              <w:snapToGrid w:val="0"/>
              <w:spacing w:line="276" w:lineRule="auto"/>
              <w:jc w:val="center"/>
              <w:rPr>
                <w:rFonts w:ascii="宋体" w:hAnsi="宋体"/>
                <w:color w:val="auto"/>
                <w:sz w:val="21"/>
                <w:szCs w:val="21"/>
                <w:highlight w:val="none"/>
              </w:rPr>
            </w:pPr>
            <w:r>
              <w:rPr>
                <w:rFonts w:hint="eastAsia" w:ascii="宋体" w:hAnsi="宋体"/>
                <w:color w:val="auto"/>
                <w:sz w:val="21"/>
                <w:szCs w:val="21"/>
                <w:highlight w:val="none"/>
              </w:rPr>
              <w:t>结论</w:t>
            </w:r>
          </w:p>
        </w:tc>
        <w:tc>
          <w:tcPr>
            <w:tcW w:w="7295" w:type="dxa"/>
            <w:vAlign w:val="center"/>
          </w:tcPr>
          <w:p w14:paraId="4DAC8BA2">
            <w:pPr>
              <w:tabs>
                <w:tab w:val="left" w:pos="720"/>
              </w:tabs>
              <w:snapToGrid w:val="0"/>
              <w:spacing w:line="276" w:lineRule="auto"/>
              <w:rPr>
                <w:rFonts w:ascii="宋体" w:hAnsi="宋体"/>
                <w:color w:val="auto"/>
                <w:sz w:val="21"/>
                <w:szCs w:val="21"/>
                <w:highlight w:val="none"/>
              </w:rPr>
            </w:pPr>
            <w:r>
              <w:rPr>
                <w:rFonts w:hint="eastAsia" w:ascii="宋体" w:hAnsi="宋体"/>
                <w:color w:val="auto"/>
                <w:sz w:val="21"/>
                <w:szCs w:val="21"/>
                <w:highlight w:val="none"/>
              </w:rPr>
              <w:t>是否通过并进入下一阶段评审</w:t>
            </w:r>
          </w:p>
        </w:tc>
        <w:tc>
          <w:tcPr>
            <w:tcW w:w="553" w:type="dxa"/>
            <w:vAlign w:val="center"/>
          </w:tcPr>
          <w:p w14:paraId="2AE6F16E">
            <w:pPr>
              <w:tabs>
                <w:tab w:val="left" w:pos="720"/>
              </w:tabs>
              <w:snapToGrid w:val="0"/>
              <w:spacing w:line="276" w:lineRule="auto"/>
              <w:jc w:val="center"/>
              <w:rPr>
                <w:rFonts w:ascii="宋体" w:hAnsi="宋体"/>
                <w:color w:val="auto"/>
                <w:sz w:val="21"/>
                <w:szCs w:val="21"/>
                <w:highlight w:val="none"/>
              </w:rPr>
            </w:pPr>
          </w:p>
        </w:tc>
        <w:tc>
          <w:tcPr>
            <w:tcW w:w="553" w:type="dxa"/>
            <w:vAlign w:val="center"/>
          </w:tcPr>
          <w:p w14:paraId="7F51128E">
            <w:pPr>
              <w:tabs>
                <w:tab w:val="left" w:pos="720"/>
              </w:tabs>
              <w:snapToGrid w:val="0"/>
              <w:spacing w:line="276" w:lineRule="auto"/>
              <w:jc w:val="center"/>
              <w:rPr>
                <w:rFonts w:ascii="宋体" w:hAnsi="宋体"/>
                <w:color w:val="auto"/>
                <w:sz w:val="21"/>
                <w:szCs w:val="21"/>
                <w:highlight w:val="none"/>
              </w:rPr>
            </w:pPr>
          </w:p>
        </w:tc>
        <w:tc>
          <w:tcPr>
            <w:tcW w:w="554" w:type="dxa"/>
            <w:vAlign w:val="center"/>
          </w:tcPr>
          <w:p w14:paraId="1E83FBCE">
            <w:pPr>
              <w:tabs>
                <w:tab w:val="left" w:pos="720"/>
              </w:tabs>
              <w:snapToGrid w:val="0"/>
              <w:spacing w:line="276" w:lineRule="auto"/>
              <w:jc w:val="center"/>
              <w:rPr>
                <w:rFonts w:ascii="宋体" w:hAnsi="宋体"/>
                <w:color w:val="auto"/>
                <w:sz w:val="21"/>
                <w:szCs w:val="21"/>
                <w:highlight w:val="none"/>
              </w:rPr>
            </w:pPr>
          </w:p>
        </w:tc>
      </w:tr>
    </w:tbl>
    <w:p w14:paraId="66093BF1">
      <w:pPr>
        <w:pStyle w:val="4"/>
        <w:rPr>
          <w:rFonts w:hint="eastAsia"/>
          <w:b w:val="0"/>
          <w:color w:val="auto"/>
          <w:sz w:val="20"/>
          <w:szCs w:val="20"/>
          <w:highlight w:val="none"/>
        </w:rPr>
      </w:pPr>
      <w:r>
        <w:rPr>
          <w:rFonts w:hint="eastAsia"/>
          <w:b w:val="0"/>
          <w:color w:val="auto"/>
          <w:sz w:val="20"/>
          <w:szCs w:val="20"/>
          <w:highlight w:val="none"/>
        </w:rPr>
        <w:t>备注：1、“是否通过并进入下一阶段评审”一栏应写“通过”“不通过”。2、表中全部条件满足为“通过”，同意进入下一阶段评审。3、若评委意见不一致时，则按少数服从多数的原则，决定该投标人是否通过符合性审查，进入下一阶段评审。</w:t>
      </w:r>
    </w:p>
    <w:p w14:paraId="1FA856F6">
      <w:pPr>
        <w:pStyle w:val="4"/>
        <w:rPr>
          <w:rFonts w:cs="宋体"/>
          <w:color w:val="auto"/>
          <w:szCs w:val="21"/>
          <w:highlight w:val="none"/>
        </w:rPr>
      </w:pPr>
      <w:r>
        <w:rPr>
          <w:rFonts w:hint="eastAsia"/>
          <w:b w:val="0"/>
          <w:color w:val="auto"/>
          <w:sz w:val="21"/>
          <w:szCs w:val="21"/>
          <w:highlight w:val="none"/>
        </w:rPr>
        <w:t>评委签名：                                            日期：</w:t>
      </w:r>
      <w:r>
        <w:rPr>
          <w:color w:val="auto"/>
          <w:highlight w:val="none"/>
        </w:rPr>
        <w:br w:type="page"/>
      </w:r>
      <w:bookmarkStart w:id="108" w:name="_Toc118553984"/>
      <w:r>
        <w:rPr>
          <w:rFonts w:hint="eastAsia"/>
          <w:color w:val="auto"/>
          <w:highlight w:val="none"/>
        </w:rPr>
        <w:t>附表三：响应性评审表</w:t>
      </w:r>
      <w:bookmarkEnd w:id="108"/>
    </w:p>
    <w:p w14:paraId="60659B5F">
      <w:pPr>
        <w:spacing w:line="360" w:lineRule="auto"/>
        <w:jc w:val="center"/>
        <w:rPr>
          <w:rFonts w:ascii="宋体" w:hAnsi="宋体" w:cs="宋体"/>
          <w:color w:val="auto"/>
          <w:sz w:val="28"/>
          <w:szCs w:val="28"/>
          <w:highlight w:val="none"/>
        </w:rPr>
      </w:pPr>
      <w:r>
        <w:rPr>
          <w:rFonts w:hint="eastAsia" w:ascii="宋体" w:hAnsi="宋体" w:cs="宋体"/>
          <w:color w:val="auto"/>
          <w:sz w:val="28"/>
          <w:szCs w:val="28"/>
          <w:highlight w:val="none"/>
        </w:rPr>
        <w:t>响应性评审表</w:t>
      </w:r>
    </w:p>
    <w:p w14:paraId="2E822486">
      <w:pPr>
        <w:rPr>
          <w:rFonts w:ascii="宋体" w:hAnsi="宋体"/>
          <w:color w:val="auto"/>
          <w:sz w:val="18"/>
          <w:szCs w:val="18"/>
          <w:highlight w:val="none"/>
        </w:rPr>
      </w:pPr>
    </w:p>
    <w:tbl>
      <w:tblPr>
        <w:tblStyle w:val="27"/>
        <w:tblpPr w:leftFromText="180" w:rightFromText="180" w:vertAnchor="text" w:horzAnchor="margin" w:tblpY="-5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5"/>
        <w:gridCol w:w="5173"/>
        <w:gridCol w:w="676"/>
        <w:gridCol w:w="677"/>
        <w:gridCol w:w="677"/>
        <w:gridCol w:w="677"/>
        <w:gridCol w:w="677"/>
      </w:tblGrid>
      <w:tr w14:paraId="027BA4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trPr>
        <w:tc>
          <w:tcPr>
            <w:tcW w:w="605" w:type="dxa"/>
            <w:vAlign w:val="center"/>
          </w:tcPr>
          <w:p w14:paraId="5CB57777">
            <w:pPr>
              <w:tabs>
                <w:tab w:val="left" w:pos="720"/>
              </w:tabs>
              <w:snapToGrid w:val="0"/>
              <w:spacing w:line="276" w:lineRule="auto"/>
              <w:jc w:val="center"/>
              <w:rPr>
                <w:rFonts w:ascii="宋体" w:hAnsi="宋体"/>
                <w:color w:val="auto"/>
                <w:szCs w:val="21"/>
                <w:highlight w:val="none"/>
              </w:rPr>
            </w:pPr>
            <w:r>
              <w:rPr>
                <w:rFonts w:hint="eastAsia" w:ascii="宋体" w:hAnsi="宋体"/>
                <w:color w:val="auto"/>
                <w:szCs w:val="21"/>
                <w:highlight w:val="none"/>
              </w:rPr>
              <w:t>编号</w:t>
            </w:r>
          </w:p>
        </w:tc>
        <w:tc>
          <w:tcPr>
            <w:tcW w:w="5173" w:type="dxa"/>
            <w:tcBorders>
              <w:tl2br w:val="single" w:color="auto" w:sz="4" w:space="0"/>
            </w:tcBorders>
            <w:vAlign w:val="center"/>
          </w:tcPr>
          <w:p w14:paraId="64DB5489">
            <w:pPr>
              <w:tabs>
                <w:tab w:val="left" w:pos="720"/>
              </w:tabs>
              <w:snapToGrid w:val="0"/>
              <w:spacing w:line="276" w:lineRule="auto"/>
              <w:ind w:firstLine="3780" w:firstLineChars="1800"/>
              <w:rPr>
                <w:rFonts w:ascii="宋体" w:hAnsi="宋体"/>
                <w:color w:val="auto"/>
                <w:szCs w:val="21"/>
                <w:highlight w:val="none"/>
              </w:rPr>
            </w:pPr>
            <w:r>
              <w:rPr>
                <w:rFonts w:hint="eastAsia" w:ascii="宋体" w:hAnsi="宋体"/>
                <w:color w:val="auto"/>
                <w:szCs w:val="21"/>
                <w:highlight w:val="none"/>
              </w:rPr>
              <w:t>投标人名称</w:t>
            </w:r>
          </w:p>
          <w:p w14:paraId="1D6CDFB7">
            <w:pPr>
              <w:tabs>
                <w:tab w:val="left" w:pos="720"/>
              </w:tabs>
              <w:snapToGrid w:val="0"/>
              <w:spacing w:line="276" w:lineRule="auto"/>
              <w:rPr>
                <w:rFonts w:ascii="宋体" w:hAnsi="宋体"/>
                <w:color w:val="auto"/>
                <w:szCs w:val="21"/>
                <w:highlight w:val="none"/>
              </w:rPr>
            </w:pPr>
          </w:p>
          <w:p w14:paraId="6880CC22">
            <w:pPr>
              <w:tabs>
                <w:tab w:val="left" w:pos="720"/>
              </w:tabs>
              <w:snapToGrid w:val="0"/>
              <w:spacing w:line="276" w:lineRule="auto"/>
              <w:rPr>
                <w:rFonts w:ascii="宋体" w:hAnsi="宋体"/>
                <w:color w:val="auto"/>
                <w:szCs w:val="21"/>
                <w:highlight w:val="none"/>
              </w:rPr>
            </w:pPr>
            <w:r>
              <w:rPr>
                <w:rFonts w:hint="eastAsia" w:ascii="宋体" w:hAnsi="宋体"/>
                <w:color w:val="auto"/>
                <w:szCs w:val="21"/>
                <w:highlight w:val="none"/>
              </w:rPr>
              <w:t>评审项目</w:t>
            </w:r>
          </w:p>
        </w:tc>
        <w:tc>
          <w:tcPr>
            <w:tcW w:w="676" w:type="dxa"/>
            <w:vAlign w:val="center"/>
          </w:tcPr>
          <w:p w14:paraId="42B9AC6D">
            <w:pPr>
              <w:tabs>
                <w:tab w:val="left" w:pos="720"/>
              </w:tabs>
              <w:snapToGrid w:val="0"/>
              <w:spacing w:line="276" w:lineRule="auto"/>
              <w:rPr>
                <w:rFonts w:ascii="宋体" w:hAnsi="宋体"/>
                <w:color w:val="auto"/>
                <w:szCs w:val="21"/>
                <w:highlight w:val="none"/>
              </w:rPr>
            </w:pPr>
          </w:p>
        </w:tc>
        <w:tc>
          <w:tcPr>
            <w:tcW w:w="677" w:type="dxa"/>
            <w:vAlign w:val="center"/>
          </w:tcPr>
          <w:p w14:paraId="126FA279">
            <w:pPr>
              <w:tabs>
                <w:tab w:val="left" w:pos="720"/>
              </w:tabs>
              <w:snapToGrid w:val="0"/>
              <w:spacing w:line="276" w:lineRule="auto"/>
              <w:jc w:val="center"/>
              <w:rPr>
                <w:rFonts w:ascii="宋体" w:hAnsi="宋体"/>
                <w:color w:val="auto"/>
                <w:szCs w:val="21"/>
                <w:highlight w:val="none"/>
              </w:rPr>
            </w:pPr>
          </w:p>
        </w:tc>
        <w:tc>
          <w:tcPr>
            <w:tcW w:w="677" w:type="dxa"/>
            <w:vAlign w:val="center"/>
          </w:tcPr>
          <w:p w14:paraId="4CEE5399">
            <w:pPr>
              <w:tabs>
                <w:tab w:val="left" w:pos="720"/>
              </w:tabs>
              <w:snapToGrid w:val="0"/>
              <w:spacing w:line="276" w:lineRule="auto"/>
              <w:jc w:val="center"/>
              <w:rPr>
                <w:rFonts w:ascii="宋体" w:hAnsi="宋体"/>
                <w:color w:val="auto"/>
                <w:szCs w:val="21"/>
                <w:highlight w:val="none"/>
              </w:rPr>
            </w:pPr>
          </w:p>
        </w:tc>
        <w:tc>
          <w:tcPr>
            <w:tcW w:w="677" w:type="dxa"/>
            <w:vAlign w:val="center"/>
          </w:tcPr>
          <w:p w14:paraId="14FDAD45">
            <w:pPr>
              <w:tabs>
                <w:tab w:val="left" w:pos="720"/>
              </w:tabs>
              <w:snapToGrid w:val="0"/>
              <w:spacing w:line="276" w:lineRule="auto"/>
              <w:jc w:val="center"/>
              <w:rPr>
                <w:rFonts w:ascii="宋体" w:hAnsi="宋体"/>
                <w:color w:val="auto"/>
                <w:szCs w:val="21"/>
                <w:highlight w:val="none"/>
              </w:rPr>
            </w:pPr>
          </w:p>
        </w:tc>
        <w:tc>
          <w:tcPr>
            <w:tcW w:w="677" w:type="dxa"/>
            <w:vAlign w:val="center"/>
          </w:tcPr>
          <w:p w14:paraId="686E0A4F">
            <w:pPr>
              <w:tabs>
                <w:tab w:val="left" w:pos="720"/>
              </w:tabs>
              <w:snapToGrid w:val="0"/>
              <w:spacing w:line="276" w:lineRule="auto"/>
              <w:jc w:val="center"/>
              <w:rPr>
                <w:rFonts w:ascii="宋体" w:hAnsi="宋体"/>
                <w:color w:val="auto"/>
                <w:szCs w:val="21"/>
                <w:highlight w:val="none"/>
              </w:rPr>
            </w:pPr>
          </w:p>
        </w:tc>
      </w:tr>
      <w:tr w14:paraId="5EDDFC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605" w:type="dxa"/>
            <w:vAlign w:val="center"/>
          </w:tcPr>
          <w:p w14:paraId="7DB7B15B">
            <w:pPr>
              <w:tabs>
                <w:tab w:val="left" w:pos="720"/>
              </w:tabs>
              <w:snapToGrid w:val="0"/>
              <w:spacing w:line="276" w:lineRule="auto"/>
              <w:jc w:val="center"/>
              <w:rPr>
                <w:rFonts w:ascii="宋体" w:hAnsi="宋体"/>
                <w:color w:val="auto"/>
                <w:szCs w:val="21"/>
                <w:highlight w:val="none"/>
              </w:rPr>
            </w:pPr>
            <w:r>
              <w:rPr>
                <w:rFonts w:ascii="宋体" w:hAnsi="宋体"/>
                <w:color w:val="auto"/>
                <w:szCs w:val="21"/>
                <w:highlight w:val="none"/>
              </w:rPr>
              <w:t>1</w:t>
            </w:r>
          </w:p>
        </w:tc>
        <w:tc>
          <w:tcPr>
            <w:tcW w:w="5173" w:type="dxa"/>
            <w:vAlign w:val="center"/>
          </w:tcPr>
          <w:p w14:paraId="70C4E4B7">
            <w:pPr>
              <w:tabs>
                <w:tab w:val="left" w:pos="720"/>
              </w:tabs>
              <w:snapToGrid w:val="0"/>
              <w:spacing w:line="276" w:lineRule="auto"/>
              <w:rPr>
                <w:rFonts w:ascii="宋体" w:hAnsi="宋体" w:cs="宋体"/>
                <w:color w:val="auto"/>
                <w:szCs w:val="21"/>
                <w:highlight w:val="none"/>
              </w:rPr>
            </w:pPr>
            <w:r>
              <w:rPr>
                <w:rFonts w:hint="eastAsia" w:ascii="宋体" w:hAnsi="宋体" w:cs="宋体"/>
                <w:color w:val="auto"/>
                <w:szCs w:val="21"/>
                <w:highlight w:val="none"/>
              </w:rPr>
              <w:t>投标报价：符合第二章“投标人须知”第</w:t>
            </w:r>
            <w:r>
              <w:rPr>
                <w:rFonts w:ascii="宋体" w:hAnsi="宋体" w:cs="宋体"/>
                <w:color w:val="auto"/>
                <w:szCs w:val="21"/>
                <w:highlight w:val="none"/>
              </w:rPr>
              <w:t>3.2款规定；</w:t>
            </w:r>
          </w:p>
        </w:tc>
        <w:tc>
          <w:tcPr>
            <w:tcW w:w="676" w:type="dxa"/>
            <w:vAlign w:val="center"/>
          </w:tcPr>
          <w:p w14:paraId="66C21B35">
            <w:pPr>
              <w:tabs>
                <w:tab w:val="left" w:pos="720"/>
              </w:tabs>
              <w:snapToGrid w:val="0"/>
              <w:spacing w:line="276" w:lineRule="auto"/>
              <w:jc w:val="center"/>
              <w:rPr>
                <w:rFonts w:ascii="宋体" w:hAnsi="宋体"/>
                <w:color w:val="auto"/>
                <w:szCs w:val="21"/>
                <w:highlight w:val="none"/>
              </w:rPr>
            </w:pPr>
          </w:p>
        </w:tc>
        <w:tc>
          <w:tcPr>
            <w:tcW w:w="677" w:type="dxa"/>
            <w:vAlign w:val="center"/>
          </w:tcPr>
          <w:p w14:paraId="487165D3">
            <w:pPr>
              <w:tabs>
                <w:tab w:val="left" w:pos="720"/>
              </w:tabs>
              <w:snapToGrid w:val="0"/>
              <w:spacing w:line="276" w:lineRule="auto"/>
              <w:jc w:val="center"/>
              <w:rPr>
                <w:rFonts w:ascii="宋体" w:hAnsi="宋体"/>
                <w:color w:val="auto"/>
                <w:szCs w:val="21"/>
                <w:highlight w:val="none"/>
              </w:rPr>
            </w:pPr>
          </w:p>
        </w:tc>
        <w:tc>
          <w:tcPr>
            <w:tcW w:w="677" w:type="dxa"/>
            <w:vAlign w:val="center"/>
          </w:tcPr>
          <w:p w14:paraId="72F77DDF">
            <w:pPr>
              <w:tabs>
                <w:tab w:val="left" w:pos="720"/>
              </w:tabs>
              <w:snapToGrid w:val="0"/>
              <w:spacing w:line="276" w:lineRule="auto"/>
              <w:jc w:val="center"/>
              <w:rPr>
                <w:rFonts w:ascii="宋体" w:hAnsi="宋体"/>
                <w:color w:val="auto"/>
                <w:szCs w:val="21"/>
                <w:highlight w:val="none"/>
              </w:rPr>
            </w:pPr>
          </w:p>
        </w:tc>
        <w:tc>
          <w:tcPr>
            <w:tcW w:w="677" w:type="dxa"/>
            <w:vAlign w:val="center"/>
          </w:tcPr>
          <w:p w14:paraId="0235CA34">
            <w:pPr>
              <w:tabs>
                <w:tab w:val="left" w:pos="720"/>
              </w:tabs>
              <w:snapToGrid w:val="0"/>
              <w:spacing w:line="276" w:lineRule="auto"/>
              <w:jc w:val="center"/>
              <w:rPr>
                <w:rFonts w:ascii="宋体" w:hAnsi="宋体"/>
                <w:color w:val="auto"/>
                <w:szCs w:val="21"/>
                <w:highlight w:val="none"/>
              </w:rPr>
            </w:pPr>
          </w:p>
        </w:tc>
        <w:tc>
          <w:tcPr>
            <w:tcW w:w="677" w:type="dxa"/>
            <w:vAlign w:val="center"/>
          </w:tcPr>
          <w:p w14:paraId="13476AD9">
            <w:pPr>
              <w:tabs>
                <w:tab w:val="left" w:pos="720"/>
              </w:tabs>
              <w:snapToGrid w:val="0"/>
              <w:spacing w:line="276" w:lineRule="auto"/>
              <w:jc w:val="center"/>
              <w:rPr>
                <w:rFonts w:ascii="宋体" w:hAnsi="宋体"/>
                <w:color w:val="auto"/>
                <w:szCs w:val="21"/>
                <w:highlight w:val="none"/>
              </w:rPr>
            </w:pPr>
          </w:p>
        </w:tc>
      </w:tr>
      <w:tr w14:paraId="110FE5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trPr>
        <w:tc>
          <w:tcPr>
            <w:tcW w:w="605" w:type="dxa"/>
            <w:vAlign w:val="center"/>
          </w:tcPr>
          <w:p w14:paraId="081BDDC1">
            <w:pPr>
              <w:tabs>
                <w:tab w:val="left" w:pos="720"/>
              </w:tabs>
              <w:snapToGrid w:val="0"/>
              <w:spacing w:line="276" w:lineRule="auto"/>
              <w:jc w:val="center"/>
              <w:rPr>
                <w:rFonts w:ascii="宋体" w:hAnsi="宋体"/>
                <w:color w:val="auto"/>
                <w:szCs w:val="21"/>
                <w:highlight w:val="none"/>
              </w:rPr>
            </w:pPr>
            <w:r>
              <w:rPr>
                <w:rFonts w:ascii="宋体" w:hAnsi="宋体"/>
                <w:color w:val="auto"/>
                <w:szCs w:val="21"/>
                <w:highlight w:val="none"/>
              </w:rPr>
              <w:t>2</w:t>
            </w:r>
          </w:p>
        </w:tc>
        <w:tc>
          <w:tcPr>
            <w:tcW w:w="5173" w:type="dxa"/>
            <w:vAlign w:val="center"/>
          </w:tcPr>
          <w:p w14:paraId="54EBF0F1">
            <w:pPr>
              <w:tabs>
                <w:tab w:val="left" w:pos="720"/>
              </w:tabs>
              <w:snapToGrid w:val="0"/>
              <w:spacing w:line="276" w:lineRule="auto"/>
              <w:rPr>
                <w:rFonts w:ascii="宋体" w:hAnsi="宋体" w:cs="宋体"/>
                <w:color w:val="auto"/>
                <w:szCs w:val="21"/>
                <w:highlight w:val="none"/>
              </w:rPr>
            </w:pPr>
            <w:r>
              <w:rPr>
                <w:rFonts w:hint="eastAsia" w:ascii="宋体" w:hAnsi="宋体" w:cs="宋体"/>
                <w:color w:val="auto"/>
                <w:szCs w:val="21"/>
                <w:highlight w:val="none"/>
              </w:rPr>
              <w:t>投标内容：符合第二章“投标人须知”第</w:t>
            </w:r>
            <w:r>
              <w:rPr>
                <w:rFonts w:ascii="宋体" w:hAnsi="宋体" w:cs="宋体"/>
                <w:color w:val="auto"/>
                <w:szCs w:val="21"/>
                <w:highlight w:val="none"/>
              </w:rPr>
              <w:t>1.3.1规定；</w:t>
            </w:r>
          </w:p>
        </w:tc>
        <w:tc>
          <w:tcPr>
            <w:tcW w:w="676" w:type="dxa"/>
            <w:vAlign w:val="center"/>
          </w:tcPr>
          <w:p w14:paraId="722B7912">
            <w:pPr>
              <w:tabs>
                <w:tab w:val="left" w:pos="720"/>
              </w:tabs>
              <w:snapToGrid w:val="0"/>
              <w:spacing w:line="276" w:lineRule="auto"/>
              <w:jc w:val="center"/>
              <w:rPr>
                <w:rFonts w:ascii="宋体" w:hAnsi="宋体"/>
                <w:color w:val="auto"/>
                <w:szCs w:val="21"/>
                <w:highlight w:val="none"/>
              </w:rPr>
            </w:pPr>
          </w:p>
        </w:tc>
        <w:tc>
          <w:tcPr>
            <w:tcW w:w="677" w:type="dxa"/>
            <w:vAlign w:val="center"/>
          </w:tcPr>
          <w:p w14:paraId="0D05CC22">
            <w:pPr>
              <w:tabs>
                <w:tab w:val="left" w:pos="720"/>
              </w:tabs>
              <w:snapToGrid w:val="0"/>
              <w:spacing w:line="276" w:lineRule="auto"/>
              <w:jc w:val="center"/>
              <w:rPr>
                <w:rFonts w:ascii="宋体" w:hAnsi="宋体"/>
                <w:color w:val="auto"/>
                <w:szCs w:val="21"/>
                <w:highlight w:val="none"/>
              </w:rPr>
            </w:pPr>
          </w:p>
        </w:tc>
        <w:tc>
          <w:tcPr>
            <w:tcW w:w="677" w:type="dxa"/>
            <w:vAlign w:val="center"/>
          </w:tcPr>
          <w:p w14:paraId="1507AB62">
            <w:pPr>
              <w:tabs>
                <w:tab w:val="left" w:pos="720"/>
              </w:tabs>
              <w:snapToGrid w:val="0"/>
              <w:spacing w:line="276" w:lineRule="auto"/>
              <w:jc w:val="center"/>
              <w:rPr>
                <w:rFonts w:ascii="宋体" w:hAnsi="宋体"/>
                <w:color w:val="auto"/>
                <w:szCs w:val="21"/>
                <w:highlight w:val="none"/>
              </w:rPr>
            </w:pPr>
          </w:p>
        </w:tc>
        <w:tc>
          <w:tcPr>
            <w:tcW w:w="677" w:type="dxa"/>
            <w:vAlign w:val="center"/>
          </w:tcPr>
          <w:p w14:paraId="41D41EEE">
            <w:pPr>
              <w:tabs>
                <w:tab w:val="left" w:pos="720"/>
              </w:tabs>
              <w:snapToGrid w:val="0"/>
              <w:spacing w:line="276" w:lineRule="auto"/>
              <w:jc w:val="center"/>
              <w:rPr>
                <w:rFonts w:ascii="宋体" w:hAnsi="宋体"/>
                <w:color w:val="auto"/>
                <w:szCs w:val="21"/>
                <w:highlight w:val="none"/>
              </w:rPr>
            </w:pPr>
          </w:p>
        </w:tc>
        <w:tc>
          <w:tcPr>
            <w:tcW w:w="677" w:type="dxa"/>
            <w:vAlign w:val="center"/>
          </w:tcPr>
          <w:p w14:paraId="492BBBDA">
            <w:pPr>
              <w:tabs>
                <w:tab w:val="left" w:pos="720"/>
              </w:tabs>
              <w:snapToGrid w:val="0"/>
              <w:spacing w:line="276" w:lineRule="auto"/>
              <w:jc w:val="center"/>
              <w:rPr>
                <w:rFonts w:ascii="宋体" w:hAnsi="宋体"/>
                <w:color w:val="auto"/>
                <w:szCs w:val="21"/>
                <w:highlight w:val="none"/>
              </w:rPr>
            </w:pPr>
          </w:p>
        </w:tc>
      </w:tr>
      <w:tr w14:paraId="5163A1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605" w:type="dxa"/>
            <w:vAlign w:val="center"/>
          </w:tcPr>
          <w:p w14:paraId="76933AE1">
            <w:pPr>
              <w:tabs>
                <w:tab w:val="left" w:pos="720"/>
              </w:tabs>
              <w:snapToGrid w:val="0"/>
              <w:spacing w:line="276" w:lineRule="auto"/>
              <w:jc w:val="center"/>
              <w:rPr>
                <w:rFonts w:ascii="宋体" w:hAnsi="宋体"/>
                <w:color w:val="auto"/>
                <w:szCs w:val="21"/>
                <w:highlight w:val="none"/>
              </w:rPr>
            </w:pPr>
            <w:r>
              <w:rPr>
                <w:rFonts w:ascii="宋体" w:hAnsi="宋体"/>
                <w:color w:val="auto"/>
                <w:szCs w:val="21"/>
                <w:highlight w:val="none"/>
              </w:rPr>
              <w:t>3</w:t>
            </w:r>
          </w:p>
        </w:tc>
        <w:tc>
          <w:tcPr>
            <w:tcW w:w="5173" w:type="dxa"/>
            <w:vAlign w:val="center"/>
          </w:tcPr>
          <w:p w14:paraId="14CA2831">
            <w:pPr>
              <w:tabs>
                <w:tab w:val="left" w:pos="720"/>
              </w:tabs>
              <w:snapToGrid w:val="0"/>
              <w:spacing w:line="276" w:lineRule="auto"/>
              <w:rPr>
                <w:rFonts w:ascii="宋体" w:hAnsi="宋体" w:cs="宋体"/>
                <w:color w:val="auto"/>
                <w:szCs w:val="21"/>
                <w:highlight w:val="none"/>
              </w:rPr>
            </w:pPr>
            <w:r>
              <w:rPr>
                <w:rFonts w:hint="eastAsia" w:ascii="宋体" w:hAnsi="宋体" w:cs="宋体"/>
                <w:color w:val="auto"/>
                <w:szCs w:val="21"/>
                <w:highlight w:val="none"/>
              </w:rPr>
              <w:t>服务期限：符合第二章“投标人须知”第</w:t>
            </w:r>
            <w:r>
              <w:rPr>
                <w:rFonts w:ascii="宋体" w:hAnsi="宋体" w:cs="宋体"/>
                <w:color w:val="auto"/>
                <w:szCs w:val="21"/>
                <w:highlight w:val="none"/>
              </w:rPr>
              <w:t>1.3.2规定；</w:t>
            </w:r>
          </w:p>
        </w:tc>
        <w:tc>
          <w:tcPr>
            <w:tcW w:w="676" w:type="dxa"/>
            <w:vAlign w:val="center"/>
          </w:tcPr>
          <w:p w14:paraId="004DF1E9">
            <w:pPr>
              <w:tabs>
                <w:tab w:val="left" w:pos="720"/>
              </w:tabs>
              <w:snapToGrid w:val="0"/>
              <w:spacing w:line="276" w:lineRule="auto"/>
              <w:jc w:val="center"/>
              <w:rPr>
                <w:rFonts w:ascii="宋体" w:hAnsi="宋体"/>
                <w:color w:val="auto"/>
                <w:szCs w:val="21"/>
                <w:highlight w:val="none"/>
              </w:rPr>
            </w:pPr>
          </w:p>
        </w:tc>
        <w:tc>
          <w:tcPr>
            <w:tcW w:w="677" w:type="dxa"/>
            <w:vAlign w:val="center"/>
          </w:tcPr>
          <w:p w14:paraId="06327092">
            <w:pPr>
              <w:tabs>
                <w:tab w:val="left" w:pos="720"/>
              </w:tabs>
              <w:snapToGrid w:val="0"/>
              <w:spacing w:line="276" w:lineRule="auto"/>
              <w:jc w:val="center"/>
              <w:rPr>
                <w:rFonts w:ascii="宋体" w:hAnsi="宋体"/>
                <w:color w:val="auto"/>
                <w:szCs w:val="21"/>
                <w:highlight w:val="none"/>
              </w:rPr>
            </w:pPr>
          </w:p>
        </w:tc>
        <w:tc>
          <w:tcPr>
            <w:tcW w:w="677" w:type="dxa"/>
            <w:vAlign w:val="center"/>
          </w:tcPr>
          <w:p w14:paraId="1805A61A">
            <w:pPr>
              <w:tabs>
                <w:tab w:val="left" w:pos="720"/>
              </w:tabs>
              <w:snapToGrid w:val="0"/>
              <w:spacing w:line="276" w:lineRule="auto"/>
              <w:jc w:val="center"/>
              <w:rPr>
                <w:rFonts w:ascii="宋体" w:hAnsi="宋体"/>
                <w:color w:val="auto"/>
                <w:szCs w:val="21"/>
                <w:highlight w:val="none"/>
              </w:rPr>
            </w:pPr>
          </w:p>
        </w:tc>
        <w:tc>
          <w:tcPr>
            <w:tcW w:w="677" w:type="dxa"/>
            <w:vAlign w:val="center"/>
          </w:tcPr>
          <w:p w14:paraId="6E9B5DDF">
            <w:pPr>
              <w:tabs>
                <w:tab w:val="left" w:pos="720"/>
              </w:tabs>
              <w:snapToGrid w:val="0"/>
              <w:spacing w:line="276" w:lineRule="auto"/>
              <w:jc w:val="center"/>
              <w:rPr>
                <w:rFonts w:ascii="宋体" w:hAnsi="宋体"/>
                <w:color w:val="auto"/>
                <w:szCs w:val="21"/>
                <w:highlight w:val="none"/>
              </w:rPr>
            </w:pPr>
          </w:p>
        </w:tc>
        <w:tc>
          <w:tcPr>
            <w:tcW w:w="677" w:type="dxa"/>
            <w:vAlign w:val="center"/>
          </w:tcPr>
          <w:p w14:paraId="31E576CD">
            <w:pPr>
              <w:tabs>
                <w:tab w:val="left" w:pos="720"/>
              </w:tabs>
              <w:snapToGrid w:val="0"/>
              <w:spacing w:line="276" w:lineRule="auto"/>
              <w:jc w:val="center"/>
              <w:rPr>
                <w:rFonts w:ascii="宋体" w:hAnsi="宋体"/>
                <w:color w:val="auto"/>
                <w:szCs w:val="21"/>
                <w:highlight w:val="none"/>
              </w:rPr>
            </w:pPr>
          </w:p>
        </w:tc>
      </w:tr>
      <w:tr w14:paraId="3369BA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605" w:type="dxa"/>
            <w:vAlign w:val="center"/>
          </w:tcPr>
          <w:p w14:paraId="6EB66543">
            <w:pPr>
              <w:tabs>
                <w:tab w:val="left" w:pos="720"/>
              </w:tabs>
              <w:snapToGrid w:val="0"/>
              <w:spacing w:line="276" w:lineRule="auto"/>
              <w:jc w:val="center"/>
              <w:rPr>
                <w:rFonts w:ascii="宋体" w:hAnsi="宋体"/>
                <w:color w:val="auto"/>
                <w:szCs w:val="21"/>
                <w:highlight w:val="none"/>
              </w:rPr>
            </w:pPr>
            <w:r>
              <w:rPr>
                <w:rFonts w:ascii="宋体" w:hAnsi="宋体"/>
                <w:color w:val="auto"/>
                <w:szCs w:val="21"/>
                <w:highlight w:val="none"/>
              </w:rPr>
              <w:t>4</w:t>
            </w:r>
          </w:p>
        </w:tc>
        <w:tc>
          <w:tcPr>
            <w:tcW w:w="5173" w:type="dxa"/>
            <w:vAlign w:val="center"/>
          </w:tcPr>
          <w:p w14:paraId="7AFF90BF">
            <w:pPr>
              <w:tabs>
                <w:tab w:val="left" w:pos="720"/>
              </w:tabs>
              <w:snapToGrid w:val="0"/>
              <w:spacing w:line="276" w:lineRule="auto"/>
              <w:rPr>
                <w:rFonts w:ascii="宋体" w:hAnsi="宋体" w:cs="宋体"/>
                <w:color w:val="auto"/>
                <w:szCs w:val="21"/>
                <w:highlight w:val="none"/>
              </w:rPr>
            </w:pPr>
            <w:r>
              <w:rPr>
                <w:rFonts w:hint="eastAsia" w:ascii="宋体" w:hAnsi="宋体" w:cs="宋体"/>
                <w:color w:val="auto"/>
                <w:szCs w:val="21"/>
                <w:highlight w:val="none"/>
              </w:rPr>
              <w:t>质量标准：符合第二章“投标人须知”第</w:t>
            </w:r>
            <w:r>
              <w:rPr>
                <w:rFonts w:ascii="宋体" w:hAnsi="宋体" w:cs="宋体"/>
                <w:color w:val="auto"/>
                <w:szCs w:val="21"/>
                <w:highlight w:val="none"/>
              </w:rPr>
              <w:t>1.3.3规定；</w:t>
            </w:r>
          </w:p>
        </w:tc>
        <w:tc>
          <w:tcPr>
            <w:tcW w:w="676" w:type="dxa"/>
            <w:vAlign w:val="center"/>
          </w:tcPr>
          <w:p w14:paraId="06109EA1">
            <w:pPr>
              <w:tabs>
                <w:tab w:val="left" w:pos="720"/>
              </w:tabs>
              <w:snapToGrid w:val="0"/>
              <w:spacing w:line="276" w:lineRule="auto"/>
              <w:jc w:val="center"/>
              <w:rPr>
                <w:rFonts w:ascii="宋体" w:hAnsi="宋体"/>
                <w:color w:val="auto"/>
                <w:szCs w:val="21"/>
                <w:highlight w:val="none"/>
              </w:rPr>
            </w:pPr>
          </w:p>
        </w:tc>
        <w:tc>
          <w:tcPr>
            <w:tcW w:w="677" w:type="dxa"/>
            <w:vAlign w:val="center"/>
          </w:tcPr>
          <w:p w14:paraId="7AD24603">
            <w:pPr>
              <w:tabs>
                <w:tab w:val="left" w:pos="720"/>
              </w:tabs>
              <w:snapToGrid w:val="0"/>
              <w:spacing w:line="276" w:lineRule="auto"/>
              <w:jc w:val="center"/>
              <w:rPr>
                <w:rFonts w:ascii="宋体" w:hAnsi="宋体"/>
                <w:color w:val="auto"/>
                <w:szCs w:val="21"/>
                <w:highlight w:val="none"/>
              </w:rPr>
            </w:pPr>
          </w:p>
        </w:tc>
        <w:tc>
          <w:tcPr>
            <w:tcW w:w="677" w:type="dxa"/>
            <w:vAlign w:val="center"/>
          </w:tcPr>
          <w:p w14:paraId="3606F600">
            <w:pPr>
              <w:tabs>
                <w:tab w:val="left" w:pos="720"/>
              </w:tabs>
              <w:snapToGrid w:val="0"/>
              <w:spacing w:line="276" w:lineRule="auto"/>
              <w:jc w:val="center"/>
              <w:rPr>
                <w:rFonts w:ascii="宋体" w:hAnsi="宋体"/>
                <w:color w:val="auto"/>
                <w:szCs w:val="21"/>
                <w:highlight w:val="none"/>
              </w:rPr>
            </w:pPr>
          </w:p>
        </w:tc>
        <w:tc>
          <w:tcPr>
            <w:tcW w:w="677" w:type="dxa"/>
            <w:vAlign w:val="center"/>
          </w:tcPr>
          <w:p w14:paraId="2A949D25">
            <w:pPr>
              <w:tabs>
                <w:tab w:val="left" w:pos="720"/>
              </w:tabs>
              <w:snapToGrid w:val="0"/>
              <w:spacing w:line="276" w:lineRule="auto"/>
              <w:jc w:val="center"/>
              <w:rPr>
                <w:rFonts w:ascii="宋体" w:hAnsi="宋体"/>
                <w:color w:val="auto"/>
                <w:szCs w:val="21"/>
                <w:highlight w:val="none"/>
              </w:rPr>
            </w:pPr>
          </w:p>
        </w:tc>
        <w:tc>
          <w:tcPr>
            <w:tcW w:w="677" w:type="dxa"/>
            <w:vAlign w:val="center"/>
          </w:tcPr>
          <w:p w14:paraId="51F2282D">
            <w:pPr>
              <w:tabs>
                <w:tab w:val="left" w:pos="720"/>
              </w:tabs>
              <w:snapToGrid w:val="0"/>
              <w:spacing w:line="276" w:lineRule="auto"/>
              <w:jc w:val="center"/>
              <w:rPr>
                <w:rFonts w:ascii="宋体" w:hAnsi="宋体"/>
                <w:color w:val="auto"/>
                <w:szCs w:val="21"/>
                <w:highlight w:val="none"/>
              </w:rPr>
            </w:pPr>
          </w:p>
        </w:tc>
      </w:tr>
      <w:tr w14:paraId="0DACD3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trPr>
        <w:tc>
          <w:tcPr>
            <w:tcW w:w="605" w:type="dxa"/>
            <w:vAlign w:val="center"/>
          </w:tcPr>
          <w:p w14:paraId="737AF13A">
            <w:pPr>
              <w:tabs>
                <w:tab w:val="left" w:pos="720"/>
              </w:tabs>
              <w:snapToGrid w:val="0"/>
              <w:spacing w:line="276" w:lineRule="auto"/>
              <w:jc w:val="center"/>
              <w:rPr>
                <w:rFonts w:ascii="宋体" w:hAnsi="宋体"/>
                <w:color w:val="auto"/>
                <w:szCs w:val="21"/>
                <w:highlight w:val="none"/>
              </w:rPr>
            </w:pPr>
            <w:r>
              <w:rPr>
                <w:rFonts w:ascii="宋体" w:hAnsi="宋体"/>
                <w:color w:val="auto"/>
                <w:szCs w:val="21"/>
                <w:highlight w:val="none"/>
              </w:rPr>
              <w:t>5</w:t>
            </w:r>
          </w:p>
        </w:tc>
        <w:tc>
          <w:tcPr>
            <w:tcW w:w="5173" w:type="dxa"/>
            <w:vAlign w:val="center"/>
          </w:tcPr>
          <w:p w14:paraId="67FB918A">
            <w:pPr>
              <w:tabs>
                <w:tab w:val="left" w:pos="720"/>
              </w:tabs>
              <w:snapToGrid w:val="0"/>
              <w:spacing w:line="276" w:lineRule="auto"/>
              <w:rPr>
                <w:rFonts w:ascii="宋体" w:hAnsi="宋体" w:cs="宋体"/>
                <w:color w:val="auto"/>
                <w:szCs w:val="21"/>
                <w:highlight w:val="none"/>
              </w:rPr>
            </w:pPr>
            <w:r>
              <w:rPr>
                <w:rFonts w:hint="eastAsia" w:ascii="宋体" w:hAnsi="宋体" w:cs="宋体"/>
                <w:color w:val="auto"/>
                <w:szCs w:val="21"/>
                <w:highlight w:val="none"/>
              </w:rPr>
              <w:t>投标有效期：符合第二章“投标人须知”第</w:t>
            </w:r>
            <w:r>
              <w:rPr>
                <w:rFonts w:ascii="宋体" w:hAnsi="宋体" w:cs="宋体"/>
                <w:color w:val="auto"/>
                <w:szCs w:val="21"/>
                <w:highlight w:val="none"/>
              </w:rPr>
              <w:t>3.3.1规定；</w:t>
            </w:r>
          </w:p>
        </w:tc>
        <w:tc>
          <w:tcPr>
            <w:tcW w:w="676" w:type="dxa"/>
            <w:vAlign w:val="center"/>
          </w:tcPr>
          <w:p w14:paraId="02114DA8">
            <w:pPr>
              <w:tabs>
                <w:tab w:val="left" w:pos="720"/>
              </w:tabs>
              <w:snapToGrid w:val="0"/>
              <w:spacing w:line="276" w:lineRule="auto"/>
              <w:jc w:val="center"/>
              <w:rPr>
                <w:rFonts w:ascii="宋体" w:hAnsi="宋体"/>
                <w:color w:val="auto"/>
                <w:szCs w:val="21"/>
                <w:highlight w:val="none"/>
              </w:rPr>
            </w:pPr>
          </w:p>
        </w:tc>
        <w:tc>
          <w:tcPr>
            <w:tcW w:w="677" w:type="dxa"/>
            <w:vAlign w:val="center"/>
          </w:tcPr>
          <w:p w14:paraId="157EA184">
            <w:pPr>
              <w:tabs>
                <w:tab w:val="left" w:pos="720"/>
              </w:tabs>
              <w:snapToGrid w:val="0"/>
              <w:spacing w:line="276" w:lineRule="auto"/>
              <w:jc w:val="center"/>
              <w:rPr>
                <w:rFonts w:ascii="宋体" w:hAnsi="宋体"/>
                <w:color w:val="auto"/>
                <w:szCs w:val="21"/>
                <w:highlight w:val="none"/>
              </w:rPr>
            </w:pPr>
          </w:p>
        </w:tc>
        <w:tc>
          <w:tcPr>
            <w:tcW w:w="677" w:type="dxa"/>
            <w:vAlign w:val="center"/>
          </w:tcPr>
          <w:p w14:paraId="69798527">
            <w:pPr>
              <w:tabs>
                <w:tab w:val="left" w:pos="720"/>
              </w:tabs>
              <w:snapToGrid w:val="0"/>
              <w:spacing w:line="276" w:lineRule="auto"/>
              <w:jc w:val="center"/>
              <w:rPr>
                <w:rFonts w:ascii="宋体" w:hAnsi="宋体"/>
                <w:color w:val="auto"/>
                <w:szCs w:val="21"/>
                <w:highlight w:val="none"/>
              </w:rPr>
            </w:pPr>
          </w:p>
        </w:tc>
        <w:tc>
          <w:tcPr>
            <w:tcW w:w="677" w:type="dxa"/>
            <w:vAlign w:val="center"/>
          </w:tcPr>
          <w:p w14:paraId="172D0C74">
            <w:pPr>
              <w:tabs>
                <w:tab w:val="left" w:pos="720"/>
              </w:tabs>
              <w:snapToGrid w:val="0"/>
              <w:spacing w:line="276" w:lineRule="auto"/>
              <w:jc w:val="center"/>
              <w:rPr>
                <w:rFonts w:ascii="宋体" w:hAnsi="宋体"/>
                <w:color w:val="auto"/>
                <w:szCs w:val="21"/>
                <w:highlight w:val="none"/>
              </w:rPr>
            </w:pPr>
          </w:p>
        </w:tc>
        <w:tc>
          <w:tcPr>
            <w:tcW w:w="677" w:type="dxa"/>
            <w:vAlign w:val="center"/>
          </w:tcPr>
          <w:p w14:paraId="1B87B725">
            <w:pPr>
              <w:tabs>
                <w:tab w:val="left" w:pos="720"/>
              </w:tabs>
              <w:snapToGrid w:val="0"/>
              <w:spacing w:line="276" w:lineRule="auto"/>
              <w:jc w:val="center"/>
              <w:rPr>
                <w:rFonts w:ascii="宋体" w:hAnsi="宋体"/>
                <w:color w:val="auto"/>
                <w:szCs w:val="21"/>
                <w:highlight w:val="none"/>
              </w:rPr>
            </w:pPr>
          </w:p>
        </w:tc>
      </w:tr>
      <w:tr w14:paraId="69C39A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trPr>
        <w:tc>
          <w:tcPr>
            <w:tcW w:w="605" w:type="dxa"/>
            <w:vAlign w:val="center"/>
          </w:tcPr>
          <w:p w14:paraId="057A3CF5">
            <w:pPr>
              <w:tabs>
                <w:tab w:val="left" w:pos="720"/>
              </w:tabs>
              <w:snapToGrid w:val="0"/>
              <w:spacing w:line="276" w:lineRule="auto"/>
              <w:jc w:val="center"/>
              <w:rPr>
                <w:rFonts w:ascii="宋体" w:hAnsi="宋体"/>
                <w:color w:val="auto"/>
                <w:szCs w:val="21"/>
                <w:highlight w:val="none"/>
              </w:rPr>
            </w:pPr>
            <w:r>
              <w:rPr>
                <w:rFonts w:ascii="宋体" w:hAnsi="宋体"/>
                <w:color w:val="auto"/>
                <w:szCs w:val="21"/>
                <w:highlight w:val="none"/>
              </w:rPr>
              <w:t>6</w:t>
            </w:r>
          </w:p>
        </w:tc>
        <w:tc>
          <w:tcPr>
            <w:tcW w:w="5173" w:type="dxa"/>
            <w:vAlign w:val="center"/>
          </w:tcPr>
          <w:p w14:paraId="011B4469">
            <w:pPr>
              <w:tabs>
                <w:tab w:val="left" w:pos="720"/>
              </w:tabs>
              <w:snapToGrid w:val="0"/>
              <w:spacing w:line="276" w:lineRule="auto"/>
              <w:rPr>
                <w:rFonts w:ascii="宋体" w:hAnsi="宋体" w:cs="宋体"/>
                <w:color w:val="auto"/>
                <w:szCs w:val="21"/>
                <w:highlight w:val="none"/>
              </w:rPr>
            </w:pPr>
            <w:r>
              <w:rPr>
                <w:rFonts w:hint="eastAsia" w:ascii="宋体" w:hAnsi="宋体" w:cs="宋体"/>
                <w:color w:val="auto"/>
                <w:szCs w:val="21"/>
                <w:highlight w:val="none"/>
              </w:rPr>
              <w:t>投标保证金：符合第二章“投标人须知”第</w:t>
            </w:r>
            <w:r>
              <w:rPr>
                <w:rFonts w:ascii="宋体" w:hAnsi="宋体" w:cs="宋体"/>
                <w:color w:val="auto"/>
                <w:szCs w:val="21"/>
                <w:highlight w:val="none"/>
              </w:rPr>
              <w:t>3.4.1规定；</w:t>
            </w:r>
          </w:p>
        </w:tc>
        <w:tc>
          <w:tcPr>
            <w:tcW w:w="676" w:type="dxa"/>
            <w:vAlign w:val="center"/>
          </w:tcPr>
          <w:p w14:paraId="48F1DF3A">
            <w:pPr>
              <w:tabs>
                <w:tab w:val="left" w:pos="720"/>
              </w:tabs>
              <w:snapToGrid w:val="0"/>
              <w:spacing w:line="276" w:lineRule="auto"/>
              <w:jc w:val="center"/>
              <w:rPr>
                <w:rFonts w:ascii="宋体" w:hAnsi="宋体"/>
                <w:color w:val="auto"/>
                <w:szCs w:val="21"/>
                <w:highlight w:val="none"/>
              </w:rPr>
            </w:pPr>
          </w:p>
        </w:tc>
        <w:tc>
          <w:tcPr>
            <w:tcW w:w="677" w:type="dxa"/>
            <w:vAlign w:val="center"/>
          </w:tcPr>
          <w:p w14:paraId="3E7F9EAD">
            <w:pPr>
              <w:tabs>
                <w:tab w:val="left" w:pos="720"/>
              </w:tabs>
              <w:snapToGrid w:val="0"/>
              <w:spacing w:line="276" w:lineRule="auto"/>
              <w:jc w:val="center"/>
              <w:rPr>
                <w:rFonts w:ascii="宋体" w:hAnsi="宋体"/>
                <w:color w:val="auto"/>
                <w:szCs w:val="21"/>
                <w:highlight w:val="none"/>
              </w:rPr>
            </w:pPr>
          </w:p>
        </w:tc>
        <w:tc>
          <w:tcPr>
            <w:tcW w:w="677" w:type="dxa"/>
            <w:vAlign w:val="center"/>
          </w:tcPr>
          <w:p w14:paraId="025ED9F8">
            <w:pPr>
              <w:tabs>
                <w:tab w:val="left" w:pos="720"/>
              </w:tabs>
              <w:snapToGrid w:val="0"/>
              <w:spacing w:line="276" w:lineRule="auto"/>
              <w:jc w:val="center"/>
              <w:rPr>
                <w:rFonts w:ascii="宋体" w:hAnsi="宋体"/>
                <w:color w:val="auto"/>
                <w:szCs w:val="21"/>
                <w:highlight w:val="none"/>
              </w:rPr>
            </w:pPr>
          </w:p>
        </w:tc>
        <w:tc>
          <w:tcPr>
            <w:tcW w:w="677" w:type="dxa"/>
            <w:vAlign w:val="center"/>
          </w:tcPr>
          <w:p w14:paraId="4B60E1E6">
            <w:pPr>
              <w:tabs>
                <w:tab w:val="left" w:pos="720"/>
              </w:tabs>
              <w:snapToGrid w:val="0"/>
              <w:spacing w:line="276" w:lineRule="auto"/>
              <w:jc w:val="center"/>
              <w:rPr>
                <w:rFonts w:ascii="宋体" w:hAnsi="宋体"/>
                <w:color w:val="auto"/>
                <w:szCs w:val="21"/>
                <w:highlight w:val="none"/>
              </w:rPr>
            </w:pPr>
          </w:p>
        </w:tc>
        <w:tc>
          <w:tcPr>
            <w:tcW w:w="677" w:type="dxa"/>
            <w:vAlign w:val="center"/>
          </w:tcPr>
          <w:p w14:paraId="79381293">
            <w:pPr>
              <w:tabs>
                <w:tab w:val="left" w:pos="720"/>
              </w:tabs>
              <w:snapToGrid w:val="0"/>
              <w:spacing w:line="276" w:lineRule="auto"/>
              <w:jc w:val="center"/>
              <w:rPr>
                <w:rFonts w:ascii="宋体" w:hAnsi="宋体"/>
                <w:color w:val="auto"/>
                <w:szCs w:val="21"/>
                <w:highlight w:val="none"/>
              </w:rPr>
            </w:pPr>
          </w:p>
        </w:tc>
      </w:tr>
      <w:tr w14:paraId="020BD8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605" w:type="dxa"/>
            <w:vAlign w:val="center"/>
          </w:tcPr>
          <w:p w14:paraId="4AAC27BC">
            <w:pPr>
              <w:tabs>
                <w:tab w:val="left" w:pos="720"/>
              </w:tabs>
              <w:snapToGrid w:val="0"/>
              <w:spacing w:line="276" w:lineRule="auto"/>
              <w:jc w:val="center"/>
              <w:rPr>
                <w:rFonts w:ascii="宋体" w:hAnsi="宋体"/>
                <w:color w:val="auto"/>
                <w:szCs w:val="21"/>
                <w:highlight w:val="none"/>
              </w:rPr>
            </w:pPr>
            <w:r>
              <w:rPr>
                <w:rFonts w:ascii="宋体" w:hAnsi="宋体"/>
                <w:color w:val="auto"/>
                <w:szCs w:val="21"/>
                <w:highlight w:val="none"/>
              </w:rPr>
              <w:t>7</w:t>
            </w:r>
          </w:p>
        </w:tc>
        <w:tc>
          <w:tcPr>
            <w:tcW w:w="5173" w:type="dxa"/>
            <w:vAlign w:val="center"/>
          </w:tcPr>
          <w:p w14:paraId="57A3561F">
            <w:pPr>
              <w:tabs>
                <w:tab w:val="left" w:pos="720"/>
              </w:tabs>
              <w:snapToGrid w:val="0"/>
              <w:spacing w:line="276" w:lineRule="auto"/>
              <w:rPr>
                <w:rFonts w:ascii="宋体" w:hAnsi="宋体" w:cs="宋体"/>
                <w:color w:val="auto"/>
                <w:szCs w:val="21"/>
                <w:highlight w:val="none"/>
              </w:rPr>
            </w:pPr>
            <w:r>
              <w:rPr>
                <w:rFonts w:hint="eastAsia" w:ascii="宋体" w:hAnsi="宋体" w:cs="宋体"/>
                <w:color w:val="auto"/>
                <w:szCs w:val="21"/>
                <w:highlight w:val="none"/>
              </w:rPr>
              <w:t>串通投标情形：不存在串通投标情形（串通投标情形以《中华人民共和国招标投标法实施条例》的规定为准）；</w:t>
            </w:r>
          </w:p>
        </w:tc>
        <w:tc>
          <w:tcPr>
            <w:tcW w:w="676" w:type="dxa"/>
            <w:vAlign w:val="center"/>
          </w:tcPr>
          <w:p w14:paraId="560F4485">
            <w:pPr>
              <w:tabs>
                <w:tab w:val="left" w:pos="720"/>
              </w:tabs>
              <w:snapToGrid w:val="0"/>
              <w:spacing w:line="276" w:lineRule="auto"/>
              <w:jc w:val="center"/>
              <w:rPr>
                <w:rFonts w:ascii="宋体" w:hAnsi="宋体"/>
                <w:color w:val="auto"/>
                <w:szCs w:val="21"/>
                <w:highlight w:val="none"/>
              </w:rPr>
            </w:pPr>
          </w:p>
        </w:tc>
        <w:tc>
          <w:tcPr>
            <w:tcW w:w="677" w:type="dxa"/>
            <w:vAlign w:val="center"/>
          </w:tcPr>
          <w:p w14:paraId="50804D3F">
            <w:pPr>
              <w:tabs>
                <w:tab w:val="left" w:pos="720"/>
              </w:tabs>
              <w:snapToGrid w:val="0"/>
              <w:spacing w:line="276" w:lineRule="auto"/>
              <w:jc w:val="center"/>
              <w:rPr>
                <w:rFonts w:ascii="宋体" w:hAnsi="宋体"/>
                <w:color w:val="auto"/>
                <w:szCs w:val="21"/>
                <w:highlight w:val="none"/>
              </w:rPr>
            </w:pPr>
          </w:p>
        </w:tc>
        <w:tc>
          <w:tcPr>
            <w:tcW w:w="677" w:type="dxa"/>
            <w:vAlign w:val="center"/>
          </w:tcPr>
          <w:p w14:paraId="50621BF9">
            <w:pPr>
              <w:tabs>
                <w:tab w:val="left" w:pos="720"/>
              </w:tabs>
              <w:snapToGrid w:val="0"/>
              <w:spacing w:line="276" w:lineRule="auto"/>
              <w:jc w:val="center"/>
              <w:rPr>
                <w:rFonts w:ascii="宋体" w:hAnsi="宋体"/>
                <w:color w:val="auto"/>
                <w:szCs w:val="21"/>
                <w:highlight w:val="none"/>
              </w:rPr>
            </w:pPr>
          </w:p>
        </w:tc>
        <w:tc>
          <w:tcPr>
            <w:tcW w:w="677" w:type="dxa"/>
            <w:vAlign w:val="center"/>
          </w:tcPr>
          <w:p w14:paraId="300E43AD">
            <w:pPr>
              <w:tabs>
                <w:tab w:val="left" w:pos="720"/>
              </w:tabs>
              <w:snapToGrid w:val="0"/>
              <w:spacing w:line="276" w:lineRule="auto"/>
              <w:jc w:val="center"/>
              <w:rPr>
                <w:rFonts w:ascii="宋体" w:hAnsi="宋体"/>
                <w:color w:val="auto"/>
                <w:szCs w:val="21"/>
                <w:highlight w:val="none"/>
              </w:rPr>
            </w:pPr>
          </w:p>
        </w:tc>
        <w:tc>
          <w:tcPr>
            <w:tcW w:w="677" w:type="dxa"/>
            <w:vAlign w:val="center"/>
          </w:tcPr>
          <w:p w14:paraId="4159ED95">
            <w:pPr>
              <w:tabs>
                <w:tab w:val="left" w:pos="720"/>
              </w:tabs>
              <w:snapToGrid w:val="0"/>
              <w:spacing w:line="276" w:lineRule="auto"/>
              <w:jc w:val="center"/>
              <w:rPr>
                <w:rFonts w:ascii="宋体" w:hAnsi="宋体"/>
                <w:color w:val="auto"/>
                <w:szCs w:val="21"/>
                <w:highlight w:val="none"/>
              </w:rPr>
            </w:pPr>
          </w:p>
        </w:tc>
      </w:tr>
      <w:tr w14:paraId="37D5DB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605" w:type="dxa"/>
            <w:vAlign w:val="center"/>
          </w:tcPr>
          <w:p w14:paraId="6E8579F2">
            <w:pPr>
              <w:tabs>
                <w:tab w:val="left" w:pos="720"/>
              </w:tabs>
              <w:snapToGrid w:val="0"/>
              <w:spacing w:line="276" w:lineRule="auto"/>
              <w:jc w:val="center"/>
              <w:rPr>
                <w:rFonts w:ascii="宋体" w:hAnsi="宋体"/>
                <w:color w:val="auto"/>
                <w:szCs w:val="21"/>
                <w:highlight w:val="none"/>
              </w:rPr>
            </w:pPr>
            <w:r>
              <w:rPr>
                <w:rFonts w:hint="eastAsia" w:ascii="宋体" w:hAnsi="宋体"/>
                <w:color w:val="auto"/>
                <w:szCs w:val="21"/>
                <w:highlight w:val="none"/>
              </w:rPr>
              <w:t>结论</w:t>
            </w:r>
          </w:p>
        </w:tc>
        <w:tc>
          <w:tcPr>
            <w:tcW w:w="5173" w:type="dxa"/>
            <w:vAlign w:val="center"/>
          </w:tcPr>
          <w:p w14:paraId="624C1547">
            <w:pPr>
              <w:tabs>
                <w:tab w:val="left" w:pos="720"/>
              </w:tabs>
              <w:snapToGrid w:val="0"/>
              <w:spacing w:line="276" w:lineRule="auto"/>
              <w:rPr>
                <w:rFonts w:ascii="宋体" w:hAnsi="宋体"/>
                <w:color w:val="auto"/>
                <w:szCs w:val="21"/>
                <w:highlight w:val="none"/>
              </w:rPr>
            </w:pPr>
            <w:r>
              <w:rPr>
                <w:rFonts w:hint="eastAsia" w:ascii="宋体" w:hAnsi="宋体"/>
                <w:color w:val="auto"/>
                <w:szCs w:val="21"/>
                <w:highlight w:val="none"/>
              </w:rPr>
              <w:t>是否通过并进入下一阶段评审</w:t>
            </w:r>
          </w:p>
        </w:tc>
        <w:tc>
          <w:tcPr>
            <w:tcW w:w="676" w:type="dxa"/>
            <w:vAlign w:val="center"/>
          </w:tcPr>
          <w:p w14:paraId="21A3EDA6">
            <w:pPr>
              <w:tabs>
                <w:tab w:val="left" w:pos="720"/>
              </w:tabs>
              <w:snapToGrid w:val="0"/>
              <w:spacing w:line="276" w:lineRule="auto"/>
              <w:jc w:val="center"/>
              <w:rPr>
                <w:rFonts w:ascii="宋体" w:hAnsi="宋体"/>
                <w:color w:val="auto"/>
                <w:szCs w:val="21"/>
                <w:highlight w:val="none"/>
              </w:rPr>
            </w:pPr>
          </w:p>
        </w:tc>
        <w:tc>
          <w:tcPr>
            <w:tcW w:w="677" w:type="dxa"/>
            <w:vAlign w:val="center"/>
          </w:tcPr>
          <w:p w14:paraId="09FB0E1D">
            <w:pPr>
              <w:tabs>
                <w:tab w:val="left" w:pos="720"/>
              </w:tabs>
              <w:snapToGrid w:val="0"/>
              <w:spacing w:line="276" w:lineRule="auto"/>
              <w:jc w:val="center"/>
              <w:rPr>
                <w:rFonts w:ascii="宋体" w:hAnsi="宋体"/>
                <w:color w:val="auto"/>
                <w:szCs w:val="21"/>
                <w:highlight w:val="none"/>
              </w:rPr>
            </w:pPr>
          </w:p>
        </w:tc>
        <w:tc>
          <w:tcPr>
            <w:tcW w:w="677" w:type="dxa"/>
            <w:vAlign w:val="center"/>
          </w:tcPr>
          <w:p w14:paraId="37B8967C">
            <w:pPr>
              <w:tabs>
                <w:tab w:val="left" w:pos="720"/>
              </w:tabs>
              <w:snapToGrid w:val="0"/>
              <w:spacing w:line="276" w:lineRule="auto"/>
              <w:jc w:val="center"/>
              <w:rPr>
                <w:rFonts w:ascii="宋体" w:hAnsi="宋体"/>
                <w:color w:val="auto"/>
                <w:szCs w:val="21"/>
                <w:highlight w:val="none"/>
              </w:rPr>
            </w:pPr>
          </w:p>
        </w:tc>
        <w:tc>
          <w:tcPr>
            <w:tcW w:w="677" w:type="dxa"/>
            <w:vAlign w:val="center"/>
          </w:tcPr>
          <w:p w14:paraId="31834F01">
            <w:pPr>
              <w:tabs>
                <w:tab w:val="left" w:pos="720"/>
              </w:tabs>
              <w:snapToGrid w:val="0"/>
              <w:spacing w:line="276" w:lineRule="auto"/>
              <w:jc w:val="center"/>
              <w:rPr>
                <w:rFonts w:ascii="宋体" w:hAnsi="宋体"/>
                <w:color w:val="auto"/>
                <w:szCs w:val="21"/>
                <w:highlight w:val="none"/>
              </w:rPr>
            </w:pPr>
          </w:p>
        </w:tc>
        <w:tc>
          <w:tcPr>
            <w:tcW w:w="677" w:type="dxa"/>
            <w:vAlign w:val="center"/>
          </w:tcPr>
          <w:p w14:paraId="37625734">
            <w:pPr>
              <w:tabs>
                <w:tab w:val="left" w:pos="720"/>
              </w:tabs>
              <w:snapToGrid w:val="0"/>
              <w:spacing w:line="276" w:lineRule="auto"/>
              <w:jc w:val="center"/>
              <w:rPr>
                <w:rFonts w:ascii="宋体" w:hAnsi="宋体"/>
                <w:color w:val="auto"/>
                <w:szCs w:val="21"/>
                <w:highlight w:val="none"/>
              </w:rPr>
            </w:pPr>
          </w:p>
        </w:tc>
      </w:tr>
    </w:tbl>
    <w:p w14:paraId="6D3ACC1B">
      <w:pPr>
        <w:pStyle w:val="4"/>
        <w:rPr>
          <w:rFonts w:hint="eastAsia" w:cs="宋体"/>
          <w:b w:val="0"/>
          <w:color w:val="auto"/>
          <w:sz w:val="20"/>
          <w:szCs w:val="20"/>
          <w:highlight w:val="none"/>
        </w:rPr>
      </w:pPr>
      <w:r>
        <w:rPr>
          <w:rFonts w:hint="eastAsia" w:cs="宋体"/>
          <w:b w:val="0"/>
          <w:color w:val="auto"/>
          <w:sz w:val="20"/>
          <w:szCs w:val="20"/>
          <w:highlight w:val="none"/>
        </w:rPr>
        <w:t>备注：1、“是否通过并进入下一阶段评审”一栏应写“通过”“不通过”。2、表中全部条件满足为“通过”，同意进入下一阶段评审。3、若评委意见不一致时，则按少数服从多数的原则，决定该投标人是否通过符合性审查，进入下一阶段评审。</w:t>
      </w:r>
    </w:p>
    <w:p w14:paraId="5476948E">
      <w:pPr>
        <w:jc w:val="left"/>
        <w:rPr>
          <w:rFonts w:hint="eastAsia" w:ascii="宋体" w:hAnsi="宋体" w:cs="宋体"/>
          <w:color w:val="auto"/>
          <w:szCs w:val="21"/>
          <w:highlight w:val="none"/>
        </w:rPr>
      </w:pPr>
      <w:r>
        <w:rPr>
          <w:rFonts w:hint="eastAsia" w:ascii="宋体" w:hAnsi="宋体" w:cs="宋体"/>
          <w:color w:val="auto"/>
          <w:szCs w:val="21"/>
          <w:highlight w:val="none"/>
        </w:rPr>
        <w:t>评委签名：                                            日期：</w:t>
      </w:r>
    </w:p>
    <w:p w14:paraId="397911EB">
      <w:pPr>
        <w:rPr>
          <w:rFonts w:hint="eastAsia" w:ascii="宋体" w:hAnsi="宋体" w:cs="宋体"/>
          <w:color w:val="auto"/>
          <w:szCs w:val="21"/>
          <w:highlight w:val="none"/>
        </w:rPr>
      </w:pPr>
      <w:bookmarkStart w:id="109" w:name="_Toc118553985"/>
      <w:bookmarkStart w:id="110" w:name="_Toc2105"/>
      <w:bookmarkStart w:id="111" w:name="_Toc19098"/>
      <w:r>
        <w:rPr>
          <w:rFonts w:hint="eastAsia" w:ascii="宋体" w:hAnsi="宋体" w:cs="宋体"/>
          <w:color w:val="auto"/>
          <w:szCs w:val="21"/>
          <w:highlight w:val="none"/>
        </w:rPr>
        <w:br w:type="page"/>
      </w:r>
    </w:p>
    <w:p w14:paraId="6D23895E">
      <w:pPr>
        <w:pStyle w:val="4"/>
        <w:ind w:firstLine="281" w:firstLineChars="100"/>
        <w:rPr>
          <w:color w:val="auto"/>
          <w:highlight w:val="none"/>
        </w:rPr>
      </w:pPr>
      <w:r>
        <w:rPr>
          <w:rFonts w:hint="eastAsia"/>
          <w:color w:val="auto"/>
          <w:highlight w:val="none"/>
        </w:rPr>
        <w:t>附表四：</w:t>
      </w:r>
      <w:bookmarkEnd w:id="109"/>
      <w:bookmarkEnd w:id="110"/>
      <w:bookmarkEnd w:id="111"/>
      <w:r>
        <w:rPr>
          <w:rFonts w:hint="eastAsia"/>
          <w:color w:val="auto"/>
          <w:highlight w:val="none"/>
        </w:rPr>
        <w:t>综合评分表</w:t>
      </w:r>
    </w:p>
    <w:tbl>
      <w:tblPr>
        <w:tblStyle w:val="27"/>
        <w:tblW w:w="964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8"/>
        <w:gridCol w:w="1035"/>
        <w:gridCol w:w="977"/>
        <w:gridCol w:w="6493"/>
      </w:tblGrid>
      <w:tr w14:paraId="0BFDEF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1138" w:type="dxa"/>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vAlign w:val="center"/>
          </w:tcPr>
          <w:p w14:paraId="71B9EF6D">
            <w:pPr>
              <w:spacing w:line="360" w:lineRule="auto"/>
              <w:jc w:val="center"/>
              <w:rPr>
                <w:rFonts w:ascii="宋体" w:hAnsi="宋体" w:cs="宋体"/>
                <w:b/>
                <w:bCs/>
                <w:color w:val="auto"/>
                <w:szCs w:val="21"/>
                <w:highlight w:val="none"/>
              </w:rPr>
            </w:pPr>
          </w:p>
        </w:tc>
        <w:tc>
          <w:tcPr>
            <w:tcW w:w="2012" w:type="dxa"/>
            <w:gridSpan w:val="2"/>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vAlign w:val="center"/>
          </w:tcPr>
          <w:p w14:paraId="4A4EE4D3">
            <w:pPr>
              <w:spacing w:line="360" w:lineRule="auto"/>
              <w:jc w:val="center"/>
              <w:rPr>
                <w:rFonts w:ascii="宋体" w:hAnsi="宋体" w:cs="宋体"/>
                <w:b/>
                <w:bCs/>
                <w:color w:val="auto"/>
                <w:szCs w:val="21"/>
                <w:highlight w:val="none"/>
              </w:rPr>
            </w:pPr>
            <w:r>
              <w:rPr>
                <w:rFonts w:hint="eastAsia" w:ascii="宋体" w:hAnsi="宋体" w:cs="宋体"/>
                <w:b/>
                <w:bCs/>
                <w:color w:val="auto"/>
                <w:szCs w:val="21"/>
                <w:highlight w:val="none"/>
              </w:rPr>
              <w:t>评分因素</w:t>
            </w:r>
          </w:p>
        </w:tc>
        <w:tc>
          <w:tcPr>
            <w:tcW w:w="6493" w:type="dxa"/>
            <w:tcBorders>
              <w:top w:val="single" w:color="auto" w:sz="4" w:space="0"/>
              <w:left w:val="single" w:color="auto" w:sz="4" w:space="0"/>
              <w:bottom w:val="single" w:color="auto" w:sz="4" w:space="0"/>
              <w:right w:val="single" w:color="auto" w:sz="4" w:space="0"/>
            </w:tcBorders>
            <w:vAlign w:val="center"/>
          </w:tcPr>
          <w:p w14:paraId="187D5C1C">
            <w:pPr>
              <w:spacing w:line="360" w:lineRule="auto"/>
              <w:jc w:val="center"/>
              <w:rPr>
                <w:rFonts w:ascii="宋体" w:hAnsi="宋体" w:cs="宋体"/>
                <w:b/>
                <w:bCs/>
                <w:color w:val="auto"/>
                <w:szCs w:val="21"/>
                <w:highlight w:val="none"/>
              </w:rPr>
            </w:pPr>
            <w:r>
              <w:rPr>
                <w:rFonts w:hint="eastAsia" w:ascii="宋体" w:hAnsi="宋体" w:cs="宋体"/>
                <w:b/>
                <w:bCs/>
                <w:color w:val="auto"/>
                <w:szCs w:val="21"/>
                <w:highlight w:val="none"/>
              </w:rPr>
              <w:t>评分标准</w:t>
            </w:r>
          </w:p>
        </w:tc>
      </w:tr>
      <w:tr w14:paraId="31F81E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4" w:hRule="atLeast"/>
          <w:jc w:val="center"/>
        </w:trPr>
        <w:tc>
          <w:tcPr>
            <w:tcW w:w="1138" w:type="dxa"/>
            <w:vMerge w:val="restart"/>
            <w:tcBorders>
              <w:top w:val="single" w:color="auto" w:sz="4" w:space="0"/>
              <w:left w:val="single" w:color="auto" w:sz="4" w:space="0"/>
              <w:right w:val="single" w:color="auto" w:sz="4" w:space="0"/>
            </w:tcBorders>
            <w:tcMar>
              <w:top w:w="0" w:type="dxa"/>
              <w:left w:w="57" w:type="dxa"/>
              <w:bottom w:w="0" w:type="dxa"/>
              <w:right w:w="57" w:type="dxa"/>
            </w:tcMar>
            <w:vAlign w:val="center"/>
          </w:tcPr>
          <w:p w14:paraId="1A382D61">
            <w:pPr>
              <w:jc w:val="center"/>
              <w:rPr>
                <w:rFonts w:ascii="宋体" w:hAnsi="宋体"/>
                <w:color w:val="auto"/>
                <w:szCs w:val="21"/>
                <w:highlight w:val="none"/>
              </w:rPr>
            </w:pPr>
          </w:p>
          <w:p w14:paraId="536370C0">
            <w:pPr>
              <w:jc w:val="center"/>
              <w:rPr>
                <w:rFonts w:ascii="宋体" w:hAnsi="宋体"/>
                <w:color w:val="auto"/>
                <w:szCs w:val="21"/>
                <w:highlight w:val="none"/>
              </w:rPr>
            </w:pPr>
          </w:p>
          <w:p w14:paraId="63BDB06E">
            <w:pPr>
              <w:jc w:val="center"/>
              <w:rPr>
                <w:rFonts w:ascii="宋体" w:hAnsi="宋体"/>
                <w:color w:val="auto"/>
                <w:szCs w:val="21"/>
                <w:highlight w:val="none"/>
              </w:rPr>
            </w:pPr>
          </w:p>
          <w:p w14:paraId="51F3E621">
            <w:pPr>
              <w:jc w:val="center"/>
              <w:rPr>
                <w:rFonts w:ascii="宋体" w:hAnsi="宋体"/>
                <w:color w:val="auto"/>
                <w:szCs w:val="21"/>
                <w:highlight w:val="none"/>
              </w:rPr>
            </w:pPr>
          </w:p>
          <w:p w14:paraId="67C89150">
            <w:pPr>
              <w:jc w:val="center"/>
              <w:rPr>
                <w:rFonts w:ascii="宋体" w:hAnsi="宋体"/>
                <w:color w:val="auto"/>
                <w:szCs w:val="21"/>
                <w:highlight w:val="none"/>
              </w:rPr>
            </w:pPr>
          </w:p>
          <w:p w14:paraId="25CCC5DB">
            <w:pPr>
              <w:jc w:val="center"/>
              <w:rPr>
                <w:rFonts w:ascii="宋体" w:hAnsi="宋体"/>
                <w:color w:val="auto"/>
                <w:szCs w:val="21"/>
                <w:highlight w:val="none"/>
              </w:rPr>
            </w:pPr>
          </w:p>
          <w:p w14:paraId="75E488F4">
            <w:pPr>
              <w:ind w:left="181" w:right="-20"/>
              <w:jc w:val="center"/>
              <w:rPr>
                <w:rFonts w:ascii="宋体" w:hAnsi="宋体" w:cs="宋体"/>
                <w:color w:val="auto"/>
                <w:szCs w:val="21"/>
                <w:highlight w:val="none"/>
              </w:rPr>
            </w:pPr>
          </w:p>
          <w:p w14:paraId="55AEC4AB">
            <w:pPr>
              <w:jc w:val="center"/>
              <w:rPr>
                <w:rFonts w:ascii="宋体" w:hAnsi="宋体"/>
                <w:color w:val="auto"/>
                <w:szCs w:val="21"/>
                <w:highlight w:val="none"/>
              </w:rPr>
            </w:pPr>
          </w:p>
          <w:p w14:paraId="2CFA6F8C">
            <w:pPr>
              <w:jc w:val="center"/>
              <w:rPr>
                <w:rFonts w:ascii="宋体" w:hAnsi="宋体"/>
                <w:color w:val="auto"/>
                <w:szCs w:val="21"/>
                <w:highlight w:val="none"/>
              </w:rPr>
            </w:pPr>
          </w:p>
          <w:p w14:paraId="4CB1F7D6">
            <w:pPr>
              <w:jc w:val="center"/>
              <w:rPr>
                <w:rFonts w:ascii="宋体" w:hAnsi="宋体"/>
                <w:color w:val="auto"/>
                <w:szCs w:val="21"/>
                <w:highlight w:val="none"/>
              </w:rPr>
            </w:pPr>
          </w:p>
          <w:p w14:paraId="514AF375">
            <w:pPr>
              <w:jc w:val="center"/>
              <w:rPr>
                <w:rFonts w:ascii="宋体" w:hAnsi="宋体"/>
                <w:color w:val="auto"/>
                <w:szCs w:val="21"/>
                <w:highlight w:val="none"/>
              </w:rPr>
            </w:pPr>
          </w:p>
          <w:p w14:paraId="66615A05">
            <w:pPr>
              <w:jc w:val="center"/>
              <w:rPr>
                <w:rFonts w:ascii="宋体" w:hAnsi="宋体"/>
                <w:color w:val="auto"/>
                <w:szCs w:val="21"/>
                <w:highlight w:val="none"/>
              </w:rPr>
            </w:pPr>
          </w:p>
          <w:p w14:paraId="07941F14">
            <w:pPr>
              <w:jc w:val="center"/>
              <w:rPr>
                <w:rFonts w:ascii="宋体" w:hAnsi="宋体"/>
                <w:color w:val="auto"/>
                <w:szCs w:val="21"/>
                <w:highlight w:val="none"/>
              </w:rPr>
            </w:pPr>
          </w:p>
          <w:p w14:paraId="50C6956E">
            <w:pPr>
              <w:ind w:left="136" w:right="59"/>
              <w:jc w:val="center"/>
              <w:rPr>
                <w:rFonts w:ascii="宋体" w:hAnsi="宋体" w:cs="宋体"/>
                <w:color w:val="auto"/>
                <w:szCs w:val="21"/>
                <w:highlight w:val="none"/>
              </w:rPr>
            </w:pPr>
            <w:r>
              <w:rPr>
                <w:rFonts w:hint="eastAsia" w:ascii="宋体" w:hAnsi="宋体"/>
                <w:b/>
                <w:color w:val="auto"/>
                <w:szCs w:val="21"/>
                <w:highlight w:val="none"/>
              </w:rPr>
              <w:t>企业综合实力部分</w:t>
            </w:r>
            <w:r>
              <w:rPr>
                <w:rFonts w:hint="eastAsia" w:ascii="宋体" w:hAnsi="宋体" w:eastAsia="Calibri"/>
                <w:b/>
                <w:color w:val="auto"/>
                <w:szCs w:val="21"/>
                <w:highlight w:val="none"/>
              </w:rPr>
              <w:t>评分标准</w:t>
            </w:r>
            <w:r>
              <w:rPr>
                <w:rFonts w:hint="eastAsia" w:ascii="宋体" w:hAnsi="宋体"/>
                <w:b/>
                <w:bCs/>
                <w:color w:val="auto"/>
                <w:szCs w:val="21"/>
                <w:highlight w:val="none"/>
              </w:rPr>
              <w:t>（</w:t>
            </w:r>
            <w:r>
              <w:rPr>
                <w:rFonts w:hint="eastAsia" w:ascii="宋体" w:hAnsi="宋体"/>
                <w:b/>
                <w:bCs/>
                <w:color w:val="auto"/>
                <w:szCs w:val="21"/>
                <w:highlight w:val="none"/>
                <w:lang w:val="en-US" w:eastAsia="zh-CN"/>
              </w:rPr>
              <w:t>6</w:t>
            </w:r>
            <w:r>
              <w:rPr>
                <w:rFonts w:hint="eastAsia" w:ascii="宋体" w:hAnsi="宋体"/>
                <w:b/>
                <w:bCs/>
                <w:color w:val="auto"/>
                <w:szCs w:val="21"/>
                <w:highlight w:val="none"/>
              </w:rPr>
              <w:t>0分）</w:t>
            </w:r>
          </w:p>
        </w:tc>
        <w:tc>
          <w:tcPr>
            <w:tcW w:w="2012" w:type="dxa"/>
            <w:gridSpan w:val="2"/>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vAlign w:val="center"/>
          </w:tcPr>
          <w:p w14:paraId="3EF3DE1F">
            <w:pPr>
              <w:jc w:val="center"/>
              <w:rPr>
                <w:rFonts w:ascii="宋体" w:hAnsi="宋体"/>
                <w:color w:val="auto"/>
                <w:szCs w:val="21"/>
                <w:highlight w:val="none"/>
              </w:rPr>
            </w:pPr>
            <w:r>
              <w:rPr>
                <w:rFonts w:hint="eastAsia" w:ascii="宋体" w:hAnsi="宋体"/>
                <w:color w:val="auto"/>
                <w:szCs w:val="21"/>
                <w:highlight w:val="none"/>
              </w:rPr>
              <w:t>类似业绩</w:t>
            </w:r>
          </w:p>
          <w:p w14:paraId="224D160F">
            <w:pPr>
              <w:jc w:val="center"/>
              <w:rPr>
                <w:rFonts w:ascii="宋体" w:hAnsi="宋体" w:cs="宋体"/>
                <w:color w:val="auto"/>
                <w:szCs w:val="21"/>
                <w:highlight w:val="none"/>
              </w:rPr>
            </w:pPr>
            <w:r>
              <w:rPr>
                <w:rFonts w:hint="eastAsia" w:ascii="宋体" w:hAnsi="宋体"/>
                <w:color w:val="auto"/>
                <w:szCs w:val="21"/>
                <w:highlight w:val="none"/>
              </w:rPr>
              <w:t>（</w:t>
            </w:r>
            <w:r>
              <w:rPr>
                <w:rFonts w:hint="eastAsia" w:ascii="宋体" w:hAnsi="宋体"/>
                <w:color w:val="auto"/>
                <w:szCs w:val="21"/>
                <w:highlight w:val="none"/>
                <w:lang w:val="en-US" w:eastAsia="zh-CN"/>
              </w:rPr>
              <w:t>10</w:t>
            </w:r>
            <w:r>
              <w:rPr>
                <w:rFonts w:hint="eastAsia" w:ascii="宋体" w:hAnsi="宋体"/>
                <w:color w:val="auto"/>
                <w:szCs w:val="21"/>
                <w:highlight w:val="none"/>
              </w:rPr>
              <w:t>分）</w:t>
            </w:r>
          </w:p>
        </w:tc>
        <w:tc>
          <w:tcPr>
            <w:tcW w:w="6493" w:type="dxa"/>
            <w:tcBorders>
              <w:top w:val="single" w:color="auto" w:sz="4" w:space="0"/>
              <w:left w:val="single" w:color="auto" w:sz="4" w:space="0"/>
              <w:bottom w:val="single" w:color="auto" w:sz="4" w:space="0"/>
              <w:right w:val="single" w:color="auto" w:sz="4" w:space="0"/>
            </w:tcBorders>
            <w:vAlign w:val="center"/>
          </w:tcPr>
          <w:p w14:paraId="498EFFF2">
            <w:pPr>
              <w:tabs>
                <w:tab w:val="left" w:pos="0"/>
              </w:tabs>
              <w:spacing w:line="276" w:lineRule="auto"/>
              <w:jc w:val="left"/>
              <w:rPr>
                <w:rFonts w:hint="eastAsia" w:ascii="宋体" w:hAnsi="宋体" w:cs="微软雅黑"/>
                <w:color w:val="auto"/>
                <w:highlight w:val="none"/>
              </w:rPr>
            </w:pPr>
            <w:r>
              <w:rPr>
                <w:rFonts w:hint="eastAsia" w:ascii="宋体" w:hAnsi="宋体" w:cs="微软雅黑"/>
                <w:color w:val="auto"/>
                <w:highlight w:val="none"/>
              </w:rPr>
              <w:t>自20</w:t>
            </w:r>
            <w:r>
              <w:rPr>
                <w:rFonts w:hint="eastAsia" w:ascii="宋体" w:hAnsi="宋体" w:cs="微软雅黑"/>
                <w:color w:val="auto"/>
                <w:highlight w:val="none"/>
                <w:lang w:val="en-US" w:eastAsia="zh-CN"/>
              </w:rPr>
              <w:t>20</w:t>
            </w:r>
            <w:r>
              <w:rPr>
                <w:rFonts w:hint="eastAsia" w:ascii="宋体" w:hAnsi="宋体" w:cs="微软雅黑"/>
                <w:color w:val="auto"/>
                <w:highlight w:val="none"/>
              </w:rPr>
              <w:t>年1月1日至投标截止时间止，投标人(如为联合体，指联合体各方提供均可)承接过的合同金额</w:t>
            </w:r>
            <w:r>
              <w:rPr>
                <w:rFonts w:hint="eastAsia" w:ascii="宋体" w:hAnsi="宋体" w:cs="微软雅黑"/>
                <w:color w:val="auto"/>
                <w:highlight w:val="none"/>
                <w:lang w:val="en-US" w:eastAsia="zh-CN"/>
              </w:rPr>
              <w:t>800</w:t>
            </w:r>
            <w:r>
              <w:rPr>
                <w:rFonts w:hint="eastAsia" w:ascii="宋体" w:hAnsi="宋体" w:cs="微软雅黑"/>
                <w:color w:val="auto"/>
                <w:highlight w:val="none"/>
              </w:rPr>
              <w:t>万元或以上类似检测</w:t>
            </w:r>
            <w:r>
              <w:rPr>
                <w:rFonts w:hint="eastAsia" w:ascii="宋体" w:hAnsi="宋体" w:cs="宋体"/>
                <w:iCs/>
                <w:color w:val="auto"/>
                <w:szCs w:val="21"/>
                <w:highlight w:val="none"/>
                <w:lang w:val="en-US" w:eastAsia="zh-CN"/>
              </w:rPr>
              <w:t>或监测</w:t>
            </w:r>
            <w:r>
              <w:rPr>
                <w:rFonts w:hint="eastAsia" w:ascii="宋体" w:hAnsi="宋体" w:cs="微软雅黑"/>
                <w:color w:val="auto"/>
                <w:highlight w:val="none"/>
              </w:rPr>
              <w:t>项目业绩，每项得2分，本项最高得10分。</w:t>
            </w:r>
          </w:p>
          <w:p w14:paraId="4A342D43">
            <w:pPr>
              <w:spacing w:line="360" w:lineRule="exact"/>
              <w:rPr>
                <w:rFonts w:ascii="宋体" w:hAnsi="宋体"/>
                <w:b/>
                <w:color w:val="auto"/>
                <w:highlight w:val="none"/>
              </w:rPr>
            </w:pPr>
            <w:r>
              <w:rPr>
                <w:rFonts w:hint="eastAsia" w:ascii="宋体" w:hAnsi="宋体" w:cs="宋体"/>
                <w:iCs/>
                <w:color w:val="auto"/>
                <w:szCs w:val="21"/>
                <w:highlight w:val="none"/>
              </w:rPr>
              <w:t>注：类似业绩是指包含本次招标内容中的一项或多项的建设工程质量检测</w:t>
            </w:r>
            <w:r>
              <w:rPr>
                <w:rFonts w:hint="eastAsia" w:ascii="宋体" w:hAnsi="宋体" w:cs="宋体"/>
                <w:iCs/>
                <w:color w:val="auto"/>
                <w:szCs w:val="21"/>
                <w:highlight w:val="none"/>
                <w:lang w:val="en-US" w:eastAsia="zh-CN"/>
              </w:rPr>
              <w:t>或监测</w:t>
            </w:r>
            <w:r>
              <w:rPr>
                <w:rFonts w:hint="eastAsia" w:ascii="宋体" w:hAnsi="宋体" w:cs="宋体"/>
                <w:iCs/>
                <w:color w:val="auto"/>
                <w:szCs w:val="21"/>
                <w:highlight w:val="none"/>
              </w:rPr>
              <w:t>业绩。需提供中标通知书（或免招标证明）、服务合同关键页、检测</w:t>
            </w:r>
            <w:r>
              <w:rPr>
                <w:rFonts w:hint="eastAsia" w:ascii="宋体" w:hAnsi="宋体" w:cs="宋体"/>
                <w:iCs/>
                <w:color w:val="auto"/>
                <w:szCs w:val="21"/>
                <w:highlight w:val="none"/>
                <w:lang w:val="en-US" w:eastAsia="zh-CN"/>
              </w:rPr>
              <w:t>或监测</w:t>
            </w:r>
            <w:r>
              <w:rPr>
                <w:rFonts w:hint="eastAsia" w:ascii="宋体" w:hAnsi="宋体" w:cs="宋体"/>
                <w:iCs/>
                <w:color w:val="auto"/>
                <w:szCs w:val="21"/>
                <w:highlight w:val="none"/>
              </w:rPr>
              <w:t>报告(最少提供一份报告）等清晰的证明材料扫描件，并加盖投标人电子印章。业绩时间以合同签订时间为准、金额以中标通知书为准（免招标的项目以合同金额为准）。</w:t>
            </w:r>
          </w:p>
        </w:tc>
      </w:tr>
      <w:tr w14:paraId="742460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5" w:hRule="atLeast"/>
          <w:jc w:val="center"/>
        </w:trPr>
        <w:tc>
          <w:tcPr>
            <w:tcW w:w="1138" w:type="dxa"/>
            <w:vMerge w:val="continue"/>
            <w:tcBorders>
              <w:left w:val="single" w:color="auto" w:sz="4" w:space="0"/>
              <w:right w:val="single" w:color="auto" w:sz="4" w:space="0"/>
            </w:tcBorders>
            <w:tcMar>
              <w:top w:w="0" w:type="dxa"/>
              <w:left w:w="57" w:type="dxa"/>
              <w:bottom w:w="0" w:type="dxa"/>
              <w:right w:w="57" w:type="dxa"/>
            </w:tcMar>
            <w:vAlign w:val="center"/>
          </w:tcPr>
          <w:p w14:paraId="1355DE3B">
            <w:pPr>
              <w:jc w:val="center"/>
              <w:rPr>
                <w:rFonts w:ascii="宋体" w:hAnsi="宋体"/>
                <w:color w:val="auto"/>
                <w:szCs w:val="21"/>
                <w:highlight w:val="none"/>
              </w:rPr>
            </w:pPr>
          </w:p>
        </w:tc>
        <w:tc>
          <w:tcPr>
            <w:tcW w:w="2012" w:type="dxa"/>
            <w:gridSpan w:val="2"/>
            <w:vMerge w:val="restart"/>
            <w:tcBorders>
              <w:top w:val="single" w:color="auto" w:sz="4" w:space="0"/>
              <w:left w:val="single" w:color="auto" w:sz="4" w:space="0"/>
              <w:right w:val="single" w:color="auto" w:sz="4" w:space="0"/>
            </w:tcBorders>
            <w:tcMar>
              <w:top w:w="0" w:type="dxa"/>
              <w:left w:w="57" w:type="dxa"/>
              <w:bottom w:w="0" w:type="dxa"/>
              <w:right w:w="57" w:type="dxa"/>
            </w:tcMar>
            <w:vAlign w:val="center"/>
          </w:tcPr>
          <w:p w14:paraId="68853EA4">
            <w:pPr>
              <w:spacing w:line="276" w:lineRule="auto"/>
              <w:jc w:val="center"/>
              <w:rPr>
                <w:rFonts w:hint="eastAsia" w:ascii="宋体" w:hAnsi="宋体" w:cs="宋体"/>
                <w:color w:val="auto"/>
                <w:szCs w:val="21"/>
                <w:highlight w:val="none"/>
              </w:rPr>
            </w:pPr>
            <w:r>
              <w:rPr>
                <w:rFonts w:hint="eastAsia" w:ascii="宋体" w:hAnsi="宋体" w:cs="宋体"/>
                <w:color w:val="auto"/>
                <w:szCs w:val="21"/>
                <w:highlight w:val="none"/>
              </w:rPr>
              <w:t>企业资信</w:t>
            </w:r>
          </w:p>
          <w:p w14:paraId="4D47CB0F">
            <w:pPr>
              <w:jc w:val="center"/>
              <w:rPr>
                <w:color w:val="auto"/>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30</w:t>
            </w:r>
            <w:r>
              <w:rPr>
                <w:rFonts w:hint="eastAsia" w:ascii="宋体" w:hAnsi="宋体" w:cs="宋体"/>
                <w:color w:val="auto"/>
                <w:szCs w:val="21"/>
                <w:highlight w:val="none"/>
              </w:rPr>
              <w:t>分)</w:t>
            </w:r>
          </w:p>
        </w:tc>
        <w:tc>
          <w:tcPr>
            <w:tcW w:w="6493" w:type="dxa"/>
            <w:tcBorders>
              <w:top w:val="single" w:color="auto" w:sz="4" w:space="0"/>
              <w:left w:val="single" w:color="auto" w:sz="4" w:space="0"/>
              <w:bottom w:val="single" w:color="auto" w:sz="4" w:space="0"/>
              <w:right w:val="single" w:color="auto" w:sz="4" w:space="0"/>
            </w:tcBorders>
          </w:tcPr>
          <w:p w14:paraId="0716BC51">
            <w:pPr>
              <w:pStyle w:val="25"/>
              <w:adjustRightInd w:val="0"/>
              <w:snapToGrid w:val="0"/>
              <w:spacing w:line="276" w:lineRule="auto"/>
              <w:ind w:firstLine="0"/>
              <w:rPr>
                <w:rFonts w:hint="eastAsia" w:ascii="宋体" w:hAnsi="宋体" w:cs="微软雅黑"/>
                <w:color w:val="auto"/>
                <w:highlight w:val="none"/>
              </w:rPr>
            </w:pPr>
            <w:r>
              <w:rPr>
                <w:rFonts w:hint="eastAsia" w:ascii="宋体" w:hAnsi="宋体" w:cs="微软雅黑"/>
                <w:color w:val="auto"/>
                <w:highlight w:val="none"/>
              </w:rPr>
              <w:t>投标人(如为联合体，指联合体主办方)具有有效期内的中国合格评定国家认可委员会检验机构证书和实验室认可证书（CNAS），每个证书得</w:t>
            </w:r>
            <w:r>
              <w:rPr>
                <w:rFonts w:hint="eastAsia" w:ascii="宋体" w:hAnsi="宋体" w:cs="微软雅黑"/>
                <w:color w:val="auto"/>
                <w:highlight w:val="none"/>
                <w:lang w:val="en-US" w:eastAsia="zh-CN"/>
              </w:rPr>
              <w:t>5</w:t>
            </w:r>
            <w:r>
              <w:rPr>
                <w:rFonts w:hint="eastAsia" w:ascii="宋体" w:hAnsi="宋体" w:cs="微软雅黑"/>
                <w:color w:val="auto"/>
                <w:highlight w:val="none"/>
              </w:rPr>
              <w:t>分，本项最高得</w:t>
            </w:r>
            <w:r>
              <w:rPr>
                <w:rFonts w:hint="eastAsia" w:ascii="宋体" w:hAnsi="宋体" w:cs="微软雅黑"/>
                <w:color w:val="auto"/>
                <w:highlight w:val="none"/>
                <w:lang w:val="en-US" w:eastAsia="zh-CN"/>
              </w:rPr>
              <w:t>10</w:t>
            </w:r>
            <w:r>
              <w:rPr>
                <w:rFonts w:hint="eastAsia" w:ascii="宋体" w:hAnsi="宋体" w:cs="微软雅黑"/>
                <w:color w:val="auto"/>
                <w:highlight w:val="none"/>
              </w:rPr>
              <w:t>分。</w:t>
            </w:r>
          </w:p>
          <w:p w14:paraId="64213D7D">
            <w:pPr>
              <w:spacing w:line="240" w:lineRule="auto"/>
              <w:jc w:val="left"/>
              <w:rPr>
                <w:rFonts w:ascii="宋体" w:hAnsi="宋体"/>
                <w:b w:val="0"/>
                <w:color w:val="auto"/>
                <w:szCs w:val="21"/>
                <w:highlight w:val="none"/>
              </w:rPr>
            </w:pPr>
            <w:r>
              <w:rPr>
                <w:rFonts w:hint="eastAsia" w:ascii="宋体" w:hAnsi="宋体" w:cs="宋体"/>
                <w:b/>
                <w:bCs w:val="0"/>
                <w:color w:val="auto"/>
                <w:szCs w:val="21"/>
                <w:highlight w:val="none"/>
              </w:rPr>
              <w:t>注：须提供相关证书的清晰扫描件。</w:t>
            </w:r>
            <w:r>
              <w:rPr>
                <w:rFonts w:hint="eastAsia" w:ascii="Times New Roman" w:hAnsi="Times New Roman" w:eastAsia="宋体"/>
                <w:b/>
                <w:bCs w:val="0"/>
                <w:color w:val="auto"/>
                <w:sz w:val="21"/>
                <w:szCs w:val="21"/>
                <w:highlight w:val="none"/>
                <w:lang w:val="en-US"/>
              </w:rPr>
              <w:t>若以联合体方式投标的，本项评分内容</w:t>
            </w:r>
            <w:r>
              <w:rPr>
                <w:rFonts w:hint="default" w:eastAsia="宋体"/>
                <w:b/>
                <w:bCs w:val="0"/>
                <w:color w:val="auto"/>
                <w:sz w:val="21"/>
                <w:szCs w:val="21"/>
                <w:highlight w:val="none"/>
              </w:rPr>
              <w:t>以牵头方提供资料为准，</w:t>
            </w:r>
            <w:r>
              <w:rPr>
                <w:rFonts w:hint="eastAsia" w:ascii="宋体" w:hAnsi="宋体" w:cs="宋体"/>
                <w:b/>
                <w:bCs w:val="0"/>
                <w:color w:val="auto"/>
                <w:szCs w:val="21"/>
                <w:highlight w:val="none"/>
              </w:rPr>
              <w:t>成员单位</w:t>
            </w:r>
            <w:r>
              <w:rPr>
                <w:rFonts w:hint="default" w:ascii="宋体" w:hAnsi="宋体" w:cs="宋体"/>
                <w:b/>
                <w:bCs w:val="0"/>
                <w:color w:val="auto"/>
                <w:szCs w:val="21"/>
                <w:highlight w:val="none"/>
              </w:rPr>
              <w:t>提供不</w:t>
            </w:r>
            <w:r>
              <w:rPr>
                <w:rFonts w:hint="eastAsia" w:ascii="宋体" w:hAnsi="宋体" w:cs="宋体"/>
                <w:b/>
                <w:bCs w:val="0"/>
                <w:color w:val="auto"/>
                <w:szCs w:val="21"/>
                <w:highlight w:val="none"/>
              </w:rPr>
              <w:t>计分。</w:t>
            </w:r>
          </w:p>
        </w:tc>
      </w:tr>
      <w:tr w14:paraId="000D60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8" w:hRule="atLeast"/>
          <w:jc w:val="center"/>
        </w:trPr>
        <w:tc>
          <w:tcPr>
            <w:tcW w:w="1138" w:type="dxa"/>
            <w:vMerge w:val="continue"/>
            <w:tcBorders>
              <w:left w:val="single" w:color="auto" w:sz="4" w:space="0"/>
              <w:right w:val="single" w:color="auto" w:sz="4" w:space="0"/>
            </w:tcBorders>
            <w:tcMar>
              <w:top w:w="0" w:type="dxa"/>
              <w:left w:w="57" w:type="dxa"/>
              <w:bottom w:w="0" w:type="dxa"/>
              <w:right w:w="57" w:type="dxa"/>
            </w:tcMar>
            <w:vAlign w:val="center"/>
          </w:tcPr>
          <w:p w14:paraId="3E59EB1D">
            <w:pPr>
              <w:jc w:val="center"/>
              <w:rPr>
                <w:rFonts w:ascii="宋体" w:hAnsi="宋体"/>
                <w:color w:val="auto"/>
                <w:szCs w:val="21"/>
                <w:highlight w:val="none"/>
              </w:rPr>
            </w:pPr>
          </w:p>
        </w:tc>
        <w:tc>
          <w:tcPr>
            <w:tcW w:w="2012" w:type="dxa"/>
            <w:gridSpan w:val="2"/>
            <w:vMerge w:val="continue"/>
            <w:tcBorders>
              <w:left w:val="single" w:color="auto" w:sz="4" w:space="0"/>
              <w:right w:val="single" w:color="auto" w:sz="4" w:space="0"/>
            </w:tcBorders>
            <w:tcMar>
              <w:top w:w="0" w:type="dxa"/>
              <w:left w:w="57" w:type="dxa"/>
              <w:bottom w:w="0" w:type="dxa"/>
              <w:right w:w="57" w:type="dxa"/>
            </w:tcMar>
            <w:vAlign w:val="center"/>
          </w:tcPr>
          <w:p w14:paraId="5C1BF2F1">
            <w:pPr>
              <w:jc w:val="center"/>
              <w:rPr>
                <w:color w:val="auto"/>
                <w:highlight w:val="none"/>
              </w:rPr>
            </w:pPr>
          </w:p>
        </w:tc>
        <w:tc>
          <w:tcPr>
            <w:tcW w:w="6493" w:type="dxa"/>
            <w:tcBorders>
              <w:top w:val="single" w:color="auto" w:sz="4" w:space="0"/>
              <w:left w:val="single" w:color="auto" w:sz="4" w:space="0"/>
              <w:bottom w:val="single" w:color="auto" w:sz="4" w:space="0"/>
              <w:right w:val="single" w:color="auto" w:sz="4" w:space="0"/>
            </w:tcBorders>
            <w:shd w:val="clear" w:color="auto" w:fill="auto"/>
            <w:vAlign w:val="top"/>
          </w:tcPr>
          <w:p w14:paraId="189881BE">
            <w:pPr>
              <w:numPr>
                <w:ilvl w:val="255"/>
                <w:numId w:val="0"/>
              </w:numPr>
              <w:rPr>
                <w:rFonts w:hint="eastAsia" w:ascii="宋体" w:hAnsi="宋体" w:cs="宋体"/>
                <w:color w:val="auto"/>
                <w:sz w:val="21"/>
                <w:szCs w:val="21"/>
                <w:highlight w:val="none"/>
                <w:lang w:eastAsia="zh-CN"/>
              </w:rPr>
            </w:pPr>
            <w:r>
              <w:rPr>
                <w:rFonts w:hint="eastAsia" w:ascii="宋体" w:hAnsi="宋体" w:eastAsia="宋体" w:cs="宋体"/>
                <w:color w:val="auto"/>
                <w:sz w:val="21"/>
                <w:szCs w:val="21"/>
                <w:highlight w:val="none"/>
              </w:rPr>
              <w:t>投标人（如为联合体，指联合体主办方）自2020年1月1日至投标截止时间止</w:t>
            </w:r>
            <w:r>
              <w:rPr>
                <w:rFonts w:hint="eastAsia" w:ascii="宋体" w:hAnsi="宋体" w:cs="宋体"/>
                <w:color w:val="auto"/>
                <w:sz w:val="21"/>
                <w:szCs w:val="21"/>
                <w:highlight w:val="none"/>
                <w:lang w:eastAsia="zh-CN"/>
              </w:rPr>
              <w:t>，获得过纳税信用评价：</w:t>
            </w:r>
          </w:p>
          <w:p w14:paraId="4EBE9BDF">
            <w:pPr>
              <w:numPr>
                <w:ilvl w:val="255"/>
                <w:numId w:val="0"/>
              </w:num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（1）A级纳税人，得</w:t>
            </w:r>
            <w:r>
              <w:rPr>
                <w:rFonts w:hint="eastAsia" w:ascii="宋体" w:hAnsi="宋体" w:cs="宋体"/>
                <w:color w:val="auto"/>
                <w:sz w:val="21"/>
                <w:szCs w:val="21"/>
                <w:highlight w:val="none"/>
                <w:lang w:val="en-US" w:eastAsia="zh-CN"/>
              </w:rPr>
              <w:t>5</w:t>
            </w:r>
            <w:r>
              <w:rPr>
                <w:rFonts w:hint="eastAsia" w:ascii="宋体" w:hAnsi="宋体" w:eastAsia="宋体" w:cs="宋体"/>
                <w:color w:val="auto"/>
                <w:sz w:val="21"/>
                <w:szCs w:val="21"/>
                <w:highlight w:val="none"/>
              </w:rPr>
              <w:t>分；</w:t>
            </w:r>
          </w:p>
          <w:p w14:paraId="233293FC">
            <w:pPr>
              <w:numPr>
                <w:ilvl w:val="255"/>
                <w:numId w:val="0"/>
              </w:num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（2）B级纳税人，得</w:t>
            </w: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rPr>
              <w:t>分；</w:t>
            </w:r>
          </w:p>
          <w:p w14:paraId="0AC4AD3B">
            <w:pPr>
              <w:numPr>
                <w:ilvl w:val="255"/>
                <w:numId w:val="0"/>
              </w:num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（3）M级纳税人，得</w:t>
            </w:r>
            <w:r>
              <w:rPr>
                <w:rFonts w:hint="eastAsia" w:ascii="宋体" w:hAnsi="宋体" w:cs="宋体"/>
                <w:color w:val="auto"/>
                <w:sz w:val="21"/>
                <w:szCs w:val="21"/>
                <w:highlight w:val="none"/>
                <w:lang w:val="en-US" w:eastAsia="zh-CN"/>
              </w:rPr>
              <w:t>1</w:t>
            </w:r>
            <w:r>
              <w:rPr>
                <w:rFonts w:hint="eastAsia" w:ascii="宋体" w:hAnsi="宋体" w:eastAsia="宋体" w:cs="宋体"/>
                <w:color w:val="auto"/>
                <w:sz w:val="21"/>
                <w:szCs w:val="21"/>
                <w:highlight w:val="none"/>
              </w:rPr>
              <w:t>分。</w:t>
            </w:r>
          </w:p>
          <w:p w14:paraId="3C9D52C1">
            <w:pPr>
              <w:numPr>
                <w:ilvl w:val="255"/>
                <w:numId w:val="0"/>
              </w:num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其他情况不得分。</w:t>
            </w:r>
          </w:p>
          <w:p w14:paraId="49A0DFF3">
            <w:pPr>
              <w:pStyle w:val="33"/>
              <w:jc w:val="left"/>
              <w:rPr>
                <w:rFonts w:hint="eastAsia" w:ascii="宋体" w:hAnsi="宋体" w:eastAsia="宋体" w:cs="Times New Roman"/>
                <w:b w:val="0"/>
                <w:color w:val="auto"/>
                <w:kern w:val="2"/>
                <w:sz w:val="21"/>
                <w:szCs w:val="21"/>
                <w:highlight w:val="none"/>
                <w:lang w:val="en-US" w:eastAsia="zh-CN" w:bidi="ar-SA"/>
              </w:rPr>
            </w:pPr>
            <w:r>
              <w:rPr>
                <w:rFonts w:hint="eastAsia" w:ascii="宋体" w:hAnsi="宋体" w:eastAsia="宋体" w:cs="宋体"/>
                <w:b/>
                <w:bCs/>
                <w:color w:val="auto"/>
                <w:sz w:val="21"/>
                <w:szCs w:val="21"/>
                <w:highlight w:val="none"/>
              </w:rPr>
              <w:t>注：</w:t>
            </w:r>
            <w:r>
              <w:rPr>
                <w:rFonts w:hint="eastAsia" w:ascii="宋体" w:hAnsi="宋体" w:eastAsia="宋体" w:cs="宋体"/>
                <w:b/>
                <w:bCs/>
                <w:color w:val="auto"/>
                <w:sz w:val="21"/>
                <w:szCs w:val="21"/>
                <w:highlight w:val="none"/>
                <w:lang w:eastAsia="zh-CN"/>
              </w:rPr>
              <w:t>①</w:t>
            </w:r>
            <w:r>
              <w:rPr>
                <w:rFonts w:hint="eastAsia" w:ascii="宋体" w:hAnsi="宋体" w:eastAsia="宋体" w:cs="宋体"/>
                <w:b/>
                <w:bCs/>
                <w:color w:val="auto"/>
                <w:sz w:val="21"/>
                <w:szCs w:val="21"/>
                <w:highlight w:val="none"/>
              </w:rPr>
              <w:t>级纳税人称号以国家税务总局查询网页或省级（含直辖市、计划单列市）税务局查询网页信息查询结果截图为准，纳税人等级只计算投标人自身（不计算投标人的分公司和子公司）。投标人须提供在上述网站的查询结果网页截图并加盖单位</w:t>
            </w:r>
            <w:r>
              <w:rPr>
                <w:rFonts w:hint="eastAsia" w:ascii="宋体" w:hAnsi="宋体" w:cs="宋体"/>
                <w:b/>
                <w:bCs/>
                <w:color w:val="auto"/>
                <w:sz w:val="21"/>
                <w:szCs w:val="21"/>
                <w:highlight w:val="none"/>
                <w:lang w:eastAsia="zh-CN"/>
              </w:rPr>
              <w:t>公章</w:t>
            </w:r>
            <w:r>
              <w:rPr>
                <w:rFonts w:hint="eastAsia" w:ascii="宋体" w:hAnsi="宋体" w:eastAsia="宋体" w:cs="宋体"/>
                <w:b/>
                <w:bCs/>
                <w:color w:val="auto"/>
                <w:sz w:val="21"/>
                <w:szCs w:val="21"/>
                <w:highlight w:val="none"/>
              </w:rPr>
              <w:t>（不符合条件或未提交截图的不计分）。时间以税务局官网公布的获奖年度（评价年度）为准。</w:t>
            </w:r>
            <w:r>
              <w:rPr>
                <w:rFonts w:hint="eastAsia" w:ascii="宋体" w:hAnsi="宋体" w:eastAsia="宋体" w:cs="宋体"/>
                <w:b/>
                <w:bCs/>
                <w:color w:val="auto"/>
                <w:sz w:val="21"/>
                <w:szCs w:val="21"/>
                <w:highlight w:val="none"/>
                <w:lang w:val="en-US" w:eastAsia="zh-CN"/>
              </w:rPr>
              <w:t>②</w:t>
            </w:r>
            <w:r>
              <w:rPr>
                <w:rFonts w:hint="eastAsia" w:ascii="宋体" w:hAnsi="宋体" w:eastAsia="宋体" w:cs="宋体"/>
                <w:b/>
                <w:bCs w:val="0"/>
                <w:color w:val="auto"/>
                <w:sz w:val="21"/>
                <w:szCs w:val="21"/>
                <w:highlight w:val="none"/>
                <w:lang w:val="en-US"/>
              </w:rPr>
              <w:t>若以联合体方式投标的，本项评分内容</w:t>
            </w:r>
            <w:r>
              <w:rPr>
                <w:rFonts w:hint="eastAsia" w:ascii="宋体" w:hAnsi="宋体" w:eastAsia="宋体" w:cs="宋体"/>
                <w:b/>
                <w:bCs w:val="0"/>
                <w:color w:val="auto"/>
                <w:sz w:val="21"/>
                <w:szCs w:val="21"/>
                <w:highlight w:val="none"/>
              </w:rPr>
              <w:t>以</w:t>
            </w:r>
            <w:r>
              <w:rPr>
                <w:rFonts w:hint="eastAsia" w:ascii="宋体" w:hAnsi="宋体" w:eastAsia="宋体" w:cs="宋体"/>
                <w:b/>
                <w:bCs w:val="0"/>
                <w:color w:val="auto"/>
                <w:sz w:val="21"/>
                <w:szCs w:val="21"/>
                <w:highlight w:val="none"/>
                <w:lang w:eastAsia="zh-CN"/>
              </w:rPr>
              <w:t>主办方</w:t>
            </w:r>
            <w:r>
              <w:rPr>
                <w:rFonts w:hint="eastAsia" w:ascii="宋体" w:hAnsi="宋体" w:eastAsia="宋体" w:cs="宋体"/>
                <w:b/>
                <w:bCs w:val="0"/>
                <w:color w:val="auto"/>
                <w:sz w:val="21"/>
                <w:szCs w:val="21"/>
                <w:highlight w:val="none"/>
              </w:rPr>
              <w:t>提供资料为准，成员单位提供不计分。</w:t>
            </w:r>
          </w:p>
        </w:tc>
      </w:tr>
      <w:tr w14:paraId="417BEF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8" w:hRule="atLeast"/>
          <w:jc w:val="center"/>
        </w:trPr>
        <w:tc>
          <w:tcPr>
            <w:tcW w:w="1138" w:type="dxa"/>
            <w:vMerge w:val="continue"/>
            <w:tcBorders>
              <w:left w:val="single" w:color="auto" w:sz="4" w:space="0"/>
              <w:right w:val="single" w:color="auto" w:sz="4" w:space="0"/>
            </w:tcBorders>
            <w:tcMar>
              <w:top w:w="0" w:type="dxa"/>
              <w:left w:w="57" w:type="dxa"/>
              <w:bottom w:w="0" w:type="dxa"/>
              <w:right w:w="57" w:type="dxa"/>
            </w:tcMar>
            <w:vAlign w:val="center"/>
          </w:tcPr>
          <w:p w14:paraId="20D29289">
            <w:pPr>
              <w:jc w:val="center"/>
              <w:rPr>
                <w:rFonts w:ascii="宋体" w:hAnsi="宋体"/>
                <w:color w:val="auto"/>
                <w:szCs w:val="21"/>
                <w:highlight w:val="none"/>
              </w:rPr>
            </w:pPr>
          </w:p>
        </w:tc>
        <w:tc>
          <w:tcPr>
            <w:tcW w:w="2012" w:type="dxa"/>
            <w:gridSpan w:val="2"/>
            <w:vMerge w:val="continue"/>
            <w:tcBorders>
              <w:left w:val="single" w:color="auto" w:sz="4" w:space="0"/>
              <w:right w:val="single" w:color="auto" w:sz="4" w:space="0"/>
            </w:tcBorders>
            <w:tcMar>
              <w:top w:w="0" w:type="dxa"/>
              <w:left w:w="57" w:type="dxa"/>
              <w:bottom w:w="0" w:type="dxa"/>
              <w:right w:w="57" w:type="dxa"/>
            </w:tcMar>
            <w:vAlign w:val="center"/>
          </w:tcPr>
          <w:p w14:paraId="149EACF8">
            <w:pPr>
              <w:jc w:val="center"/>
              <w:rPr>
                <w:color w:val="auto"/>
                <w:highlight w:val="none"/>
              </w:rPr>
            </w:pPr>
          </w:p>
        </w:tc>
        <w:tc>
          <w:tcPr>
            <w:tcW w:w="6493" w:type="dxa"/>
            <w:tcBorders>
              <w:top w:val="single" w:color="auto" w:sz="4" w:space="0"/>
              <w:left w:val="single" w:color="auto" w:sz="4" w:space="0"/>
              <w:bottom w:val="single" w:color="auto" w:sz="4" w:space="0"/>
              <w:right w:val="single" w:color="auto" w:sz="4" w:space="0"/>
            </w:tcBorders>
            <w:shd w:val="clear" w:color="auto" w:fill="auto"/>
            <w:vAlign w:val="top"/>
          </w:tcPr>
          <w:p w14:paraId="6EC9ED77">
            <w:pPr>
              <w:tabs>
                <w:tab w:val="left" w:pos="0"/>
              </w:tabs>
              <w:spacing w:line="276"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投标人</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如为联合体，指联合体主办方</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自20</w:t>
            </w:r>
            <w:r>
              <w:rPr>
                <w:rFonts w:hint="eastAsia" w:ascii="宋体" w:hAnsi="宋体" w:eastAsia="宋体" w:cs="宋体"/>
                <w:color w:val="auto"/>
                <w:sz w:val="21"/>
                <w:szCs w:val="21"/>
                <w:highlight w:val="none"/>
                <w:lang w:val="en-US" w:eastAsia="zh-CN"/>
              </w:rPr>
              <w:t>20</w:t>
            </w:r>
            <w:r>
              <w:rPr>
                <w:rFonts w:hint="eastAsia" w:ascii="宋体" w:hAnsi="宋体" w:eastAsia="宋体" w:cs="宋体"/>
                <w:color w:val="auto"/>
                <w:sz w:val="21"/>
                <w:szCs w:val="21"/>
                <w:highlight w:val="none"/>
              </w:rPr>
              <w:t>年1月1日至投标截止时间止</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获得过</w:t>
            </w:r>
            <w:r>
              <w:rPr>
                <w:rFonts w:hint="eastAsia" w:ascii="宋体" w:hAnsi="宋体" w:eastAsia="宋体" w:cs="宋体"/>
                <w:color w:val="auto"/>
                <w:sz w:val="21"/>
                <w:szCs w:val="21"/>
                <w:highlight w:val="none"/>
                <w:lang w:eastAsia="zh-CN"/>
              </w:rPr>
              <w:t>“科学技术进步奖</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lang w:eastAsia="zh-CN"/>
              </w:rPr>
              <w:t>或</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lang w:eastAsia="zh-CN"/>
              </w:rPr>
              <w:t>科技进步奖</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lang w:eastAsia="zh-CN"/>
              </w:rPr>
              <w:t>或</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lang w:eastAsia="zh-CN"/>
              </w:rPr>
              <w:t>科学技术奖”</w:t>
            </w:r>
            <w:r>
              <w:rPr>
                <w:rFonts w:hint="eastAsia" w:ascii="宋体" w:hAnsi="宋体" w:eastAsia="宋体" w:cs="宋体"/>
                <w:color w:val="auto"/>
                <w:sz w:val="21"/>
                <w:szCs w:val="21"/>
                <w:highlight w:val="none"/>
              </w:rPr>
              <w:t>的：</w:t>
            </w:r>
          </w:p>
          <w:p w14:paraId="6E834566">
            <w:pPr>
              <w:tabs>
                <w:tab w:val="left" w:pos="0"/>
              </w:tabs>
              <w:spacing w:line="276"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）获得过省级</w:t>
            </w:r>
            <w:r>
              <w:rPr>
                <w:rFonts w:hint="eastAsia" w:ascii="宋体" w:hAnsi="宋体" w:eastAsia="宋体" w:cs="宋体"/>
                <w:color w:val="auto"/>
                <w:sz w:val="21"/>
                <w:szCs w:val="21"/>
                <w:highlight w:val="none"/>
                <w:lang w:val="en-US" w:eastAsia="zh-CN"/>
              </w:rPr>
              <w:t>或以上</w:t>
            </w:r>
            <w:r>
              <w:rPr>
                <w:rFonts w:hint="eastAsia" w:ascii="宋体" w:hAnsi="宋体" w:eastAsia="宋体" w:cs="宋体"/>
                <w:color w:val="auto"/>
                <w:sz w:val="21"/>
                <w:szCs w:val="21"/>
                <w:highlight w:val="none"/>
              </w:rPr>
              <w:t>奖励证书的，每项得</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分；</w:t>
            </w:r>
          </w:p>
          <w:p w14:paraId="6B6112F4">
            <w:pPr>
              <w:tabs>
                <w:tab w:val="left" w:pos="0"/>
              </w:tabs>
              <w:spacing w:line="276"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）获得过市级（含副省级市）奖励证书的，每项得</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分。</w:t>
            </w:r>
          </w:p>
          <w:p w14:paraId="1292DDE8">
            <w:pPr>
              <w:tabs>
                <w:tab w:val="left" w:pos="0"/>
              </w:tabs>
              <w:spacing w:line="276" w:lineRule="auto"/>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无则不得分。本项最高得</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分</w:t>
            </w:r>
            <w:r>
              <w:rPr>
                <w:rFonts w:hint="eastAsia" w:ascii="宋体" w:hAnsi="宋体" w:eastAsia="宋体" w:cs="宋体"/>
                <w:color w:val="auto"/>
                <w:sz w:val="21"/>
                <w:szCs w:val="21"/>
                <w:highlight w:val="none"/>
                <w:lang w:val="en-US" w:eastAsia="zh-CN"/>
              </w:rPr>
              <w:t>。</w:t>
            </w:r>
          </w:p>
          <w:p w14:paraId="123E31D1">
            <w:pPr>
              <w:tabs>
                <w:tab w:val="left" w:pos="0"/>
              </w:tabs>
              <w:spacing w:line="276" w:lineRule="auto"/>
              <w:jc w:val="left"/>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注：</w:t>
            </w:r>
            <w:r>
              <w:rPr>
                <w:rFonts w:hint="eastAsia" w:ascii="宋体" w:hAnsi="宋体" w:eastAsia="宋体" w:cs="宋体"/>
                <w:b/>
                <w:bCs/>
                <w:color w:val="auto"/>
                <w:sz w:val="21"/>
                <w:szCs w:val="21"/>
                <w:highlight w:val="none"/>
                <w:lang w:eastAsia="zh-CN"/>
              </w:rPr>
              <w:t>①</w:t>
            </w:r>
            <w:r>
              <w:rPr>
                <w:rFonts w:hint="eastAsia" w:ascii="宋体" w:hAnsi="宋体" w:eastAsia="宋体" w:cs="宋体"/>
                <w:b/>
                <w:bCs/>
                <w:color w:val="auto"/>
                <w:sz w:val="21"/>
                <w:szCs w:val="21"/>
                <w:highlight w:val="none"/>
              </w:rPr>
              <w:t>获奖</w:t>
            </w:r>
            <w:r>
              <w:rPr>
                <w:rFonts w:hint="eastAsia" w:ascii="宋体" w:hAnsi="宋体" w:eastAsia="宋体" w:cs="宋体"/>
                <w:b/>
                <w:bCs/>
                <w:color w:val="auto"/>
                <w:sz w:val="21"/>
                <w:szCs w:val="21"/>
                <w:highlight w:val="none"/>
                <w:lang w:eastAsia="zh-CN"/>
              </w:rPr>
              <w:t>须</w:t>
            </w:r>
            <w:r>
              <w:rPr>
                <w:rFonts w:hint="eastAsia" w:ascii="宋体" w:hAnsi="宋体" w:eastAsia="宋体" w:cs="宋体"/>
                <w:b/>
                <w:bCs/>
                <w:color w:val="auto"/>
                <w:sz w:val="21"/>
                <w:szCs w:val="21"/>
                <w:highlight w:val="none"/>
              </w:rPr>
              <w:t>提供获奖证书原件清晰扫描件并加盖</w:t>
            </w:r>
            <w:r>
              <w:rPr>
                <w:rFonts w:hint="eastAsia" w:ascii="宋体" w:hAnsi="宋体" w:eastAsia="宋体" w:cs="宋体"/>
                <w:b/>
                <w:bCs/>
                <w:color w:val="auto"/>
                <w:sz w:val="21"/>
                <w:szCs w:val="21"/>
                <w:highlight w:val="none"/>
                <w:lang w:eastAsia="zh-CN"/>
              </w:rPr>
              <w:t>单位</w:t>
            </w:r>
            <w:r>
              <w:rPr>
                <w:rFonts w:hint="eastAsia" w:ascii="宋体" w:hAnsi="宋体" w:eastAsia="宋体" w:cs="宋体"/>
                <w:b/>
                <w:bCs/>
                <w:color w:val="auto"/>
                <w:sz w:val="21"/>
                <w:szCs w:val="21"/>
                <w:highlight w:val="none"/>
              </w:rPr>
              <w:t>公章，不提供不得分。</w:t>
            </w:r>
          </w:p>
          <w:p w14:paraId="6674E130">
            <w:pPr>
              <w:numPr>
                <w:ilvl w:val="0"/>
                <w:numId w:val="0"/>
              </w:numPr>
              <w:spacing w:line="360" w:lineRule="exact"/>
              <w:rPr>
                <w:rFonts w:hint="eastAsia" w:ascii="宋体" w:hAnsi="宋体" w:eastAsia="宋体" w:cs="宋体"/>
                <w:b/>
                <w:bCs/>
                <w:color w:val="auto"/>
                <w:kern w:val="0"/>
                <w:sz w:val="21"/>
                <w:szCs w:val="21"/>
                <w:highlight w:val="none"/>
              </w:rPr>
            </w:pPr>
            <w:r>
              <w:rPr>
                <w:rFonts w:hint="eastAsia" w:ascii="宋体" w:hAnsi="宋体" w:eastAsia="宋体" w:cs="宋体"/>
                <w:b/>
                <w:bCs/>
                <w:color w:val="auto"/>
                <w:sz w:val="21"/>
                <w:szCs w:val="21"/>
                <w:highlight w:val="none"/>
                <w:lang w:eastAsia="zh-CN"/>
              </w:rPr>
              <w:t>②</w:t>
            </w:r>
            <w:r>
              <w:rPr>
                <w:rFonts w:hint="eastAsia" w:ascii="宋体" w:hAnsi="宋体" w:eastAsia="宋体" w:cs="宋体"/>
                <w:b/>
                <w:bCs/>
                <w:color w:val="auto"/>
                <w:sz w:val="21"/>
                <w:szCs w:val="21"/>
                <w:highlight w:val="none"/>
              </w:rPr>
              <w:t>科学技术进步奖或科技进步奖或科学技术奖：</w:t>
            </w:r>
            <w:r>
              <w:rPr>
                <w:rFonts w:hint="eastAsia" w:ascii="宋体" w:hAnsi="宋体" w:eastAsia="宋体" w:cs="宋体"/>
                <w:b/>
                <w:bCs/>
                <w:color w:val="auto"/>
                <w:kern w:val="0"/>
                <w:sz w:val="21"/>
                <w:szCs w:val="21"/>
                <w:highlight w:val="none"/>
              </w:rPr>
              <w:t>同一项目获得多个奖项的，按最高奖项计取，不重复计算。获奖时间以获奖证书颁发日期为准，需提供获奖证书等相关证明材料原件彩色扫描件，科学技术奖励证书颁发部门须为国家或省、市人民政府</w:t>
            </w:r>
            <w:r>
              <w:rPr>
                <w:rFonts w:hint="eastAsia" w:ascii="宋体" w:hAnsi="宋体" w:cs="宋体"/>
                <w:b/>
                <w:bCs/>
                <w:color w:val="auto"/>
                <w:kern w:val="0"/>
                <w:sz w:val="21"/>
                <w:szCs w:val="21"/>
                <w:highlight w:val="none"/>
                <w:lang w:eastAsia="zh-CN"/>
              </w:rPr>
              <w:t>、学会或协会</w:t>
            </w:r>
            <w:r>
              <w:rPr>
                <w:rFonts w:hint="eastAsia" w:ascii="宋体" w:hAnsi="宋体" w:eastAsia="宋体" w:cs="宋体"/>
                <w:b/>
                <w:bCs/>
                <w:color w:val="auto"/>
                <w:kern w:val="0"/>
                <w:sz w:val="21"/>
                <w:szCs w:val="21"/>
                <w:highlight w:val="none"/>
              </w:rPr>
              <w:t>，个人奖项不得分。</w:t>
            </w:r>
          </w:p>
          <w:p w14:paraId="3DD182B4">
            <w:pPr>
              <w:numPr>
                <w:ilvl w:val="0"/>
                <w:numId w:val="0"/>
              </w:numPr>
              <w:spacing w:line="360" w:lineRule="exact"/>
              <w:ind w:left="0" w:leftChars="0" w:firstLine="0" w:firstLineChars="0"/>
              <w:rPr>
                <w:rFonts w:hint="eastAsia" w:ascii="宋体" w:hAnsi="宋体" w:eastAsia="宋体" w:cs="Times New Roman"/>
                <w:color w:val="auto"/>
                <w:kern w:val="2"/>
                <w:sz w:val="21"/>
                <w:szCs w:val="21"/>
                <w:highlight w:val="none"/>
                <w:lang w:val="en-US" w:eastAsia="zh-CN" w:bidi="ar-SA"/>
              </w:rPr>
            </w:pPr>
            <w:r>
              <w:rPr>
                <w:rFonts w:hint="eastAsia" w:ascii="宋体" w:hAnsi="宋体" w:eastAsia="宋体" w:cs="宋体"/>
                <w:b/>
                <w:bCs/>
                <w:color w:val="auto"/>
                <w:sz w:val="21"/>
                <w:szCs w:val="21"/>
                <w:highlight w:val="none"/>
                <w:lang w:eastAsia="zh-CN"/>
              </w:rPr>
              <w:t>③</w:t>
            </w:r>
            <w:r>
              <w:rPr>
                <w:rFonts w:hint="eastAsia" w:ascii="宋体" w:hAnsi="宋体" w:eastAsia="宋体" w:cs="宋体"/>
                <w:b/>
                <w:bCs w:val="0"/>
                <w:color w:val="auto"/>
                <w:sz w:val="21"/>
                <w:szCs w:val="21"/>
                <w:highlight w:val="none"/>
                <w:lang w:val="en-US"/>
              </w:rPr>
              <w:t>若以联合体方式投标的，本项评分内容</w:t>
            </w:r>
            <w:r>
              <w:rPr>
                <w:rFonts w:hint="eastAsia" w:ascii="宋体" w:hAnsi="宋体" w:eastAsia="宋体" w:cs="宋体"/>
                <w:b/>
                <w:bCs w:val="0"/>
                <w:color w:val="auto"/>
                <w:sz w:val="21"/>
                <w:szCs w:val="21"/>
                <w:highlight w:val="none"/>
              </w:rPr>
              <w:t>以</w:t>
            </w:r>
            <w:r>
              <w:rPr>
                <w:rFonts w:hint="eastAsia" w:ascii="宋体" w:hAnsi="宋体" w:eastAsia="宋体" w:cs="宋体"/>
                <w:b/>
                <w:bCs w:val="0"/>
                <w:color w:val="auto"/>
                <w:sz w:val="21"/>
                <w:szCs w:val="21"/>
                <w:highlight w:val="none"/>
                <w:lang w:eastAsia="zh-CN"/>
              </w:rPr>
              <w:t>主办方</w:t>
            </w:r>
            <w:r>
              <w:rPr>
                <w:rFonts w:hint="eastAsia" w:ascii="宋体" w:hAnsi="宋体" w:eastAsia="宋体" w:cs="宋体"/>
                <w:b/>
                <w:bCs w:val="0"/>
                <w:color w:val="auto"/>
                <w:sz w:val="21"/>
                <w:szCs w:val="21"/>
                <w:highlight w:val="none"/>
              </w:rPr>
              <w:t>提供资料为准，成员单位提供不计分。</w:t>
            </w:r>
          </w:p>
        </w:tc>
      </w:tr>
      <w:tr w14:paraId="65ACC3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1138" w:type="dxa"/>
            <w:vMerge w:val="continue"/>
            <w:tcBorders>
              <w:left w:val="single" w:color="auto" w:sz="4" w:space="0"/>
              <w:right w:val="single" w:color="auto" w:sz="4" w:space="0"/>
            </w:tcBorders>
            <w:tcMar>
              <w:top w:w="0" w:type="dxa"/>
              <w:left w:w="57" w:type="dxa"/>
              <w:bottom w:w="0" w:type="dxa"/>
              <w:right w:w="57" w:type="dxa"/>
            </w:tcMar>
            <w:vAlign w:val="center"/>
          </w:tcPr>
          <w:p w14:paraId="120EE92B">
            <w:pPr>
              <w:jc w:val="center"/>
              <w:rPr>
                <w:rFonts w:ascii="宋体" w:hAnsi="宋体"/>
                <w:color w:val="auto"/>
                <w:szCs w:val="21"/>
                <w:highlight w:val="none"/>
              </w:rPr>
            </w:pPr>
          </w:p>
        </w:tc>
        <w:tc>
          <w:tcPr>
            <w:tcW w:w="2012" w:type="dxa"/>
            <w:gridSpan w:val="2"/>
            <w:vMerge w:val="continue"/>
            <w:tcBorders>
              <w:left w:val="single" w:color="auto" w:sz="4" w:space="0"/>
              <w:right w:val="single" w:color="auto" w:sz="4" w:space="0"/>
            </w:tcBorders>
            <w:tcMar>
              <w:top w:w="0" w:type="dxa"/>
              <w:left w:w="57" w:type="dxa"/>
              <w:bottom w:w="0" w:type="dxa"/>
              <w:right w:w="57" w:type="dxa"/>
            </w:tcMar>
            <w:vAlign w:val="center"/>
          </w:tcPr>
          <w:p w14:paraId="61BBB48E">
            <w:pPr>
              <w:jc w:val="center"/>
              <w:rPr>
                <w:rFonts w:ascii="宋体" w:hAnsi="宋体"/>
                <w:color w:val="auto"/>
                <w:szCs w:val="21"/>
                <w:highlight w:val="none"/>
              </w:rPr>
            </w:pPr>
          </w:p>
        </w:tc>
        <w:tc>
          <w:tcPr>
            <w:tcW w:w="6493" w:type="dxa"/>
            <w:tcBorders>
              <w:top w:val="single" w:color="auto" w:sz="4" w:space="0"/>
              <w:left w:val="single" w:color="auto" w:sz="4" w:space="0"/>
              <w:bottom w:val="single" w:color="auto" w:sz="4" w:space="0"/>
              <w:right w:val="single" w:color="auto" w:sz="4" w:space="0"/>
            </w:tcBorders>
            <w:vAlign w:val="top"/>
          </w:tcPr>
          <w:p w14:paraId="36BE7ADE">
            <w:pPr>
              <w:numPr>
                <w:ilvl w:val="0"/>
                <w:numId w:val="0"/>
              </w:numPr>
              <w:spacing w:line="288" w:lineRule="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投标人</w:t>
            </w:r>
            <w:r>
              <w:rPr>
                <w:rFonts w:hint="eastAsia" w:ascii="宋体" w:hAnsi="宋体" w:eastAsia="宋体" w:cs="宋体"/>
                <w:b w:val="0"/>
                <w:bCs/>
                <w:color w:val="auto"/>
                <w:sz w:val="21"/>
                <w:szCs w:val="21"/>
                <w:highlight w:val="none"/>
              </w:rPr>
              <w:t>（</w:t>
            </w:r>
            <w:r>
              <w:rPr>
                <w:rFonts w:hint="eastAsia" w:ascii="宋体" w:hAnsi="宋体" w:eastAsia="宋体" w:cs="宋体"/>
                <w:color w:val="auto"/>
                <w:sz w:val="21"/>
                <w:szCs w:val="21"/>
                <w:highlight w:val="none"/>
              </w:rPr>
              <w:t>如为联合体，指联合体主办方</w:t>
            </w:r>
            <w:r>
              <w:rPr>
                <w:rFonts w:hint="eastAsia" w:ascii="宋体" w:hAnsi="宋体" w:eastAsia="宋体" w:cs="宋体"/>
                <w:b w:val="0"/>
                <w:bCs/>
                <w:color w:val="auto"/>
                <w:sz w:val="21"/>
                <w:szCs w:val="21"/>
                <w:highlight w:val="none"/>
              </w:rPr>
              <w:t>）</w:t>
            </w:r>
            <w:r>
              <w:rPr>
                <w:rFonts w:hint="eastAsia" w:ascii="宋体" w:hAnsi="宋体" w:eastAsia="宋体" w:cs="宋体"/>
                <w:bCs/>
                <w:color w:val="auto"/>
                <w:sz w:val="21"/>
                <w:szCs w:val="21"/>
                <w:highlight w:val="none"/>
              </w:rPr>
              <w:t>获得过检测或监测类高新技术产品证书的，每项得</w:t>
            </w:r>
            <w:r>
              <w:rPr>
                <w:rFonts w:hint="eastAsia" w:ascii="宋体" w:hAnsi="宋体" w:eastAsia="宋体" w:cs="宋体"/>
                <w:bCs/>
                <w:color w:val="auto"/>
                <w:sz w:val="21"/>
                <w:szCs w:val="21"/>
                <w:highlight w:val="none"/>
                <w:lang w:val="en-US" w:eastAsia="zh-CN"/>
              </w:rPr>
              <w:t>1</w:t>
            </w:r>
            <w:r>
              <w:rPr>
                <w:rFonts w:hint="eastAsia" w:ascii="宋体" w:hAnsi="宋体" w:eastAsia="宋体" w:cs="宋体"/>
                <w:bCs/>
                <w:color w:val="auto"/>
                <w:sz w:val="21"/>
                <w:szCs w:val="21"/>
                <w:highlight w:val="none"/>
              </w:rPr>
              <w:t>分，本项最多得</w:t>
            </w:r>
            <w:r>
              <w:rPr>
                <w:rFonts w:hint="eastAsia" w:ascii="宋体" w:hAnsi="宋体" w:cs="宋体"/>
                <w:bCs/>
                <w:color w:val="auto"/>
                <w:sz w:val="21"/>
                <w:szCs w:val="21"/>
                <w:highlight w:val="none"/>
                <w:lang w:val="en-US" w:eastAsia="zh-CN"/>
              </w:rPr>
              <w:t>6</w:t>
            </w:r>
            <w:r>
              <w:rPr>
                <w:rFonts w:hint="eastAsia" w:ascii="宋体" w:hAnsi="宋体" w:eastAsia="宋体" w:cs="宋体"/>
                <w:bCs/>
                <w:color w:val="auto"/>
                <w:sz w:val="21"/>
                <w:szCs w:val="21"/>
                <w:highlight w:val="none"/>
              </w:rPr>
              <w:t>分。</w:t>
            </w:r>
          </w:p>
          <w:p w14:paraId="40A74A8B">
            <w:pPr>
              <w:numPr>
                <w:ilvl w:val="0"/>
                <w:numId w:val="0"/>
              </w:numPr>
              <w:spacing w:line="288" w:lineRule="auto"/>
              <w:ind w:left="0" w:leftChars="0" w:firstLine="0" w:firstLineChars="0"/>
              <w:rPr>
                <w:rFonts w:ascii="宋体" w:hAnsi="宋体"/>
                <w:color w:val="auto"/>
                <w:szCs w:val="21"/>
                <w:highlight w:val="none"/>
              </w:rPr>
            </w:pPr>
            <w:r>
              <w:rPr>
                <w:rFonts w:hint="eastAsia" w:ascii="宋体" w:hAnsi="宋体" w:eastAsia="宋体" w:cs="宋体"/>
                <w:b/>
                <w:bCs w:val="0"/>
                <w:color w:val="auto"/>
                <w:sz w:val="21"/>
                <w:szCs w:val="21"/>
                <w:highlight w:val="none"/>
              </w:rPr>
              <w:t>注：</w:t>
            </w:r>
            <w:r>
              <w:rPr>
                <w:rFonts w:hint="eastAsia" w:ascii="宋体" w:hAnsi="宋体" w:eastAsia="宋体" w:cs="宋体"/>
                <w:b/>
                <w:bCs w:val="0"/>
                <w:color w:val="auto"/>
                <w:sz w:val="21"/>
                <w:szCs w:val="21"/>
                <w:highlight w:val="none"/>
                <w:lang w:eastAsia="zh-CN"/>
              </w:rPr>
              <w:t>①</w:t>
            </w:r>
            <w:r>
              <w:rPr>
                <w:rFonts w:hint="eastAsia" w:ascii="宋体" w:hAnsi="宋体" w:eastAsia="宋体" w:cs="宋体"/>
                <w:b/>
                <w:bCs w:val="0"/>
                <w:color w:val="auto"/>
                <w:kern w:val="2"/>
                <w:sz w:val="21"/>
                <w:szCs w:val="21"/>
                <w:highlight w:val="none"/>
                <w:lang w:val="en-US" w:eastAsia="zh-CN" w:bidi="ar-SA"/>
              </w:rPr>
              <w:t>须提供相关证书</w:t>
            </w:r>
            <w:r>
              <w:rPr>
                <w:rFonts w:hint="eastAsia" w:ascii="宋体" w:hAnsi="宋体" w:eastAsia="宋体" w:cs="宋体"/>
                <w:b/>
                <w:bCs/>
                <w:color w:val="auto"/>
                <w:sz w:val="21"/>
                <w:szCs w:val="21"/>
                <w:highlight w:val="none"/>
              </w:rPr>
              <w:t>原件清晰扫描件并加盖</w:t>
            </w:r>
            <w:r>
              <w:rPr>
                <w:rFonts w:hint="eastAsia" w:ascii="宋体" w:hAnsi="宋体" w:eastAsia="宋体" w:cs="宋体"/>
                <w:b/>
                <w:bCs/>
                <w:color w:val="auto"/>
                <w:sz w:val="21"/>
                <w:szCs w:val="21"/>
                <w:highlight w:val="none"/>
                <w:lang w:eastAsia="zh-CN"/>
              </w:rPr>
              <w:t>单位</w:t>
            </w:r>
            <w:r>
              <w:rPr>
                <w:rFonts w:hint="eastAsia" w:ascii="宋体" w:hAnsi="宋体" w:eastAsia="宋体" w:cs="宋体"/>
                <w:b/>
                <w:bCs/>
                <w:color w:val="auto"/>
                <w:sz w:val="21"/>
                <w:szCs w:val="21"/>
                <w:highlight w:val="none"/>
              </w:rPr>
              <w:t>公章</w:t>
            </w:r>
            <w:r>
              <w:rPr>
                <w:rFonts w:hint="eastAsia" w:ascii="宋体" w:hAnsi="宋体" w:eastAsia="宋体" w:cs="宋体"/>
                <w:b/>
                <w:bCs w:val="0"/>
                <w:color w:val="auto"/>
                <w:kern w:val="2"/>
                <w:sz w:val="21"/>
                <w:szCs w:val="21"/>
                <w:highlight w:val="none"/>
                <w:lang w:val="en-US" w:eastAsia="zh-CN" w:bidi="ar-SA"/>
              </w:rPr>
              <w:t>，</w:t>
            </w:r>
            <w:r>
              <w:rPr>
                <w:rFonts w:hint="eastAsia" w:ascii="宋体" w:hAnsi="宋体" w:eastAsia="宋体" w:cs="宋体"/>
                <w:b/>
                <w:bCs w:val="0"/>
                <w:color w:val="auto"/>
                <w:sz w:val="21"/>
                <w:szCs w:val="21"/>
                <w:highlight w:val="none"/>
                <w:lang w:eastAsia="zh-CN"/>
              </w:rPr>
              <w:t>不提供不得分</w:t>
            </w:r>
            <w:r>
              <w:rPr>
                <w:rFonts w:hint="eastAsia" w:ascii="宋体" w:hAnsi="宋体" w:eastAsia="宋体" w:cs="宋体"/>
                <w:b/>
                <w:bCs w:val="0"/>
                <w:color w:val="auto"/>
                <w:kern w:val="2"/>
                <w:sz w:val="21"/>
                <w:szCs w:val="21"/>
                <w:highlight w:val="none"/>
                <w:lang w:val="en-US" w:eastAsia="zh-CN" w:bidi="ar-SA"/>
              </w:rPr>
              <w:t>。</w:t>
            </w:r>
            <w:r>
              <w:rPr>
                <w:rFonts w:hint="eastAsia" w:ascii="宋体" w:hAnsi="宋体" w:eastAsia="宋体" w:cs="宋体"/>
                <w:b/>
                <w:bCs w:val="0"/>
                <w:color w:val="auto"/>
                <w:sz w:val="21"/>
                <w:szCs w:val="21"/>
                <w:highlight w:val="none"/>
                <w:lang w:eastAsia="zh-CN"/>
              </w:rPr>
              <w:t>②</w:t>
            </w:r>
            <w:r>
              <w:rPr>
                <w:rFonts w:hint="eastAsia" w:ascii="宋体" w:hAnsi="宋体" w:eastAsia="宋体" w:cs="宋体"/>
                <w:b/>
                <w:bCs w:val="0"/>
                <w:color w:val="auto"/>
                <w:sz w:val="21"/>
                <w:szCs w:val="21"/>
                <w:highlight w:val="none"/>
                <w:lang w:val="en-US"/>
              </w:rPr>
              <w:t>若以联合体方式投标的，本项评分内容</w:t>
            </w:r>
            <w:r>
              <w:rPr>
                <w:rFonts w:hint="eastAsia" w:ascii="宋体" w:hAnsi="宋体" w:eastAsia="宋体" w:cs="宋体"/>
                <w:b/>
                <w:bCs w:val="0"/>
                <w:color w:val="auto"/>
                <w:sz w:val="21"/>
                <w:szCs w:val="21"/>
                <w:highlight w:val="none"/>
              </w:rPr>
              <w:t>以</w:t>
            </w:r>
            <w:r>
              <w:rPr>
                <w:rFonts w:hint="eastAsia" w:ascii="宋体" w:hAnsi="宋体" w:eastAsia="宋体" w:cs="宋体"/>
                <w:b/>
                <w:bCs w:val="0"/>
                <w:color w:val="auto"/>
                <w:sz w:val="21"/>
                <w:szCs w:val="21"/>
                <w:highlight w:val="none"/>
                <w:lang w:eastAsia="zh-CN"/>
              </w:rPr>
              <w:t>主办方</w:t>
            </w:r>
            <w:r>
              <w:rPr>
                <w:rFonts w:hint="eastAsia" w:ascii="宋体" w:hAnsi="宋体" w:eastAsia="宋体" w:cs="宋体"/>
                <w:b/>
                <w:bCs w:val="0"/>
                <w:color w:val="auto"/>
                <w:sz w:val="21"/>
                <w:szCs w:val="21"/>
                <w:highlight w:val="none"/>
              </w:rPr>
              <w:t>提供资料为准，成员单位提供不计分。</w:t>
            </w:r>
          </w:p>
        </w:tc>
      </w:tr>
      <w:tr w14:paraId="2E1DEE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1" w:hRule="atLeast"/>
          <w:jc w:val="center"/>
        </w:trPr>
        <w:tc>
          <w:tcPr>
            <w:tcW w:w="1138" w:type="dxa"/>
            <w:vMerge w:val="continue"/>
            <w:tcBorders>
              <w:left w:val="single" w:color="auto" w:sz="4" w:space="0"/>
              <w:right w:val="single" w:color="auto" w:sz="4" w:space="0"/>
            </w:tcBorders>
            <w:tcMar>
              <w:top w:w="0" w:type="dxa"/>
              <w:left w:w="57" w:type="dxa"/>
              <w:bottom w:w="0" w:type="dxa"/>
              <w:right w:w="57" w:type="dxa"/>
            </w:tcMar>
            <w:vAlign w:val="center"/>
          </w:tcPr>
          <w:p w14:paraId="5BA9FAD5">
            <w:pPr>
              <w:jc w:val="center"/>
              <w:rPr>
                <w:rFonts w:ascii="宋体" w:hAnsi="宋体"/>
                <w:color w:val="auto"/>
                <w:szCs w:val="21"/>
                <w:highlight w:val="none"/>
              </w:rPr>
            </w:pPr>
          </w:p>
        </w:tc>
        <w:tc>
          <w:tcPr>
            <w:tcW w:w="2012" w:type="dxa"/>
            <w:gridSpan w:val="2"/>
            <w:vMerge w:val="continue"/>
            <w:tcBorders>
              <w:left w:val="single" w:color="auto" w:sz="4" w:space="0"/>
              <w:bottom w:val="single" w:color="auto" w:sz="4" w:space="0"/>
              <w:right w:val="single" w:color="auto" w:sz="4" w:space="0"/>
            </w:tcBorders>
            <w:tcMar>
              <w:top w:w="0" w:type="dxa"/>
              <w:left w:w="57" w:type="dxa"/>
              <w:bottom w:w="0" w:type="dxa"/>
              <w:right w:w="57" w:type="dxa"/>
            </w:tcMar>
            <w:vAlign w:val="center"/>
          </w:tcPr>
          <w:p w14:paraId="7057890D">
            <w:pPr>
              <w:jc w:val="center"/>
              <w:rPr>
                <w:rFonts w:ascii="宋体" w:hAnsi="宋体"/>
                <w:color w:val="auto"/>
                <w:szCs w:val="21"/>
                <w:highlight w:val="none"/>
              </w:rPr>
            </w:pPr>
          </w:p>
        </w:tc>
        <w:tc>
          <w:tcPr>
            <w:tcW w:w="6493" w:type="dxa"/>
            <w:tcBorders>
              <w:top w:val="single" w:color="auto" w:sz="4" w:space="0"/>
              <w:left w:val="single" w:color="auto" w:sz="4" w:space="0"/>
              <w:bottom w:val="single" w:color="auto" w:sz="4" w:space="0"/>
              <w:right w:val="single" w:color="auto" w:sz="4" w:space="0"/>
            </w:tcBorders>
            <w:vAlign w:val="top"/>
          </w:tcPr>
          <w:p w14:paraId="37C23B44">
            <w:pPr>
              <w:widowControl w:val="0"/>
              <w:numPr>
                <w:ilvl w:val="0"/>
                <w:numId w:val="0"/>
              </w:numPr>
              <w:spacing w:line="288" w:lineRule="auto"/>
              <w:ind w:leftChars="0"/>
              <w:jc w:val="both"/>
              <w:rPr>
                <w:rFonts w:hint="eastAsia" w:ascii="宋体" w:hAnsi="宋体" w:eastAsia="宋体" w:cs="宋体"/>
                <w:b w:val="0"/>
                <w:bCs/>
                <w:color w:val="auto"/>
                <w:kern w:val="2"/>
                <w:sz w:val="21"/>
                <w:szCs w:val="21"/>
                <w:highlight w:val="none"/>
                <w:lang w:val="en-US" w:eastAsia="zh-CN" w:bidi="ar-SA"/>
              </w:rPr>
            </w:pPr>
            <w:r>
              <w:rPr>
                <w:rFonts w:hint="eastAsia" w:ascii="宋体" w:hAnsi="宋体" w:eastAsia="宋体" w:cs="宋体"/>
                <w:b w:val="0"/>
                <w:bCs/>
                <w:color w:val="auto"/>
                <w:kern w:val="2"/>
                <w:sz w:val="21"/>
                <w:szCs w:val="21"/>
                <w:highlight w:val="none"/>
                <w:lang w:val="en-US" w:eastAsia="zh-CN" w:bidi="ar-SA"/>
              </w:rPr>
              <w:t>投标人(如为联合体，指联合体主办方)</w:t>
            </w:r>
            <w:r>
              <w:rPr>
                <w:rFonts w:hint="eastAsia" w:ascii="宋体" w:hAnsi="宋体" w:eastAsia="宋体" w:cs="宋体"/>
                <w:color w:val="auto"/>
                <w:sz w:val="21"/>
                <w:szCs w:val="21"/>
                <w:highlight w:val="none"/>
              </w:rPr>
              <w:t>自2020年1月1日至投标截止时间止，获得省级或以上行业协会颁发的行业协会先进单位称号的，每</w:t>
            </w:r>
            <w:r>
              <w:rPr>
                <w:rFonts w:hint="eastAsia" w:ascii="宋体" w:hAnsi="宋体" w:cs="宋体"/>
                <w:color w:val="auto"/>
                <w:sz w:val="21"/>
                <w:szCs w:val="21"/>
                <w:highlight w:val="none"/>
                <w:lang w:eastAsia="zh-CN"/>
              </w:rPr>
              <w:t>一年</w:t>
            </w:r>
            <w:r>
              <w:rPr>
                <w:rFonts w:hint="eastAsia" w:ascii="宋体" w:hAnsi="宋体" w:eastAsia="宋体" w:cs="宋体"/>
                <w:color w:val="auto"/>
                <w:sz w:val="21"/>
                <w:szCs w:val="21"/>
                <w:highlight w:val="none"/>
              </w:rPr>
              <w:t>得</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分</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获得</w:t>
            </w:r>
            <w:r>
              <w:rPr>
                <w:rFonts w:hint="eastAsia" w:ascii="宋体" w:hAnsi="宋体" w:cs="宋体"/>
                <w:color w:val="auto"/>
                <w:sz w:val="21"/>
                <w:szCs w:val="21"/>
                <w:highlight w:val="none"/>
                <w:lang w:eastAsia="zh-CN"/>
              </w:rPr>
              <w:t>市</w:t>
            </w:r>
            <w:r>
              <w:rPr>
                <w:rFonts w:hint="eastAsia" w:ascii="宋体" w:hAnsi="宋体" w:eastAsia="宋体" w:cs="宋体"/>
                <w:color w:val="auto"/>
                <w:sz w:val="21"/>
                <w:szCs w:val="21"/>
                <w:highlight w:val="none"/>
              </w:rPr>
              <w:t>级（含副省级市）行业协会颁发的行业协会先进单位称号的，每</w:t>
            </w:r>
            <w:r>
              <w:rPr>
                <w:rFonts w:hint="eastAsia" w:ascii="宋体" w:hAnsi="宋体" w:cs="宋体"/>
                <w:color w:val="auto"/>
                <w:sz w:val="21"/>
                <w:szCs w:val="21"/>
                <w:highlight w:val="none"/>
                <w:lang w:eastAsia="zh-CN"/>
              </w:rPr>
              <w:t>一年</w:t>
            </w:r>
            <w:r>
              <w:rPr>
                <w:rFonts w:hint="eastAsia" w:ascii="宋体" w:hAnsi="宋体" w:eastAsia="宋体" w:cs="宋体"/>
                <w:color w:val="auto"/>
                <w:sz w:val="21"/>
                <w:szCs w:val="21"/>
                <w:highlight w:val="none"/>
              </w:rPr>
              <w:t>得</w:t>
            </w:r>
            <w:r>
              <w:rPr>
                <w:rFonts w:hint="eastAsia" w:ascii="宋体" w:hAnsi="宋体" w:cs="宋体"/>
                <w:color w:val="auto"/>
                <w:sz w:val="21"/>
                <w:szCs w:val="21"/>
                <w:highlight w:val="none"/>
                <w:lang w:val="en-US" w:eastAsia="zh-CN"/>
              </w:rPr>
              <w:t>0.5</w:t>
            </w:r>
            <w:r>
              <w:rPr>
                <w:rFonts w:hint="eastAsia" w:ascii="宋体" w:hAnsi="宋体" w:eastAsia="宋体" w:cs="宋体"/>
                <w:color w:val="auto"/>
                <w:sz w:val="21"/>
                <w:szCs w:val="21"/>
                <w:highlight w:val="none"/>
              </w:rPr>
              <w:t>分</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本项最多得</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分</w:t>
            </w:r>
            <w:r>
              <w:rPr>
                <w:rFonts w:hint="eastAsia" w:ascii="宋体" w:hAnsi="宋体" w:eastAsia="宋体" w:cs="宋体"/>
                <w:b w:val="0"/>
                <w:bCs/>
                <w:color w:val="auto"/>
                <w:kern w:val="2"/>
                <w:sz w:val="21"/>
                <w:szCs w:val="21"/>
                <w:highlight w:val="none"/>
                <w:lang w:val="en-US" w:eastAsia="zh-CN" w:bidi="ar-SA"/>
              </w:rPr>
              <w:t>。</w:t>
            </w:r>
          </w:p>
          <w:p w14:paraId="0E785089">
            <w:pPr>
              <w:spacing w:line="360" w:lineRule="exact"/>
              <w:rPr>
                <w:rFonts w:ascii="宋体" w:hAnsi="宋体"/>
                <w:color w:val="auto"/>
                <w:szCs w:val="21"/>
                <w:highlight w:val="none"/>
              </w:rPr>
            </w:pPr>
            <w:r>
              <w:rPr>
                <w:rFonts w:hint="eastAsia" w:ascii="宋体" w:hAnsi="宋体" w:eastAsia="宋体" w:cs="宋体"/>
                <w:b/>
                <w:bCs/>
                <w:color w:val="auto"/>
                <w:kern w:val="2"/>
                <w:sz w:val="21"/>
                <w:szCs w:val="21"/>
                <w:highlight w:val="none"/>
                <w:lang w:val="en-US" w:eastAsia="zh-CN" w:bidi="ar-SA"/>
              </w:rPr>
              <w:t>注：①</w:t>
            </w:r>
            <w:r>
              <w:rPr>
                <w:rFonts w:hint="eastAsia" w:ascii="宋体" w:hAnsi="宋体" w:eastAsia="宋体" w:cs="宋体"/>
                <w:b/>
                <w:bCs/>
                <w:color w:val="auto"/>
                <w:sz w:val="21"/>
                <w:szCs w:val="21"/>
                <w:highlight w:val="none"/>
              </w:rPr>
              <w:t>需提供近五年截止至最近评审年度（2024年）的证书清晰扫描件及查询结果网页截图证明材料，没有提供的不得分。同一年度获得多次的</w:t>
            </w:r>
            <w:r>
              <w:rPr>
                <w:rFonts w:hint="eastAsia" w:ascii="宋体" w:hAnsi="宋体" w:cs="宋体"/>
                <w:b/>
                <w:bCs/>
                <w:color w:val="auto"/>
                <w:sz w:val="21"/>
                <w:szCs w:val="21"/>
                <w:highlight w:val="none"/>
                <w:lang w:eastAsia="zh-CN"/>
              </w:rPr>
              <w:t>，</w:t>
            </w:r>
            <w:r>
              <w:rPr>
                <w:rFonts w:hint="eastAsia" w:ascii="宋体" w:hAnsi="宋体" w:eastAsia="宋体" w:cs="宋体"/>
                <w:b/>
                <w:bCs/>
                <w:color w:val="auto"/>
                <w:kern w:val="0"/>
                <w:sz w:val="21"/>
                <w:szCs w:val="21"/>
                <w:highlight w:val="none"/>
              </w:rPr>
              <w:t>按最高奖项计取，</w:t>
            </w:r>
            <w:r>
              <w:rPr>
                <w:rFonts w:hint="eastAsia" w:ascii="宋体" w:hAnsi="宋体" w:eastAsia="宋体" w:cs="宋体"/>
                <w:b/>
                <w:bCs/>
                <w:color w:val="auto"/>
                <w:sz w:val="21"/>
                <w:szCs w:val="21"/>
                <w:highlight w:val="none"/>
              </w:rPr>
              <w:t>只计算一次，如提供相关行业协会颁发的证书，则须同时提供该行业协会在“中国社会组织政务服务平台(全国社会组织信用信息公示平台)”（https://xxgs.chinanpo.mca.gov.cn/gsxt/newList）有登记的网页查询截图，同时须提供其在査询结果“状态”栏必须为“正常”，否则不予计分</w:t>
            </w: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kern w:val="2"/>
                <w:sz w:val="21"/>
                <w:szCs w:val="21"/>
                <w:highlight w:val="none"/>
                <w:lang w:val="en-US" w:eastAsia="zh-CN" w:bidi="ar-SA"/>
              </w:rPr>
              <w:t>没有提供的不得分。</w:t>
            </w:r>
            <w:r>
              <w:rPr>
                <w:rFonts w:hint="eastAsia" w:ascii="宋体" w:hAnsi="宋体" w:eastAsia="宋体" w:cs="宋体"/>
                <w:b/>
                <w:bCs w:val="0"/>
                <w:color w:val="auto"/>
                <w:sz w:val="21"/>
                <w:szCs w:val="21"/>
                <w:highlight w:val="none"/>
                <w:lang w:eastAsia="zh-CN"/>
              </w:rPr>
              <w:t>②</w:t>
            </w:r>
            <w:r>
              <w:rPr>
                <w:rFonts w:hint="eastAsia" w:ascii="宋体" w:hAnsi="宋体" w:eastAsia="宋体" w:cs="宋体"/>
                <w:b/>
                <w:bCs w:val="0"/>
                <w:color w:val="auto"/>
                <w:sz w:val="21"/>
                <w:szCs w:val="21"/>
                <w:highlight w:val="none"/>
                <w:lang w:val="en-US"/>
              </w:rPr>
              <w:t>若以联合体方式投标的，本项评分内容</w:t>
            </w:r>
            <w:r>
              <w:rPr>
                <w:rFonts w:hint="eastAsia" w:ascii="宋体" w:hAnsi="宋体" w:eastAsia="宋体" w:cs="宋体"/>
                <w:b/>
                <w:bCs w:val="0"/>
                <w:color w:val="auto"/>
                <w:sz w:val="21"/>
                <w:szCs w:val="21"/>
                <w:highlight w:val="none"/>
              </w:rPr>
              <w:t>以</w:t>
            </w:r>
            <w:r>
              <w:rPr>
                <w:rFonts w:hint="eastAsia" w:ascii="宋体" w:hAnsi="宋体" w:eastAsia="宋体" w:cs="宋体"/>
                <w:b/>
                <w:bCs w:val="0"/>
                <w:color w:val="auto"/>
                <w:sz w:val="21"/>
                <w:szCs w:val="21"/>
                <w:highlight w:val="none"/>
                <w:lang w:eastAsia="zh-CN"/>
              </w:rPr>
              <w:t>主办方</w:t>
            </w:r>
            <w:r>
              <w:rPr>
                <w:rFonts w:hint="eastAsia" w:ascii="宋体" w:hAnsi="宋体" w:eastAsia="宋体" w:cs="宋体"/>
                <w:b/>
                <w:bCs w:val="0"/>
                <w:color w:val="auto"/>
                <w:sz w:val="21"/>
                <w:szCs w:val="21"/>
                <w:highlight w:val="none"/>
              </w:rPr>
              <w:t>提供资料为准，成员单位提供不计分。</w:t>
            </w:r>
          </w:p>
        </w:tc>
      </w:tr>
      <w:tr w14:paraId="736C3E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38" w:type="dxa"/>
            <w:vMerge w:val="continue"/>
            <w:tcBorders>
              <w:left w:val="single" w:color="auto" w:sz="4" w:space="0"/>
              <w:right w:val="single" w:color="auto" w:sz="4" w:space="0"/>
            </w:tcBorders>
            <w:vAlign w:val="center"/>
          </w:tcPr>
          <w:p w14:paraId="793483B8">
            <w:pPr>
              <w:jc w:val="center"/>
              <w:rPr>
                <w:rFonts w:ascii="宋体" w:hAnsi="宋体" w:cs="宋体"/>
                <w:color w:val="auto"/>
                <w:szCs w:val="21"/>
                <w:highlight w:val="none"/>
              </w:rPr>
            </w:pPr>
          </w:p>
        </w:tc>
        <w:tc>
          <w:tcPr>
            <w:tcW w:w="1035" w:type="dxa"/>
            <w:vMerge w:val="restart"/>
            <w:tcBorders>
              <w:top w:val="single" w:color="auto" w:sz="4" w:space="0"/>
              <w:left w:val="single" w:color="auto" w:sz="4" w:space="0"/>
              <w:right w:val="single" w:color="auto" w:sz="4" w:space="0"/>
            </w:tcBorders>
            <w:tcMar>
              <w:top w:w="0" w:type="dxa"/>
              <w:left w:w="57" w:type="dxa"/>
              <w:bottom w:w="0" w:type="dxa"/>
              <w:right w:w="57" w:type="dxa"/>
            </w:tcMar>
            <w:vAlign w:val="center"/>
          </w:tcPr>
          <w:p w14:paraId="711B850E">
            <w:pPr>
              <w:ind w:right="126"/>
              <w:jc w:val="center"/>
              <w:rPr>
                <w:rFonts w:ascii="宋体" w:hAnsi="宋体" w:cs="宋体"/>
                <w:color w:val="auto"/>
                <w:szCs w:val="21"/>
                <w:highlight w:val="none"/>
              </w:rPr>
            </w:pPr>
            <w:r>
              <w:rPr>
                <w:rFonts w:hint="eastAsia" w:ascii="宋体" w:hAnsi="宋体" w:cs="宋体"/>
                <w:color w:val="auto"/>
                <w:szCs w:val="21"/>
                <w:highlight w:val="none"/>
              </w:rPr>
              <w:t>拟投入本项目的管理班子</w:t>
            </w:r>
          </w:p>
          <w:p w14:paraId="36456F3A">
            <w:pPr>
              <w:ind w:right="126"/>
              <w:jc w:val="center"/>
              <w:rPr>
                <w:rFonts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20</w:t>
            </w:r>
            <w:r>
              <w:rPr>
                <w:rFonts w:hint="eastAsia" w:ascii="宋体" w:hAnsi="宋体" w:cs="宋体"/>
                <w:color w:val="auto"/>
                <w:szCs w:val="21"/>
                <w:highlight w:val="none"/>
              </w:rPr>
              <w:t>分）</w:t>
            </w:r>
          </w:p>
        </w:tc>
        <w:tc>
          <w:tcPr>
            <w:tcW w:w="977" w:type="dxa"/>
            <w:tcBorders>
              <w:top w:val="single" w:color="auto" w:sz="4" w:space="0"/>
              <w:left w:val="single" w:color="auto" w:sz="4" w:space="0"/>
              <w:right w:val="single" w:color="auto" w:sz="4" w:space="0"/>
            </w:tcBorders>
            <w:tcMar>
              <w:top w:w="0" w:type="dxa"/>
              <w:left w:w="57" w:type="dxa"/>
              <w:bottom w:w="0" w:type="dxa"/>
              <w:right w:w="57" w:type="dxa"/>
            </w:tcMar>
            <w:vAlign w:val="center"/>
          </w:tcPr>
          <w:p w14:paraId="48FA366D">
            <w:pPr>
              <w:spacing w:line="276" w:lineRule="auto"/>
              <w:jc w:val="center"/>
              <w:rPr>
                <w:rFonts w:hint="eastAsia" w:ascii="宋体" w:hAnsi="宋体" w:cs="宋体"/>
                <w:color w:val="auto"/>
                <w:szCs w:val="21"/>
                <w:highlight w:val="none"/>
              </w:rPr>
            </w:pPr>
            <w:r>
              <w:rPr>
                <w:rFonts w:hint="eastAsia" w:ascii="宋体" w:hAnsi="宋体" w:cs="宋体"/>
                <w:color w:val="auto"/>
                <w:szCs w:val="21"/>
                <w:highlight w:val="none"/>
              </w:rPr>
              <w:t>项目负责人</w:t>
            </w:r>
          </w:p>
          <w:p w14:paraId="7729B985">
            <w:pPr>
              <w:ind w:right="126"/>
              <w:jc w:val="center"/>
              <w:rPr>
                <w:rFonts w:hint="eastAsia" w:ascii="宋体" w:hAnsi="宋体" w:cs="宋体"/>
                <w:color w:val="auto"/>
                <w:szCs w:val="21"/>
                <w:highlight w:val="none"/>
                <w:lang w:val="zh-CN"/>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6</w:t>
            </w:r>
            <w:r>
              <w:rPr>
                <w:rFonts w:hint="eastAsia" w:ascii="宋体" w:hAnsi="宋体" w:cs="宋体"/>
                <w:color w:val="auto"/>
                <w:szCs w:val="21"/>
                <w:highlight w:val="none"/>
              </w:rPr>
              <w:t>分）</w:t>
            </w:r>
          </w:p>
        </w:tc>
        <w:tc>
          <w:tcPr>
            <w:tcW w:w="6493" w:type="dxa"/>
            <w:tcBorders>
              <w:top w:val="single" w:color="auto" w:sz="4" w:space="0"/>
              <w:left w:val="single" w:color="auto" w:sz="4" w:space="0"/>
              <w:bottom w:val="single" w:color="auto" w:sz="4" w:space="0"/>
              <w:right w:val="single" w:color="auto" w:sz="4" w:space="0"/>
            </w:tcBorders>
            <w:vAlign w:val="top"/>
          </w:tcPr>
          <w:p w14:paraId="4E08A013">
            <w:pP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项目</w:t>
            </w:r>
            <w:r>
              <w:rPr>
                <w:rFonts w:hint="eastAsia" w:ascii="宋体" w:hAnsi="宋体" w:eastAsia="宋体" w:cs="宋体"/>
                <w:color w:val="auto"/>
                <w:sz w:val="21"/>
                <w:szCs w:val="21"/>
                <w:highlight w:val="none"/>
              </w:rPr>
              <w:t>负责人</w:t>
            </w:r>
            <w:r>
              <w:rPr>
                <w:rFonts w:hint="eastAsia" w:ascii="宋体" w:hAnsi="宋体" w:cs="宋体"/>
                <w:color w:val="auto"/>
                <w:sz w:val="21"/>
                <w:szCs w:val="21"/>
                <w:highlight w:val="none"/>
                <w:lang w:eastAsia="zh-CN"/>
              </w:rPr>
              <w:t>：</w:t>
            </w:r>
          </w:p>
          <w:p w14:paraId="432F70CE">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（1）具有工程</w:t>
            </w:r>
            <w:r>
              <w:rPr>
                <w:rFonts w:hint="eastAsia" w:ascii="宋体" w:hAnsi="宋体" w:eastAsia="宋体" w:cs="宋体"/>
                <w:color w:val="auto"/>
                <w:sz w:val="21"/>
                <w:szCs w:val="21"/>
                <w:highlight w:val="none"/>
                <w:lang w:val="en-US" w:eastAsia="zh-CN"/>
              </w:rPr>
              <w:t>类</w:t>
            </w:r>
            <w:r>
              <w:rPr>
                <w:rFonts w:hint="eastAsia" w:ascii="宋体" w:hAnsi="宋体" w:eastAsia="宋体" w:cs="宋体"/>
                <w:color w:val="auto"/>
                <w:sz w:val="21"/>
                <w:szCs w:val="21"/>
                <w:highlight w:val="none"/>
              </w:rPr>
              <w:t>高级工程师</w:t>
            </w:r>
            <w:r>
              <w:rPr>
                <w:rFonts w:hint="eastAsia" w:ascii="宋体" w:hAnsi="宋体" w:cs="宋体"/>
                <w:color w:val="auto"/>
                <w:sz w:val="21"/>
                <w:szCs w:val="21"/>
                <w:highlight w:val="none"/>
                <w:lang w:eastAsia="zh-CN"/>
              </w:rPr>
              <w:t>（或以上）</w:t>
            </w:r>
            <w:r>
              <w:rPr>
                <w:rFonts w:hint="eastAsia" w:ascii="宋体" w:hAnsi="宋体" w:eastAsia="宋体" w:cs="宋体"/>
                <w:color w:val="auto"/>
                <w:sz w:val="21"/>
                <w:szCs w:val="21"/>
                <w:highlight w:val="none"/>
              </w:rPr>
              <w:t>职称的，得</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分</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具有工程</w:t>
            </w:r>
            <w:r>
              <w:rPr>
                <w:rFonts w:hint="eastAsia" w:ascii="宋体" w:hAnsi="宋体" w:eastAsia="宋体" w:cs="宋体"/>
                <w:color w:val="auto"/>
                <w:sz w:val="21"/>
                <w:szCs w:val="21"/>
                <w:highlight w:val="none"/>
                <w:lang w:val="en-US" w:eastAsia="zh-CN"/>
              </w:rPr>
              <w:t>类</w:t>
            </w:r>
            <w:r>
              <w:rPr>
                <w:rFonts w:hint="eastAsia" w:ascii="宋体" w:hAnsi="宋体" w:cs="宋体"/>
                <w:color w:val="auto"/>
                <w:sz w:val="21"/>
                <w:szCs w:val="21"/>
                <w:highlight w:val="none"/>
                <w:lang w:eastAsia="zh-CN"/>
              </w:rPr>
              <w:t>中级</w:t>
            </w:r>
            <w:r>
              <w:rPr>
                <w:rFonts w:hint="eastAsia" w:ascii="宋体" w:hAnsi="宋体" w:eastAsia="宋体" w:cs="宋体"/>
                <w:color w:val="auto"/>
                <w:sz w:val="21"/>
                <w:szCs w:val="21"/>
                <w:highlight w:val="none"/>
              </w:rPr>
              <w:t>工程师职称的</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得2分</w:t>
            </w:r>
            <w:r>
              <w:rPr>
                <w:rFonts w:hint="eastAsia" w:ascii="宋体" w:hAnsi="宋体" w:eastAsia="宋体" w:cs="宋体"/>
                <w:color w:val="auto"/>
                <w:sz w:val="21"/>
                <w:szCs w:val="21"/>
                <w:highlight w:val="none"/>
              </w:rPr>
              <w:t>。本小项最高得</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分；</w:t>
            </w:r>
          </w:p>
          <w:p w14:paraId="5FC7FF51">
            <w:pP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（2）具有注册土木工程师（岩土）</w:t>
            </w:r>
            <w:r>
              <w:rPr>
                <w:rFonts w:hint="eastAsia" w:ascii="宋体" w:hAnsi="宋体" w:eastAsia="宋体" w:cs="宋体"/>
                <w:color w:val="auto"/>
                <w:sz w:val="21"/>
                <w:szCs w:val="21"/>
                <w:highlight w:val="none"/>
                <w:lang w:val="en-US" w:eastAsia="zh-CN"/>
              </w:rPr>
              <w:t>或一级</w:t>
            </w:r>
            <w:r>
              <w:rPr>
                <w:rFonts w:hint="eastAsia" w:ascii="宋体" w:hAnsi="宋体" w:eastAsia="宋体" w:cs="宋体"/>
                <w:color w:val="auto"/>
                <w:sz w:val="21"/>
                <w:szCs w:val="21"/>
                <w:highlight w:val="none"/>
              </w:rPr>
              <w:t>注册</w:t>
            </w:r>
            <w:r>
              <w:rPr>
                <w:rFonts w:hint="eastAsia" w:ascii="宋体" w:hAnsi="宋体" w:eastAsia="宋体" w:cs="宋体"/>
                <w:color w:val="auto"/>
                <w:sz w:val="21"/>
                <w:szCs w:val="21"/>
                <w:highlight w:val="none"/>
                <w:lang w:val="en-US" w:eastAsia="zh-CN"/>
              </w:rPr>
              <w:t>结构工程师</w:t>
            </w:r>
            <w:r>
              <w:rPr>
                <w:rFonts w:hint="eastAsia" w:ascii="宋体" w:hAnsi="宋体" w:eastAsia="宋体" w:cs="宋体"/>
                <w:color w:val="auto"/>
                <w:sz w:val="21"/>
                <w:szCs w:val="21"/>
                <w:highlight w:val="none"/>
              </w:rPr>
              <w:t>执业资格证书且注册单位为投标单位的得</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分</w:t>
            </w:r>
            <w:r>
              <w:rPr>
                <w:rFonts w:hint="eastAsia" w:ascii="宋体" w:hAnsi="宋体" w:eastAsia="宋体" w:cs="宋体"/>
                <w:color w:val="auto"/>
                <w:sz w:val="21"/>
                <w:szCs w:val="21"/>
                <w:highlight w:val="none"/>
                <w:lang w:eastAsia="zh-CN"/>
              </w:rPr>
              <w:t>。</w:t>
            </w:r>
          </w:p>
          <w:p w14:paraId="5BF02345">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其余不得分，本项最多得</w:t>
            </w: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rPr>
              <w:t>分。</w:t>
            </w:r>
          </w:p>
          <w:p w14:paraId="61DB8767">
            <w:pPr>
              <w:spacing w:line="360" w:lineRule="exact"/>
              <w:ind w:right="126" w:rightChars="0"/>
              <w:rPr>
                <w:rFonts w:hint="eastAsia" w:ascii="宋体" w:hAnsi="宋体" w:cs="宋体"/>
                <w:color w:val="auto"/>
                <w:szCs w:val="21"/>
                <w:highlight w:val="none"/>
                <w:lang w:val="zh-CN"/>
              </w:rPr>
            </w:pPr>
            <w:r>
              <w:rPr>
                <w:rFonts w:hint="eastAsia" w:ascii="宋体" w:hAnsi="宋体" w:eastAsia="宋体" w:cs="宋体"/>
                <w:b/>
                <w:bCs/>
                <w:color w:val="auto"/>
                <w:sz w:val="21"/>
                <w:szCs w:val="21"/>
                <w:highlight w:val="none"/>
              </w:rPr>
              <w:t>注：</w:t>
            </w:r>
            <w:r>
              <w:rPr>
                <w:rFonts w:hint="eastAsia" w:ascii="宋体" w:hAnsi="宋体" w:eastAsia="宋体" w:cs="宋体"/>
                <w:b/>
                <w:bCs/>
                <w:color w:val="auto"/>
                <w:sz w:val="21"/>
                <w:szCs w:val="21"/>
                <w:highlight w:val="none"/>
                <w:lang w:eastAsia="zh-CN"/>
              </w:rPr>
              <w:t>①</w:t>
            </w:r>
            <w:r>
              <w:rPr>
                <w:rFonts w:hint="eastAsia" w:ascii="宋体" w:hAnsi="宋体" w:eastAsia="宋体" w:cs="宋体"/>
                <w:b/>
                <w:bCs/>
                <w:color w:val="auto"/>
                <w:sz w:val="21"/>
                <w:szCs w:val="21"/>
                <w:highlight w:val="none"/>
              </w:rPr>
              <w:t>项目负责人与技术负责人不可兼任。须提供身份证、职称证书、注册证</w:t>
            </w:r>
            <w:r>
              <w:rPr>
                <w:rFonts w:hint="eastAsia" w:ascii="宋体" w:hAnsi="宋体" w:eastAsia="宋体" w:cs="宋体"/>
                <w:b/>
                <w:bCs/>
                <w:color w:val="auto"/>
                <w:sz w:val="21"/>
                <w:szCs w:val="21"/>
                <w:highlight w:val="none"/>
                <w:lang w:eastAsia="zh-CN"/>
              </w:rPr>
              <w:t>（</w:t>
            </w:r>
            <w:r>
              <w:rPr>
                <w:rFonts w:hint="eastAsia"/>
                <w:b/>
                <w:bCs/>
                <w:color w:val="auto"/>
                <w:highlight w:val="none"/>
              </w:rPr>
              <w:t>注册证需提供全国建筑市场监管公共服务平台（四库一平台）截图</w:t>
            </w:r>
            <w:r>
              <w:rPr>
                <w:rFonts w:hint="eastAsia"/>
                <w:b/>
                <w:bCs/>
                <w:color w:val="auto"/>
                <w:highlight w:val="none"/>
                <w:lang w:eastAsia="zh-CN"/>
              </w:rPr>
              <w:t>）</w:t>
            </w:r>
            <w:r>
              <w:rPr>
                <w:rFonts w:hint="eastAsia" w:ascii="宋体" w:hAnsi="宋体" w:eastAsia="宋体" w:cs="宋体"/>
                <w:b/>
                <w:bCs/>
                <w:color w:val="auto"/>
                <w:sz w:val="21"/>
                <w:szCs w:val="21"/>
                <w:highlight w:val="none"/>
                <w:lang w:eastAsia="zh-CN"/>
              </w:rPr>
              <w:t>等</w:t>
            </w:r>
            <w:r>
              <w:rPr>
                <w:rFonts w:hint="eastAsia" w:ascii="宋体" w:hAnsi="宋体" w:eastAsia="宋体" w:cs="宋体"/>
                <w:b/>
                <w:bCs/>
                <w:color w:val="auto"/>
                <w:sz w:val="21"/>
                <w:szCs w:val="21"/>
                <w:highlight w:val="none"/>
              </w:rPr>
              <w:t>扫描件，提供近1月（即扣除招标公告发布当月前一个月）在本单位参保的社保缴纳证明材料，并加盖</w:t>
            </w:r>
            <w:r>
              <w:rPr>
                <w:rFonts w:hint="eastAsia" w:ascii="宋体" w:hAnsi="宋体" w:eastAsia="宋体" w:cs="宋体"/>
                <w:b/>
                <w:bCs/>
                <w:color w:val="auto"/>
                <w:sz w:val="21"/>
                <w:szCs w:val="21"/>
                <w:highlight w:val="none"/>
                <w:lang w:eastAsia="zh-CN"/>
              </w:rPr>
              <w:t>单位</w:t>
            </w:r>
            <w:r>
              <w:rPr>
                <w:rFonts w:hint="eastAsia" w:ascii="宋体" w:hAnsi="宋体" w:eastAsia="宋体" w:cs="宋体"/>
                <w:b/>
                <w:bCs/>
                <w:color w:val="auto"/>
                <w:sz w:val="21"/>
                <w:szCs w:val="21"/>
                <w:highlight w:val="none"/>
              </w:rPr>
              <w:t>公章，否则不得分。</w:t>
            </w:r>
            <w:r>
              <w:rPr>
                <w:rFonts w:hint="eastAsia" w:ascii="宋体" w:hAnsi="宋体" w:eastAsia="宋体" w:cs="宋体"/>
                <w:b/>
                <w:bCs/>
                <w:color w:val="auto"/>
                <w:sz w:val="21"/>
                <w:szCs w:val="21"/>
                <w:highlight w:val="none"/>
                <w:lang w:val="en-US" w:eastAsia="zh-CN"/>
              </w:rPr>
              <w:t>②</w:t>
            </w:r>
            <w:r>
              <w:rPr>
                <w:rFonts w:hint="eastAsia" w:ascii="宋体" w:hAnsi="宋体" w:eastAsia="宋体" w:cs="宋体"/>
                <w:b/>
                <w:bCs w:val="0"/>
                <w:color w:val="auto"/>
                <w:sz w:val="21"/>
                <w:szCs w:val="21"/>
                <w:highlight w:val="none"/>
                <w:lang w:val="en-US"/>
              </w:rPr>
              <w:t>若以联合体方式投标的，本项评分内容</w:t>
            </w:r>
            <w:r>
              <w:rPr>
                <w:rFonts w:hint="eastAsia" w:ascii="宋体" w:hAnsi="宋体" w:eastAsia="宋体" w:cs="宋体"/>
                <w:b/>
                <w:bCs w:val="0"/>
                <w:color w:val="auto"/>
                <w:sz w:val="21"/>
                <w:szCs w:val="21"/>
                <w:highlight w:val="none"/>
              </w:rPr>
              <w:t>以</w:t>
            </w:r>
            <w:r>
              <w:rPr>
                <w:rFonts w:hint="eastAsia" w:ascii="宋体" w:hAnsi="宋体" w:eastAsia="宋体" w:cs="宋体"/>
                <w:b/>
                <w:bCs w:val="0"/>
                <w:color w:val="auto"/>
                <w:sz w:val="21"/>
                <w:szCs w:val="21"/>
                <w:highlight w:val="none"/>
                <w:lang w:eastAsia="zh-CN"/>
              </w:rPr>
              <w:t>主办方</w:t>
            </w:r>
            <w:r>
              <w:rPr>
                <w:rFonts w:hint="eastAsia" w:ascii="宋体" w:hAnsi="宋体" w:eastAsia="宋体" w:cs="宋体"/>
                <w:b/>
                <w:bCs w:val="0"/>
                <w:color w:val="auto"/>
                <w:sz w:val="21"/>
                <w:szCs w:val="21"/>
                <w:highlight w:val="none"/>
              </w:rPr>
              <w:t>提供资料为准，成员单位提供不计分。</w:t>
            </w:r>
          </w:p>
        </w:tc>
      </w:tr>
      <w:tr w14:paraId="01D6A1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38" w:type="dxa"/>
            <w:vMerge w:val="continue"/>
            <w:tcBorders>
              <w:left w:val="single" w:color="auto" w:sz="4" w:space="0"/>
              <w:right w:val="single" w:color="auto" w:sz="4" w:space="0"/>
            </w:tcBorders>
            <w:vAlign w:val="center"/>
          </w:tcPr>
          <w:p w14:paraId="0EC40E23">
            <w:pPr>
              <w:jc w:val="center"/>
              <w:rPr>
                <w:rFonts w:ascii="宋体" w:hAnsi="宋体" w:cs="宋体"/>
                <w:color w:val="auto"/>
                <w:szCs w:val="21"/>
                <w:highlight w:val="none"/>
              </w:rPr>
            </w:pPr>
          </w:p>
        </w:tc>
        <w:tc>
          <w:tcPr>
            <w:tcW w:w="1035" w:type="dxa"/>
            <w:vMerge w:val="continue"/>
            <w:tcBorders>
              <w:left w:val="single" w:color="auto" w:sz="4" w:space="0"/>
              <w:right w:val="single" w:color="auto" w:sz="4" w:space="0"/>
            </w:tcBorders>
            <w:tcMar>
              <w:top w:w="0" w:type="dxa"/>
              <w:left w:w="57" w:type="dxa"/>
              <w:bottom w:w="0" w:type="dxa"/>
              <w:right w:w="57" w:type="dxa"/>
            </w:tcMar>
            <w:vAlign w:val="center"/>
          </w:tcPr>
          <w:p w14:paraId="72FBCFD7">
            <w:pPr>
              <w:ind w:right="126"/>
              <w:jc w:val="center"/>
              <w:rPr>
                <w:rFonts w:hint="eastAsia" w:ascii="宋体" w:hAnsi="宋体" w:cs="宋体"/>
                <w:color w:val="auto"/>
                <w:szCs w:val="21"/>
                <w:highlight w:val="none"/>
              </w:rPr>
            </w:pPr>
          </w:p>
        </w:tc>
        <w:tc>
          <w:tcPr>
            <w:tcW w:w="977" w:type="dxa"/>
            <w:tcBorders>
              <w:top w:val="single" w:color="auto" w:sz="4" w:space="0"/>
              <w:left w:val="single" w:color="auto" w:sz="4" w:space="0"/>
              <w:right w:val="single" w:color="auto" w:sz="4" w:space="0"/>
            </w:tcBorders>
            <w:tcMar>
              <w:top w:w="0" w:type="dxa"/>
              <w:left w:w="57" w:type="dxa"/>
              <w:bottom w:w="0" w:type="dxa"/>
              <w:right w:w="57" w:type="dxa"/>
            </w:tcMar>
            <w:vAlign w:val="center"/>
          </w:tcPr>
          <w:p w14:paraId="53FB8FA3">
            <w:pPr>
              <w:spacing w:line="276" w:lineRule="auto"/>
              <w:jc w:val="center"/>
              <w:rPr>
                <w:rFonts w:hint="eastAsia" w:ascii="宋体" w:hAnsi="宋体" w:cs="宋体"/>
                <w:color w:val="auto"/>
                <w:szCs w:val="21"/>
                <w:highlight w:val="none"/>
              </w:rPr>
            </w:pPr>
            <w:r>
              <w:rPr>
                <w:rFonts w:hint="eastAsia" w:ascii="宋体" w:hAnsi="宋体" w:cs="宋体"/>
                <w:color w:val="auto"/>
                <w:szCs w:val="21"/>
                <w:highlight w:val="none"/>
              </w:rPr>
              <w:t>技术负责人</w:t>
            </w:r>
          </w:p>
          <w:p w14:paraId="3D162203">
            <w:pPr>
              <w:ind w:right="126"/>
              <w:jc w:val="center"/>
              <w:rPr>
                <w:rFonts w:hint="eastAsia"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4</w:t>
            </w:r>
            <w:r>
              <w:rPr>
                <w:rFonts w:hint="eastAsia" w:ascii="宋体" w:hAnsi="宋体" w:cs="宋体"/>
                <w:color w:val="auto"/>
                <w:szCs w:val="21"/>
                <w:highlight w:val="none"/>
              </w:rPr>
              <w:t>分）</w:t>
            </w:r>
          </w:p>
        </w:tc>
        <w:tc>
          <w:tcPr>
            <w:tcW w:w="6493" w:type="dxa"/>
            <w:tcBorders>
              <w:top w:val="single" w:color="auto" w:sz="4" w:space="0"/>
              <w:left w:val="single" w:color="auto" w:sz="4" w:space="0"/>
              <w:bottom w:val="single" w:color="auto" w:sz="4" w:space="0"/>
              <w:right w:val="single" w:color="auto" w:sz="4" w:space="0"/>
            </w:tcBorders>
            <w:vAlign w:val="top"/>
          </w:tcPr>
          <w:p w14:paraId="4FB2F8F8">
            <w:pP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技术负责人</w:t>
            </w:r>
            <w:r>
              <w:rPr>
                <w:rFonts w:hint="eastAsia" w:ascii="宋体" w:hAnsi="宋体" w:cs="宋体"/>
                <w:color w:val="auto"/>
                <w:sz w:val="21"/>
                <w:szCs w:val="21"/>
                <w:highlight w:val="none"/>
                <w:lang w:eastAsia="zh-CN"/>
              </w:rPr>
              <w:t>：</w:t>
            </w:r>
          </w:p>
          <w:p w14:paraId="7975C410">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（1）具有工程</w:t>
            </w:r>
            <w:r>
              <w:rPr>
                <w:rFonts w:hint="eastAsia" w:ascii="宋体" w:hAnsi="宋体" w:eastAsia="宋体" w:cs="宋体"/>
                <w:color w:val="auto"/>
                <w:sz w:val="21"/>
                <w:szCs w:val="21"/>
                <w:highlight w:val="none"/>
                <w:lang w:val="en-US" w:eastAsia="zh-CN"/>
              </w:rPr>
              <w:t>类</w:t>
            </w:r>
            <w:r>
              <w:rPr>
                <w:rFonts w:hint="eastAsia" w:ascii="宋体" w:hAnsi="宋体" w:eastAsia="宋体" w:cs="宋体"/>
                <w:color w:val="auto"/>
                <w:sz w:val="21"/>
                <w:szCs w:val="21"/>
                <w:highlight w:val="none"/>
              </w:rPr>
              <w:t>高级工程师</w:t>
            </w:r>
            <w:r>
              <w:rPr>
                <w:rFonts w:hint="eastAsia" w:ascii="宋体" w:hAnsi="宋体" w:cs="宋体"/>
                <w:color w:val="auto"/>
                <w:sz w:val="21"/>
                <w:szCs w:val="21"/>
                <w:highlight w:val="none"/>
                <w:lang w:eastAsia="zh-CN"/>
              </w:rPr>
              <w:t>（或以上）</w:t>
            </w:r>
            <w:r>
              <w:rPr>
                <w:rFonts w:hint="eastAsia" w:ascii="宋体" w:hAnsi="宋体" w:eastAsia="宋体" w:cs="宋体"/>
                <w:color w:val="auto"/>
                <w:sz w:val="21"/>
                <w:szCs w:val="21"/>
                <w:highlight w:val="none"/>
              </w:rPr>
              <w:t>职称的</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得</w:t>
            </w:r>
            <w:r>
              <w:rPr>
                <w:rFonts w:hint="eastAsia" w:ascii="宋体" w:hAnsi="宋体" w:cs="宋体"/>
                <w:color w:val="auto"/>
                <w:sz w:val="21"/>
                <w:szCs w:val="21"/>
                <w:highlight w:val="none"/>
                <w:lang w:val="en-US" w:eastAsia="zh-CN"/>
              </w:rPr>
              <w:t>2</w:t>
            </w:r>
            <w:r>
              <w:rPr>
                <w:rFonts w:hint="eastAsia" w:ascii="宋体" w:hAnsi="宋体" w:eastAsia="宋体" w:cs="宋体"/>
                <w:color w:val="auto"/>
                <w:sz w:val="21"/>
                <w:szCs w:val="21"/>
                <w:highlight w:val="none"/>
                <w:lang w:val="en-US" w:eastAsia="zh-CN"/>
              </w:rPr>
              <w:t>分；具有工程类中级工程师职称的，得</w:t>
            </w:r>
            <w:r>
              <w:rPr>
                <w:rFonts w:hint="eastAsia" w:ascii="宋体" w:hAnsi="宋体" w:cs="宋体"/>
                <w:color w:val="auto"/>
                <w:sz w:val="21"/>
                <w:szCs w:val="21"/>
                <w:highlight w:val="none"/>
                <w:lang w:val="en-US" w:eastAsia="zh-CN"/>
              </w:rPr>
              <w:t>1</w:t>
            </w:r>
            <w:r>
              <w:rPr>
                <w:rFonts w:hint="eastAsia" w:ascii="宋体" w:hAnsi="宋体" w:eastAsia="宋体" w:cs="宋体"/>
                <w:color w:val="auto"/>
                <w:sz w:val="21"/>
                <w:szCs w:val="21"/>
                <w:highlight w:val="none"/>
                <w:lang w:val="en-US" w:eastAsia="zh-CN"/>
              </w:rPr>
              <w:t>分。</w:t>
            </w:r>
            <w:r>
              <w:rPr>
                <w:rFonts w:hint="eastAsia" w:ascii="宋体" w:hAnsi="宋体" w:eastAsia="宋体" w:cs="宋体"/>
                <w:color w:val="auto"/>
                <w:sz w:val="21"/>
                <w:szCs w:val="21"/>
                <w:highlight w:val="none"/>
              </w:rPr>
              <w:t>本小项最高得</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分；</w:t>
            </w:r>
          </w:p>
          <w:p w14:paraId="4F4028FA">
            <w:pP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（2）具有注册土木工程师（岩土）</w:t>
            </w:r>
            <w:r>
              <w:rPr>
                <w:rFonts w:hint="eastAsia" w:ascii="宋体" w:hAnsi="宋体" w:eastAsia="宋体" w:cs="宋体"/>
                <w:color w:val="auto"/>
                <w:sz w:val="21"/>
                <w:szCs w:val="21"/>
                <w:highlight w:val="none"/>
                <w:lang w:val="en-US" w:eastAsia="zh-CN"/>
              </w:rPr>
              <w:t>或一级</w:t>
            </w:r>
            <w:r>
              <w:rPr>
                <w:rFonts w:hint="eastAsia" w:ascii="宋体" w:hAnsi="宋体" w:eastAsia="宋体" w:cs="宋体"/>
                <w:color w:val="auto"/>
                <w:sz w:val="21"/>
                <w:szCs w:val="21"/>
                <w:highlight w:val="none"/>
              </w:rPr>
              <w:t>注册</w:t>
            </w:r>
            <w:r>
              <w:rPr>
                <w:rFonts w:hint="eastAsia" w:ascii="宋体" w:hAnsi="宋体" w:eastAsia="宋体" w:cs="宋体"/>
                <w:color w:val="auto"/>
                <w:sz w:val="21"/>
                <w:szCs w:val="21"/>
                <w:highlight w:val="none"/>
                <w:lang w:val="en-US" w:eastAsia="zh-CN"/>
              </w:rPr>
              <w:t>结构工程师</w:t>
            </w:r>
            <w:r>
              <w:rPr>
                <w:rFonts w:hint="eastAsia" w:ascii="宋体" w:hAnsi="宋体" w:eastAsia="宋体" w:cs="宋体"/>
                <w:color w:val="auto"/>
                <w:sz w:val="21"/>
                <w:szCs w:val="21"/>
                <w:highlight w:val="none"/>
              </w:rPr>
              <w:t>执业资格证书且注册单位为投标单位的得</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分</w:t>
            </w:r>
            <w:r>
              <w:rPr>
                <w:rFonts w:hint="eastAsia" w:ascii="宋体" w:hAnsi="宋体" w:eastAsia="宋体" w:cs="宋体"/>
                <w:color w:val="auto"/>
                <w:sz w:val="21"/>
                <w:szCs w:val="21"/>
                <w:highlight w:val="none"/>
                <w:lang w:eastAsia="zh-CN"/>
              </w:rPr>
              <w:t>。</w:t>
            </w:r>
          </w:p>
          <w:p w14:paraId="2C9CE754">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其余不得分，本项最多得</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分。</w:t>
            </w:r>
          </w:p>
          <w:p w14:paraId="684ED968">
            <w:pPr>
              <w:spacing w:line="360" w:lineRule="exact"/>
              <w:ind w:right="126" w:rightChars="0"/>
              <w:rPr>
                <w:rFonts w:hint="eastAsia" w:ascii="宋体" w:hAnsi="宋体" w:cs="宋体"/>
                <w:color w:val="auto"/>
                <w:szCs w:val="21"/>
                <w:highlight w:val="none"/>
                <w:lang w:val="zh-CN"/>
              </w:rPr>
            </w:pPr>
            <w:r>
              <w:rPr>
                <w:rFonts w:hint="eastAsia" w:ascii="宋体" w:hAnsi="宋体" w:eastAsia="宋体" w:cs="宋体"/>
                <w:b/>
                <w:bCs/>
                <w:color w:val="auto"/>
                <w:sz w:val="21"/>
                <w:szCs w:val="21"/>
                <w:highlight w:val="none"/>
              </w:rPr>
              <w:t>注：</w:t>
            </w:r>
            <w:r>
              <w:rPr>
                <w:rFonts w:hint="eastAsia" w:ascii="宋体" w:hAnsi="宋体" w:eastAsia="宋体" w:cs="宋体"/>
                <w:b/>
                <w:bCs/>
                <w:color w:val="auto"/>
                <w:sz w:val="21"/>
                <w:szCs w:val="21"/>
                <w:highlight w:val="none"/>
                <w:lang w:eastAsia="zh-CN"/>
              </w:rPr>
              <w:t>①</w:t>
            </w:r>
            <w:r>
              <w:rPr>
                <w:rFonts w:hint="eastAsia" w:ascii="宋体" w:hAnsi="宋体" w:eastAsia="宋体" w:cs="宋体"/>
                <w:b/>
                <w:bCs/>
                <w:color w:val="auto"/>
                <w:sz w:val="21"/>
                <w:szCs w:val="21"/>
                <w:highlight w:val="none"/>
              </w:rPr>
              <w:t>项目负责人与技术负责人不可兼任。须提供身份证</w:t>
            </w:r>
            <w:r>
              <w:rPr>
                <w:rFonts w:hint="eastAsia" w:ascii="宋体" w:hAnsi="宋体" w:eastAsia="宋体" w:cs="宋体"/>
                <w:b/>
                <w:bCs/>
                <w:color w:val="auto"/>
                <w:sz w:val="21"/>
                <w:szCs w:val="21"/>
                <w:highlight w:val="none"/>
                <w:lang w:val="en-US" w:eastAsia="zh-CN"/>
              </w:rPr>
              <w:t>、</w:t>
            </w:r>
            <w:r>
              <w:rPr>
                <w:rFonts w:hint="eastAsia" w:ascii="宋体" w:hAnsi="宋体" w:eastAsia="宋体" w:cs="宋体"/>
                <w:b/>
                <w:bCs/>
                <w:color w:val="auto"/>
                <w:sz w:val="21"/>
                <w:szCs w:val="21"/>
                <w:highlight w:val="none"/>
              </w:rPr>
              <w:t>职称证书、</w:t>
            </w:r>
            <w:r>
              <w:rPr>
                <w:rFonts w:hint="eastAsia" w:ascii="宋体" w:hAnsi="宋体" w:eastAsia="宋体" w:cs="宋体"/>
                <w:b/>
                <w:bCs/>
                <w:color w:val="auto"/>
                <w:sz w:val="21"/>
                <w:szCs w:val="21"/>
                <w:highlight w:val="none"/>
                <w:lang w:eastAsia="zh-CN"/>
              </w:rPr>
              <w:t>注册证（</w:t>
            </w:r>
            <w:r>
              <w:rPr>
                <w:rFonts w:hint="eastAsia"/>
                <w:b/>
                <w:bCs/>
                <w:color w:val="auto"/>
                <w:highlight w:val="none"/>
              </w:rPr>
              <w:t>注册证需提供全国建筑市场监管公共服务平台（四库一平台）截图</w:t>
            </w:r>
            <w:r>
              <w:rPr>
                <w:rFonts w:hint="eastAsia"/>
                <w:b/>
                <w:bCs/>
                <w:color w:val="auto"/>
                <w:highlight w:val="none"/>
                <w:lang w:eastAsia="zh-CN"/>
              </w:rPr>
              <w:t>）</w:t>
            </w:r>
            <w:r>
              <w:rPr>
                <w:rFonts w:hint="eastAsia" w:ascii="宋体" w:hAnsi="宋体" w:eastAsia="宋体" w:cs="宋体"/>
                <w:b/>
                <w:bCs/>
                <w:color w:val="auto"/>
                <w:sz w:val="21"/>
                <w:szCs w:val="21"/>
                <w:highlight w:val="none"/>
              </w:rPr>
              <w:t>等扫描件，提供近1月（即扣除招标公告发布当月前一个月）在本单位参保的社保缴纳证明材料，并加盖公章，否则不得分。</w:t>
            </w:r>
            <w:r>
              <w:rPr>
                <w:rFonts w:hint="eastAsia" w:ascii="宋体" w:hAnsi="宋体" w:eastAsia="宋体" w:cs="宋体"/>
                <w:b/>
                <w:bCs/>
                <w:color w:val="auto"/>
                <w:sz w:val="21"/>
                <w:szCs w:val="21"/>
                <w:highlight w:val="none"/>
                <w:lang w:val="en-US" w:eastAsia="zh-CN"/>
              </w:rPr>
              <w:t>②</w:t>
            </w:r>
            <w:r>
              <w:rPr>
                <w:rFonts w:hint="eastAsia" w:ascii="宋体" w:hAnsi="宋体" w:eastAsia="宋体" w:cs="宋体"/>
                <w:b/>
                <w:bCs w:val="0"/>
                <w:color w:val="auto"/>
                <w:sz w:val="21"/>
                <w:szCs w:val="21"/>
                <w:highlight w:val="none"/>
                <w:lang w:val="en-US"/>
              </w:rPr>
              <w:t>若以联合体方式投标的，本项评分内容</w:t>
            </w:r>
            <w:r>
              <w:rPr>
                <w:rFonts w:hint="eastAsia" w:ascii="宋体" w:hAnsi="宋体" w:eastAsia="宋体" w:cs="宋体"/>
                <w:b/>
                <w:bCs w:val="0"/>
                <w:color w:val="auto"/>
                <w:sz w:val="21"/>
                <w:szCs w:val="21"/>
                <w:highlight w:val="none"/>
              </w:rPr>
              <w:t>以</w:t>
            </w:r>
            <w:r>
              <w:rPr>
                <w:rFonts w:hint="eastAsia" w:ascii="宋体" w:hAnsi="宋体" w:eastAsia="宋体" w:cs="宋体"/>
                <w:b/>
                <w:bCs w:val="0"/>
                <w:color w:val="auto"/>
                <w:sz w:val="21"/>
                <w:szCs w:val="21"/>
                <w:highlight w:val="none"/>
                <w:lang w:eastAsia="zh-CN"/>
              </w:rPr>
              <w:t>主办方</w:t>
            </w:r>
            <w:r>
              <w:rPr>
                <w:rFonts w:hint="eastAsia" w:ascii="宋体" w:hAnsi="宋体" w:eastAsia="宋体" w:cs="宋体"/>
                <w:b/>
                <w:bCs w:val="0"/>
                <w:color w:val="auto"/>
                <w:sz w:val="21"/>
                <w:szCs w:val="21"/>
                <w:highlight w:val="none"/>
              </w:rPr>
              <w:t>提供资料为准，成员单位提供不计分。</w:t>
            </w:r>
          </w:p>
        </w:tc>
      </w:tr>
      <w:tr w14:paraId="726A25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6" w:hRule="atLeast"/>
          <w:jc w:val="center"/>
        </w:trPr>
        <w:tc>
          <w:tcPr>
            <w:tcW w:w="1138" w:type="dxa"/>
            <w:vMerge w:val="continue"/>
            <w:tcBorders>
              <w:left w:val="single" w:color="auto" w:sz="4" w:space="0"/>
              <w:bottom w:val="single" w:color="auto" w:sz="4" w:space="0"/>
              <w:right w:val="single" w:color="auto" w:sz="4" w:space="0"/>
            </w:tcBorders>
            <w:vAlign w:val="center"/>
          </w:tcPr>
          <w:p w14:paraId="7B3BA993">
            <w:pPr>
              <w:jc w:val="center"/>
              <w:rPr>
                <w:rFonts w:ascii="宋体" w:hAnsi="宋体" w:cs="宋体"/>
                <w:color w:val="auto"/>
                <w:szCs w:val="21"/>
                <w:highlight w:val="none"/>
              </w:rPr>
            </w:pPr>
          </w:p>
        </w:tc>
        <w:tc>
          <w:tcPr>
            <w:tcW w:w="1035" w:type="dxa"/>
            <w:vMerge w:val="continue"/>
            <w:tcBorders>
              <w:left w:val="single" w:color="auto" w:sz="4" w:space="0"/>
              <w:bottom w:val="single" w:color="auto" w:sz="4" w:space="0"/>
              <w:right w:val="single" w:color="auto" w:sz="4" w:space="0"/>
            </w:tcBorders>
            <w:tcMar>
              <w:top w:w="0" w:type="dxa"/>
              <w:left w:w="57" w:type="dxa"/>
              <w:bottom w:w="0" w:type="dxa"/>
              <w:right w:w="57" w:type="dxa"/>
            </w:tcMar>
          </w:tcPr>
          <w:p w14:paraId="5A45CC47">
            <w:pPr>
              <w:jc w:val="center"/>
              <w:rPr>
                <w:rFonts w:ascii="宋体" w:hAnsi="宋体"/>
                <w:color w:val="auto"/>
                <w:szCs w:val="21"/>
                <w:highlight w:val="none"/>
              </w:rPr>
            </w:pPr>
          </w:p>
        </w:tc>
        <w:tc>
          <w:tcPr>
            <w:tcW w:w="977" w:type="dxa"/>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vAlign w:val="center"/>
          </w:tcPr>
          <w:p w14:paraId="6BAB7424">
            <w:pPr>
              <w:spacing w:line="276" w:lineRule="auto"/>
              <w:jc w:val="center"/>
              <w:rPr>
                <w:rFonts w:hint="eastAsia" w:ascii="宋体" w:hAnsi="宋体" w:cs="宋体"/>
                <w:color w:val="auto"/>
                <w:szCs w:val="21"/>
                <w:highlight w:val="none"/>
              </w:rPr>
            </w:pPr>
            <w:r>
              <w:rPr>
                <w:rFonts w:hint="eastAsia" w:ascii="宋体" w:hAnsi="宋体" w:cs="宋体"/>
                <w:color w:val="auto"/>
                <w:szCs w:val="21"/>
                <w:highlight w:val="none"/>
                <w:lang w:val="zh-CN"/>
              </w:rPr>
              <w:t>主要技术人员（除项目负责人、</w:t>
            </w:r>
            <w:r>
              <w:rPr>
                <w:rFonts w:hint="eastAsia" w:ascii="宋体" w:hAnsi="宋体" w:cs="宋体"/>
                <w:color w:val="auto"/>
                <w:szCs w:val="21"/>
                <w:highlight w:val="none"/>
              </w:rPr>
              <w:t>技术负责人</w:t>
            </w:r>
          </w:p>
          <w:p w14:paraId="22E0CD47">
            <w:pPr>
              <w:spacing w:line="360" w:lineRule="auto"/>
              <w:ind w:right="126"/>
              <w:jc w:val="both"/>
              <w:rPr>
                <w:rFonts w:ascii="宋体" w:hAnsi="宋体" w:cs="宋体"/>
                <w:color w:val="auto"/>
                <w:szCs w:val="21"/>
                <w:highlight w:val="none"/>
                <w:lang w:val="zh-CN"/>
              </w:rPr>
            </w:pPr>
            <w:r>
              <w:rPr>
                <w:rFonts w:hint="eastAsia" w:ascii="宋体" w:hAnsi="宋体" w:cs="宋体"/>
                <w:color w:val="auto"/>
                <w:szCs w:val="21"/>
                <w:highlight w:val="none"/>
                <w:lang w:val="zh-CN"/>
              </w:rPr>
              <w:t>以外）（10分）</w:t>
            </w:r>
          </w:p>
        </w:tc>
        <w:tc>
          <w:tcPr>
            <w:tcW w:w="6493" w:type="dxa"/>
            <w:tcBorders>
              <w:top w:val="single" w:color="auto" w:sz="4" w:space="0"/>
              <w:left w:val="single" w:color="auto" w:sz="4" w:space="0"/>
              <w:bottom w:val="single" w:color="auto" w:sz="4" w:space="0"/>
              <w:right w:val="single" w:color="auto" w:sz="4" w:space="0"/>
            </w:tcBorders>
            <w:vAlign w:val="center"/>
          </w:tcPr>
          <w:p w14:paraId="0EB0B7E6">
            <w:pPr>
              <w:spacing w:line="276" w:lineRule="auto"/>
              <w:jc w:val="left"/>
              <w:rPr>
                <w:rFonts w:hint="eastAsia" w:ascii="宋体" w:hAnsi="宋体" w:cs="宋体"/>
                <w:color w:val="auto"/>
                <w:szCs w:val="21"/>
                <w:highlight w:val="none"/>
              </w:rPr>
            </w:pPr>
            <w:r>
              <w:rPr>
                <w:rFonts w:hint="eastAsia" w:ascii="宋体" w:hAnsi="宋体" w:cs="宋体"/>
                <w:color w:val="auto"/>
                <w:szCs w:val="21"/>
                <w:highlight w:val="none"/>
              </w:rPr>
              <w:t>投标人(如为联合体，指联合体各方提供均可)配备的主要检测技术人员（不含项目负责人及技术负责人）：</w:t>
            </w:r>
          </w:p>
          <w:p w14:paraId="5153F99C">
            <w:pPr>
              <w:spacing w:line="276" w:lineRule="auto"/>
              <w:jc w:val="left"/>
              <w:rPr>
                <w:rFonts w:hint="eastAsia" w:ascii="宋体" w:hAnsi="宋体" w:cs="宋体"/>
                <w:color w:val="auto"/>
                <w:szCs w:val="21"/>
                <w:highlight w:val="none"/>
              </w:rPr>
            </w:pPr>
            <w:r>
              <w:rPr>
                <w:rFonts w:hint="eastAsia" w:ascii="宋体" w:hAnsi="宋体" w:cs="宋体"/>
                <w:color w:val="auto"/>
                <w:szCs w:val="21"/>
                <w:highlight w:val="none"/>
              </w:rPr>
              <w:t>（1）具有工程类高级工程师（或以上）职称，每人得1分，具有工程类工程师职称，每人得</w:t>
            </w:r>
            <w:r>
              <w:rPr>
                <w:rFonts w:hint="eastAsia" w:ascii="宋体" w:hAnsi="宋体" w:cs="宋体"/>
                <w:color w:val="auto"/>
                <w:szCs w:val="21"/>
                <w:highlight w:val="none"/>
                <w:lang w:val="en-US" w:eastAsia="zh-CN"/>
              </w:rPr>
              <w:t>0.5</w:t>
            </w:r>
            <w:r>
              <w:rPr>
                <w:rFonts w:hint="eastAsia" w:ascii="宋体" w:hAnsi="宋体" w:cs="宋体"/>
                <w:color w:val="auto"/>
                <w:szCs w:val="21"/>
                <w:highlight w:val="none"/>
              </w:rPr>
              <w:t>分</w:t>
            </w:r>
            <w:r>
              <w:rPr>
                <w:rFonts w:hint="eastAsia" w:ascii="宋体" w:hAnsi="宋体" w:cs="宋体"/>
                <w:color w:val="auto"/>
                <w:szCs w:val="21"/>
                <w:highlight w:val="none"/>
                <w:lang w:eastAsia="zh-CN"/>
              </w:rPr>
              <w:t>，</w:t>
            </w:r>
            <w:r>
              <w:rPr>
                <w:rFonts w:hint="eastAsia" w:ascii="宋体" w:hAnsi="宋体" w:cs="宋体"/>
                <w:color w:val="auto"/>
                <w:szCs w:val="21"/>
                <w:highlight w:val="none"/>
              </w:rPr>
              <w:t>本小项最多得</w:t>
            </w:r>
            <w:r>
              <w:rPr>
                <w:rFonts w:hint="eastAsia" w:ascii="宋体" w:hAnsi="宋体" w:cs="宋体"/>
                <w:color w:val="auto"/>
                <w:szCs w:val="21"/>
                <w:highlight w:val="none"/>
                <w:lang w:val="en-US" w:eastAsia="zh-CN"/>
              </w:rPr>
              <w:t>5</w:t>
            </w:r>
            <w:r>
              <w:rPr>
                <w:rFonts w:hint="eastAsia" w:ascii="宋体" w:hAnsi="宋体" w:cs="宋体"/>
                <w:color w:val="auto"/>
                <w:szCs w:val="21"/>
                <w:highlight w:val="none"/>
              </w:rPr>
              <w:t>分；</w:t>
            </w:r>
          </w:p>
          <w:p w14:paraId="273BD7D5">
            <w:pPr>
              <w:spacing w:line="276" w:lineRule="auto"/>
              <w:jc w:val="left"/>
              <w:rPr>
                <w:rFonts w:hint="eastAsia" w:ascii="宋体" w:hAnsi="宋体" w:cs="宋体"/>
                <w:color w:val="auto"/>
                <w:szCs w:val="21"/>
                <w:highlight w:val="none"/>
              </w:rPr>
            </w:pPr>
            <w:r>
              <w:rPr>
                <w:rFonts w:hint="eastAsia" w:ascii="宋体" w:hAnsi="宋体" w:cs="宋体"/>
                <w:color w:val="auto"/>
                <w:szCs w:val="21"/>
                <w:highlight w:val="none"/>
              </w:rPr>
              <w:t>（2）具有检测员岗位证或检测鉴定培训合格证的，每人得0.5分，本小项最多得</w:t>
            </w:r>
            <w:r>
              <w:rPr>
                <w:rFonts w:hint="eastAsia" w:ascii="宋体" w:hAnsi="宋体" w:cs="宋体"/>
                <w:color w:val="auto"/>
                <w:szCs w:val="21"/>
                <w:highlight w:val="none"/>
                <w:lang w:val="en-US" w:eastAsia="zh-CN"/>
              </w:rPr>
              <w:t>5</w:t>
            </w:r>
            <w:r>
              <w:rPr>
                <w:rFonts w:hint="eastAsia" w:ascii="宋体" w:hAnsi="宋体" w:cs="宋体"/>
                <w:color w:val="auto"/>
                <w:szCs w:val="21"/>
                <w:highlight w:val="none"/>
              </w:rPr>
              <w:t>分；</w:t>
            </w:r>
          </w:p>
          <w:p w14:paraId="519D05D9">
            <w:pPr>
              <w:spacing w:line="276" w:lineRule="auto"/>
              <w:jc w:val="left"/>
              <w:rPr>
                <w:rFonts w:hint="eastAsia" w:ascii="宋体" w:hAnsi="宋体" w:cs="宋体"/>
                <w:color w:val="auto"/>
                <w:szCs w:val="21"/>
                <w:highlight w:val="none"/>
              </w:rPr>
            </w:pPr>
            <w:r>
              <w:rPr>
                <w:rFonts w:hint="eastAsia" w:ascii="宋体" w:hAnsi="宋体" w:cs="宋体"/>
                <w:color w:val="auto"/>
                <w:szCs w:val="21"/>
                <w:highlight w:val="none"/>
              </w:rPr>
              <w:t>其余不得分，本项最多得</w:t>
            </w:r>
            <w:r>
              <w:rPr>
                <w:rFonts w:hint="eastAsia" w:ascii="宋体" w:hAnsi="宋体" w:cs="宋体"/>
                <w:color w:val="auto"/>
                <w:szCs w:val="21"/>
                <w:highlight w:val="none"/>
                <w:lang w:val="en-US" w:eastAsia="zh-CN"/>
              </w:rPr>
              <w:t>10</w:t>
            </w:r>
            <w:r>
              <w:rPr>
                <w:rFonts w:hint="eastAsia" w:ascii="宋体" w:hAnsi="宋体" w:cs="宋体"/>
                <w:color w:val="auto"/>
                <w:szCs w:val="21"/>
                <w:highlight w:val="none"/>
              </w:rPr>
              <w:t>分。</w:t>
            </w:r>
          </w:p>
          <w:p w14:paraId="2C1EF54E">
            <w:pPr>
              <w:spacing w:line="360" w:lineRule="exact"/>
              <w:ind w:right="125"/>
              <w:rPr>
                <w:rFonts w:ascii="宋体" w:hAnsi="宋体" w:cs="宋体"/>
                <w:color w:val="auto"/>
                <w:szCs w:val="21"/>
                <w:highlight w:val="none"/>
                <w:lang w:val="zh-CN"/>
              </w:rPr>
            </w:pPr>
            <w:r>
              <w:rPr>
                <w:rFonts w:hint="eastAsia" w:ascii="宋体" w:hAnsi="宋体" w:cs="宋体"/>
                <w:b/>
                <w:bCs/>
                <w:color w:val="auto"/>
                <w:szCs w:val="21"/>
                <w:highlight w:val="none"/>
              </w:rPr>
              <w:t>注：须提供身份证、职称证书、检测员证或合格证扫描件，提供近1月（即扣除招标公告发布当月前一个月）在本单位连续参保的社保缴纳证明材料，并加盖公章，否则不得分。</w:t>
            </w:r>
            <w:r>
              <w:rPr>
                <w:rFonts w:hint="eastAsia"/>
                <w:b/>
                <w:bCs/>
                <w:color w:val="auto"/>
                <w:highlight w:val="none"/>
              </w:rPr>
              <w:t>若以联合体方式投标的，本项评分内容以牵头方提供资料为准，成员单位提供不计分。</w:t>
            </w:r>
          </w:p>
        </w:tc>
      </w:tr>
      <w:tr w14:paraId="2E164A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8" w:hRule="atLeast"/>
          <w:jc w:val="center"/>
        </w:trPr>
        <w:tc>
          <w:tcPr>
            <w:tcW w:w="1138" w:type="dxa"/>
            <w:vMerge w:val="restart"/>
            <w:tcBorders>
              <w:top w:val="single" w:color="auto" w:sz="4" w:space="0"/>
              <w:left w:val="single" w:color="auto" w:sz="4" w:space="0"/>
              <w:right w:val="single" w:color="auto" w:sz="4" w:space="0"/>
            </w:tcBorders>
            <w:tcMar>
              <w:top w:w="0" w:type="dxa"/>
              <w:left w:w="57" w:type="dxa"/>
              <w:bottom w:w="0" w:type="dxa"/>
              <w:right w:w="57" w:type="dxa"/>
            </w:tcMar>
          </w:tcPr>
          <w:p w14:paraId="449D0182">
            <w:pPr>
              <w:jc w:val="center"/>
              <w:rPr>
                <w:rFonts w:ascii="宋体" w:hAnsi="宋体"/>
                <w:color w:val="auto"/>
                <w:szCs w:val="21"/>
                <w:highlight w:val="none"/>
              </w:rPr>
            </w:pPr>
          </w:p>
          <w:p w14:paraId="0A78746C">
            <w:pPr>
              <w:jc w:val="center"/>
              <w:rPr>
                <w:rFonts w:ascii="宋体" w:hAnsi="宋体"/>
                <w:color w:val="auto"/>
                <w:szCs w:val="21"/>
                <w:highlight w:val="none"/>
              </w:rPr>
            </w:pPr>
          </w:p>
          <w:p w14:paraId="53EAA121">
            <w:pPr>
              <w:jc w:val="center"/>
              <w:rPr>
                <w:rFonts w:ascii="宋体" w:hAnsi="宋体"/>
                <w:color w:val="auto"/>
                <w:szCs w:val="21"/>
                <w:highlight w:val="none"/>
              </w:rPr>
            </w:pPr>
          </w:p>
          <w:p w14:paraId="5EB650C6">
            <w:pPr>
              <w:jc w:val="center"/>
              <w:rPr>
                <w:rFonts w:ascii="宋体" w:hAnsi="宋体"/>
                <w:color w:val="auto"/>
                <w:szCs w:val="21"/>
                <w:highlight w:val="none"/>
              </w:rPr>
            </w:pPr>
          </w:p>
          <w:p w14:paraId="48BA39ED">
            <w:pPr>
              <w:jc w:val="center"/>
              <w:rPr>
                <w:rFonts w:ascii="宋体" w:hAnsi="宋体"/>
                <w:color w:val="auto"/>
                <w:szCs w:val="21"/>
                <w:highlight w:val="none"/>
              </w:rPr>
            </w:pPr>
          </w:p>
          <w:p w14:paraId="66A80B07">
            <w:pPr>
              <w:jc w:val="center"/>
              <w:rPr>
                <w:rFonts w:ascii="宋体" w:hAnsi="宋体"/>
                <w:color w:val="auto"/>
                <w:szCs w:val="21"/>
                <w:highlight w:val="none"/>
              </w:rPr>
            </w:pPr>
          </w:p>
          <w:p w14:paraId="79FAC81E">
            <w:pPr>
              <w:ind w:left="181" w:right="-20"/>
              <w:jc w:val="center"/>
              <w:rPr>
                <w:rFonts w:ascii="宋体" w:hAnsi="宋体"/>
                <w:color w:val="auto"/>
                <w:szCs w:val="21"/>
                <w:highlight w:val="none"/>
              </w:rPr>
            </w:pPr>
          </w:p>
          <w:p w14:paraId="3002A307">
            <w:pPr>
              <w:jc w:val="center"/>
              <w:rPr>
                <w:rFonts w:ascii="宋体" w:hAnsi="宋体"/>
                <w:color w:val="auto"/>
                <w:szCs w:val="21"/>
                <w:highlight w:val="none"/>
              </w:rPr>
            </w:pPr>
          </w:p>
          <w:p w14:paraId="105DDE47">
            <w:pPr>
              <w:ind w:left="136" w:right="59"/>
              <w:jc w:val="center"/>
              <w:rPr>
                <w:rFonts w:ascii="宋体" w:hAnsi="宋体"/>
                <w:color w:val="auto"/>
                <w:szCs w:val="21"/>
                <w:highlight w:val="none"/>
              </w:rPr>
            </w:pPr>
          </w:p>
          <w:p w14:paraId="1D8698C4">
            <w:pPr>
              <w:jc w:val="center"/>
              <w:rPr>
                <w:rFonts w:ascii="宋体" w:hAnsi="宋体"/>
                <w:color w:val="auto"/>
                <w:szCs w:val="21"/>
                <w:highlight w:val="none"/>
              </w:rPr>
            </w:pPr>
            <w:r>
              <w:rPr>
                <w:rFonts w:hint="eastAsia" w:ascii="宋体" w:hAnsi="宋体"/>
                <w:b/>
                <w:color w:val="auto"/>
                <w:szCs w:val="21"/>
                <w:highlight w:val="none"/>
              </w:rPr>
              <w:t>技术方案部分</w:t>
            </w:r>
            <w:r>
              <w:rPr>
                <w:rFonts w:hint="eastAsia" w:ascii="宋体" w:hAnsi="宋体" w:eastAsia="Calibri"/>
                <w:b/>
                <w:color w:val="auto"/>
                <w:szCs w:val="21"/>
                <w:highlight w:val="none"/>
              </w:rPr>
              <w:t>评分标准（</w:t>
            </w:r>
            <w:r>
              <w:rPr>
                <w:rFonts w:hint="eastAsia" w:ascii="宋体" w:hAnsi="宋体" w:eastAsia="宋体"/>
                <w:b/>
                <w:color w:val="auto"/>
                <w:szCs w:val="21"/>
                <w:highlight w:val="none"/>
                <w:lang w:val="en-US" w:eastAsia="zh-CN"/>
              </w:rPr>
              <w:t>20</w:t>
            </w:r>
            <w:r>
              <w:rPr>
                <w:rFonts w:hint="eastAsia" w:ascii="宋体" w:hAnsi="宋体" w:eastAsia="Calibri"/>
                <w:b/>
                <w:color w:val="auto"/>
                <w:szCs w:val="21"/>
                <w:highlight w:val="none"/>
              </w:rPr>
              <w:t>分）</w:t>
            </w:r>
          </w:p>
        </w:tc>
        <w:tc>
          <w:tcPr>
            <w:tcW w:w="2012" w:type="dxa"/>
            <w:gridSpan w:val="2"/>
            <w:tcBorders>
              <w:top w:val="single" w:color="auto" w:sz="4" w:space="0"/>
              <w:left w:val="single" w:color="auto" w:sz="4" w:space="0"/>
              <w:right w:val="single" w:color="auto" w:sz="4" w:space="0"/>
            </w:tcBorders>
            <w:tcMar>
              <w:top w:w="0" w:type="dxa"/>
              <w:left w:w="57" w:type="dxa"/>
              <w:bottom w:w="0" w:type="dxa"/>
              <w:right w:w="57" w:type="dxa"/>
            </w:tcMar>
            <w:vAlign w:val="center"/>
          </w:tcPr>
          <w:p w14:paraId="17473EAD">
            <w:pPr>
              <w:ind w:right="-20"/>
              <w:jc w:val="center"/>
              <w:rPr>
                <w:rFonts w:ascii="宋体" w:hAnsi="宋体"/>
                <w:color w:val="auto"/>
                <w:szCs w:val="21"/>
                <w:highlight w:val="none"/>
              </w:rPr>
            </w:pPr>
            <w:r>
              <w:rPr>
                <w:rFonts w:hint="eastAsia" w:ascii="宋体" w:hAnsi="宋体"/>
                <w:color w:val="auto"/>
                <w:szCs w:val="21"/>
                <w:highlight w:val="none"/>
              </w:rPr>
              <w:t>拟投入本项</w:t>
            </w:r>
          </w:p>
          <w:p w14:paraId="5C3FAC36">
            <w:pPr>
              <w:ind w:right="-20"/>
              <w:jc w:val="center"/>
              <w:rPr>
                <w:rFonts w:ascii="宋体" w:hAnsi="宋体"/>
                <w:color w:val="auto"/>
                <w:szCs w:val="21"/>
                <w:highlight w:val="none"/>
              </w:rPr>
            </w:pPr>
            <w:r>
              <w:rPr>
                <w:rFonts w:hint="eastAsia" w:ascii="宋体" w:hAnsi="宋体"/>
                <w:color w:val="auto"/>
                <w:szCs w:val="21"/>
                <w:highlight w:val="none"/>
              </w:rPr>
              <w:t>设备计划</w:t>
            </w:r>
          </w:p>
          <w:p w14:paraId="5C8403A6">
            <w:pPr>
              <w:ind w:right="-20"/>
              <w:jc w:val="center"/>
              <w:rPr>
                <w:rFonts w:ascii="宋体" w:hAnsi="宋体"/>
                <w:color w:val="auto"/>
                <w:szCs w:val="21"/>
                <w:highlight w:val="none"/>
              </w:rPr>
            </w:pPr>
            <w:r>
              <w:rPr>
                <w:rFonts w:hint="eastAsia" w:ascii="宋体" w:hAnsi="宋体"/>
                <w:color w:val="auto"/>
                <w:szCs w:val="21"/>
                <w:highlight w:val="none"/>
              </w:rPr>
              <w:t>（10分）</w:t>
            </w:r>
          </w:p>
        </w:tc>
        <w:tc>
          <w:tcPr>
            <w:tcW w:w="6493" w:type="dxa"/>
            <w:tcBorders>
              <w:top w:val="single" w:color="auto" w:sz="4" w:space="0"/>
              <w:left w:val="single" w:color="auto" w:sz="4" w:space="0"/>
              <w:bottom w:val="single" w:color="auto" w:sz="4" w:space="0"/>
              <w:right w:val="single" w:color="auto" w:sz="4" w:space="0"/>
            </w:tcBorders>
            <w:vAlign w:val="center"/>
          </w:tcPr>
          <w:p w14:paraId="055986B0">
            <w:pPr>
              <w:spacing w:line="360" w:lineRule="exact"/>
              <w:ind w:right="125"/>
              <w:rPr>
                <w:rFonts w:ascii="宋体" w:hAnsi="宋体" w:cs="宋体"/>
                <w:color w:val="auto"/>
                <w:szCs w:val="21"/>
                <w:highlight w:val="none"/>
                <w:lang w:val="zh-CN"/>
              </w:rPr>
            </w:pPr>
            <w:r>
              <w:rPr>
                <w:rFonts w:hint="eastAsia" w:ascii="宋体" w:hAnsi="宋体" w:cs="宋体"/>
                <w:color w:val="auto"/>
                <w:szCs w:val="21"/>
                <w:highlight w:val="none"/>
                <w:lang w:val="zh-CN"/>
              </w:rPr>
              <w:t>优：设备齐全、先进、现代化，满足检测和工期需要，年检合格，并且全部设备属于自有，得（7-10</w:t>
            </w:r>
            <w:r>
              <w:rPr>
                <w:rFonts w:hint="eastAsia" w:ascii="宋体" w:hAnsi="宋体" w:cs="宋体"/>
                <w:color w:val="auto"/>
                <w:szCs w:val="21"/>
                <w:highlight w:val="none"/>
                <w:lang w:val="en-US" w:eastAsia="zh-CN"/>
              </w:rPr>
              <w:t>]</w:t>
            </w:r>
            <w:r>
              <w:rPr>
                <w:rFonts w:hint="eastAsia" w:ascii="宋体" w:hAnsi="宋体" w:cs="宋体"/>
                <w:color w:val="auto"/>
                <w:szCs w:val="21"/>
                <w:highlight w:val="none"/>
                <w:lang w:val="zh-CN"/>
              </w:rPr>
              <w:t>分；</w:t>
            </w:r>
          </w:p>
          <w:p w14:paraId="3B33317A">
            <w:pPr>
              <w:spacing w:line="360" w:lineRule="exact"/>
              <w:ind w:right="125"/>
              <w:rPr>
                <w:rFonts w:ascii="宋体" w:hAnsi="宋体" w:cs="宋体"/>
                <w:color w:val="auto"/>
                <w:szCs w:val="21"/>
                <w:highlight w:val="none"/>
                <w:lang w:val="zh-CN"/>
              </w:rPr>
            </w:pPr>
            <w:r>
              <w:rPr>
                <w:rFonts w:hint="eastAsia" w:ascii="宋体" w:hAnsi="宋体" w:cs="宋体"/>
                <w:color w:val="auto"/>
                <w:szCs w:val="21"/>
                <w:highlight w:val="none"/>
                <w:lang w:val="zh-CN"/>
              </w:rPr>
              <w:t>良：设备齐全，满足检测和工期需要，设备年检合格，80％（含80％）以上设备属于自有，得（4-</w:t>
            </w:r>
            <w:r>
              <w:rPr>
                <w:rFonts w:hint="eastAsia" w:ascii="宋体" w:hAnsi="宋体" w:cs="宋体"/>
                <w:color w:val="auto"/>
                <w:szCs w:val="21"/>
                <w:highlight w:val="none"/>
                <w:lang w:val="en-US" w:eastAsia="zh-CN"/>
              </w:rPr>
              <w:t>7]</w:t>
            </w:r>
            <w:r>
              <w:rPr>
                <w:rFonts w:hint="eastAsia" w:ascii="宋体" w:hAnsi="宋体" w:cs="宋体"/>
                <w:color w:val="auto"/>
                <w:szCs w:val="21"/>
                <w:highlight w:val="none"/>
                <w:lang w:val="zh-CN"/>
              </w:rPr>
              <w:t>分；</w:t>
            </w:r>
          </w:p>
          <w:p w14:paraId="39DABBF8">
            <w:pPr>
              <w:spacing w:line="360" w:lineRule="exact"/>
              <w:ind w:right="125"/>
              <w:rPr>
                <w:rFonts w:ascii="宋体" w:hAnsi="宋体" w:cs="宋体"/>
                <w:color w:val="auto"/>
                <w:szCs w:val="21"/>
                <w:highlight w:val="none"/>
                <w:lang w:val="zh-CN"/>
              </w:rPr>
            </w:pPr>
            <w:r>
              <w:rPr>
                <w:rFonts w:hint="eastAsia" w:ascii="宋体" w:hAnsi="宋体" w:cs="宋体"/>
                <w:color w:val="auto"/>
                <w:szCs w:val="21"/>
                <w:highlight w:val="none"/>
                <w:lang w:val="zh-CN"/>
              </w:rPr>
              <w:t>中：设备齐全，设备年检合格，基本满足检测和工期要求，60％～80％（不含80％）设备属于自有，得（</w:t>
            </w:r>
            <w:r>
              <w:rPr>
                <w:rFonts w:hint="eastAsia" w:ascii="宋体" w:hAnsi="宋体" w:cs="宋体"/>
                <w:color w:val="auto"/>
                <w:szCs w:val="21"/>
                <w:highlight w:val="none"/>
                <w:lang w:val="en-US" w:eastAsia="zh-CN"/>
              </w:rPr>
              <w:t>0</w:t>
            </w:r>
            <w:r>
              <w:rPr>
                <w:rFonts w:hint="eastAsia" w:ascii="宋体" w:hAnsi="宋体" w:cs="宋体"/>
                <w:color w:val="auto"/>
                <w:szCs w:val="21"/>
                <w:highlight w:val="none"/>
                <w:lang w:val="zh-CN"/>
              </w:rPr>
              <w:t>-</w:t>
            </w:r>
            <w:r>
              <w:rPr>
                <w:rFonts w:hint="eastAsia" w:ascii="宋体" w:hAnsi="宋体" w:cs="宋体"/>
                <w:color w:val="auto"/>
                <w:szCs w:val="21"/>
                <w:highlight w:val="none"/>
                <w:lang w:val="en-US" w:eastAsia="zh-CN"/>
              </w:rPr>
              <w:t>4]</w:t>
            </w:r>
            <w:r>
              <w:rPr>
                <w:rFonts w:hint="eastAsia" w:ascii="宋体" w:hAnsi="宋体" w:cs="宋体"/>
                <w:color w:val="auto"/>
                <w:szCs w:val="21"/>
                <w:highlight w:val="none"/>
                <w:lang w:val="zh-CN"/>
              </w:rPr>
              <w:t>分；</w:t>
            </w:r>
          </w:p>
          <w:p w14:paraId="25175BA4">
            <w:pPr>
              <w:spacing w:line="360" w:lineRule="exact"/>
              <w:ind w:right="125"/>
              <w:rPr>
                <w:rFonts w:ascii="宋体" w:hAnsi="宋体" w:cs="宋体"/>
                <w:color w:val="auto"/>
                <w:szCs w:val="21"/>
                <w:highlight w:val="none"/>
                <w:lang w:val="zh-CN"/>
              </w:rPr>
            </w:pPr>
            <w:r>
              <w:rPr>
                <w:rFonts w:hint="eastAsia" w:ascii="宋体" w:hAnsi="宋体" w:cs="宋体"/>
                <w:color w:val="auto"/>
                <w:szCs w:val="21"/>
                <w:highlight w:val="none"/>
                <w:lang w:val="zh-CN"/>
              </w:rPr>
              <w:t>差：设备不能满足检测和工期需要，60％（不含60％）以下设备属于自有，不得分。</w:t>
            </w:r>
          </w:p>
          <w:p w14:paraId="1F563098">
            <w:pPr>
              <w:spacing w:line="360" w:lineRule="exact"/>
              <w:ind w:right="125"/>
              <w:rPr>
                <w:rFonts w:ascii="宋体" w:hAnsi="宋体"/>
                <w:b/>
                <w:color w:val="auto"/>
                <w:szCs w:val="21"/>
                <w:highlight w:val="none"/>
              </w:rPr>
            </w:pPr>
            <w:r>
              <w:rPr>
                <w:rFonts w:hint="eastAsia" w:ascii="宋体" w:hAnsi="宋体" w:cs="宋体"/>
                <w:b/>
                <w:bCs/>
                <w:color w:val="auto"/>
                <w:szCs w:val="21"/>
                <w:highlight w:val="none"/>
                <w:lang w:val="zh-CN"/>
              </w:rPr>
              <w:t>注：以上按最高级别得分，不重复计算。投标人须同时提供发票（或租赁合同）和检定校准证书扫描件，并加盖投标人电子印章。</w:t>
            </w:r>
          </w:p>
        </w:tc>
      </w:tr>
      <w:tr w14:paraId="3D8BB3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9" w:hRule="atLeast"/>
          <w:jc w:val="center"/>
        </w:trPr>
        <w:tc>
          <w:tcPr>
            <w:tcW w:w="1138" w:type="dxa"/>
            <w:vMerge w:val="continue"/>
            <w:tcBorders>
              <w:left w:val="single" w:color="auto" w:sz="4" w:space="0"/>
              <w:right w:val="single" w:color="auto" w:sz="4" w:space="0"/>
            </w:tcBorders>
            <w:vAlign w:val="center"/>
          </w:tcPr>
          <w:p w14:paraId="25F03E61">
            <w:pPr>
              <w:jc w:val="center"/>
              <w:rPr>
                <w:rFonts w:ascii="宋体" w:hAnsi="宋体"/>
                <w:color w:val="auto"/>
                <w:szCs w:val="21"/>
                <w:highlight w:val="none"/>
              </w:rPr>
            </w:pPr>
          </w:p>
        </w:tc>
        <w:tc>
          <w:tcPr>
            <w:tcW w:w="2012" w:type="dxa"/>
            <w:gridSpan w:val="2"/>
            <w:tcBorders>
              <w:top w:val="single" w:color="auto" w:sz="4" w:space="0"/>
              <w:left w:val="single" w:color="auto" w:sz="4" w:space="0"/>
              <w:right w:val="single" w:color="auto" w:sz="4" w:space="0"/>
            </w:tcBorders>
            <w:tcMar>
              <w:top w:w="0" w:type="dxa"/>
              <w:left w:w="57" w:type="dxa"/>
              <w:bottom w:w="0" w:type="dxa"/>
              <w:right w:w="57" w:type="dxa"/>
            </w:tcMar>
            <w:vAlign w:val="center"/>
          </w:tcPr>
          <w:p w14:paraId="4430BDEA">
            <w:pPr>
              <w:jc w:val="center"/>
              <w:rPr>
                <w:rFonts w:ascii="宋体" w:hAnsi="宋体"/>
                <w:color w:val="auto"/>
                <w:szCs w:val="21"/>
                <w:highlight w:val="none"/>
              </w:rPr>
            </w:pPr>
            <w:r>
              <w:rPr>
                <w:rFonts w:hint="eastAsia" w:ascii="宋体" w:hAnsi="宋体"/>
                <w:color w:val="auto"/>
                <w:szCs w:val="21"/>
                <w:highlight w:val="none"/>
              </w:rPr>
              <w:t>项目检测</w:t>
            </w:r>
            <w:r>
              <w:rPr>
                <w:rFonts w:hint="eastAsia" w:ascii="宋体" w:hAnsi="宋体"/>
                <w:color w:val="auto"/>
                <w:sz w:val="21"/>
                <w:szCs w:val="21"/>
                <w:highlight w:val="none"/>
                <w:lang w:val="en-US" w:eastAsia="zh-CN"/>
              </w:rPr>
              <w:t>监测</w:t>
            </w:r>
            <w:r>
              <w:rPr>
                <w:rFonts w:hint="eastAsia" w:ascii="宋体" w:hAnsi="宋体"/>
                <w:color w:val="auto"/>
                <w:szCs w:val="21"/>
                <w:highlight w:val="none"/>
              </w:rPr>
              <w:t>方案</w:t>
            </w:r>
          </w:p>
          <w:p w14:paraId="0C6BD846">
            <w:pPr>
              <w:jc w:val="center"/>
              <w:rPr>
                <w:rFonts w:ascii="宋体" w:hAnsi="宋体"/>
                <w:color w:val="auto"/>
                <w:szCs w:val="21"/>
                <w:highlight w:val="none"/>
              </w:rPr>
            </w:pPr>
            <w:r>
              <w:rPr>
                <w:rFonts w:hint="eastAsia" w:ascii="宋体" w:hAnsi="宋体"/>
                <w:color w:val="auto"/>
                <w:szCs w:val="21"/>
                <w:highlight w:val="none"/>
              </w:rPr>
              <w:t>（</w:t>
            </w:r>
            <w:r>
              <w:rPr>
                <w:rFonts w:hint="eastAsia" w:ascii="宋体" w:hAnsi="宋体"/>
                <w:color w:val="auto"/>
                <w:szCs w:val="21"/>
                <w:highlight w:val="none"/>
                <w:lang w:val="en-US" w:eastAsia="zh-CN"/>
              </w:rPr>
              <w:t>1</w:t>
            </w:r>
            <w:r>
              <w:rPr>
                <w:rFonts w:hint="eastAsia" w:ascii="宋体" w:hAnsi="宋体"/>
                <w:color w:val="auto"/>
                <w:szCs w:val="21"/>
                <w:highlight w:val="none"/>
              </w:rPr>
              <w:t>0分）</w:t>
            </w:r>
          </w:p>
        </w:tc>
        <w:tc>
          <w:tcPr>
            <w:tcW w:w="6493" w:type="dxa"/>
            <w:tcBorders>
              <w:top w:val="single" w:color="auto" w:sz="4" w:space="0"/>
              <w:left w:val="single" w:color="auto" w:sz="4" w:space="0"/>
              <w:right w:val="single" w:color="auto" w:sz="4" w:space="0"/>
            </w:tcBorders>
          </w:tcPr>
          <w:p w14:paraId="37176B32">
            <w:pPr>
              <w:spacing w:line="360" w:lineRule="exact"/>
              <w:ind w:right="125"/>
              <w:rPr>
                <w:rFonts w:ascii="宋体" w:hAnsi="宋体" w:cs="宋体"/>
                <w:color w:val="auto"/>
                <w:szCs w:val="21"/>
                <w:highlight w:val="none"/>
                <w:lang w:val="zh-CN"/>
              </w:rPr>
            </w:pPr>
            <w:r>
              <w:rPr>
                <w:rFonts w:hint="eastAsia" w:ascii="宋体" w:hAnsi="宋体" w:cs="宋体"/>
                <w:color w:val="auto"/>
                <w:szCs w:val="21"/>
                <w:highlight w:val="none"/>
                <w:lang w:val="zh-CN"/>
              </w:rPr>
              <w:t>优：检测</w:t>
            </w:r>
            <w:r>
              <w:rPr>
                <w:rFonts w:hint="eastAsia" w:ascii="宋体" w:hAnsi="宋体" w:cs="宋体"/>
                <w:color w:val="auto"/>
                <w:szCs w:val="21"/>
                <w:highlight w:val="none"/>
                <w:lang w:val="en-US" w:eastAsia="zh-CN"/>
              </w:rPr>
              <w:t>监测</w:t>
            </w:r>
            <w:r>
              <w:rPr>
                <w:rFonts w:hint="eastAsia" w:ascii="宋体" w:hAnsi="宋体" w:cs="宋体"/>
                <w:color w:val="auto"/>
                <w:szCs w:val="21"/>
                <w:highlight w:val="none"/>
                <w:lang w:val="zh-CN"/>
              </w:rPr>
              <w:t>方案详细、具体，内容齐全，能满足本工程提出的所有项目，有合理可行的保证通过相关验收、满足工程进度确保措施，得（7-10</w:t>
            </w:r>
            <w:r>
              <w:rPr>
                <w:rFonts w:hint="eastAsia" w:ascii="宋体" w:hAnsi="宋体" w:cs="宋体"/>
                <w:color w:val="auto"/>
                <w:szCs w:val="21"/>
                <w:highlight w:val="none"/>
                <w:lang w:val="en-US" w:eastAsia="zh-CN"/>
              </w:rPr>
              <w:t>]</w:t>
            </w:r>
            <w:r>
              <w:rPr>
                <w:rFonts w:hint="eastAsia" w:ascii="宋体" w:hAnsi="宋体" w:cs="宋体"/>
                <w:color w:val="auto"/>
                <w:szCs w:val="21"/>
                <w:highlight w:val="none"/>
                <w:lang w:val="zh-CN"/>
              </w:rPr>
              <w:t>分；</w:t>
            </w:r>
          </w:p>
          <w:p w14:paraId="0D0DDEEA">
            <w:pPr>
              <w:spacing w:line="360" w:lineRule="exact"/>
              <w:ind w:right="125"/>
              <w:rPr>
                <w:rFonts w:ascii="宋体" w:hAnsi="宋体" w:cs="宋体"/>
                <w:color w:val="auto"/>
                <w:szCs w:val="21"/>
                <w:highlight w:val="none"/>
                <w:lang w:val="zh-CN"/>
              </w:rPr>
            </w:pPr>
            <w:r>
              <w:rPr>
                <w:rFonts w:hint="eastAsia" w:ascii="宋体" w:hAnsi="宋体" w:cs="宋体"/>
                <w:color w:val="auto"/>
                <w:szCs w:val="21"/>
                <w:highlight w:val="none"/>
                <w:lang w:val="zh-CN"/>
              </w:rPr>
              <w:t>良：检测</w:t>
            </w:r>
            <w:r>
              <w:rPr>
                <w:rFonts w:hint="eastAsia" w:ascii="宋体" w:hAnsi="宋体" w:cs="宋体"/>
                <w:color w:val="auto"/>
                <w:szCs w:val="21"/>
                <w:highlight w:val="none"/>
                <w:lang w:val="en-US" w:eastAsia="zh-CN"/>
              </w:rPr>
              <w:t>监测</w:t>
            </w:r>
            <w:r>
              <w:rPr>
                <w:rFonts w:hint="eastAsia" w:ascii="宋体" w:hAnsi="宋体" w:cs="宋体"/>
                <w:color w:val="auto"/>
                <w:szCs w:val="21"/>
                <w:highlight w:val="none"/>
                <w:lang w:val="zh-CN"/>
              </w:rPr>
              <w:t>方案较详细、较具体，内容较齐全，有比较可行的保证通过相关验收、满足工程进度确保措施，得（4-</w:t>
            </w:r>
            <w:r>
              <w:rPr>
                <w:rFonts w:hint="eastAsia" w:ascii="宋体" w:hAnsi="宋体" w:cs="宋体"/>
                <w:color w:val="auto"/>
                <w:szCs w:val="21"/>
                <w:highlight w:val="none"/>
                <w:lang w:val="en-US" w:eastAsia="zh-CN"/>
              </w:rPr>
              <w:t>7]</w:t>
            </w:r>
            <w:r>
              <w:rPr>
                <w:rFonts w:hint="eastAsia" w:ascii="宋体" w:hAnsi="宋体" w:cs="宋体"/>
                <w:color w:val="auto"/>
                <w:szCs w:val="21"/>
                <w:highlight w:val="none"/>
                <w:lang w:val="zh-CN"/>
              </w:rPr>
              <w:t>分；</w:t>
            </w:r>
          </w:p>
          <w:p w14:paraId="0353CF2F">
            <w:pPr>
              <w:spacing w:line="360" w:lineRule="exact"/>
              <w:ind w:right="125"/>
              <w:rPr>
                <w:rFonts w:ascii="宋体" w:hAnsi="宋体" w:cs="宋体"/>
                <w:color w:val="auto"/>
                <w:szCs w:val="21"/>
                <w:highlight w:val="none"/>
                <w:lang w:val="zh-CN"/>
              </w:rPr>
            </w:pPr>
            <w:r>
              <w:rPr>
                <w:rFonts w:hint="eastAsia" w:ascii="宋体" w:hAnsi="宋体" w:cs="宋体"/>
                <w:color w:val="auto"/>
                <w:szCs w:val="21"/>
                <w:highlight w:val="none"/>
                <w:lang w:val="zh-CN"/>
              </w:rPr>
              <w:t>中：检测</w:t>
            </w:r>
            <w:r>
              <w:rPr>
                <w:rFonts w:hint="eastAsia" w:ascii="宋体" w:hAnsi="宋体" w:cs="宋体"/>
                <w:color w:val="auto"/>
                <w:szCs w:val="21"/>
                <w:highlight w:val="none"/>
                <w:lang w:val="en-US" w:eastAsia="zh-CN"/>
              </w:rPr>
              <w:t>监测</w:t>
            </w:r>
            <w:r>
              <w:rPr>
                <w:rFonts w:hint="eastAsia" w:ascii="宋体" w:hAnsi="宋体" w:cs="宋体"/>
                <w:color w:val="auto"/>
                <w:szCs w:val="21"/>
                <w:highlight w:val="none"/>
                <w:lang w:val="zh-CN"/>
              </w:rPr>
              <w:t>方案基本内容满足要求，方法符合规范要求，有能通过相关验收、满足工程进度的确保措施，得（</w:t>
            </w:r>
            <w:r>
              <w:rPr>
                <w:rFonts w:hint="eastAsia" w:ascii="宋体" w:hAnsi="宋体" w:cs="宋体"/>
                <w:color w:val="auto"/>
                <w:szCs w:val="21"/>
                <w:highlight w:val="none"/>
                <w:lang w:val="en-US" w:eastAsia="zh-CN"/>
              </w:rPr>
              <w:t>0</w:t>
            </w:r>
            <w:r>
              <w:rPr>
                <w:rFonts w:hint="eastAsia" w:ascii="宋体" w:hAnsi="宋体" w:cs="宋体"/>
                <w:color w:val="auto"/>
                <w:szCs w:val="21"/>
                <w:highlight w:val="none"/>
                <w:lang w:val="zh-CN"/>
              </w:rPr>
              <w:t>-</w:t>
            </w:r>
            <w:r>
              <w:rPr>
                <w:rFonts w:hint="eastAsia" w:ascii="宋体" w:hAnsi="宋体" w:cs="宋体"/>
                <w:color w:val="auto"/>
                <w:szCs w:val="21"/>
                <w:highlight w:val="none"/>
                <w:lang w:val="en-US" w:eastAsia="zh-CN"/>
              </w:rPr>
              <w:t>4]</w:t>
            </w:r>
            <w:r>
              <w:rPr>
                <w:rFonts w:hint="eastAsia" w:ascii="宋体" w:hAnsi="宋体" w:cs="宋体"/>
                <w:color w:val="auto"/>
                <w:szCs w:val="21"/>
                <w:highlight w:val="none"/>
                <w:lang w:val="zh-CN"/>
              </w:rPr>
              <w:t>分；</w:t>
            </w:r>
          </w:p>
          <w:p w14:paraId="01CEA2D2">
            <w:pPr>
              <w:spacing w:line="360" w:lineRule="exact"/>
              <w:ind w:right="125"/>
              <w:rPr>
                <w:rFonts w:ascii="宋体" w:hAnsi="宋体"/>
                <w:color w:val="auto"/>
                <w:szCs w:val="21"/>
                <w:highlight w:val="none"/>
              </w:rPr>
            </w:pPr>
            <w:r>
              <w:rPr>
                <w:rFonts w:hint="eastAsia" w:ascii="宋体" w:hAnsi="宋体" w:cs="宋体"/>
                <w:color w:val="auto"/>
                <w:szCs w:val="21"/>
                <w:highlight w:val="none"/>
                <w:lang w:val="zh-CN"/>
              </w:rPr>
              <w:t>差：检测</w:t>
            </w:r>
            <w:r>
              <w:rPr>
                <w:rFonts w:hint="eastAsia" w:ascii="宋体" w:hAnsi="宋体" w:cs="宋体"/>
                <w:color w:val="auto"/>
                <w:szCs w:val="21"/>
                <w:highlight w:val="none"/>
                <w:lang w:val="en-US" w:eastAsia="zh-CN"/>
              </w:rPr>
              <w:t>监测</w:t>
            </w:r>
            <w:r>
              <w:rPr>
                <w:rFonts w:hint="eastAsia" w:ascii="宋体" w:hAnsi="宋体" w:cs="宋体"/>
                <w:color w:val="auto"/>
                <w:szCs w:val="21"/>
                <w:highlight w:val="none"/>
                <w:lang w:val="zh-CN"/>
              </w:rPr>
              <w:t>方案基本内容阐述缺项，方法基本不能满足检测要求，不得分。</w:t>
            </w:r>
          </w:p>
        </w:tc>
      </w:tr>
      <w:tr w14:paraId="5BCD7F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1138" w:type="dxa"/>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vAlign w:val="center"/>
          </w:tcPr>
          <w:p w14:paraId="0DC400D0">
            <w:pPr>
              <w:jc w:val="center"/>
              <w:rPr>
                <w:rFonts w:ascii="宋体" w:hAnsi="宋体" w:eastAsia="Calibri" w:cs="Calibri"/>
                <w:b/>
                <w:color w:val="auto"/>
                <w:szCs w:val="21"/>
                <w:highlight w:val="none"/>
              </w:rPr>
            </w:pPr>
            <w:r>
              <w:rPr>
                <w:rFonts w:hint="eastAsia" w:ascii="宋体" w:hAnsi="宋体"/>
                <w:b/>
                <w:color w:val="auto"/>
                <w:szCs w:val="21"/>
                <w:highlight w:val="none"/>
              </w:rPr>
              <w:t>投标报价部分</w:t>
            </w:r>
            <w:r>
              <w:rPr>
                <w:rFonts w:hint="eastAsia" w:ascii="宋体" w:hAnsi="宋体" w:eastAsia="Calibri" w:cs="Calibri"/>
                <w:b/>
                <w:color w:val="auto"/>
                <w:szCs w:val="21"/>
                <w:highlight w:val="none"/>
              </w:rPr>
              <w:t>评分标准</w:t>
            </w:r>
          </w:p>
          <w:p w14:paraId="11CB5F16">
            <w:pPr>
              <w:jc w:val="center"/>
              <w:rPr>
                <w:rFonts w:ascii="宋体" w:hAnsi="宋体" w:cs="宋体"/>
                <w:color w:val="auto"/>
                <w:szCs w:val="21"/>
                <w:highlight w:val="none"/>
              </w:rPr>
            </w:pPr>
            <w:r>
              <w:rPr>
                <w:rFonts w:hint="eastAsia" w:ascii="宋体" w:hAnsi="宋体" w:eastAsia="Calibri" w:cs="Calibri"/>
                <w:b/>
                <w:color w:val="auto"/>
                <w:szCs w:val="21"/>
                <w:highlight w:val="none"/>
              </w:rPr>
              <w:t>（</w:t>
            </w:r>
            <w:r>
              <w:rPr>
                <w:rFonts w:hint="eastAsia" w:ascii="宋体" w:hAnsi="宋体" w:eastAsia="宋体" w:cs="Calibri"/>
                <w:b/>
                <w:color w:val="auto"/>
                <w:szCs w:val="21"/>
                <w:highlight w:val="none"/>
                <w:lang w:val="en-US" w:eastAsia="zh-CN"/>
              </w:rPr>
              <w:t>2</w:t>
            </w:r>
            <w:r>
              <w:rPr>
                <w:rFonts w:ascii="宋体" w:hAnsi="宋体" w:eastAsia="Calibri" w:cs="Calibri"/>
                <w:b/>
                <w:color w:val="auto"/>
                <w:szCs w:val="21"/>
                <w:highlight w:val="none"/>
              </w:rPr>
              <w:t>0</w:t>
            </w:r>
            <w:r>
              <w:rPr>
                <w:rFonts w:hint="eastAsia" w:ascii="宋体" w:hAnsi="宋体" w:eastAsia="Calibri" w:cs="Calibri"/>
                <w:b/>
                <w:color w:val="auto"/>
                <w:szCs w:val="21"/>
                <w:highlight w:val="none"/>
              </w:rPr>
              <w:t>分）</w:t>
            </w:r>
          </w:p>
        </w:tc>
        <w:tc>
          <w:tcPr>
            <w:tcW w:w="2012" w:type="dxa"/>
            <w:gridSpan w:val="2"/>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vAlign w:val="center"/>
          </w:tcPr>
          <w:p w14:paraId="7D60179D">
            <w:pPr>
              <w:jc w:val="center"/>
              <w:rPr>
                <w:rFonts w:ascii="宋体" w:hAnsi="宋体" w:cs="宋体"/>
                <w:color w:val="auto"/>
                <w:szCs w:val="21"/>
                <w:highlight w:val="none"/>
              </w:rPr>
            </w:pPr>
            <w:r>
              <w:rPr>
                <w:rFonts w:hint="eastAsia" w:ascii="宋体" w:hAnsi="宋体" w:cs="宋体"/>
                <w:color w:val="auto"/>
                <w:szCs w:val="21"/>
                <w:highlight w:val="none"/>
              </w:rPr>
              <w:t>投标报价</w:t>
            </w:r>
          </w:p>
          <w:p w14:paraId="2473DBC2">
            <w:pPr>
              <w:jc w:val="center"/>
              <w:rPr>
                <w:rFonts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2</w:t>
            </w:r>
            <w:r>
              <w:rPr>
                <w:rFonts w:ascii="宋体" w:hAnsi="宋体" w:cs="宋体"/>
                <w:color w:val="auto"/>
                <w:szCs w:val="21"/>
                <w:highlight w:val="none"/>
              </w:rPr>
              <w:t>0</w:t>
            </w:r>
            <w:r>
              <w:rPr>
                <w:rFonts w:hint="eastAsia" w:ascii="宋体" w:hAnsi="宋体" w:cs="宋体"/>
                <w:color w:val="auto"/>
                <w:szCs w:val="21"/>
                <w:highlight w:val="none"/>
              </w:rPr>
              <w:t>分）</w:t>
            </w:r>
          </w:p>
        </w:tc>
        <w:tc>
          <w:tcPr>
            <w:tcW w:w="6493" w:type="dxa"/>
            <w:tcBorders>
              <w:top w:val="single" w:color="auto" w:sz="4" w:space="0"/>
              <w:left w:val="single" w:color="auto" w:sz="4" w:space="0"/>
              <w:bottom w:val="single" w:color="auto" w:sz="4" w:space="0"/>
              <w:right w:val="single" w:color="auto" w:sz="4" w:space="0"/>
            </w:tcBorders>
            <w:vAlign w:val="center"/>
          </w:tcPr>
          <w:p w14:paraId="5A5F65ED">
            <w:pPr>
              <w:pStyle w:val="25"/>
              <w:spacing w:line="360" w:lineRule="exact"/>
              <w:ind w:firstLine="0"/>
              <w:rPr>
                <w:rFonts w:ascii="宋体" w:hAnsi="宋体"/>
                <w:b/>
                <w:color w:val="auto"/>
                <w:szCs w:val="21"/>
                <w:highlight w:val="none"/>
              </w:rPr>
            </w:pPr>
            <w:r>
              <w:rPr>
                <w:rFonts w:hint="eastAsia" w:ascii="宋体" w:hAnsi="宋体" w:cs="宋体"/>
                <w:color w:val="auto"/>
                <w:szCs w:val="21"/>
                <w:highlight w:val="none"/>
                <w:lang w:val="zh-CN"/>
              </w:rPr>
              <w:t>以评标基准价作为计算各有效投标报价得分的基础，当有效投标报价等于评标基准价时得</w:t>
            </w:r>
            <w:r>
              <w:rPr>
                <w:rFonts w:hint="eastAsia" w:ascii="宋体" w:hAnsi="宋体" w:cs="宋体"/>
                <w:color w:val="auto"/>
                <w:szCs w:val="21"/>
                <w:highlight w:val="none"/>
                <w:lang w:val="en-US" w:eastAsia="zh-CN"/>
              </w:rPr>
              <w:t>2</w:t>
            </w:r>
            <w:r>
              <w:rPr>
                <w:rFonts w:hint="eastAsia" w:ascii="宋体" w:hAnsi="宋体" w:cs="宋体"/>
                <w:color w:val="auto"/>
                <w:szCs w:val="21"/>
                <w:highlight w:val="none"/>
                <w:lang w:val="zh-CN"/>
              </w:rPr>
              <w:t>0分；投标有效报价与评标基准价相比，每上偏1%扣</w:t>
            </w:r>
            <w:r>
              <w:rPr>
                <w:rFonts w:hint="eastAsia" w:ascii="宋体" w:hAnsi="宋体" w:cs="宋体"/>
                <w:color w:val="auto"/>
                <w:szCs w:val="21"/>
                <w:highlight w:val="none"/>
                <w:lang w:val="en-US" w:eastAsia="zh-CN"/>
              </w:rPr>
              <w:t>0.75</w:t>
            </w:r>
            <w:r>
              <w:rPr>
                <w:rFonts w:hint="eastAsia" w:ascii="宋体" w:hAnsi="宋体" w:cs="宋体"/>
                <w:color w:val="auto"/>
                <w:szCs w:val="21"/>
                <w:highlight w:val="none"/>
                <w:lang w:val="zh-CN"/>
              </w:rPr>
              <w:t>分，每下偏1%扣0.</w:t>
            </w:r>
            <w:r>
              <w:rPr>
                <w:rFonts w:hint="eastAsia" w:ascii="宋体" w:hAnsi="宋体" w:cs="宋体"/>
                <w:color w:val="auto"/>
                <w:szCs w:val="21"/>
                <w:highlight w:val="none"/>
                <w:lang w:val="en-US" w:eastAsia="zh-CN"/>
              </w:rPr>
              <w:t>5</w:t>
            </w:r>
            <w:r>
              <w:rPr>
                <w:rFonts w:hint="eastAsia" w:ascii="宋体" w:hAnsi="宋体" w:cs="宋体"/>
                <w:color w:val="auto"/>
                <w:szCs w:val="21"/>
                <w:highlight w:val="none"/>
                <w:lang w:val="zh-CN"/>
              </w:rPr>
              <w:t>分；最多减至0分止。得出投标人的投标报价得分。</w:t>
            </w:r>
          </w:p>
        </w:tc>
      </w:tr>
    </w:tbl>
    <w:p w14:paraId="762AE74F">
      <w:pPr>
        <w:spacing w:before="156" w:beforeLines="50" w:line="360" w:lineRule="exact"/>
        <w:ind w:firstLine="420" w:firstLineChars="200"/>
        <w:jc w:val="left"/>
        <w:rPr>
          <w:rFonts w:hint="eastAsia" w:ascii="宋体" w:hAnsi="宋体" w:cs="宋体"/>
          <w:color w:val="auto"/>
          <w:szCs w:val="21"/>
          <w:highlight w:val="none"/>
          <w:lang w:val="zh-CN"/>
        </w:rPr>
      </w:pPr>
      <w:r>
        <w:rPr>
          <w:rFonts w:hint="eastAsia" w:ascii="宋体" w:hAnsi="宋体" w:cs="宋体"/>
          <w:color w:val="auto"/>
          <w:szCs w:val="21"/>
          <w:highlight w:val="none"/>
        </w:rPr>
        <w:t>说明</w:t>
      </w:r>
      <w:r>
        <w:rPr>
          <w:rFonts w:hint="eastAsia" w:ascii="宋体" w:hAnsi="宋体" w:cs="宋体"/>
          <w:color w:val="auto"/>
          <w:szCs w:val="21"/>
          <w:highlight w:val="none"/>
          <w:lang w:val="zh-CN"/>
        </w:rPr>
        <w:t>：1、投标人的总得分为各评委的评分的算术平均分（分数出现小数点时，保留小数点后二位，第三位小数四舍五入）。</w:t>
      </w:r>
    </w:p>
    <w:p w14:paraId="1FC0AEF7">
      <w:pPr>
        <w:pStyle w:val="8"/>
        <w:rPr>
          <w:rFonts w:hint="default" w:eastAsia="宋体"/>
          <w:color w:val="auto"/>
          <w:highlight w:val="none"/>
          <w:lang w:val="en-US" w:eastAsia="zh-CN"/>
        </w:rPr>
      </w:pPr>
      <w:r>
        <w:rPr>
          <w:rFonts w:hint="eastAsia" w:ascii="宋体" w:hAnsi="宋体" w:cs="宋体"/>
          <w:color w:val="auto"/>
          <w:szCs w:val="21"/>
          <w:highlight w:val="none"/>
          <w:lang w:val="en-US" w:eastAsia="zh-CN"/>
        </w:rPr>
        <w:t>2、表中“[ ]”代表闭区间，如[1，0]代表该分数段范围为大于等于0且小于等于1。表中“（  ）”代表开区间，如（2，1）代表该分数段范围为大于1且小于2。</w:t>
      </w:r>
    </w:p>
    <w:p w14:paraId="40314A1E">
      <w:pPr>
        <w:pStyle w:val="8"/>
        <w:rPr>
          <w:rFonts w:hint="default" w:eastAsia="宋体"/>
          <w:color w:val="auto"/>
          <w:highlight w:val="none"/>
          <w:lang w:val="en-US" w:eastAsia="zh-CN"/>
        </w:rPr>
      </w:pPr>
    </w:p>
    <w:p w14:paraId="0DF919A1">
      <w:pPr>
        <w:pStyle w:val="4"/>
        <w:rPr>
          <w:color w:val="auto"/>
          <w:szCs w:val="21"/>
          <w:highlight w:val="none"/>
        </w:rPr>
      </w:pPr>
      <w:r>
        <w:rPr>
          <w:rFonts w:hint="eastAsia"/>
          <w:color w:val="auto"/>
          <w:highlight w:val="none"/>
        </w:rPr>
        <w:br w:type="page"/>
      </w:r>
      <w:bookmarkStart w:id="112" w:name="_Toc118553986"/>
      <w:r>
        <w:rPr>
          <w:rFonts w:hint="eastAsia"/>
          <w:color w:val="auto"/>
          <w:highlight w:val="none"/>
        </w:rPr>
        <w:t>附表五：算术复核表</w:t>
      </w:r>
      <w:bookmarkEnd w:id="112"/>
    </w:p>
    <w:p w14:paraId="7DCC34AF">
      <w:pPr>
        <w:spacing w:line="360" w:lineRule="auto"/>
        <w:jc w:val="center"/>
        <w:rPr>
          <w:rFonts w:ascii="宋体" w:hAnsi="宋体"/>
          <w:b/>
          <w:color w:val="auto"/>
          <w:sz w:val="36"/>
          <w:szCs w:val="36"/>
          <w:highlight w:val="none"/>
        </w:rPr>
      </w:pPr>
      <w:r>
        <w:rPr>
          <w:rFonts w:hint="eastAsia" w:ascii="宋体" w:hAnsi="宋体" w:cs="宋体"/>
          <w:color w:val="auto"/>
          <w:sz w:val="28"/>
          <w:szCs w:val="28"/>
          <w:highlight w:val="none"/>
        </w:rPr>
        <w:t>算术复核表</w:t>
      </w:r>
    </w:p>
    <w:p w14:paraId="268033D0">
      <w:pPr>
        <w:adjustRightInd w:val="0"/>
        <w:snapToGrid w:val="0"/>
        <w:spacing w:line="360" w:lineRule="auto"/>
        <w:rPr>
          <w:rFonts w:ascii="宋体" w:hAnsi="宋体"/>
          <w:color w:val="auto"/>
          <w:szCs w:val="36"/>
          <w:highlight w:val="none"/>
          <w:u w:val="single"/>
        </w:rPr>
      </w:pPr>
      <w:r>
        <w:rPr>
          <w:rFonts w:hint="eastAsia" w:ascii="宋体" w:hAnsi="宋体"/>
          <w:color w:val="auto"/>
          <w:szCs w:val="21"/>
          <w:highlight w:val="none"/>
        </w:rPr>
        <w:t>项目名称：</w:t>
      </w:r>
      <w:r>
        <w:rPr>
          <w:rFonts w:hint="eastAsia" w:ascii="宋体" w:hAnsi="宋体"/>
          <w:color w:val="auto"/>
          <w:szCs w:val="21"/>
          <w:highlight w:val="none"/>
          <w:u w:val="single"/>
        </w:rPr>
        <w:t xml:space="preserve">                 </w:t>
      </w:r>
    </w:p>
    <w:tbl>
      <w:tblPr>
        <w:tblStyle w:val="27"/>
        <w:tblW w:w="0" w:type="auto"/>
        <w:jc w:val="center"/>
        <w:tblLayout w:type="fixed"/>
        <w:tblCellMar>
          <w:top w:w="0" w:type="dxa"/>
          <w:left w:w="108" w:type="dxa"/>
          <w:bottom w:w="0" w:type="dxa"/>
          <w:right w:w="108" w:type="dxa"/>
        </w:tblCellMar>
      </w:tblPr>
      <w:tblGrid>
        <w:gridCol w:w="727"/>
        <w:gridCol w:w="2057"/>
        <w:gridCol w:w="1701"/>
        <w:gridCol w:w="2410"/>
        <w:gridCol w:w="2866"/>
      </w:tblGrid>
      <w:tr w14:paraId="1D789F33">
        <w:tblPrEx>
          <w:tblCellMar>
            <w:top w:w="0" w:type="dxa"/>
            <w:left w:w="108" w:type="dxa"/>
            <w:bottom w:w="0" w:type="dxa"/>
            <w:right w:w="108" w:type="dxa"/>
          </w:tblCellMar>
        </w:tblPrEx>
        <w:trPr>
          <w:trHeight w:val="381" w:hRule="atLeast"/>
          <w:jc w:val="center"/>
        </w:trPr>
        <w:tc>
          <w:tcPr>
            <w:tcW w:w="727" w:type="dxa"/>
            <w:tcBorders>
              <w:top w:val="single" w:color="auto" w:sz="4" w:space="0"/>
              <w:left w:val="single" w:color="auto" w:sz="4" w:space="0"/>
              <w:bottom w:val="single" w:color="auto" w:sz="4" w:space="0"/>
              <w:right w:val="single" w:color="auto" w:sz="4" w:space="0"/>
            </w:tcBorders>
            <w:vAlign w:val="center"/>
          </w:tcPr>
          <w:p w14:paraId="5CF8F225">
            <w:pPr>
              <w:snapToGrid w:val="0"/>
              <w:spacing w:line="240" w:lineRule="atLeast"/>
              <w:jc w:val="center"/>
              <w:rPr>
                <w:rFonts w:ascii="宋体" w:hAnsi="宋体"/>
                <w:color w:val="auto"/>
                <w:szCs w:val="21"/>
                <w:highlight w:val="none"/>
              </w:rPr>
            </w:pPr>
            <w:r>
              <w:rPr>
                <w:rFonts w:hint="eastAsia" w:ascii="宋体" w:hAnsi="宋体"/>
                <w:color w:val="auto"/>
                <w:szCs w:val="21"/>
                <w:highlight w:val="none"/>
              </w:rPr>
              <w:t>编号</w:t>
            </w:r>
          </w:p>
        </w:tc>
        <w:tc>
          <w:tcPr>
            <w:tcW w:w="2057" w:type="dxa"/>
            <w:tcBorders>
              <w:top w:val="single" w:color="auto" w:sz="4" w:space="0"/>
              <w:left w:val="nil"/>
              <w:bottom w:val="single" w:color="auto" w:sz="4" w:space="0"/>
              <w:right w:val="single" w:color="auto" w:sz="4" w:space="0"/>
            </w:tcBorders>
            <w:vAlign w:val="center"/>
          </w:tcPr>
          <w:p w14:paraId="11599F4F">
            <w:pPr>
              <w:snapToGrid w:val="0"/>
              <w:spacing w:line="240" w:lineRule="atLeast"/>
              <w:jc w:val="center"/>
              <w:rPr>
                <w:rFonts w:ascii="宋体" w:hAnsi="宋体"/>
                <w:color w:val="auto"/>
                <w:szCs w:val="21"/>
                <w:highlight w:val="none"/>
              </w:rPr>
            </w:pPr>
            <w:r>
              <w:rPr>
                <w:rFonts w:hint="eastAsia" w:ascii="宋体" w:hAnsi="宋体"/>
                <w:color w:val="auto"/>
                <w:szCs w:val="21"/>
                <w:highlight w:val="none"/>
              </w:rPr>
              <w:t>投标人名称</w:t>
            </w:r>
          </w:p>
        </w:tc>
        <w:tc>
          <w:tcPr>
            <w:tcW w:w="1701" w:type="dxa"/>
            <w:tcBorders>
              <w:top w:val="single" w:color="auto" w:sz="4" w:space="0"/>
              <w:left w:val="nil"/>
              <w:bottom w:val="single" w:color="auto" w:sz="4" w:space="0"/>
              <w:right w:val="single" w:color="auto" w:sz="4" w:space="0"/>
            </w:tcBorders>
            <w:vAlign w:val="center"/>
          </w:tcPr>
          <w:p w14:paraId="6F29CC8A">
            <w:pPr>
              <w:snapToGrid w:val="0"/>
              <w:spacing w:line="240" w:lineRule="atLeast"/>
              <w:jc w:val="center"/>
              <w:rPr>
                <w:rFonts w:ascii="宋体" w:hAnsi="宋体"/>
                <w:color w:val="auto"/>
                <w:szCs w:val="21"/>
                <w:highlight w:val="none"/>
              </w:rPr>
            </w:pPr>
            <w:r>
              <w:rPr>
                <w:rFonts w:hint="eastAsia" w:ascii="宋体" w:hAnsi="宋体"/>
                <w:color w:val="auto"/>
                <w:szCs w:val="21"/>
                <w:highlight w:val="none"/>
              </w:rPr>
              <w:t>原投标报价</w:t>
            </w:r>
            <w:r>
              <w:rPr>
                <w:rFonts w:ascii="宋体" w:hAnsi="宋体"/>
                <w:color w:val="auto"/>
                <w:szCs w:val="21"/>
                <w:highlight w:val="none"/>
              </w:rPr>
              <w:t>A</w:t>
            </w:r>
          </w:p>
        </w:tc>
        <w:tc>
          <w:tcPr>
            <w:tcW w:w="2410" w:type="dxa"/>
            <w:tcBorders>
              <w:top w:val="single" w:color="auto" w:sz="4" w:space="0"/>
              <w:left w:val="nil"/>
              <w:bottom w:val="single" w:color="auto" w:sz="4" w:space="0"/>
              <w:right w:val="single" w:color="auto" w:sz="4" w:space="0"/>
            </w:tcBorders>
            <w:vAlign w:val="center"/>
          </w:tcPr>
          <w:p w14:paraId="7F11A766">
            <w:pPr>
              <w:snapToGrid w:val="0"/>
              <w:spacing w:line="240" w:lineRule="atLeast"/>
              <w:jc w:val="center"/>
              <w:rPr>
                <w:rFonts w:ascii="宋体" w:hAnsi="宋体"/>
                <w:color w:val="auto"/>
                <w:szCs w:val="21"/>
                <w:highlight w:val="none"/>
              </w:rPr>
            </w:pPr>
            <w:r>
              <w:rPr>
                <w:rFonts w:hint="eastAsia" w:ascii="宋体" w:hAnsi="宋体"/>
                <w:color w:val="auto"/>
                <w:szCs w:val="21"/>
                <w:highlight w:val="none"/>
              </w:rPr>
              <w:t>算术复核后投标报价</w:t>
            </w:r>
            <w:r>
              <w:rPr>
                <w:rFonts w:ascii="宋体" w:hAnsi="宋体"/>
                <w:color w:val="auto"/>
                <w:szCs w:val="21"/>
                <w:highlight w:val="none"/>
              </w:rPr>
              <w:t>B</w:t>
            </w:r>
          </w:p>
        </w:tc>
        <w:tc>
          <w:tcPr>
            <w:tcW w:w="2866" w:type="dxa"/>
            <w:tcBorders>
              <w:top w:val="single" w:color="auto" w:sz="4" w:space="0"/>
              <w:left w:val="nil"/>
              <w:bottom w:val="single" w:color="auto" w:sz="4" w:space="0"/>
              <w:right w:val="single" w:color="auto" w:sz="4" w:space="0"/>
            </w:tcBorders>
            <w:vAlign w:val="center"/>
          </w:tcPr>
          <w:p w14:paraId="404FB3DC">
            <w:pPr>
              <w:snapToGrid w:val="0"/>
              <w:spacing w:line="240" w:lineRule="atLeast"/>
              <w:jc w:val="center"/>
              <w:rPr>
                <w:rFonts w:ascii="宋体" w:hAnsi="宋体"/>
                <w:color w:val="auto"/>
                <w:szCs w:val="21"/>
                <w:highlight w:val="none"/>
              </w:rPr>
            </w:pPr>
            <w:r>
              <w:rPr>
                <w:rFonts w:hint="eastAsia" w:ascii="宋体" w:hAnsi="宋体"/>
                <w:color w:val="auto"/>
                <w:szCs w:val="21"/>
                <w:highlight w:val="none"/>
              </w:rPr>
              <w:t>误差率</w:t>
            </w:r>
            <w:r>
              <w:rPr>
                <w:rFonts w:ascii="宋体" w:hAnsi="宋体"/>
                <w:color w:val="auto"/>
                <w:szCs w:val="21"/>
                <w:highlight w:val="none"/>
              </w:rPr>
              <w:t>r=</w:t>
            </w:r>
            <w:r>
              <w:rPr>
                <w:rFonts w:hint="eastAsia" w:ascii="宋体" w:hAnsi="宋体"/>
                <w:color w:val="auto"/>
                <w:szCs w:val="21"/>
                <w:highlight w:val="none"/>
              </w:rPr>
              <w:t>︱</w:t>
            </w:r>
            <w:r>
              <w:rPr>
                <w:rFonts w:ascii="宋体" w:hAnsi="宋体"/>
                <w:color w:val="auto"/>
                <w:szCs w:val="21"/>
                <w:highlight w:val="none"/>
              </w:rPr>
              <w:t>A-B</w:t>
            </w:r>
            <w:r>
              <w:rPr>
                <w:rFonts w:hint="eastAsia" w:ascii="宋体" w:hAnsi="宋体"/>
                <w:color w:val="auto"/>
                <w:szCs w:val="21"/>
                <w:highlight w:val="none"/>
              </w:rPr>
              <w:t>︳</w:t>
            </w:r>
            <w:r>
              <w:rPr>
                <w:rFonts w:ascii="宋体" w:hAnsi="宋体"/>
                <w:color w:val="auto"/>
                <w:szCs w:val="21"/>
                <w:highlight w:val="none"/>
              </w:rPr>
              <w:t>/ A *100%</w:t>
            </w:r>
          </w:p>
        </w:tc>
      </w:tr>
      <w:tr w14:paraId="56D8D94A">
        <w:tblPrEx>
          <w:tblCellMar>
            <w:top w:w="0" w:type="dxa"/>
            <w:left w:w="108" w:type="dxa"/>
            <w:bottom w:w="0" w:type="dxa"/>
            <w:right w:w="108" w:type="dxa"/>
          </w:tblCellMar>
        </w:tblPrEx>
        <w:trPr>
          <w:trHeight w:val="480" w:hRule="atLeast"/>
          <w:jc w:val="center"/>
        </w:trPr>
        <w:tc>
          <w:tcPr>
            <w:tcW w:w="727" w:type="dxa"/>
            <w:tcBorders>
              <w:top w:val="nil"/>
              <w:left w:val="single" w:color="auto" w:sz="4" w:space="0"/>
              <w:bottom w:val="single" w:color="auto" w:sz="4" w:space="0"/>
              <w:right w:val="single" w:color="auto" w:sz="4" w:space="0"/>
            </w:tcBorders>
            <w:vAlign w:val="center"/>
          </w:tcPr>
          <w:p w14:paraId="7BB5FF12">
            <w:pPr>
              <w:snapToGrid w:val="0"/>
              <w:spacing w:line="240" w:lineRule="atLeast"/>
              <w:jc w:val="center"/>
              <w:rPr>
                <w:rFonts w:ascii="宋体" w:hAnsi="宋体"/>
                <w:color w:val="auto"/>
                <w:szCs w:val="21"/>
                <w:highlight w:val="none"/>
              </w:rPr>
            </w:pPr>
            <w:r>
              <w:rPr>
                <w:rFonts w:hint="eastAsia" w:ascii="宋体" w:hAnsi="宋体"/>
                <w:color w:val="auto"/>
                <w:szCs w:val="21"/>
                <w:highlight w:val="none"/>
              </w:rPr>
              <w:t>1</w:t>
            </w:r>
          </w:p>
        </w:tc>
        <w:tc>
          <w:tcPr>
            <w:tcW w:w="2057" w:type="dxa"/>
            <w:tcBorders>
              <w:top w:val="nil"/>
              <w:left w:val="nil"/>
              <w:bottom w:val="single" w:color="auto" w:sz="4" w:space="0"/>
              <w:right w:val="single" w:color="auto" w:sz="4" w:space="0"/>
            </w:tcBorders>
            <w:vAlign w:val="center"/>
          </w:tcPr>
          <w:p w14:paraId="72286314">
            <w:pPr>
              <w:snapToGrid w:val="0"/>
              <w:spacing w:line="240" w:lineRule="atLeast"/>
              <w:jc w:val="center"/>
              <w:rPr>
                <w:rFonts w:ascii="宋体" w:hAnsi="宋体"/>
                <w:color w:val="auto"/>
                <w:szCs w:val="21"/>
                <w:highlight w:val="none"/>
              </w:rPr>
            </w:pPr>
          </w:p>
        </w:tc>
        <w:tc>
          <w:tcPr>
            <w:tcW w:w="1701" w:type="dxa"/>
            <w:tcBorders>
              <w:top w:val="nil"/>
              <w:left w:val="nil"/>
              <w:bottom w:val="single" w:color="auto" w:sz="4" w:space="0"/>
              <w:right w:val="single" w:color="auto" w:sz="4" w:space="0"/>
            </w:tcBorders>
            <w:vAlign w:val="center"/>
          </w:tcPr>
          <w:p w14:paraId="32475065">
            <w:pPr>
              <w:snapToGrid w:val="0"/>
              <w:spacing w:line="240" w:lineRule="atLeast"/>
              <w:jc w:val="center"/>
              <w:rPr>
                <w:rFonts w:ascii="宋体" w:hAnsi="宋体"/>
                <w:color w:val="auto"/>
                <w:szCs w:val="21"/>
                <w:highlight w:val="none"/>
              </w:rPr>
            </w:pPr>
          </w:p>
        </w:tc>
        <w:tc>
          <w:tcPr>
            <w:tcW w:w="2410" w:type="dxa"/>
            <w:tcBorders>
              <w:top w:val="nil"/>
              <w:left w:val="nil"/>
              <w:bottom w:val="single" w:color="auto" w:sz="4" w:space="0"/>
              <w:right w:val="single" w:color="auto" w:sz="4" w:space="0"/>
            </w:tcBorders>
            <w:vAlign w:val="center"/>
          </w:tcPr>
          <w:p w14:paraId="20E3B793">
            <w:pPr>
              <w:snapToGrid w:val="0"/>
              <w:spacing w:line="240" w:lineRule="atLeast"/>
              <w:jc w:val="center"/>
              <w:rPr>
                <w:rFonts w:ascii="宋体" w:hAnsi="宋体"/>
                <w:color w:val="auto"/>
                <w:szCs w:val="21"/>
                <w:highlight w:val="none"/>
              </w:rPr>
            </w:pPr>
          </w:p>
        </w:tc>
        <w:tc>
          <w:tcPr>
            <w:tcW w:w="2866" w:type="dxa"/>
            <w:tcBorders>
              <w:top w:val="nil"/>
              <w:left w:val="nil"/>
              <w:bottom w:val="single" w:color="auto" w:sz="4" w:space="0"/>
              <w:right w:val="single" w:color="auto" w:sz="4" w:space="0"/>
            </w:tcBorders>
            <w:vAlign w:val="center"/>
          </w:tcPr>
          <w:p w14:paraId="478B2329">
            <w:pPr>
              <w:snapToGrid w:val="0"/>
              <w:spacing w:line="240" w:lineRule="atLeast"/>
              <w:jc w:val="center"/>
              <w:rPr>
                <w:rFonts w:ascii="宋体" w:hAnsi="宋体"/>
                <w:color w:val="auto"/>
                <w:szCs w:val="21"/>
                <w:highlight w:val="none"/>
              </w:rPr>
            </w:pPr>
          </w:p>
        </w:tc>
      </w:tr>
      <w:tr w14:paraId="63012853">
        <w:tblPrEx>
          <w:tblCellMar>
            <w:top w:w="0" w:type="dxa"/>
            <w:left w:w="108" w:type="dxa"/>
            <w:bottom w:w="0" w:type="dxa"/>
            <w:right w:w="108" w:type="dxa"/>
          </w:tblCellMar>
        </w:tblPrEx>
        <w:trPr>
          <w:trHeight w:val="480" w:hRule="atLeast"/>
          <w:jc w:val="center"/>
        </w:trPr>
        <w:tc>
          <w:tcPr>
            <w:tcW w:w="727" w:type="dxa"/>
            <w:tcBorders>
              <w:top w:val="nil"/>
              <w:left w:val="single" w:color="auto" w:sz="4" w:space="0"/>
              <w:bottom w:val="single" w:color="auto" w:sz="4" w:space="0"/>
              <w:right w:val="single" w:color="auto" w:sz="4" w:space="0"/>
            </w:tcBorders>
            <w:vAlign w:val="center"/>
          </w:tcPr>
          <w:p w14:paraId="042117EC">
            <w:pPr>
              <w:snapToGrid w:val="0"/>
              <w:spacing w:line="240" w:lineRule="atLeast"/>
              <w:jc w:val="center"/>
              <w:rPr>
                <w:rFonts w:ascii="宋体" w:hAnsi="宋体"/>
                <w:color w:val="auto"/>
                <w:szCs w:val="21"/>
                <w:highlight w:val="none"/>
              </w:rPr>
            </w:pPr>
            <w:r>
              <w:rPr>
                <w:rFonts w:hint="eastAsia" w:ascii="宋体" w:hAnsi="宋体"/>
                <w:color w:val="auto"/>
                <w:szCs w:val="21"/>
                <w:highlight w:val="none"/>
              </w:rPr>
              <w:t>2</w:t>
            </w:r>
          </w:p>
        </w:tc>
        <w:tc>
          <w:tcPr>
            <w:tcW w:w="2057" w:type="dxa"/>
            <w:tcBorders>
              <w:top w:val="nil"/>
              <w:left w:val="nil"/>
              <w:bottom w:val="single" w:color="auto" w:sz="4" w:space="0"/>
              <w:right w:val="single" w:color="auto" w:sz="4" w:space="0"/>
            </w:tcBorders>
            <w:vAlign w:val="center"/>
          </w:tcPr>
          <w:p w14:paraId="25B26A54">
            <w:pPr>
              <w:snapToGrid w:val="0"/>
              <w:spacing w:line="240" w:lineRule="atLeast"/>
              <w:jc w:val="center"/>
              <w:rPr>
                <w:rFonts w:ascii="宋体" w:hAnsi="宋体"/>
                <w:color w:val="auto"/>
                <w:szCs w:val="21"/>
                <w:highlight w:val="none"/>
              </w:rPr>
            </w:pPr>
          </w:p>
        </w:tc>
        <w:tc>
          <w:tcPr>
            <w:tcW w:w="1701" w:type="dxa"/>
            <w:tcBorders>
              <w:top w:val="nil"/>
              <w:left w:val="nil"/>
              <w:bottom w:val="single" w:color="auto" w:sz="4" w:space="0"/>
              <w:right w:val="single" w:color="auto" w:sz="4" w:space="0"/>
            </w:tcBorders>
            <w:vAlign w:val="center"/>
          </w:tcPr>
          <w:p w14:paraId="0E007344">
            <w:pPr>
              <w:snapToGrid w:val="0"/>
              <w:spacing w:line="240" w:lineRule="atLeast"/>
              <w:jc w:val="center"/>
              <w:rPr>
                <w:rFonts w:ascii="宋体" w:hAnsi="宋体"/>
                <w:color w:val="auto"/>
                <w:szCs w:val="21"/>
                <w:highlight w:val="none"/>
              </w:rPr>
            </w:pPr>
          </w:p>
        </w:tc>
        <w:tc>
          <w:tcPr>
            <w:tcW w:w="2410" w:type="dxa"/>
            <w:tcBorders>
              <w:top w:val="nil"/>
              <w:left w:val="nil"/>
              <w:bottom w:val="single" w:color="auto" w:sz="4" w:space="0"/>
              <w:right w:val="single" w:color="auto" w:sz="4" w:space="0"/>
            </w:tcBorders>
            <w:vAlign w:val="center"/>
          </w:tcPr>
          <w:p w14:paraId="1B79F54A">
            <w:pPr>
              <w:snapToGrid w:val="0"/>
              <w:spacing w:line="240" w:lineRule="atLeast"/>
              <w:jc w:val="center"/>
              <w:rPr>
                <w:rFonts w:ascii="宋体" w:hAnsi="宋体"/>
                <w:color w:val="auto"/>
                <w:szCs w:val="21"/>
                <w:highlight w:val="none"/>
              </w:rPr>
            </w:pPr>
          </w:p>
        </w:tc>
        <w:tc>
          <w:tcPr>
            <w:tcW w:w="2866" w:type="dxa"/>
            <w:tcBorders>
              <w:top w:val="nil"/>
              <w:left w:val="nil"/>
              <w:bottom w:val="single" w:color="auto" w:sz="4" w:space="0"/>
              <w:right w:val="single" w:color="auto" w:sz="4" w:space="0"/>
            </w:tcBorders>
            <w:vAlign w:val="center"/>
          </w:tcPr>
          <w:p w14:paraId="580DD714">
            <w:pPr>
              <w:snapToGrid w:val="0"/>
              <w:spacing w:line="240" w:lineRule="atLeast"/>
              <w:jc w:val="center"/>
              <w:rPr>
                <w:rFonts w:ascii="宋体" w:hAnsi="宋体"/>
                <w:color w:val="auto"/>
                <w:szCs w:val="21"/>
                <w:highlight w:val="none"/>
              </w:rPr>
            </w:pPr>
          </w:p>
        </w:tc>
      </w:tr>
      <w:tr w14:paraId="3D720F11">
        <w:tblPrEx>
          <w:tblCellMar>
            <w:top w:w="0" w:type="dxa"/>
            <w:left w:w="108" w:type="dxa"/>
            <w:bottom w:w="0" w:type="dxa"/>
            <w:right w:w="108" w:type="dxa"/>
          </w:tblCellMar>
        </w:tblPrEx>
        <w:trPr>
          <w:trHeight w:val="480" w:hRule="atLeast"/>
          <w:jc w:val="center"/>
        </w:trPr>
        <w:tc>
          <w:tcPr>
            <w:tcW w:w="727" w:type="dxa"/>
            <w:tcBorders>
              <w:top w:val="nil"/>
              <w:left w:val="single" w:color="auto" w:sz="4" w:space="0"/>
              <w:bottom w:val="single" w:color="auto" w:sz="4" w:space="0"/>
              <w:right w:val="single" w:color="auto" w:sz="4" w:space="0"/>
            </w:tcBorders>
            <w:vAlign w:val="center"/>
          </w:tcPr>
          <w:p w14:paraId="0DF02C3C">
            <w:pPr>
              <w:snapToGrid w:val="0"/>
              <w:spacing w:line="240" w:lineRule="atLeast"/>
              <w:jc w:val="center"/>
              <w:rPr>
                <w:rFonts w:ascii="宋体" w:hAnsi="宋体"/>
                <w:color w:val="auto"/>
                <w:szCs w:val="21"/>
                <w:highlight w:val="none"/>
              </w:rPr>
            </w:pPr>
            <w:r>
              <w:rPr>
                <w:rFonts w:hint="eastAsia" w:ascii="宋体" w:hAnsi="宋体"/>
                <w:color w:val="auto"/>
                <w:szCs w:val="21"/>
                <w:highlight w:val="none"/>
              </w:rPr>
              <w:t>3</w:t>
            </w:r>
          </w:p>
        </w:tc>
        <w:tc>
          <w:tcPr>
            <w:tcW w:w="2057" w:type="dxa"/>
            <w:tcBorders>
              <w:top w:val="nil"/>
              <w:left w:val="nil"/>
              <w:bottom w:val="single" w:color="auto" w:sz="4" w:space="0"/>
              <w:right w:val="single" w:color="auto" w:sz="4" w:space="0"/>
            </w:tcBorders>
            <w:vAlign w:val="center"/>
          </w:tcPr>
          <w:p w14:paraId="12F3412A">
            <w:pPr>
              <w:snapToGrid w:val="0"/>
              <w:spacing w:line="240" w:lineRule="atLeast"/>
              <w:jc w:val="center"/>
              <w:rPr>
                <w:rFonts w:ascii="宋体" w:hAnsi="宋体"/>
                <w:color w:val="auto"/>
                <w:szCs w:val="21"/>
                <w:highlight w:val="none"/>
              </w:rPr>
            </w:pPr>
          </w:p>
        </w:tc>
        <w:tc>
          <w:tcPr>
            <w:tcW w:w="1701" w:type="dxa"/>
            <w:tcBorders>
              <w:top w:val="nil"/>
              <w:left w:val="nil"/>
              <w:bottom w:val="single" w:color="auto" w:sz="4" w:space="0"/>
              <w:right w:val="single" w:color="auto" w:sz="4" w:space="0"/>
            </w:tcBorders>
            <w:vAlign w:val="center"/>
          </w:tcPr>
          <w:p w14:paraId="228A8A6D">
            <w:pPr>
              <w:snapToGrid w:val="0"/>
              <w:spacing w:line="240" w:lineRule="atLeast"/>
              <w:jc w:val="center"/>
              <w:rPr>
                <w:rFonts w:ascii="宋体" w:hAnsi="宋体"/>
                <w:color w:val="auto"/>
                <w:szCs w:val="21"/>
                <w:highlight w:val="none"/>
              </w:rPr>
            </w:pPr>
          </w:p>
        </w:tc>
        <w:tc>
          <w:tcPr>
            <w:tcW w:w="2410" w:type="dxa"/>
            <w:tcBorders>
              <w:top w:val="nil"/>
              <w:left w:val="nil"/>
              <w:bottom w:val="single" w:color="auto" w:sz="4" w:space="0"/>
              <w:right w:val="single" w:color="auto" w:sz="4" w:space="0"/>
            </w:tcBorders>
            <w:vAlign w:val="center"/>
          </w:tcPr>
          <w:p w14:paraId="77BDDEA4">
            <w:pPr>
              <w:snapToGrid w:val="0"/>
              <w:spacing w:line="240" w:lineRule="atLeast"/>
              <w:jc w:val="center"/>
              <w:rPr>
                <w:rFonts w:ascii="宋体" w:hAnsi="宋体"/>
                <w:color w:val="auto"/>
                <w:szCs w:val="21"/>
                <w:highlight w:val="none"/>
              </w:rPr>
            </w:pPr>
          </w:p>
        </w:tc>
        <w:tc>
          <w:tcPr>
            <w:tcW w:w="2866" w:type="dxa"/>
            <w:tcBorders>
              <w:top w:val="nil"/>
              <w:left w:val="nil"/>
              <w:bottom w:val="single" w:color="auto" w:sz="4" w:space="0"/>
              <w:right w:val="single" w:color="auto" w:sz="4" w:space="0"/>
            </w:tcBorders>
            <w:vAlign w:val="center"/>
          </w:tcPr>
          <w:p w14:paraId="14161270">
            <w:pPr>
              <w:snapToGrid w:val="0"/>
              <w:spacing w:line="240" w:lineRule="atLeast"/>
              <w:jc w:val="center"/>
              <w:rPr>
                <w:rFonts w:ascii="宋体" w:hAnsi="宋体"/>
                <w:color w:val="auto"/>
                <w:szCs w:val="21"/>
                <w:highlight w:val="none"/>
              </w:rPr>
            </w:pPr>
          </w:p>
        </w:tc>
      </w:tr>
      <w:tr w14:paraId="1B88134A">
        <w:tblPrEx>
          <w:tblCellMar>
            <w:top w:w="0" w:type="dxa"/>
            <w:left w:w="108" w:type="dxa"/>
            <w:bottom w:w="0" w:type="dxa"/>
            <w:right w:w="108" w:type="dxa"/>
          </w:tblCellMar>
        </w:tblPrEx>
        <w:trPr>
          <w:trHeight w:val="480" w:hRule="atLeast"/>
          <w:jc w:val="center"/>
        </w:trPr>
        <w:tc>
          <w:tcPr>
            <w:tcW w:w="727" w:type="dxa"/>
            <w:tcBorders>
              <w:top w:val="nil"/>
              <w:left w:val="single" w:color="auto" w:sz="4" w:space="0"/>
              <w:bottom w:val="single" w:color="auto" w:sz="4" w:space="0"/>
              <w:right w:val="single" w:color="auto" w:sz="4" w:space="0"/>
            </w:tcBorders>
            <w:vAlign w:val="center"/>
          </w:tcPr>
          <w:p w14:paraId="1D0AF3FE">
            <w:pPr>
              <w:snapToGrid w:val="0"/>
              <w:spacing w:line="240" w:lineRule="atLeast"/>
              <w:jc w:val="center"/>
              <w:rPr>
                <w:rFonts w:ascii="宋体" w:hAnsi="宋体"/>
                <w:color w:val="auto"/>
                <w:szCs w:val="21"/>
                <w:highlight w:val="none"/>
              </w:rPr>
            </w:pPr>
            <w:r>
              <w:rPr>
                <w:rFonts w:hint="eastAsia" w:ascii="宋体" w:hAnsi="宋体"/>
                <w:color w:val="auto"/>
                <w:szCs w:val="21"/>
                <w:highlight w:val="none"/>
              </w:rPr>
              <w:t>4</w:t>
            </w:r>
          </w:p>
        </w:tc>
        <w:tc>
          <w:tcPr>
            <w:tcW w:w="2057" w:type="dxa"/>
            <w:tcBorders>
              <w:top w:val="nil"/>
              <w:left w:val="nil"/>
              <w:bottom w:val="single" w:color="auto" w:sz="4" w:space="0"/>
              <w:right w:val="single" w:color="auto" w:sz="4" w:space="0"/>
            </w:tcBorders>
            <w:vAlign w:val="center"/>
          </w:tcPr>
          <w:p w14:paraId="38DE9192">
            <w:pPr>
              <w:snapToGrid w:val="0"/>
              <w:spacing w:line="240" w:lineRule="atLeast"/>
              <w:jc w:val="center"/>
              <w:rPr>
                <w:rFonts w:ascii="宋体" w:hAnsi="宋体"/>
                <w:color w:val="auto"/>
                <w:szCs w:val="21"/>
                <w:highlight w:val="none"/>
              </w:rPr>
            </w:pPr>
          </w:p>
        </w:tc>
        <w:tc>
          <w:tcPr>
            <w:tcW w:w="1701" w:type="dxa"/>
            <w:tcBorders>
              <w:top w:val="nil"/>
              <w:left w:val="nil"/>
              <w:bottom w:val="single" w:color="auto" w:sz="4" w:space="0"/>
              <w:right w:val="single" w:color="auto" w:sz="4" w:space="0"/>
            </w:tcBorders>
            <w:vAlign w:val="center"/>
          </w:tcPr>
          <w:p w14:paraId="3F4C8E2E">
            <w:pPr>
              <w:snapToGrid w:val="0"/>
              <w:spacing w:line="240" w:lineRule="atLeast"/>
              <w:jc w:val="center"/>
              <w:rPr>
                <w:rFonts w:ascii="宋体" w:hAnsi="宋体"/>
                <w:color w:val="auto"/>
                <w:szCs w:val="21"/>
                <w:highlight w:val="none"/>
              </w:rPr>
            </w:pPr>
          </w:p>
        </w:tc>
        <w:tc>
          <w:tcPr>
            <w:tcW w:w="2410" w:type="dxa"/>
            <w:tcBorders>
              <w:top w:val="nil"/>
              <w:left w:val="nil"/>
              <w:bottom w:val="single" w:color="auto" w:sz="4" w:space="0"/>
              <w:right w:val="single" w:color="auto" w:sz="4" w:space="0"/>
            </w:tcBorders>
            <w:vAlign w:val="center"/>
          </w:tcPr>
          <w:p w14:paraId="112433C9">
            <w:pPr>
              <w:snapToGrid w:val="0"/>
              <w:spacing w:line="240" w:lineRule="atLeast"/>
              <w:jc w:val="center"/>
              <w:rPr>
                <w:rFonts w:ascii="宋体" w:hAnsi="宋体"/>
                <w:color w:val="auto"/>
                <w:szCs w:val="21"/>
                <w:highlight w:val="none"/>
              </w:rPr>
            </w:pPr>
          </w:p>
        </w:tc>
        <w:tc>
          <w:tcPr>
            <w:tcW w:w="2866" w:type="dxa"/>
            <w:tcBorders>
              <w:top w:val="nil"/>
              <w:left w:val="nil"/>
              <w:bottom w:val="single" w:color="auto" w:sz="4" w:space="0"/>
              <w:right w:val="single" w:color="auto" w:sz="4" w:space="0"/>
            </w:tcBorders>
            <w:vAlign w:val="center"/>
          </w:tcPr>
          <w:p w14:paraId="6BA40E17">
            <w:pPr>
              <w:snapToGrid w:val="0"/>
              <w:spacing w:line="240" w:lineRule="atLeast"/>
              <w:jc w:val="center"/>
              <w:rPr>
                <w:rFonts w:ascii="宋体" w:hAnsi="宋体"/>
                <w:color w:val="auto"/>
                <w:szCs w:val="21"/>
                <w:highlight w:val="none"/>
              </w:rPr>
            </w:pPr>
          </w:p>
        </w:tc>
      </w:tr>
      <w:tr w14:paraId="55027A9B">
        <w:tblPrEx>
          <w:tblCellMar>
            <w:top w:w="0" w:type="dxa"/>
            <w:left w:w="108" w:type="dxa"/>
            <w:bottom w:w="0" w:type="dxa"/>
            <w:right w:w="108" w:type="dxa"/>
          </w:tblCellMar>
        </w:tblPrEx>
        <w:trPr>
          <w:trHeight w:val="480" w:hRule="atLeast"/>
          <w:jc w:val="center"/>
        </w:trPr>
        <w:tc>
          <w:tcPr>
            <w:tcW w:w="727" w:type="dxa"/>
            <w:tcBorders>
              <w:top w:val="nil"/>
              <w:left w:val="single" w:color="auto" w:sz="4" w:space="0"/>
              <w:bottom w:val="single" w:color="auto" w:sz="4" w:space="0"/>
              <w:right w:val="single" w:color="auto" w:sz="4" w:space="0"/>
            </w:tcBorders>
            <w:vAlign w:val="center"/>
          </w:tcPr>
          <w:p w14:paraId="7821BA46">
            <w:pPr>
              <w:snapToGrid w:val="0"/>
              <w:spacing w:line="240" w:lineRule="atLeast"/>
              <w:jc w:val="center"/>
              <w:rPr>
                <w:rFonts w:ascii="宋体" w:hAnsi="宋体"/>
                <w:color w:val="auto"/>
                <w:szCs w:val="21"/>
                <w:highlight w:val="none"/>
              </w:rPr>
            </w:pPr>
            <w:r>
              <w:rPr>
                <w:rFonts w:hint="eastAsia" w:ascii="宋体" w:hAnsi="宋体"/>
                <w:color w:val="auto"/>
                <w:szCs w:val="21"/>
                <w:highlight w:val="none"/>
              </w:rPr>
              <w:t>5</w:t>
            </w:r>
          </w:p>
        </w:tc>
        <w:tc>
          <w:tcPr>
            <w:tcW w:w="2057" w:type="dxa"/>
            <w:tcBorders>
              <w:top w:val="nil"/>
              <w:left w:val="nil"/>
              <w:bottom w:val="single" w:color="auto" w:sz="4" w:space="0"/>
              <w:right w:val="single" w:color="auto" w:sz="4" w:space="0"/>
            </w:tcBorders>
            <w:vAlign w:val="center"/>
          </w:tcPr>
          <w:p w14:paraId="41417576">
            <w:pPr>
              <w:snapToGrid w:val="0"/>
              <w:spacing w:line="240" w:lineRule="atLeast"/>
              <w:jc w:val="center"/>
              <w:rPr>
                <w:rFonts w:ascii="宋体" w:hAnsi="宋体"/>
                <w:color w:val="auto"/>
                <w:szCs w:val="21"/>
                <w:highlight w:val="none"/>
              </w:rPr>
            </w:pPr>
          </w:p>
        </w:tc>
        <w:tc>
          <w:tcPr>
            <w:tcW w:w="1701" w:type="dxa"/>
            <w:tcBorders>
              <w:top w:val="nil"/>
              <w:left w:val="nil"/>
              <w:bottom w:val="single" w:color="auto" w:sz="4" w:space="0"/>
              <w:right w:val="single" w:color="auto" w:sz="4" w:space="0"/>
            </w:tcBorders>
            <w:vAlign w:val="center"/>
          </w:tcPr>
          <w:p w14:paraId="2977FF5C">
            <w:pPr>
              <w:snapToGrid w:val="0"/>
              <w:spacing w:line="240" w:lineRule="atLeast"/>
              <w:jc w:val="center"/>
              <w:rPr>
                <w:rFonts w:ascii="宋体" w:hAnsi="宋体"/>
                <w:color w:val="auto"/>
                <w:szCs w:val="21"/>
                <w:highlight w:val="none"/>
              </w:rPr>
            </w:pPr>
          </w:p>
        </w:tc>
        <w:tc>
          <w:tcPr>
            <w:tcW w:w="2410" w:type="dxa"/>
            <w:tcBorders>
              <w:top w:val="nil"/>
              <w:left w:val="nil"/>
              <w:bottom w:val="single" w:color="auto" w:sz="4" w:space="0"/>
              <w:right w:val="single" w:color="auto" w:sz="4" w:space="0"/>
            </w:tcBorders>
            <w:vAlign w:val="center"/>
          </w:tcPr>
          <w:p w14:paraId="5D4E0498">
            <w:pPr>
              <w:snapToGrid w:val="0"/>
              <w:spacing w:line="240" w:lineRule="atLeast"/>
              <w:jc w:val="center"/>
              <w:rPr>
                <w:rFonts w:ascii="宋体" w:hAnsi="宋体"/>
                <w:color w:val="auto"/>
                <w:szCs w:val="21"/>
                <w:highlight w:val="none"/>
              </w:rPr>
            </w:pPr>
          </w:p>
        </w:tc>
        <w:tc>
          <w:tcPr>
            <w:tcW w:w="2866" w:type="dxa"/>
            <w:tcBorders>
              <w:top w:val="nil"/>
              <w:left w:val="nil"/>
              <w:bottom w:val="single" w:color="auto" w:sz="4" w:space="0"/>
              <w:right w:val="single" w:color="auto" w:sz="4" w:space="0"/>
            </w:tcBorders>
            <w:vAlign w:val="center"/>
          </w:tcPr>
          <w:p w14:paraId="3BC1A4E8">
            <w:pPr>
              <w:snapToGrid w:val="0"/>
              <w:spacing w:line="240" w:lineRule="atLeast"/>
              <w:jc w:val="center"/>
              <w:rPr>
                <w:rFonts w:ascii="宋体" w:hAnsi="宋体"/>
                <w:color w:val="auto"/>
                <w:szCs w:val="21"/>
                <w:highlight w:val="none"/>
              </w:rPr>
            </w:pPr>
          </w:p>
        </w:tc>
      </w:tr>
      <w:tr w14:paraId="2943683A">
        <w:tblPrEx>
          <w:tblCellMar>
            <w:top w:w="0" w:type="dxa"/>
            <w:left w:w="108" w:type="dxa"/>
            <w:bottom w:w="0" w:type="dxa"/>
            <w:right w:w="108" w:type="dxa"/>
          </w:tblCellMar>
        </w:tblPrEx>
        <w:trPr>
          <w:trHeight w:val="480" w:hRule="atLeast"/>
          <w:jc w:val="center"/>
        </w:trPr>
        <w:tc>
          <w:tcPr>
            <w:tcW w:w="727" w:type="dxa"/>
            <w:tcBorders>
              <w:top w:val="nil"/>
              <w:left w:val="single" w:color="auto" w:sz="4" w:space="0"/>
              <w:bottom w:val="single" w:color="auto" w:sz="4" w:space="0"/>
              <w:right w:val="single" w:color="auto" w:sz="4" w:space="0"/>
            </w:tcBorders>
            <w:vAlign w:val="center"/>
          </w:tcPr>
          <w:p w14:paraId="53C85858">
            <w:pPr>
              <w:snapToGrid w:val="0"/>
              <w:spacing w:line="240" w:lineRule="atLeast"/>
              <w:jc w:val="center"/>
              <w:rPr>
                <w:rFonts w:ascii="宋体" w:hAnsi="宋体"/>
                <w:color w:val="auto"/>
                <w:szCs w:val="21"/>
                <w:highlight w:val="none"/>
              </w:rPr>
            </w:pPr>
            <w:r>
              <w:rPr>
                <w:rFonts w:hint="eastAsia" w:ascii="宋体" w:hAnsi="宋体"/>
                <w:color w:val="auto"/>
                <w:szCs w:val="21"/>
                <w:highlight w:val="none"/>
              </w:rPr>
              <w:t>6</w:t>
            </w:r>
          </w:p>
        </w:tc>
        <w:tc>
          <w:tcPr>
            <w:tcW w:w="2057" w:type="dxa"/>
            <w:tcBorders>
              <w:top w:val="nil"/>
              <w:left w:val="nil"/>
              <w:bottom w:val="single" w:color="auto" w:sz="4" w:space="0"/>
              <w:right w:val="single" w:color="auto" w:sz="4" w:space="0"/>
            </w:tcBorders>
            <w:vAlign w:val="center"/>
          </w:tcPr>
          <w:p w14:paraId="664794D8">
            <w:pPr>
              <w:snapToGrid w:val="0"/>
              <w:spacing w:line="240" w:lineRule="atLeast"/>
              <w:jc w:val="center"/>
              <w:rPr>
                <w:rFonts w:ascii="宋体" w:hAnsi="宋体"/>
                <w:color w:val="auto"/>
                <w:szCs w:val="21"/>
                <w:highlight w:val="none"/>
              </w:rPr>
            </w:pPr>
          </w:p>
        </w:tc>
        <w:tc>
          <w:tcPr>
            <w:tcW w:w="1701" w:type="dxa"/>
            <w:tcBorders>
              <w:top w:val="nil"/>
              <w:left w:val="nil"/>
              <w:bottom w:val="single" w:color="auto" w:sz="4" w:space="0"/>
              <w:right w:val="single" w:color="auto" w:sz="4" w:space="0"/>
            </w:tcBorders>
            <w:vAlign w:val="center"/>
          </w:tcPr>
          <w:p w14:paraId="5F158C3E">
            <w:pPr>
              <w:snapToGrid w:val="0"/>
              <w:spacing w:line="240" w:lineRule="atLeast"/>
              <w:jc w:val="center"/>
              <w:rPr>
                <w:rFonts w:ascii="宋体" w:hAnsi="宋体"/>
                <w:color w:val="auto"/>
                <w:szCs w:val="21"/>
                <w:highlight w:val="none"/>
              </w:rPr>
            </w:pPr>
          </w:p>
        </w:tc>
        <w:tc>
          <w:tcPr>
            <w:tcW w:w="2410" w:type="dxa"/>
            <w:tcBorders>
              <w:top w:val="nil"/>
              <w:left w:val="nil"/>
              <w:bottom w:val="single" w:color="auto" w:sz="4" w:space="0"/>
              <w:right w:val="single" w:color="auto" w:sz="4" w:space="0"/>
            </w:tcBorders>
            <w:vAlign w:val="center"/>
          </w:tcPr>
          <w:p w14:paraId="79C461A0">
            <w:pPr>
              <w:snapToGrid w:val="0"/>
              <w:spacing w:line="240" w:lineRule="atLeast"/>
              <w:jc w:val="center"/>
              <w:rPr>
                <w:rFonts w:ascii="宋体" w:hAnsi="宋体"/>
                <w:color w:val="auto"/>
                <w:szCs w:val="21"/>
                <w:highlight w:val="none"/>
              </w:rPr>
            </w:pPr>
          </w:p>
        </w:tc>
        <w:tc>
          <w:tcPr>
            <w:tcW w:w="2866" w:type="dxa"/>
            <w:tcBorders>
              <w:top w:val="nil"/>
              <w:left w:val="nil"/>
              <w:bottom w:val="single" w:color="auto" w:sz="4" w:space="0"/>
              <w:right w:val="single" w:color="auto" w:sz="4" w:space="0"/>
            </w:tcBorders>
            <w:vAlign w:val="center"/>
          </w:tcPr>
          <w:p w14:paraId="51C82D47">
            <w:pPr>
              <w:snapToGrid w:val="0"/>
              <w:spacing w:line="240" w:lineRule="atLeast"/>
              <w:jc w:val="center"/>
              <w:rPr>
                <w:rFonts w:ascii="宋体" w:hAnsi="宋体"/>
                <w:color w:val="auto"/>
                <w:szCs w:val="21"/>
                <w:highlight w:val="none"/>
              </w:rPr>
            </w:pPr>
          </w:p>
        </w:tc>
      </w:tr>
      <w:tr w14:paraId="755D9A51">
        <w:tblPrEx>
          <w:tblCellMar>
            <w:top w:w="0" w:type="dxa"/>
            <w:left w:w="108" w:type="dxa"/>
            <w:bottom w:w="0" w:type="dxa"/>
            <w:right w:w="108" w:type="dxa"/>
          </w:tblCellMar>
        </w:tblPrEx>
        <w:trPr>
          <w:trHeight w:val="480" w:hRule="atLeast"/>
          <w:jc w:val="center"/>
        </w:trPr>
        <w:tc>
          <w:tcPr>
            <w:tcW w:w="727" w:type="dxa"/>
            <w:tcBorders>
              <w:top w:val="nil"/>
              <w:left w:val="single" w:color="auto" w:sz="4" w:space="0"/>
              <w:bottom w:val="single" w:color="auto" w:sz="4" w:space="0"/>
              <w:right w:val="single" w:color="auto" w:sz="4" w:space="0"/>
            </w:tcBorders>
            <w:vAlign w:val="center"/>
          </w:tcPr>
          <w:p w14:paraId="5C520493">
            <w:pPr>
              <w:snapToGrid w:val="0"/>
              <w:spacing w:line="240" w:lineRule="atLeast"/>
              <w:jc w:val="center"/>
              <w:rPr>
                <w:rFonts w:ascii="宋体" w:hAnsi="宋体"/>
                <w:color w:val="auto"/>
                <w:szCs w:val="21"/>
                <w:highlight w:val="none"/>
              </w:rPr>
            </w:pPr>
            <w:r>
              <w:rPr>
                <w:rFonts w:hint="eastAsia" w:ascii="宋体" w:hAnsi="宋体"/>
                <w:color w:val="auto"/>
                <w:szCs w:val="21"/>
                <w:highlight w:val="none"/>
              </w:rPr>
              <w:t>7</w:t>
            </w:r>
          </w:p>
        </w:tc>
        <w:tc>
          <w:tcPr>
            <w:tcW w:w="2057" w:type="dxa"/>
            <w:tcBorders>
              <w:top w:val="nil"/>
              <w:left w:val="nil"/>
              <w:bottom w:val="single" w:color="auto" w:sz="4" w:space="0"/>
              <w:right w:val="single" w:color="auto" w:sz="4" w:space="0"/>
            </w:tcBorders>
            <w:vAlign w:val="center"/>
          </w:tcPr>
          <w:p w14:paraId="2E85F30C">
            <w:pPr>
              <w:snapToGrid w:val="0"/>
              <w:spacing w:line="240" w:lineRule="atLeast"/>
              <w:jc w:val="center"/>
              <w:rPr>
                <w:rFonts w:ascii="宋体" w:hAnsi="宋体"/>
                <w:color w:val="auto"/>
                <w:szCs w:val="21"/>
                <w:highlight w:val="none"/>
              </w:rPr>
            </w:pPr>
          </w:p>
        </w:tc>
        <w:tc>
          <w:tcPr>
            <w:tcW w:w="1701" w:type="dxa"/>
            <w:tcBorders>
              <w:top w:val="nil"/>
              <w:left w:val="nil"/>
              <w:bottom w:val="single" w:color="auto" w:sz="4" w:space="0"/>
              <w:right w:val="single" w:color="auto" w:sz="4" w:space="0"/>
            </w:tcBorders>
            <w:vAlign w:val="center"/>
          </w:tcPr>
          <w:p w14:paraId="55FB3A80">
            <w:pPr>
              <w:snapToGrid w:val="0"/>
              <w:spacing w:line="240" w:lineRule="atLeast"/>
              <w:jc w:val="center"/>
              <w:rPr>
                <w:rFonts w:ascii="宋体" w:hAnsi="宋体"/>
                <w:color w:val="auto"/>
                <w:szCs w:val="21"/>
                <w:highlight w:val="none"/>
              </w:rPr>
            </w:pPr>
          </w:p>
        </w:tc>
        <w:tc>
          <w:tcPr>
            <w:tcW w:w="2410" w:type="dxa"/>
            <w:tcBorders>
              <w:top w:val="nil"/>
              <w:left w:val="nil"/>
              <w:bottom w:val="single" w:color="auto" w:sz="4" w:space="0"/>
              <w:right w:val="single" w:color="auto" w:sz="4" w:space="0"/>
            </w:tcBorders>
            <w:vAlign w:val="center"/>
          </w:tcPr>
          <w:p w14:paraId="4DD72BDB">
            <w:pPr>
              <w:snapToGrid w:val="0"/>
              <w:spacing w:line="240" w:lineRule="atLeast"/>
              <w:jc w:val="center"/>
              <w:rPr>
                <w:rFonts w:ascii="宋体" w:hAnsi="宋体"/>
                <w:color w:val="auto"/>
                <w:szCs w:val="21"/>
                <w:highlight w:val="none"/>
              </w:rPr>
            </w:pPr>
          </w:p>
        </w:tc>
        <w:tc>
          <w:tcPr>
            <w:tcW w:w="2866" w:type="dxa"/>
            <w:tcBorders>
              <w:top w:val="nil"/>
              <w:left w:val="nil"/>
              <w:bottom w:val="single" w:color="auto" w:sz="4" w:space="0"/>
              <w:right w:val="single" w:color="auto" w:sz="4" w:space="0"/>
            </w:tcBorders>
            <w:vAlign w:val="center"/>
          </w:tcPr>
          <w:p w14:paraId="78907343">
            <w:pPr>
              <w:snapToGrid w:val="0"/>
              <w:spacing w:line="240" w:lineRule="atLeast"/>
              <w:jc w:val="center"/>
              <w:rPr>
                <w:rFonts w:ascii="宋体" w:hAnsi="宋体"/>
                <w:color w:val="auto"/>
                <w:szCs w:val="21"/>
                <w:highlight w:val="none"/>
              </w:rPr>
            </w:pPr>
          </w:p>
        </w:tc>
      </w:tr>
      <w:tr w14:paraId="1F20CC7F">
        <w:tblPrEx>
          <w:tblCellMar>
            <w:top w:w="0" w:type="dxa"/>
            <w:left w:w="108" w:type="dxa"/>
            <w:bottom w:w="0" w:type="dxa"/>
            <w:right w:w="108" w:type="dxa"/>
          </w:tblCellMar>
        </w:tblPrEx>
        <w:trPr>
          <w:trHeight w:val="480" w:hRule="atLeast"/>
          <w:jc w:val="center"/>
        </w:trPr>
        <w:tc>
          <w:tcPr>
            <w:tcW w:w="727" w:type="dxa"/>
            <w:tcBorders>
              <w:top w:val="nil"/>
              <w:left w:val="single" w:color="auto" w:sz="4" w:space="0"/>
              <w:bottom w:val="single" w:color="auto" w:sz="4" w:space="0"/>
              <w:right w:val="single" w:color="auto" w:sz="4" w:space="0"/>
            </w:tcBorders>
            <w:vAlign w:val="center"/>
          </w:tcPr>
          <w:p w14:paraId="13B991CB">
            <w:pPr>
              <w:snapToGrid w:val="0"/>
              <w:spacing w:line="240" w:lineRule="atLeast"/>
              <w:jc w:val="center"/>
              <w:rPr>
                <w:rFonts w:ascii="宋体" w:hAnsi="宋体"/>
                <w:color w:val="auto"/>
                <w:szCs w:val="21"/>
                <w:highlight w:val="none"/>
              </w:rPr>
            </w:pPr>
            <w:r>
              <w:rPr>
                <w:rFonts w:hint="eastAsia" w:ascii="宋体" w:hAnsi="宋体"/>
                <w:color w:val="auto"/>
                <w:szCs w:val="21"/>
                <w:highlight w:val="none"/>
              </w:rPr>
              <w:t>8</w:t>
            </w:r>
          </w:p>
        </w:tc>
        <w:tc>
          <w:tcPr>
            <w:tcW w:w="2057" w:type="dxa"/>
            <w:tcBorders>
              <w:top w:val="nil"/>
              <w:left w:val="nil"/>
              <w:bottom w:val="single" w:color="auto" w:sz="4" w:space="0"/>
              <w:right w:val="single" w:color="auto" w:sz="4" w:space="0"/>
            </w:tcBorders>
            <w:vAlign w:val="center"/>
          </w:tcPr>
          <w:p w14:paraId="0030CCAA">
            <w:pPr>
              <w:snapToGrid w:val="0"/>
              <w:spacing w:line="240" w:lineRule="atLeast"/>
              <w:jc w:val="center"/>
              <w:rPr>
                <w:rFonts w:ascii="宋体" w:hAnsi="宋体"/>
                <w:color w:val="auto"/>
                <w:szCs w:val="21"/>
                <w:highlight w:val="none"/>
              </w:rPr>
            </w:pPr>
          </w:p>
        </w:tc>
        <w:tc>
          <w:tcPr>
            <w:tcW w:w="1701" w:type="dxa"/>
            <w:tcBorders>
              <w:top w:val="nil"/>
              <w:left w:val="nil"/>
              <w:bottom w:val="single" w:color="auto" w:sz="4" w:space="0"/>
              <w:right w:val="single" w:color="auto" w:sz="4" w:space="0"/>
            </w:tcBorders>
            <w:vAlign w:val="center"/>
          </w:tcPr>
          <w:p w14:paraId="30F3F349">
            <w:pPr>
              <w:snapToGrid w:val="0"/>
              <w:spacing w:line="240" w:lineRule="atLeast"/>
              <w:jc w:val="center"/>
              <w:rPr>
                <w:rFonts w:ascii="宋体" w:hAnsi="宋体"/>
                <w:color w:val="auto"/>
                <w:szCs w:val="21"/>
                <w:highlight w:val="none"/>
              </w:rPr>
            </w:pPr>
          </w:p>
        </w:tc>
        <w:tc>
          <w:tcPr>
            <w:tcW w:w="2410" w:type="dxa"/>
            <w:tcBorders>
              <w:top w:val="nil"/>
              <w:left w:val="nil"/>
              <w:bottom w:val="single" w:color="auto" w:sz="4" w:space="0"/>
              <w:right w:val="single" w:color="auto" w:sz="4" w:space="0"/>
            </w:tcBorders>
            <w:vAlign w:val="center"/>
          </w:tcPr>
          <w:p w14:paraId="158132B8">
            <w:pPr>
              <w:snapToGrid w:val="0"/>
              <w:spacing w:line="240" w:lineRule="atLeast"/>
              <w:jc w:val="center"/>
              <w:rPr>
                <w:rFonts w:ascii="宋体" w:hAnsi="宋体"/>
                <w:color w:val="auto"/>
                <w:szCs w:val="21"/>
                <w:highlight w:val="none"/>
              </w:rPr>
            </w:pPr>
          </w:p>
        </w:tc>
        <w:tc>
          <w:tcPr>
            <w:tcW w:w="2866" w:type="dxa"/>
            <w:tcBorders>
              <w:top w:val="nil"/>
              <w:left w:val="nil"/>
              <w:bottom w:val="single" w:color="auto" w:sz="4" w:space="0"/>
              <w:right w:val="single" w:color="auto" w:sz="4" w:space="0"/>
            </w:tcBorders>
            <w:vAlign w:val="center"/>
          </w:tcPr>
          <w:p w14:paraId="1857BBE5">
            <w:pPr>
              <w:snapToGrid w:val="0"/>
              <w:spacing w:line="240" w:lineRule="atLeast"/>
              <w:jc w:val="center"/>
              <w:rPr>
                <w:rFonts w:ascii="宋体" w:hAnsi="宋体"/>
                <w:color w:val="auto"/>
                <w:szCs w:val="21"/>
                <w:highlight w:val="none"/>
              </w:rPr>
            </w:pPr>
          </w:p>
        </w:tc>
      </w:tr>
      <w:tr w14:paraId="15464516">
        <w:tblPrEx>
          <w:tblCellMar>
            <w:top w:w="0" w:type="dxa"/>
            <w:left w:w="108" w:type="dxa"/>
            <w:bottom w:w="0" w:type="dxa"/>
            <w:right w:w="108" w:type="dxa"/>
          </w:tblCellMar>
        </w:tblPrEx>
        <w:trPr>
          <w:trHeight w:val="480" w:hRule="atLeast"/>
          <w:jc w:val="center"/>
        </w:trPr>
        <w:tc>
          <w:tcPr>
            <w:tcW w:w="727" w:type="dxa"/>
            <w:tcBorders>
              <w:top w:val="nil"/>
              <w:left w:val="single" w:color="auto" w:sz="4" w:space="0"/>
              <w:bottom w:val="single" w:color="auto" w:sz="4" w:space="0"/>
              <w:right w:val="single" w:color="auto" w:sz="4" w:space="0"/>
            </w:tcBorders>
            <w:vAlign w:val="center"/>
          </w:tcPr>
          <w:p w14:paraId="20C84DDE">
            <w:pPr>
              <w:snapToGrid w:val="0"/>
              <w:spacing w:line="240" w:lineRule="atLeast"/>
              <w:jc w:val="center"/>
              <w:rPr>
                <w:rFonts w:ascii="宋体" w:hAnsi="宋体"/>
                <w:color w:val="auto"/>
                <w:szCs w:val="21"/>
                <w:highlight w:val="none"/>
              </w:rPr>
            </w:pPr>
            <w:r>
              <w:rPr>
                <w:rFonts w:hint="eastAsia" w:ascii="宋体" w:hAnsi="宋体"/>
                <w:color w:val="auto"/>
                <w:szCs w:val="21"/>
                <w:highlight w:val="none"/>
              </w:rPr>
              <w:t>9</w:t>
            </w:r>
          </w:p>
        </w:tc>
        <w:tc>
          <w:tcPr>
            <w:tcW w:w="2057" w:type="dxa"/>
            <w:tcBorders>
              <w:top w:val="nil"/>
              <w:left w:val="nil"/>
              <w:bottom w:val="single" w:color="auto" w:sz="4" w:space="0"/>
              <w:right w:val="single" w:color="auto" w:sz="4" w:space="0"/>
            </w:tcBorders>
            <w:vAlign w:val="center"/>
          </w:tcPr>
          <w:p w14:paraId="2C11EE75">
            <w:pPr>
              <w:snapToGrid w:val="0"/>
              <w:spacing w:line="240" w:lineRule="atLeast"/>
              <w:jc w:val="center"/>
              <w:rPr>
                <w:rFonts w:ascii="宋体" w:hAnsi="宋体"/>
                <w:color w:val="auto"/>
                <w:szCs w:val="21"/>
                <w:highlight w:val="none"/>
              </w:rPr>
            </w:pPr>
          </w:p>
        </w:tc>
        <w:tc>
          <w:tcPr>
            <w:tcW w:w="1701" w:type="dxa"/>
            <w:tcBorders>
              <w:top w:val="nil"/>
              <w:left w:val="nil"/>
              <w:bottom w:val="single" w:color="auto" w:sz="4" w:space="0"/>
              <w:right w:val="single" w:color="auto" w:sz="4" w:space="0"/>
            </w:tcBorders>
            <w:vAlign w:val="center"/>
          </w:tcPr>
          <w:p w14:paraId="55C11F03">
            <w:pPr>
              <w:snapToGrid w:val="0"/>
              <w:spacing w:line="240" w:lineRule="atLeast"/>
              <w:jc w:val="center"/>
              <w:rPr>
                <w:rFonts w:ascii="宋体" w:hAnsi="宋体"/>
                <w:color w:val="auto"/>
                <w:szCs w:val="21"/>
                <w:highlight w:val="none"/>
              </w:rPr>
            </w:pPr>
          </w:p>
        </w:tc>
        <w:tc>
          <w:tcPr>
            <w:tcW w:w="2410" w:type="dxa"/>
            <w:tcBorders>
              <w:top w:val="nil"/>
              <w:left w:val="nil"/>
              <w:bottom w:val="single" w:color="auto" w:sz="4" w:space="0"/>
              <w:right w:val="single" w:color="auto" w:sz="4" w:space="0"/>
            </w:tcBorders>
            <w:vAlign w:val="center"/>
          </w:tcPr>
          <w:p w14:paraId="0DA2E46E">
            <w:pPr>
              <w:snapToGrid w:val="0"/>
              <w:spacing w:line="240" w:lineRule="atLeast"/>
              <w:jc w:val="center"/>
              <w:rPr>
                <w:rFonts w:ascii="宋体" w:hAnsi="宋体"/>
                <w:color w:val="auto"/>
                <w:szCs w:val="21"/>
                <w:highlight w:val="none"/>
              </w:rPr>
            </w:pPr>
          </w:p>
        </w:tc>
        <w:tc>
          <w:tcPr>
            <w:tcW w:w="2866" w:type="dxa"/>
            <w:tcBorders>
              <w:top w:val="nil"/>
              <w:left w:val="nil"/>
              <w:bottom w:val="single" w:color="auto" w:sz="4" w:space="0"/>
              <w:right w:val="single" w:color="auto" w:sz="4" w:space="0"/>
            </w:tcBorders>
            <w:vAlign w:val="center"/>
          </w:tcPr>
          <w:p w14:paraId="315A8DF8">
            <w:pPr>
              <w:snapToGrid w:val="0"/>
              <w:spacing w:line="240" w:lineRule="atLeast"/>
              <w:jc w:val="center"/>
              <w:rPr>
                <w:rFonts w:ascii="宋体" w:hAnsi="宋体"/>
                <w:color w:val="auto"/>
                <w:szCs w:val="21"/>
                <w:highlight w:val="none"/>
              </w:rPr>
            </w:pPr>
          </w:p>
        </w:tc>
      </w:tr>
      <w:tr w14:paraId="19DE54D2">
        <w:tblPrEx>
          <w:tblCellMar>
            <w:top w:w="0" w:type="dxa"/>
            <w:left w:w="108" w:type="dxa"/>
            <w:bottom w:w="0" w:type="dxa"/>
            <w:right w:w="108" w:type="dxa"/>
          </w:tblCellMar>
        </w:tblPrEx>
        <w:trPr>
          <w:trHeight w:val="480" w:hRule="atLeast"/>
          <w:jc w:val="center"/>
        </w:trPr>
        <w:tc>
          <w:tcPr>
            <w:tcW w:w="727" w:type="dxa"/>
            <w:tcBorders>
              <w:top w:val="nil"/>
              <w:left w:val="single" w:color="auto" w:sz="4" w:space="0"/>
              <w:bottom w:val="single" w:color="auto" w:sz="4" w:space="0"/>
              <w:right w:val="single" w:color="auto" w:sz="4" w:space="0"/>
            </w:tcBorders>
            <w:vAlign w:val="center"/>
          </w:tcPr>
          <w:p w14:paraId="4D5A1931">
            <w:pPr>
              <w:snapToGrid w:val="0"/>
              <w:spacing w:line="240" w:lineRule="atLeast"/>
              <w:jc w:val="center"/>
              <w:rPr>
                <w:rFonts w:ascii="宋体" w:hAnsi="宋体"/>
                <w:color w:val="auto"/>
                <w:szCs w:val="21"/>
                <w:highlight w:val="none"/>
              </w:rPr>
            </w:pPr>
            <w:r>
              <w:rPr>
                <w:rFonts w:hint="eastAsia" w:ascii="宋体" w:hAnsi="宋体"/>
                <w:color w:val="auto"/>
                <w:szCs w:val="21"/>
                <w:highlight w:val="none"/>
              </w:rPr>
              <w:t>10</w:t>
            </w:r>
          </w:p>
        </w:tc>
        <w:tc>
          <w:tcPr>
            <w:tcW w:w="2057" w:type="dxa"/>
            <w:tcBorders>
              <w:top w:val="nil"/>
              <w:left w:val="nil"/>
              <w:bottom w:val="single" w:color="auto" w:sz="4" w:space="0"/>
              <w:right w:val="single" w:color="auto" w:sz="4" w:space="0"/>
            </w:tcBorders>
            <w:vAlign w:val="center"/>
          </w:tcPr>
          <w:p w14:paraId="0AFE6B64">
            <w:pPr>
              <w:snapToGrid w:val="0"/>
              <w:spacing w:line="240" w:lineRule="atLeast"/>
              <w:jc w:val="center"/>
              <w:rPr>
                <w:rFonts w:ascii="宋体" w:hAnsi="宋体"/>
                <w:color w:val="auto"/>
                <w:szCs w:val="21"/>
                <w:highlight w:val="none"/>
              </w:rPr>
            </w:pPr>
          </w:p>
        </w:tc>
        <w:tc>
          <w:tcPr>
            <w:tcW w:w="1701" w:type="dxa"/>
            <w:tcBorders>
              <w:top w:val="nil"/>
              <w:left w:val="nil"/>
              <w:bottom w:val="single" w:color="auto" w:sz="4" w:space="0"/>
              <w:right w:val="single" w:color="auto" w:sz="4" w:space="0"/>
            </w:tcBorders>
            <w:vAlign w:val="center"/>
          </w:tcPr>
          <w:p w14:paraId="446C06BE">
            <w:pPr>
              <w:snapToGrid w:val="0"/>
              <w:spacing w:line="240" w:lineRule="atLeast"/>
              <w:jc w:val="center"/>
              <w:rPr>
                <w:rFonts w:ascii="宋体" w:hAnsi="宋体"/>
                <w:color w:val="auto"/>
                <w:szCs w:val="21"/>
                <w:highlight w:val="none"/>
              </w:rPr>
            </w:pPr>
          </w:p>
        </w:tc>
        <w:tc>
          <w:tcPr>
            <w:tcW w:w="2410" w:type="dxa"/>
            <w:tcBorders>
              <w:top w:val="nil"/>
              <w:left w:val="nil"/>
              <w:bottom w:val="single" w:color="auto" w:sz="4" w:space="0"/>
              <w:right w:val="single" w:color="auto" w:sz="4" w:space="0"/>
            </w:tcBorders>
            <w:vAlign w:val="center"/>
          </w:tcPr>
          <w:p w14:paraId="5395B13B">
            <w:pPr>
              <w:snapToGrid w:val="0"/>
              <w:spacing w:line="240" w:lineRule="atLeast"/>
              <w:jc w:val="center"/>
              <w:rPr>
                <w:rFonts w:ascii="宋体" w:hAnsi="宋体"/>
                <w:color w:val="auto"/>
                <w:szCs w:val="21"/>
                <w:highlight w:val="none"/>
              </w:rPr>
            </w:pPr>
          </w:p>
        </w:tc>
        <w:tc>
          <w:tcPr>
            <w:tcW w:w="2866" w:type="dxa"/>
            <w:tcBorders>
              <w:top w:val="nil"/>
              <w:left w:val="nil"/>
              <w:bottom w:val="single" w:color="auto" w:sz="4" w:space="0"/>
              <w:right w:val="single" w:color="auto" w:sz="4" w:space="0"/>
            </w:tcBorders>
            <w:vAlign w:val="center"/>
          </w:tcPr>
          <w:p w14:paraId="395CF0FC">
            <w:pPr>
              <w:snapToGrid w:val="0"/>
              <w:spacing w:line="240" w:lineRule="atLeast"/>
              <w:jc w:val="center"/>
              <w:rPr>
                <w:rFonts w:ascii="宋体" w:hAnsi="宋体"/>
                <w:color w:val="auto"/>
                <w:szCs w:val="21"/>
                <w:highlight w:val="none"/>
              </w:rPr>
            </w:pPr>
          </w:p>
        </w:tc>
      </w:tr>
      <w:tr w14:paraId="3DC79029">
        <w:tblPrEx>
          <w:tblCellMar>
            <w:top w:w="0" w:type="dxa"/>
            <w:left w:w="108" w:type="dxa"/>
            <w:bottom w:w="0" w:type="dxa"/>
            <w:right w:w="108" w:type="dxa"/>
          </w:tblCellMar>
        </w:tblPrEx>
        <w:trPr>
          <w:trHeight w:val="480" w:hRule="atLeast"/>
          <w:jc w:val="center"/>
        </w:trPr>
        <w:tc>
          <w:tcPr>
            <w:tcW w:w="727" w:type="dxa"/>
            <w:tcBorders>
              <w:top w:val="nil"/>
              <w:left w:val="single" w:color="auto" w:sz="4" w:space="0"/>
              <w:bottom w:val="single" w:color="auto" w:sz="4" w:space="0"/>
              <w:right w:val="single" w:color="auto" w:sz="4" w:space="0"/>
            </w:tcBorders>
            <w:vAlign w:val="center"/>
          </w:tcPr>
          <w:p w14:paraId="203FC1A0">
            <w:pPr>
              <w:snapToGrid w:val="0"/>
              <w:spacing w:line="240" w:lineRule="atLeast"/>
              <w:jc w:val="center"/>
              <w:rPr>
                <w:rFonts w:ascii="宋体" w:hAnsi="宋体"/>
                <w:color w:val="auto"/>
                <w:szCs w:val="21"/>
                <w:highlight w:val="none"/>
              </w:rPr>
            </w:pPr>
            <w:r>
              <w:rPr>
                <w:rFonts w:hint="eastAsia" w:ascii="宋体" w:hAnsi="宋体"/>
                <w:color w:val="auto"/>
                <w:szCs w:val="21"/>
                <w:highlight w:val="none"/>
              </w:rPr>
              <w:t>……</w:t>
            </w:r>
          </w:p>
        </w:tc>
        <w:tc>
          <w:tcPr>
            <w:tcW w:w="2057" w:type="dxa"/>
            <w:tcBorders>
              <w:top w:val="nil"/>
              <w:left w:val="nil"/>
              <w:bottom w:val="single" w:color="auto" w:sz="4" w:space="0"/>
              <w:right w:val="single" w:color="auto" w:sz="4" w:space="0"/>
            </w:tcBorders>
            <w:vAlign w:val="center"/>
          </w:tcPr>
          <w:p w14:paraId="047C25D5">
            <w:pPr>
              <w:snapToGrid w:val="0"/>
              <w:spacing w:line="240" w:lineRule="atLeast"/>
              <w:jc w:val="center"/>
              <w:rPr>
                <w:rFonts w:ascii="宋体" w:hAnsi="宋体"/>
                <w:color w:val="auto"/>
                <w:szCs w:val="21"/>
                <w:highlight w:val="none"/>
              </w:rPr>
            </w:pPr>
          </w:p>
        </w:tc>
        <w:tc>
          <w:tcPr>
            <w:tcW w:w="1701" w:type="dxa"/>
            <w:tcBorders>
              <w:top w:val="nil"/>
              <w:left w:val="nil"/>
              <w:bottom w:val="single" w:color="auto" w:sz="4" w:space="0"/>
              <w:right w:val="single" w:color="auto" w:sz="4" w:space="0"/>
            </w:tcBorders>
            <w:vAlign w:val="center"/>
          </w:tcPr>
          <w:p w14:paraId="6C6B8BD9">
            <w:pPr>
              <w:snapToGrid w:val="0"/>
              <w:spacing w:line="240" w:lineRule="atLeast"/>
              <w:jc w:val="center"/>
              <w:rPr>
                <w:rFonts w:ascii="宋体" w:hAnsi="宋体"/>
                <w:color w:val="auto"/>
                <w:szCs w:val="21"/>
                <w:highlight w:val="none"/>
              </w:rPr>
            </w:pPr>
          </w:p>
        </w:tc>
        <w:tc>
          <w:tcPr>
            <w:tcW w:w="2410" w:type="dxa"/>
            <w:tcBorders>
              <w:top w:val="nil"/>
              <w:left w:val="nil"/>
              <w:bottom w:val="single" w:color="auto" w:sz="4" w:space="0"/>
              <w:right w:val="single" w:color="auto" w:sz="4" w:space="0"/>
            </w:tcBorders>
            <w:vAlign w:val="center"/>
          </w:tcPr>
          <w:p w14:paraId="7877076E">
            <w:pPr>
              <w:snapToGrid w:val="0"/>
              <w:spacing w:line="240" w:lineRule="atLeast"/>
              <w:jc w:val="center"/>
              <w:rPr>
                <w:rFonts w:ascii="宋体" w:hAnsi="宋体"/>
                <w:color w:val="auto"/>
                <w:szCs w:val="21"/>
                <w:highlight w:val="none"/>
              </w:rPr>
            </w:pPr>
          </w:p>
        </w:tc>
        <w:tc>
          <w:tcPr>
            <w:tcW w:w="2866" w:type="dxa"/>
            <w:tcBorders>
              <w:top w:val="nil"/>
              <w:left w:val="nil"/>
              <w:bottom w:val="single" w:color="auto" w:sz="4" w:space="0"/>
              <w:right w:val="single" w:color="auto" w:sz="4" w:space="0"/>
            </w:tcBorders>
            <w:vAlign w:val="center"/>
          </w:tcPr>
          <w:p w14:paraId="4795BA0D">
            <w:pPr>
              <w:snapToGrid w:val="0"/>
              <w:spacing w:line="240" w:lineRule="atLeast"/>
              <w:jc w:val="center"/>
              <w:rPr>
                <w:rFonts w:ascii="宋体" w:hAnsi="宋体"/>
                <w:color w:val="auto"/>
                <w:szCs w:val="21"/>
                <w:highlight w:val="none"/>
              </w:rPr>
            </w:pPr>
          </w:p>
        </w:tc>
      </w:tr>
    </w:tbl>
    <w:p w14:paraId="17424E9D">
      <w:pPr>
        <w:snapToGrid w:val="0"/>
        <w:spacing w:line="240" w:lineRule="atLeast"/>
        <w:jc w:val="center"/>
        <w:rPr>
          <w:rFonts w:ascii="宋体" w:hAnsi="宋体"/>
          <w:color w:val="auto"/>
          <w:szCs w:val="21"/>
          <w:highlight w:val="none"/>
        </w:rPr>
      </w:pPr>
    </w:p>
    <w:p w14:paraId="289CFD10">
      <w:pPr>
        <w:pStyle w:val="25"/>
        <w:adjustRightInd w:val="0"/>
        <w:snapToGrid w:val="0"/>
        <w:spacing w:line="360" w:lineRule="auto"/>
        <w:ind w:firstLine="0"/>
        <w:rPr>
          <w:rFonts w:ascii="宋体" w:hAnsi="宋体"/>
          <w:color w:val="auto"/>
          <w:highlight w:val="none"/>
        </w:rPr>
      </w:pPr>
    </w:p>
    <w:p w14:paraId="5D292A5E">
      <w:pPr>
        <w:pStyle w:val="4"/>
        <w:rPr>
          <w:color w:val="auto"/>
          <w:highlight w:val="none"/>
        </w:rPr>
      </w:pPr>
      <w:r>
        <w:rPr>
          <w:bCs/>
          <w:color w:val="auto"/>
          <w:highlight w:val="none"/>
        </w:rPr>
        <w:br w:type="page"/>
      </w:r>
      <w:bookmarkStart w:id="113" w:name="_Toc118553987"/>
      <w:r>
        <w:rPr>
          <w:rFonts w:hint="eastAsia"/>
          <w:bCs/>
          <w:color w:val="auto"/>
          <w:highlight w:val="none"/>
        </w:rPr>
        <w:t>附表六：</w:t>
      </w:r>
      <w:r>
        <w:rPr>
          <w:rFonts w:hint="eastAsia"/>
          <w:color w:val="auto"/>
          <w:highlight w:val="none"/>
        </w:rPr>
        <w:t>报价得分计算表</w:t>
      </w:r>
      <w:bookmarkEnd w:id="113"/>
    </w:p>
    <w:p w14:paraId="02E3F87F">
      <w:pPr>
        <w:spacing w:line="360" w:lineRule="auto"/>
        <w:jc w:val="center"/>
        <w:rPr>
          <w:rFonts w:ascii="宋体" w:hAnsi="宋体"/>
          <w:b/>
          <w:color w:val="auto"/>
          <w:sz w:val="36"/>
          <w:szCs w:val="36"/>
          <w:highlight w:val="none"/>
        </w:rPr>
      </w:pPr>
      <w:r>
        <w:rPr>
          <w:rFonts w:hint="eastAsia" w:ascii="宋体" w:hAnsi="宋体" w:cs="宋体"/>
          <w:color w:val="auto"/>
          <w:sz w:val="28"/>
          <w:szCs w:val="28"/>
          <w:highlight w:val="none"/>
        </w:rPr>
        <w:t>报价得分计算表</w:t>
      </w:r>
    </w:p>
    <w:p w14:paraId="2F563D06">
      <w:pPr>
        <w:adjustRightInd w:val="0"/>
        <w:snapToGrid w:val="0"/>
        <w:spacing w:line="360" w:lineRule="auto"/>
        <w:rPr>
          <w:rFonts w:ascii="宋体" w:hAnsi="宋体"/>
          <w:color w:val="auto"/>
          <w:szCs w:val="21"/>
          <w:highlight w:val="none"/>
          <w:u w:val="single"/>
        </w:rPr>
      </w:pPr>
      <w:r>
        <w:rPr>
          <w:rFonts w:hint="eastAsia" w:ascii="宋体" w:hAnsi="宋体"/>
          <w:color w:val="auto"/>
          <w:szCs w:val="21"/>
          <w:highlight w:val="none"/>
        </w:rPr>
        <w:t>项目名称：</w:t>
      </w:r>
      <w:r>
        <w:rPr>
          <w:rFonts w:hint="eastAsia" w:ascii="宋体" w:hAnsi="宋体"/>
          <w:color w:val="auto"/>
          <w:szCs w:val="21"/>
          <w:highlight w:val="none"/>
          <w:u w:val="single"/>
        </w:rPr>
        <w:t xml:space="preserve">             </w:t>
      </w:r>
    </w:p>
    <w:tbl>
      <w:tblPr>
        <w:tblStyle w:val="2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57"/>
        <w:gridCol w:w="671"/>
        <w:gridCol w:w="671"/>
        <w:gridCol w:w="671"/>
        <w:gridCol w:w="671"/>
        <w:gridCol w:w="671"/>
        <w:gridCol w:w="671"/>
        <w:gridCol w:w="671"/>
        <w:gridCol w:w="671"/>
        <w:gridCol w:w="671"/>
        <w:gridCol w:w="671"/>
        <w:gridCol w:w="672"/>
      </w:tblGrid>
      <w:tr w14:paraId="593FB5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7" w:hRule="atLeast"/>
        </w:trPr>
        <w:tc>
          <w:tcPr>
            <w:tcW w:w="1657" w:type="dxa"/>
            <w:vAlign w:val="center"/>
          </w:tcPr>
          <w:p w14:paraId="17FF450E">
            <w:pPr>
              <w:snapToGrid w:val="0"/>
              <w:spacing w:line="240" w:lineRule="atLeast"/>
              <w:jc w:val="center"/>
              <w:rPr>
                <w:rFonts w:ascii="宋体" w:hAnsi="宋体"/>
                <w:color w:val="auto"/>
                <w:szCs w:val="21"/>
                <w:highlight w:val="none"/>
              </w:rPr>
            </w:pPr>
            <w:r>
              <w:rPr>
                <w:rFonts w:hint="eastAsia" w:ascii="宋体" w:hAnsi="宋体"/>
                <w:color w:val="auto"/>
                <w:szCs w:val="21"/>
                <w:highlight w:val="none"/>
              </w:rPr>
              <w:t>投标人名称</w:t>
            </w:r>
          </w:p>
        </w:tc>
        <w:tc>
          <w:tcPr>
            <w:tcW w:w="671" w:type="dxa"/>
            <w:vAlign w:val="center"/>
          </w:tcPr>
          <w:p w14:paraId="7D45442D">
            <w:pPr>
              <w:snapToGrid w:val="0"/>
              <w:spacing w:line="240" w:lineRule="atLeast"/>
              <w:jc w:val="center"/>
              <w:rPr>
                <w:rFonts w:ascii="宋体" w:hAnsi="宋体"/>
                <w:color w:val="auto"/>
                <w:szCs w:val="21"/>
                <w:highlight w:val="none"/>
              </w:rPr>
            </w:pPr>
          </w:p>
        </w:tc>
        <w:tc>
          <w:tcPr>
            <w:tcW w:w="671" w:type="dxa"/>
            <w:vAlign w:val="center"/>
          </w:tcPr>
          <w:p w14:paraId="5ED06AF7">
            <w:pPr>
              <w:snapToGrid w:val="0"/>
              <w:spacing w:line="240" w:lineRule="atLeast"/>
              <w:jc w:val="center"/>
              <w:rPr>
                <w:rFonts w:ascii="宋体" w:hAnsi="宋体"/>
                <w:color w:val="auto"/>
                <w:szCs w:val="21"/>
                <w:highlight w:val="none"/>
              </w:rPr>
            </w:pPr>
          </w:p>
        </w:tc>
        <w:tc>
          <w:tcPr>
            <w:tcW w:w="671" w:type="dxa"/>
            <w:vAlign w:val="center"/>
          </w:tcPr>
          <w:p w14:paraId="69DF69AD">
            <w:pPr>
              <w:snapToGrid w:val="0"/>
              <w:spacing w:line="240" w:lineRule="atLeast"/>
              <w:jc w:val="center"/>
              <w:rPr>
                <w:rFonts w:ascii="宋体" w:hAnsi="宋体"/>
                <w:color w:val="auto"/>
                <w:szCs w:val="21"/>
                <w:highlight w:val="none"/>
              </w:rPr>
            </w:pPr>
          </w:p>
        </w:tc>
        <w:tc>
          <w:tcPr>
            <w:tcW w:w="671" w:type="dxa"/>
            <w:vAlign w:val="center"/>
          </w:tcPr>
          <w:p w14:paraId="77233C93">
            <w:pPr>
              <w:snapToGrid w:val="0"/>
              <w:spacing w:line="240" w:lineRule="atLeast"/>
              <w:jc w:val="center"/>
              <w:rPr>
                <w:rFonts w:ascii="宋体" w:hAnsi="宋体"/>
                <w:color w:val="auto"/>
                <w:szCs w:val="21"/>
                <w:highlight w:val="none"/>
              </w:rPr>
            </w:pPr>
          </w:p>
        </w:tc>
        <w:tc>
          <w:tcPr>
            <w:tcW w:w="671" w:type="dxa"/>
            <w:vAlign w:val="center"/>
          </w:tcPr>
          <w:p w14:paraId="216EDE0F">
            <w:pPr>
              <w:snapToGrid w:val="0"/>
              <w:spacing w:line="240" w:lineRule="atLeast"/>
              <w:jc w:val="center"/>
              <w:rPr>
                <w:rFonts w:ascii="宋体" w:hAnsi="宋体"/>
                <w:color w:val="auto"/>
                <w:szCs w:val="21"/>
                <w:highlight w:val="none"/>
              </w:rPr>
            </w:pPr>
          </w:p>
        </w:tc>
        <w:tc>
          <w:tcPr>
            <w:tcW w:w="671" w:type="dxa"/>
            <w:vAlign w:val="center"/>
          </w:tcPr>
          <w:p w14:paraId="1726C37A">
            <w:pPr>
              <w:snapToGrid w:val="0"/>
              <w:spacing w:line="240" w:lineRule="atLeast"/>
              <w:jc w:val="center"/>
              <w:rPr>
                <w:rFonts w:ascii="宋体" w:hAnsi="宋体"/>
                <w:color w:val="auto"/>
                <w:szCs w:val="21"/>
                <w:highlight w:val="none"/>
              </w:rPr>
            </w:pPr>
          </w:p>
        </w:tc>
        <w:tc>
          <w:tcPr>
            <w:tcW w:w="671" w:type="dxa"/>
            <w:vAlign w:val="center"/>
          </w:tcPr>
          <w:p w14:paraId="2D67262B">
            <w:pPr>
              <w:snapToGrid w:val="0"/>
              <w:spacing w:line="240" w:lineRule="atLeast"/>
              <w:jc w:val="center"/>
              <w:rPr>
                <w:rFonts w:ascii="宋体" w:hAnsi="宋体"/>
                <w:color w:val="auto"/>
                <w:szCs w:val="21"/>
                <w:highlight w:val="none"/>
              </w:rPr>
            </w:pPr>
          </w:p>
        </w:tc>
        <w:tc>
          <w:tcPr>
            <w:tcW w:w="671" w:type="dxa"/>
            <w:vAlign w:val="center"/>
          </w:tcPr>
          <w:p w14:paraId="4722AC9F">
            <w:pPr>
              <w:snapToGrid w:val="0"/>
              <w:spacing w:line="240" w:lineRule="atLeast"/>
              <w:jc w:val="center"/>
              <w:rPr>
                <w:rFonts w:ascii="宋体" w:hAnsi="宋体"/>
                <w:color w:val="auto"/>
                <w:szCs w:val="21"/>
                <w:highlight w:val="none"/>
              </w:rPr>
            </w:pPr>
          </w:p>
        </w:tc>
        <w:tc>
          <w:tcPr>
            <w:tcW w:w="671" w:type="dxa"/>
            <w:vAlign w:val="center"/>
          </w:tcPr>
          <w:p w14:paraId="4F691B64">
            <w:pPr>
              <w:snapToGrid w:val="0"/>
              <w:spacing w:line="240" w:lineRule="atLeast"/>
              <w:jc w:val="center"/>
              <w:rPr>
                <w:rFonts w:ascii="宋体" w:hAnsi="宋体"/>
                <w:color w:val="auto"/>
                <w:szCs w:val="21"/>
                <w:highlight w:val="none"/>
              </w:rPr>
            </w:pPr>
          </w:p>
        </w:tc>
        <w:tc>
          <w:tcPr>
            <w:tcW w:w="671" w:type="dxa"/>
            <w:vAlign w:val="center"/>
          </w:tcPr>
          <w:p w14:paraId="26151935">
            <w:pPr>
              <w:snapToGrid w:val="0"/>
              <w:spacing w:line="240" w:lineRule="atLeast"/>
              <w:jc w:val="center"/>
              <w:rPr>
                <w:rFonts w:ascii="宋体" w:hAnsi="宋体"/>
                <w:color w:val="auto"/>
                <w:szCs w:val="21"/>
                <w:highlight w:val="none"/>
              </w:rPr>
            </w:pPr>
          </w:p>
        </w:tc>
        <w:tc>
          <w:tcPr>
            <w:tcW w:w="672" w:type="dxa"/>
            <w:vAlign w:val="center"/>
          </w:tcPr>
          <w:p w14:paraId="2904AC82">
            <w:pPr>
              <w:snapToGrid w:val="0"/>
              <w:spacing w:line="240" w:lineRule="atLeast"/>
              <w:jc w:val="center"/>
              <w:rPr>
                <w:rFonts w:ascii="宋体" w:hAnsi="宋体"/>
                <w:color w:val="auto"/>
                <w:szCs w:val="21"/>
                <w:highlight w:val="none"/>
              </w:rPr>
            </w:pPr>
          </w:p>
        </w:tc>
      </w:tr>
      <w:tr w14:paraId="32076B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1657" w:type="dxa"/>
            <w:vAlign w:val="center"/>
          </w:tcPr>
          <w:p w14:paraId="1E59429E">
            <w:pPr>
              <w:snapToGrid w:val="0"/>
              <w:spacing w:line="240" w:lineRule="atLeast"/>
              <w:jc w:val="center"/>
              <w:rPr>
                <w:rFonts w:ascii="宋体" w:hAnsi="宋体"/>
                <w:color w:val="auto"/>
                <w:szCs w:val="21"/>
                <w:highlight w:val="none"/>
              </w:rPr>
            </w:pPr>
            <w:r>
              <w:rPr>
                <w:rFonts w:hint="eastAsia" w:ascii="宋体" w:hAnsi="宋体"/>
                <w:color w:val="auto"/>
                <w:szCs w:val="21"/>
                <w:highlight w:val="none"/>
              </w:rPr>
              <w:t>投标报价</w:t>
            </w:r>
          </w:p>
          <w:p w14:paraId="06B1DB2D">
            <w:pPr>
              <w:snapToGrid w:val="0"/>
              <w:spacing w:line="240" w:lineRule="atLeast"/>
              <w:jc w:val="center"/>
              <w:rPr>
                <w:rFonts w:ascii="宋体" w:hAnsi="宋体"/>
                <w:color w:val="auto"/>
                <w:szCs w:val="21"/>
                <w:highlight w:val="none"/>
              </w:rPr>
            </w:pPr>
            <w:r>
              <w:rPr>
                <w:rFonts w:hint="eastAsia" w:ascii="宋体" w:hAnsi="宋体"/>
                <w:color w:val="auto"/>
                <w:szCs w:val="21"/>
                <w:highlight w:val="none"/>
              </w:rPr>
              <w:t>（元）</w:t>
            </w:r>
          </w:p>
        </w:tc>
        <w:tc>
          <w:tcPr>
            <w:tcW w:w="671" w:type="dxa"/>
            <w:vAlign w:val="center"/>
          </w:tcPr>
          <w:p w14:paraId="1F19A36D">
            <w:pPr>
              <w:snapToGrid w:val="0"/>
              <w:spacing w:line="240" w:lineRule="atLeast"/>
              <w:jc w:val="center"/>
              <w:rPr>
                <w:rFonts w:ascii="宋体" w:hAnsi="宋体"/>
                <w:color w:val="auto"/>
                <w:szCs w:val="21"/>
                <w:highlight w:val="none"/>
              </w:rPr>
            </w:pPr>
          </w:p>
        </w:tc>
        <w:tc>
          <w:tcPr>
            <w:tcW w:w="671" w:type="dxa"/>
            <w:vAlign w:val="center"/>
          </w:tcPr>
          <w:p w14:paraId="167FF49E">
            <w:pPr>
              <w:snapToGrid w:val="0"/>
              <w:spacing w:line="240" w:lineRule="atLeast"/>
              <w:jc w:val="center"/>
              <w:rPr>
                <w:rFonts w:ascii="宋体" w:hAnsi="宋体"/>
                <w:color w:val="auto"/>
                <w:szCs w:val="21"/>
                <w:highlight w:val="none"/>
              </w:rPr>
            </w:pPr>
          </w:p>
        </w:tc>
        <w:tc>
          <w:tcPr>
            <w:tcW w:w="671" w:type="dxa"/>
            <w:vAlign w:val="center"/>
          </w:tcPr>
          <w:p w14:paraId="5B84D847">
            <w:pPr>
              <w:snapToGrid w:val="0"/>
              <w:spacing w:line="240" w:lineRule="atLeast"/>
              <w:jc w:val="center"/>
              <w:rPr>
                <w:rFonts w:ascii="宋体" w:hAnsi="宋体"/>
                <w:color w:val="auto"/>
                <w:szCs w:val="21"/>
                <w:highlight w:val="none"/>
              </w:rPr>
            </w:pPr>
          </w:p>
        </w:tc>
        <w:tc>
          <w:tcPr>
            <w:tcW w:w="671" w:type="dxa"/>
            <w:vAlign w:val="center"/>
          </w:tcPr>
          <w:p w14:paraId="0AAC34C5">
            <w:pPr>
              <w:snapToGrid w:val="0"/>
              <w:spacing w:line="240" w:lineRule="atLeast"/>
              <w:jc w:val="center"/>
              <w:rPr>
                <w:rFonts w:ascii="宋体" w:hAnsi="宋体"/>
                <w:color w:val="auto"/>
                <w:szCs w:val="21"/>
                <w:highlight w:val="none"/>
              </w:rPr>
            </w:pPr>
          </w:p>
        </w:tc>
        <w:tc>
          <w:tcPr>
            <w:tcW w:w="671" w:type="dxa"/>
            <w:vAlign w:val="center"/>
          </w:tcPr>
          <w:p w14:paraId="20198906">
            <w:pPr>
              <w:snapToGrid w:val="0"/>
              <w:spacing w:line="240" w:lineRule="atLeast"/>
              <w:jc w:val="center"/>
              <w:rPr>
                <w:rFonts w:ascii="宋体" w:hAnsi="宋体"/>
                <w:color w:val="auto"/>
                <w:szCs w:val="21"/>
                <w:highlight w:val="none"/>
              </w:rPr>
            </w:pPr>
          </w:p>
        </w:tc>
        <w:tc>
          <w:tcPr>
            <w:tcW w:w="671" w:type="dxa"/>
            <w:vAlign w:val="center"/>
          </w:tcPr>
          <w:p w14:paraId="6A31A6CA">
            <w:pPr>
              <w:snapToGrid w:val="0"/>
              <w:spacing w:line="240" w:lineRule="atLeast"/>
              <w:jc w:val="center"/>
              <w:rPr>
                <w:rFonts w:ascii="宋体" w:hAnsi="宋体"/>
                <w:color w:val="auto"/>
                <w:szCs w:val="21"/>
                <w:highlight w:val="none"/>
              </w:rPr>
            </w:pPr>
          </w:p>
        </w:tc>
        <w:tc>
          <w:tcPr>
            <w:tcW w:w="671" w:type="dxa"/>
            <w:vAlign w:val="center"/>
          </w:tcPr>
          <w:p w14:paraId="3FF54063">
            <w:pPr>
              <w:snapToGrid w:val="0"/>
              <w:spacing w:line="240" w:lineRule="atLeast"/>
              <w:jc w:val="center"/>
              <w:rPr>
                <w:rFonts w:ascii="宋体" w:hAnsi="宋体"/>
                <w:color w:val="auto"/>
                <w:szCs w:val="21"/>
                <w:highlight w:val="none"/>
              </w:rPr>
            </w:pPr>
          </w:p>
        </w:tc>
        <w:tc>
          <w:tcPr>
            <w:tcW w:w="671" w:type="dxa"/>
            <w:vAlign w:val="center"/>
          </w:tcPr>
          <w:p w14:paraId="3B618603">
            <w:pPr>
              <w:snapToGrid w:val="0"/>
              <w:spacing w:line="240" w:lineRule="atLeast"/>
              <w:jc w:val="center"/>
              <w:rPr>
                <w:rFonts w:ascii="宋体" w:hAnsi="宋体"/>
                <w:color w:val="auto"/>
                <w:szCs w:val="21"/>
                <w:highlight w:val="none"/>
              </w:rPr>
            </w:pPr>
          </w:p>
        </w:tc>
        <w:tc>
          <w:tcPr>
            <w:tcW w:w="671" w:type="dxa"/>
            <w:vAlign w:val="center"/>
          </w:tcPr>
          <w:p w14:paraId="058BFFBA">
            <w:pPr>
              <w:snapToGrid w:val="0"/>
              <w:spacing w:line="240" w:lineRule="atLeast"/>
              <w:jc w:val="center"/>
              <w:rPr>
                <w:rFonts w:ascii="宋体" w:hAnsi="宋体"/>
                <w:color w:val="auto"/>
                <w:szCs w:val="21"/>
                <w:highlight w:val="none"/>
              </w:rPr>
            </w:pPr>
          </w:p>
        </w:tc>
        <w:tc>
          <w:tcPr>
            <w:tcW w:w="671" w:type="dxa"/>
            <w:vAlign w:val="center"/>
          </w:tcPr>
          <w:p w14:paraId="740D9768">
            <w:pPr>
              <w:snapToGrid w:val="0"/>
              <w:spacing w:line="240" w:lineRule="atLeast"/>
              <w:jc w:val="center"/>
              <w:rPr>
                <w:rFonts w:ascii="宋体" w:hAnsi="宋体"/>
                <w:color w:val="auto"/>
                <w:szCs w:val="21"/>
                <w:highlight w:val="none"/>
              </w:rPr>
            </w:pPr>
          </w:p>
        </w:tc>
        <w:tc>
          <w:tcPr>
            <w:tcW w:w="672" w:type="dxa"/>
            <w:vAlign w:val="center"/>
          </w:tcPr>
          <w:p w14:paraId="1158E548">
            <w:pPr>
              <w:snapToGrid w:val="0"/>
              <w:spacing w:line="240" w:lineRule="atLeast"/>
              <w:jc w:val="center"/>
              <w:rPr>
                <w:rFonts w:ascii="宋体" w:hAnsi="宋体"/>
                <w:color w:val="auto"/>
                <w:szCs w:val="21"/>
                <w:highlight w:val="none"/>
              </w:rPr>
            </w:pPr>
          </w:p>
        </w:tc>
      </w:tr>
      <w:tr w14:paraId="358AA0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1657" w:type="dxa"/>
            <w:vAlign w:val="center"/>
          </w:tcPr>
          <w:p w14:paraId="0238C91F">
            <w:pPr>
              <w:snapToGrid w:val="0"/>
              <w:spacing w:line="240" w:lineRule="atLeast"/>
              <w:jc w:val="center"/>
              <w:rPr>
                <w:rFonts w:ascii="宋体" w:hAnsi="宋体"/>
                <w:color w:val="auto"/>
                <w:szCs w:val="21"/>
                <w:highlight w:val="none"/>
              </w:rPr>
            </w:pPr>
            <w:r>
              <w:rPr>
                <w:rFonts w:hint="eastAsia" w:ascii="宋体" w:hAnsi="宋体"/>
                <w:color w:val="auto"/>
                <w:szCs w:val="21"/>
                <w:highlight w:val="none"/>
              </w:rPr>
              <w:t>评标基准价</w:t>
            </w:r>
          </w:p>
          <w:p w14:paraId="346A6D14">
            <w:pPr>
              <w:snapToGrid w:val="0"/>
              <w:spacing w:line="240" w:lineRule="atLeast"/>
              <w:jc w:val="center"/>
              <w:rPr>
                <w:rFonts w:ascii="宋体" w:hAnsi="宋体"/>
                <w:color w:val="auto"/>
                <w:szCs w:val="21"/>
                <w:highlight w:val="none"/>
              </w:rPr>
            </w:pPr>
            <w:r>
              <w:rPr>
                <w:rFonts w:hint="eastAsia" w:ascii="宋体" w:hAnsi="宋体"/>
                <w:color w:val="auto"/>
                <w:szCs w:val="21"/>
                <w:highlight w:val="none"/>
              </w:rPr>
              <w:t>（元）</w:t>
            </w:r>
          </w:p>
        </w:tc>
        <w:tc>
          <w:tcPr>
            <w:tcW w:w="7382" w:type="dxa"/>
            <w:gridSpan w:val="11"/>
            <w:vAlign w:val="center"/>
          </w:tcPr>
          <w:p w14:paraId="3CAAFFB1">
            <w:pPr>
              <w:snapToGrid w:val="0"/>
              <w:spacing w:line="240" w:lineRule="atLeast"/>
              <w:jc w:val="center"/>
              <w:rPr>
                <w:rFonts w:ascii="宋体" w:hAnsi="宋体"/>
                <w:color w:val="auto"/>
                <w:szCs w:val="21"/>
                <w:highlight w:val="none"/>
              </w:rPr>
            </w:pPr>
          </w:p>
        </w:tc>
      </w:tr>
      <w:tr w14:paraId="298162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1657" w:type="dxa"/>
            <w:vAlign w:val="center"/>
          </w:tcPr>
          <w:p w14:paraId="0B1FD006">
            <w:pPr>
              <w:snapToGrid w:val="0"/>
              <w:spacing w:line="240" w:lineRule="atLeast"/>
              <w:jc w:val="center"/>
              <w:rPr>
                <w:rFonts w:ascii="宋体" w:hAnsi="宋体"/>
                <w:color w:val="auto"/>
                <w:szCs w:val="21"/>
                <w:highlight w:val="none"/>
              </w:rPr>
            </w:pPr>
            <w:r>
              <w:rPr>
                <w:rFonts w:hint="eastAsia" w:ascii="宋体" w:hAnsi="宋体"/>
                <w:color w:val="auto"/>
                <w:szCs w:val="21"/>
                <w:highlight w:val="none"/>
              </w:rPr>
              <w:t>偏差（%）</w:t>
            </w:r>
          </w:p>
        </w:tc>
        <w:tc>
          <w:tcPr>
            <w:tcW w:w="671" w:type="dxa"/>
            <w:vAlign w:val="center"/>
          </w:tcPr>
          <w:p w14:paraId="76059D3C">
            <w:pPr>
              <w:snapToGrid w:val="0"/>
              <w:spacing w:line="240" w:lineRule="atLeast"/>
              <w:jc w:val="center"/>
              <w:rPr>
                <w:rFonts w:ascii="宋体" w:hAnsi="宋体"/>
                <w:color w:val="auto"/>
                <w:szCs w:val="21"/>
                <w:highlight w:val="none"/>
              </w:rPr>
            </w:pPr>
          </w:p>
        </w:tc>
        <w:tc>
          <w:tcPr>
            <w:tcW w:w="671" w:type="dxa"/>
            <w:vAlign w:val="center"/>
          </w:tcPr>
          <w:p w14:paraId="79CF7B00">
            <w:pPr>
              <w:snapToGrid w:val="0"/>
              <w:spacing w:line="240" w:lineRule="atLeast"/>
              <w:jc w:val="center"/>
              <w:rPr>
                <w:rFonts w:ascii="宋体" w:hAnsi="宋体"/>
                <w:color w:val="auto"/>
                <w:szCs w:val="21"/>
                <w:highlight w:val="none"/>
              </w:rPr>
            </w:pPr>
          </w:p>
        </w:tc>
        <w:tc>
          <w:tcPr>
            <w:tcW w:w="671" w:type="dxa"/>
            <w:vAlign w:val="center"/>
          </w:tcPr>
          <w:p w14:paraId="2A7008D3">
            <w:pPr>
              <w:snapToGrid w:val="0"/>
              <w:spacing w:line="240" w:lineRule="atLeast"/>
              <w:jc w:val="center"/>
              <w:rPr>
                <w:rFonts w:ascii="宋体" w:hAnsi="宋体"/>
                <w:color w:val="auto"/>
                <w:szCs w:val="21"/>
                <w:highlight w:val="none"/>
              </w:rPr>
            </w:pPr>
          </w:p>
        </w:tc>
        <w:tc>
          <w:tcPr>
            <w:tcW w:w="671" w:type="dxa"/>
            <w:vAlign w:val="center"/>
          </w:tcPr>
          <w:p w14:paraId="66078577">
            <w:pPr>
              <w:snapToGrid w:val="0"/>
              <w:spacing w:line="240" w:lineRule="atLeast"/>
              <w:jc w:val="center"/>
              <w:rPr>
                <w:rFonts w:ascii="宋体" w:hAnsi="宋体"/>
                <w:color w:val="auto"/>
                <w:szCs w:val="21"/>
                <w:highlight w:val="none"/>
              </w:rPr>
            </w:pPr>
          </w:p>
        </w:tc>
        <w:tc>
          <w:tcPr>
            <w:tcW w:w="671" w:type="dxa"/>
            <w:vAlign w:val="center"/>
          </w:tcPr>
          <w:p w14:paraId="04F4D7BB">
            <w:pPr>
              <w:snapToGrid w:val="0"/>
              <w:spacing w:line="240" w:lineRule="atLeast"/>
              <w:jc w:val="center"/>
              <w:rPr>
                <w:rFonts w:ascii="宋体" w:hAnsi="宋体"/>
                <w:color w:val="auto"/>
                <w:szCs w:val="21"/>
                <w:highlight w:val="none"/>
              </w:rPr>
            </w:pPr>
          </w:p>
        </w:tc>
        <w:tc>
          <w:tcPr>
            <w:tcW w:w="671" w:type="dxa"/>
            <w:vAlign w:val="center"/>
          </w:tcPr>
          <w:p w14:paraId="37A97514">
            <w:pPr>
              <w:snapToGrid w:val="0"/>
              <w:spacing w:line="240" w:lineRule="atLeast"/>
              <w:jc w:val="center"/>
              <w:rPr>
                <w:rFonts w:ascii="宋体" w:hAnsi="宋体"/>
                <w:color w:val="auto"/>
                <w:szCs w:val="21"/>
                <w:highlight w:val="none"/>
              </w:rPr>
            </w:pPr>
          </w:p>
        </w:tc>
        <w:tc>
          <w:tcPr>
            <w:tcW w:w="671" w:type="dxa"/>
            <w:vAlign w:val="center"/>
          </w:tcPr>
          <w:p w14:paraId="1CB76FC3">
            <w:pPr>
              <w:snapToGrid w:val="0"/>
              <w:spacing w:line="240" w:lineRule="atLeast"/>
              <w:jc w:val="center"/>
              <w:rPr>
                <w:rFonts w:ascii="宋体" w:hAnsi="宋体"/>
                <w:color w:val="auto"/>
                <w:szCs w:val="21"/>
                <w:highlight w:val="none"/>
              </w:rPr>
            </w:pPr>
          </w:p>
        </w:tc>
        <w:tc>
          <w:tcPr>
            <w:tcW w:w="671" w:type="dxa"/>
            <w:vAlign w:val="center"/>
          </w:tcPr>
          <w:p w14:paraId="5E5AADB3">
            <w:pPr>
              <w:snapToGrid w:val="0"/>
              <w:spacing w:line="240" w:lineRule="atLeast"/>
              <w:jc w:val="center"/>
              <w:rPr>
                <w:rFonts w:ascii="宋体" w:hAnsi="宋体"/>
                <w:color w:val="auto"/>
                <w:szCs w:val="21"/>
                <w:highlight w:val="none"/>
              </w:rPr>
            </w:pPr>
          </w:p>
        </w:tc>
        <w:tc>
          <w:tcPr>
            <w:tcW w:w="671" w:type="dxa"/>
            <w:vAlign w:val="center"/>
          </w:tcPr>
          <w:p w14:paraId="09897CEE">
            <w:pPr>
              <w:snapToGrid w:val="0"/>
              <w:spacing w:line="240" w:lineRule="atLeast"/>
              <w:jc w:val="center"/>
              <w:rPr>
                <w:rFonts w:ascii="宋体" w:hAnsi="宋体"/>
                <w:color w:val="auto"/>
                <w:szCs w:val="21"/>
                <w:highlight w:val="none"/>
              </w:rPr>
            </w:pPr>
          </w:p>
        </w:tc>
        <w:tc>
          <w:tcPr>
            <w:tcW w:w="671" w:type="dxa"/>
            <w:vAlign w:val="center"/>
          </w:tcPr>
          <w:p w14:paraId="1ED5626B">
            <w:pPr>
              <w:snapToGrid w:val="0"/>
              <w:spacing w:line="240" w:lineRule="atLeast"/>
              <w:jc w:val="center"/>
              <w:rPr>
                <w:rFonts w:ascii="宋体" w:hAnsi="宋体"/>
                <w:color w:val="auto"/>
                <w:szCs w:val="21"/>
                <w:highlight w:val="none"/>
              </w:rPr>
            </w:pPr>
          </w:p>
        </w:tc>
        <w:tc>
          <w:tcPr>
            <w:tcW w:w="672" w:type="dxa"/>
            <w:vAlign w:val="center"/>
          </w:tcPr>
          <w:p w14:paraId="2A8238F4">
            <w:pPr>
              <w:snapToGrid w:val="0"/>
              <w:spacing w:line="240" w:lineRule="atLeast"/>
              <w:jc w:val="center"/>
              <w:rPr>
                <w:rFonts w:ascii="宋体" w:hAnsi="宋体"/>
                <w:color w:val="auto"/>
                <w:szCs w:val="21"/>
                <w:highlight w:val="none"/>
              </w:rPr>
            </w:pPr>
          </w:p>
        </w:tc>
      </w:tr>
      <w:tr w14:paraId="357DF5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trPr>
        <w:tc>
          <w:tcPr>
            <w:tcW w:w="1657" w:type="dxa"/>
            <w:vAlign w:val="center"/>
          </w:tcPr>
          <w:p w14:paraId="3B7F1569">
            <w:pPr>
              <w:snapToGrid w:val="0"/>
              <w:spacing w:line="240" w:lineRule="atLeast"/>
              <w:jc w:val="center"/>
              <w:rPr>
                <w:rFonts w:ascii="宋体" w:hAnsi="宋体"/>
                <w:color w:val="auto"/>
                <w:szCs w:val="21"/>
                <w:highlight w:val="none"/>
              </w:rPr>
            </w:pPr>
            <w:r>
              <w:rPr>
                <w:rFonts w:hint="eastAsia" w:ascii="宋体" w:hAnsi="宋体"/>
                <w:color w:val="auto"/>
                <w:szCs w:val="21"/>
                <w:highlight w:val="none"/>
              </w:rPr>
              <w:t>减分</w:t>
            </w:r>
          </w:p>
        </w:tc>
        <w:tc>
          <w:tcPr>
            <w:tcW w:w="671" w:type="dxa"/>
            <w:vAlign w:val="center"/>
          </w:tcPr>
          <w:p w14:paraId="37141E12">
            <w:pPr>
              <w:snapToGrid w:val="0"/>
              <w:spacing w:line="240" w:lineRule="atLeast"/>
              <w:jc w:val="center"/>
              <w:rPr>
                <w:rFonts w:ascii="宋体" w:hAnsi="宋体"/>
                <w:color w:val="auto"/>
                <w:szCs w:val="21"/>
                <w:highlight w:val="none"/>
              </w:rPr>
            </w:pPr>
          </w:p>
        </w:tc>
        <w:tc>
          <w:tcPr>
            <w:tcW w:w="671" w:type="dxa"/>
            <w:vAlign w:val="center"/>
          </w:tcPr>
          <w:p w14:paraId="6B94933A">
            <w:pPr>
              <w:snapToGrid w:val="0"/>
              <w:spacing w:line="240" w:lineRule="atLeast"/>
              <w:jc w:val="center"/>
              <w:rPr>
                <w:rFonts w:ascii="宋体" w:hAnsi="宋体"/>
                <w:color w:val="auto"/>
                <w:szCs w:val="21"/>
                <w:highlight w:val="none"/>
              </w:rPr>
            </w:pPr>
          </w:p>
        </w:tc>
        <w:tc>
          <w:tcPr>
            <w:tcW w:w="671" w:type="dxa"/>
            <w:vAlign w:val="center"/>
          </w:tcPr>
          <w:p w14:paraId="2070172A">
            <w:pPr>
              <w:snapToGrid w:val="0"/>
              <w:spacing w:line="240" w:lineRule="atLeast"/>
              <w:jc w:val="center"/>
              <w:rPr>
                <w:rFonts w:ascii="宋体" w:hAnsi="宋体"/>
                <w:color w:val="auto"/>
                <w:szCs w:val="21"/>
                <w:highlight w:val="none"/>
              </w:rPr>
            </w:pPr>
          </w:p>
        </w:tc>
        <w:tc>
          <w:tcPr>
            <w:tcW w:w="671" w:type="dxa"/>
            <w:vAlign w:val="center"/>
          </w:tcPr>
          <w:p w14:paraId="5B644030">
            <w:pPr>
              <w:snapToGrid w:val="0"/>
              <w:spacing w:line="240" w:lineRule="atLeast"/>
              <w:jc w:val="center"/>
              <w:rPr>
                <w:rFonts w:ascii="宋体" w:hAnsi="宋体"/>
                <w:color w:val="auto"/>
                <w:szCs w:val="21"/>
                <w:highlight w:val="none"/>
              </w:rPr>
            </w:pPr>
          </w:p>
        </w:tc>
        <w:tc>
          <w:tcPr>
            <w:tcW w:w="671" w:type="dxa"/>
            <w:vAlign w:val="center"/>
          </w:tcPr>
          <w:p w14:paraId="0D535C66">
            <w:pPr>
              <w:snapToGrid w:val="0"/>
              <w:spacing w:line="240" w:lineRule="atLeast"/>
              <w:jc w:val="center"/>
              <w:rPr>
                <w:rFonts w:ascii="宋体" w:hAnsi="宋体"/>
                <w:color w:val="auto"/>
                <w:szCs w:val="21"/>
                <w:highlight w:val="none"/>
              </w:rPr>
            </w:pPr>
          </w:p>
        </w:tc>
        <w:tc>
          <w:tcPr>
            <w:tcW w:w="671" w:type="dxa"/>
            <w:vAlign w:val="center"/>
          </w:tcPr>
          <w:p w14:paraId="6A9B1CFC">
            <w:pPr>
              <w:snapToGrid w:val="0"/>
              <w:spacing w:line="240" w:lineRule="atLeast"/>
              <w:jc w:val="center"/>
              <w:rPr>
                <w:rFonts w:ascii="宋体" w:hAnsi="宋体"/>
                <w:color w:val="auto"/>
                <w:szCs w:val="21"/>
                <w:highlight w:val="none"/>
              </w:rPr>
            </w:pPr>
          </w:p>
        </w:tc>
        <w:tc>
          <w:tcPr>
            <w:tcW w:w="671" w:type="dxa"/>
            <w:vAlign w:val="center"/>
          </w:tcPr>
          <w:p w14:paraId="3E6C2A09">
            <w:pPr>
              <w:snapToGrid w:val="0"/>
              <w:spacing w:line="240" w:lineRule="atLeast"/>
              <w:jc w:val="center"/>
              <w:rPr>
                <w:rFonts w:ascii="宋体" w:hAnsi="宋体"/>
                <w:color w:val="auto"/>
                <w:szCs w:val="21"/>
                <w:highlight w:val="none"/>
              </w:rPr>
            </w:pPr>
          </w:p>
        </w:tc>
        <w:tc>
          <w:tcPr>
            <w:tcW w:w="671" w:type="dxa"/>
            <w:vAlign w:val="center"/>
          </w:tcPr>
          <w:p w14:paraId="6C233CCC">
            <w:pPr>
              <w:snapToGrid w:val="0"/>
              <w:spacing w:line="240" w:lineRule="atLeast"/>
              <w:jc w:val="center"/>
              <w:rPr>
                <w:rFonts w:ascii="宋体" w:hAnsi="宋体"/>
                <w:color w:val="auto"/>
                <w:szCs w:val="21"/>
                <w:highlight w:val="none"/>
              </w:rPr>
            </w:pPr>
          </w:p>
        </w:tc>
        <w:tc>
          <w:tcPr>
            <w:tcW w:w="671" w:type="dxa"/>
            <w:vAlign w:val="center"/>
          </w:tcPr>
          <w:p w14:paraId="702BEA44">
            <w:pPr>
              <w:snapToGrid w:val="0"/>
              <w:spacing w:line="240" w:lineRule="atLeast"/>
              <w:jc w:val="center"/>
              <w:rPr>
                <w:rFonts w:ascii="宋体" w:hAnsi="宋体"/>
                <w:color w:val="auto"/>
                <w:szCs w:val="21"/>
                <w:highlight w:val="none"/>
              </w:rPr>
            </w:pPr>
          </w:p>
        </w:tc>
        <w:tc>
          <w:tcPr>
            <w:tcW w:w="671" w:type="dxa"/>
            <w:vAlign w:val="center"/>
          </w:tcPr>
          <w:p w14:paraId="54DC4BFC">
            <w:pPr>
              <w:snapToGrid w:val="0"/>
              <w:spacing w:line="240" w:lineRule="atLeast"/>
              <w:jc w:val="center"/>
              <w:rPr>
                <w:rFonts w:ascii="宋体" w:hAnsi="宋体"/>
                <w:color w:val="auto"/>
                <w:szCs w:val="21"/>
                <w:highlight w:val="none"/>
              </w:rPr>
            </w:pPr>
          </w:p>
        </w:tc>
        <w:tc>
          <w:tcPr>
            <w:tcW w:w="672" w:type="dxa"/>
            <w:vAlign w:val="center"/>
          </w:tcPr>
          <w:p w14:paraId="4DF89E3D">
            <w:pPr>
              <w:snapToGrid w:val="0"/>
              <w:spacing w:line="240" w:lineRule="atLeast"/>
              <w:jc w:val="center"/>
              <w:rPr>
                <w:rFonts w:ascii="宋体" w:hAnsi="宋体"/>
                <w:color w:val="auto"/>
                <w:szCs w:val="21"/>
                <w:highlight w:val="none"/>
              </w:rPr>
            </w:pPr>
          </w:p>
        </w:tc>
      </w:tr>
      <w:tr w14:paraId="4C110D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1657" w:type="dxa"/>
            <w:vAlign w:val="center"/>
          </w:tcPr>
          <w:p w14:paraId="40F20152">
            <w:pPr>
              <w:snapToGrid w:val="0"/>
              <w:spacing w:line="240" w:lineRule="atLeast"/>
              <w:jc w:val="center"/>
              <w:rPr>
                <w:rFonts w:ascii="宋体" w:hAnsi="宋体"/>
                <w:color w:val="auto"/>
                <w:szCs w:val="21"/>
                <w:highlight w:val="none"/>
              </w:rPr>
            </w:pPr>
            <w:r>
              <w:rPr>
                <w:rFonts w:hint="eastAsia" w:ascii="宋体" w:hAnsi="宋体"/>
                <w:color w:val="auto"/>
                <w:szCs w:val="21"/>
                <w:highlight w:val="none"/>
              </w:rPr>
              <w:t>得分</w:t>
            </w:r>
          </w:p>
        </w:tc>
        <w:tc>
          <w:tcPr>
            <w:tcW w:w="671" w:type="dxa"/>
            <w:vAlign w:val="center"/>
          </w:tcPr>
          <w:p w14:paraId="548D663D">
            <w:pPr>
              <w:snapToGrid w:val="0"/>
              <w:spacing w:line="240" w:lineRule="atLeast"/>
              <w:jc w:val="center"/>
              <w:rPr>
                <w:rFonts w:ascii="宋体" w:hAnsi="宋体"/>
                <w:color w:val="auto"/>
                <w:szCs w:val="21"/>
                <w:highlight w:val="none"/>
              </w:rPr>
            </w:pPr>
          </w:p>
        </w:tc>
        <w:tc>
          <w:tcPr>
            <w:tcW w:w="671" w:type="dxa"/>
            <w:vAlign w:val="center"/>
          </w:tcPr>
          <w:p w14:paraId="1D01E4BE">
            <w:pPr>
              <w:snapToGrid w:val="0"/>
              <w:spacing w:line="240" w:lineRule="atLeast"/>
              <w:jc w:val="center"/>
              <w:rPr>
                <w:rFonts w:ascii="宋体" w:hAnsi="宋体"/>
                <w:color w:val="auto"/>
                <w:szCs w:val="21"/>
                <w:highlight w:val="none"/>
              </w:rPr>
            </w:pPr>
          </w:p>
        </w:tc>
        <w:tc>
          <w:tcPr>
            <w:tcW w:w="671" w:type="dxa"/>
            <w:vAlign w:val="center"/>
          </w:tcPr>
          <w:p w14:paraId="50E9D170">
            <w:pPr>
              <w:snapToGrid w:val="0"/>
              <w:spacing w:line="240" w:lineRule="atLeast"/>
              <w:jc w:val="center"/>
              <w:rPr>
                <w:rFonts w:ascii="宋体" w:hAnsi="宋体"/>
                <w:color w:val="auto"/>
                <w:szCs w:val="21"/>
                <w:highlight w:val="none"/>
              </w:rPr>
            </w:pPr>
          </w:p>
        </w:tc>
        <w:tc>
          <w:tcPr>
            <w:tcW w:w="671" w:type="dxa"/>
            <w:vAlign w:val="center"/>
          </w:tcPr>
          <w:p w14:paraId="302264CD">
            <w:pPr>
              <w:snapToGrid w:val="0"/>
              <w:spacing w:line="240" w:lineRule="atLeast"/>
              <w:jc w:val="center"/>
              <w:rPr>
                <w:rFonts w:ascii="宋体" w:hAnsi="宋体"/>
                <w:color w:val="auto"/>
                <w:szCs w:val="21"/>
                <w:highlight w:val="none"/>
              </w:rPr>
            </w:pPr>
          </w:p>
        </w:tc>
        <w:tc>
          <w:tcPr>
            <w:tcW w:w="671" w:type="dxa"/>
            <w:vAlign w:val="center"/>
          </w:tcPr>
          <w:p w14:paraId="60670280">
            <w:pPr>
              <w:snapToGrid w:val="0"/>
              <w:spacing w:line="240" w:lineRule="atLeast"/>
              <w:jc w:val="center"/>
              <w:rPr>
                <w:rFonts w:ascii="宋体" w:hAnsi="宋体"/>
                <w:color w:val="auto"/>
                <w:szCs w:val="21"/>
                <w:highlight w:val="none"/>
              </w:rPr>
            </w:pPr>
          </w:p>
        </w:tc>
        <w:tc>
          <w:tcPr>
            <w:tcW w:w="671" w:type="dxa"/>
            <w:vAlign w:val="center"/>
          </w:tcPr>
          <w:p w14:paraId="765590DD">
            <w:pPr>
              <w:snapToGrid w:val="0"/>
              <w:spacing w:line="240" w:lineRule="atLeast"/>
              <w:jc w:val="center"/>
              <w:rPr>
                <w:rFonts w:ascii="宋体" w:hAnsi="宋体"/>
                <w:color w:val="auto"/>
                <w:szCs w:val="21"/>
                <w:highlight w:val="none"/>
              </w:rPr>
            </w:pPr>
          </w:p>
        </w:tc>
        <w:tc>
          <w:tcPr>
            <w:tcW w:w="671" w:type="dxa"/>
            <w:vAlign w:val="center"/>
          </w:tcPr>
          <w:p w14:paraId="08465711">
            <w:pPr>
              <w:snapToGrid w:val="0"/>
              <w:spacing w:line="240" w:lineRule="atLeast"/>
              <w:jc w:val="center"/>
              <w:rPr>
                <w:rFonts w:ascii="宋体" w:hAnsi="宋体"/>
                <w:color w:val="auto"/>
                <w:szCs w:val="21"/>
                <w:highlight w:val="none"/>
              </w:rPr>
            </w:pPr>
          </w:p>
        </w:tc>
        <w:tc>
          <w:tcPr>
            <w:tcW w:w="671" w:type="dxa"/>
            <w:vAlign w:val="center"/>
          </w:tcPr>
          <w:p w14:paraId="2450CB3B">
            <w:pPr>
              <w:snapToGrid w:val="0"/>
              <w:spacing w:line="240" w:lineRule="atLeast"/>
              <w:jc w:val="center"/>
              <w:rPr>
                <w:rFonts w:ascii="宋体" w:hAnsi="宋体"/>
                <w:color w:val="auto"/>
                <w:szCs w:val="21"/>
                <w:highlight w:val="none"/>
              </w:rPr>
            </w:pPr>
          </w:p>
        </w:tc>
        <w:tc>
          <w:tcPr>
            <w:tcW w:w="671" w:type="dxa"/>
            <w:vAlign w:val="center"/>
          </w:tcPr>
          <w:p w14:paraId="2761B5A3">
            <w:pPr>
              <w:snapToGrid w:val="0"/>
              <w:spacing w:line="240" w:lineRule="atLeast"/>
              <w:jc w:val="center"/>
              <w:rPr>
                <w:rFonts w:ascii="宋体" w:hAnsi="宋体"/>
                <w:color w:val="auto"/>
                <w:szCs w:val="21"/>
                <w:highlight w:val="none"/>
              </w:rPr>
            </w:pPr>
          </w:p>
        </w:tc>
        <w:tc>
          <w:tcPr>
            <w:tcW w:w="671" w:type="dxa"/>
            <w:vAlign w:val="center"/>
          </w:tcPr>
          <w:p w14:paraId="7BF91DF7">
            <w:pPr>
              <w:snapToGrid w:val="0"/>
              <w:spacing w:line="240" w:lineRule="atLeast"/>
              <w:jc w:val="center"/>
              <w:rPr>
                <w:rFonts w:ascii="宋体" w:hAnsi="宋体"/>
                <w:color w:val="auto"/>
                <w:szCs w:val="21"/>
                <w:highlight w:val="none"/>
              </w:rPr>
            </w:pPr>
          </w:p>
        </w:tc>
        <w:tc>
          <w:tcPr>
            <w:tcW w:w="672" w:type="dxa"/>
            <w:vAlign w:val="center"/>
          </w:tcPr>
          <w:p w14:paraId="7E26B5E2">
            <w:pPr>
              <w:snapToGrid w:val="0"/>
              <w:spacing w:line="240" w:lineRule="atLeast"/>
              <w:jc w:val="center"/>
              <w:rPr>
                <w:rFonts w:ascii="宋体" w:hAnsi="宋体"/>
                <w:color w:val="auto"/>
                <w:szCs w:val="21"/>
                <w:highlight w:val="none"/>
              </w:rPr>
            </w:pPr>
          </w:p>
        </w:tc>
      </w:tr>
    </w:tbl>
    <w:p w14:paraId="7FAE8B3F">
      <w:pPr>
        <w:pStyle w:val="8"/>
        <w:adjustRightInd w:val="0"/>
        <w:snapToGrid w:val="0"/>
        <w:rPr>
          <w:rFonts w:ascii="宋体" w:hAnsi="宋体" w:cs="宋体"/>
          <w:color w:val="auto"/>
          <w:kern w:val="0"/>
          <w:szCs w:val="21"/>
          <w:highlight w:val="none"/>
        </w:rPr>
      </w:pPr>
    </w:p>
    <w:p w14:paraId="1CDC851D">
      <w:pPr>
        <w:pStyle w:val="8"/>
        <w:adjustRightInd w:val="0"/>
        <w:snapToGrid w:val="0"/>
        <w:spacing w:line="360" w:lineRule="auto"/>
        <w:ind w:firstLine="0"/>
        <w:rPr>
          <w:rFonts w:ascii="宋体" w:hAnsi="宋体"/>
          <w:color w:val="auto"/>
          <w:szCs w:val="36"/>
          <w:highlight w:val="none"/>
        </w:rPr>
      </w:pPr>
    </w:p>
    <w:p w14:paraId="70F15E9A">
      <w:pPr>
        <w:pStyle w:val="8"/>
        <w:adjustRightInd w:val="0"/>
        <w:snapToGrid w:val="0"/>
        <w:spacing w:line="360" w:lineRule="auto"/>
        <w:ind w:firstLine="0"/>
        <w:rPr>
          <w:rFonts w:ascii="宋体" w:hAnsi="宋体"/>
          <w:color w:val="auto"/>
          <w:szCs w:val="21"/>
          <w:highlight w:val="none"/>
        </w:rPr>
      </w:pPr>
      <w:r>
        <w:rPr>
          <w:rFonts w:hint="eastAsia" w:ascii="宋体" w:hAnsi="宋体"/>
          <w:color w:val="auto"/>
          <w:szCs w:val="21"/>
          <w:highlight w:val="none"/>
        </w:rPr>
        <w:t xml:space="preserve"> 评委签名：                                                 日期：</w:t>
      </w:r>
    </w:p>
    <w:p w14:paraId="030F0EDA">
      <w:pPr>
        <w:pStyle w:val="4"/>
        <w:numPr>
          <w:ilvl w:val="0"/>
          <w:numId w:val="1"/>
        </w:numPr>
        <w:rPr>
          <w:color w:val="auto"/>
          <w:highlight w:val="none"/>
        </w:rPr>
      </w:pPr>
      <w:r>
        <w:rPr>
          <w:b w:val="0"/>
          <w:color w:val="auto"/>
          <w:spacing w:val="20"/>
          <w:highlight w:val="none"/>
        </w:rPr>
        <w:br w:type="page"/>
      </w:r>
      <w:bookmarkStart w:id="114" w:name="_Toc118553988"/>
      <w:bookmarkStart w:id="115" w:name="_Toc533357319"/>
      <w:r>
        <w:rPr>
          <w:rFonts w:hint="eastAsia"/>
          <w:color w:val="auto"/>
          <w:highlight w:val="none"/>
        </w:rPr>
        <w:t>评标方法</w:t>
      </w:r>
      <w:bookmarkEnd w:id="114"/>
      <w:bookmarkEnd w:id="115"/>
    </w:p>
    <w:p w14:paraId="157A9E2F">
      <w:pPr>
        <w:rPr>
          <w:rFonts w:ascii="宋体" w:hAnsi="宋体"/>
          <w:color w:val="auto"/>
          <w:highlight w:val="none"/>
        </w:rPr>
      </w:pPr>
    </w:p>
    <w:p w14:paraId="2F9BE474">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本次评标采用综合评估法。评标委员会对满足招标文件实质性要求的投标文件，按照本章第2.2款规定的评分标准进行打分，并按总得分由高到低顺序推荐中标候选人，排序的前一~三名为第一中标候选人、第二中标候选人和第三中标候选人。总得分相等时，以投标报价低的优先；若投标报价也相等，以检测</w:t>
      </w:r>
      <w:r>
        <w:rPr>
          <w:rFonts w:hint="eastAsia" w:ascii="宋体" w:hAnsi="宋体"/>
          <w:color w:val="auto"/>
          <w:sz w:val="24"/>
          <w:szCs w:val="24"/>
          <w:highlight w:val="none"/>
          <w:lang w:val="en-US" w:eastAsia="zh-CN"/>
        </w:rPr>
        <w:t>监测</w:t>
      </w:r>
      <w:r>
        <w:rPr>
          <w:rFonts w:hint="eastAsia" w:ascii="宋体" w:hAnsi="宋体"/>
          <w:color w:val="auto"/>
          <w:sz w:val="24"/>
          <w:szCs w:val="24"/>
          <w:highlight w:val="none"/>
        </w:rPr>
        <w:t>方案得分高的优先；若检测</w:t>
      </w:r>
      <w:r>
        <w:rPr>
          <w:rFonts w:hint="eastAsia" w:ascii="宋体" w:hAnsi="宋体"/>
          <w:color w:val="auto"/>
          <w:sz w:val="24"/>
          <w:szCs w:val="24"/>
          <w:highlight w:val="none"/>
          <w:lang w:val="en-US" w:eastAsia="zh-CN"/>
        </w:rPr>
        <w:t>监测</w:t>
      </w:r>
      <w:r>
        <w:rPr>
          <w:rFonts w:hint="eastAsia" w:ascii="宋体" w:hAnsi="宋体"/>
          <w:color w:val="auto"/>
          <w:sz w:val="24"/>
          <w:szCs w:val="24"/>
          <w:highlight w:val="none"/>
        </w:rPr>
        <w:t>方案得分也相等，由评标委员会采用记名投票方式，以得票多的优先。</w:t>
      </w:r>
    </w:p>
    <w:p w14:paraId="6105CF48">
      <w:pPr>
        <w:rPr>
          <w:rFonts w:ascii="宋体" w:hAnsi="宋体"/>
          <w:color w:val="auto"/>
          <w:highlight w:val="none"/>
        </w:rPr>
      </w:pPr>
    </w:p>
    <w:p w14:paraId="6D453FF2">
      <w:pPr>
        <w:pStyle w:val="4"/>
        <w:rPr>
          <w:color w:val="auto"/>
          <w:highlight w:val="none"/>
        </w:rPr>
      </w:pPr>
      <w:bookmarkStart w:id="116" w:name="bookmark85"/>
      <w:bookmarkEnd w:id="116"/>
      <w:bookmarkStart w:id="117" w:name="_Toc118553989"/>
      <w:bookmarkStart w:id="118" w:name="_Toc533357320"/>
      <w:r>
        <w:rPr>
          <w:color w:val="auto"/>
          <w:highlight w:val="none"/>
        </w:rPr>
        <w:t xml:space="preserve">2. </w:t>
      </w:r>
      <w:r>
        <w:rPr>
          <w:rFonts w:hint="eastAsia"/>
          <w:color w:val="auto"/>
          <w:highlight w:val="none"/>
        </w:rPr>
        <w:t>评审标准</w:t>
      </w:r>
      <w:bookmarkEnd w:id="117"/>
      <w:bookmarkEnd w:id="118"/>
    </w:p>
    <w:p w14:paraId="4BED3FA4">
      <w:pPr>
        <w:rPr>
          <w:rFonts w:ascii="宋体" w:hAnsi="宋体"/>
          <w:color w:val="auto"/>
          <w:highlight w:val="none"/>
        </w:rPr>
      </w:pPr>
    </w:p>
    <w:p w14:paraId="4B8EB308">
      <w:pPr>
        <w:pStyle w:val="6"/>
        <w:ind w:firstLine="420"/>
        <w:rPr>
          <w:color w:val="auto"/>
          <w:highlight w:val="none"/>
        </w:rPr>
      </w:pPr>
      <w:bookmarkStart w:id="119" w:name="bookmark86"/>
      <w:bookmarkEnd w:id="119"/>
      <w:r>
        <w:rPr>
          <w:color w:val="auto"/>
          <w:highlight w:val="none"/>
        </w:rPr>
        <w:t xml:space="preserve">2.1 </w:t>
      </w:r>
      <w:r>
        <w:rPr>
          <w:rFonts w:hint="eastAsia"/>
          <w:color w:val="auto"/>
          <w:highlight w:val="none"/>
        </w:rPr>
        <w:t>初步评审标准</w:t>
      </w:r>
    </w:p>
    <w:p w14:paraId="78A363BE">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2.1.1</w:t>
      </w:r>
      <w:r>
        <w:rPr>
          <w:rFonts w:hint="eastAsia" w:ascii="宋体" w:hAnsi="宋体"/>
          <w:color w:val="auto"/>
          <w:sz w:val="24"/>
          <w:szCs w:val="24"/>
          <w:highlight w:val="none"/>
        </w:rPr>
        <w:t>形式评审标准：见评标办法前附表。</w:t>
      </w:r>
    </w:p>
    <w:p w14:paraId="290170E9">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2.1.2</w:t>
      </w:r>
      <w:r>
        <w:rPr>
          <w:rFonts w:hint="eastAsia" w:ascii="宋体" w:hAnsi="宋体"/>
          <w:color w:val="auto"/>
          <w:sz w:val="24"/>
          <w:szCs w:val="24"/>
          <w:highlight w:val="none"/>
        </w:rPr>
        <w:t>资格评审标准：见评标办法前附表。</w:t>
      </w:r>
    </w:p>
    <w:p w14:paraId="36AB3711">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2.1.3</w:t>
      </w:r>
      <w:r>
        <w:rPr>
          <w:rFonts w:hint="eastAsia" w:ascii="宋体" w:hAnsi="宋体"/>
          <w:color w:val="auto"/>
          <w:sz w:val="24"/>
          <w:szCs w:val="24"/>
          <w:highlight w:val="none"/>
        </w:rPr>
        <w:t>响应性评审标准：见评标办法前附表。</w:t>
      </w:r>
    </w:p>
    <w:p w14:paraId="72F53E9A">
      <w:pPr>
        <w:rPr>
          <w:rFonts w:ascii="宋体" w:hAnsi="宋体"/>
          <w:color w:val="auto"/>
          <w:highlight w:val="none"/>
        </w:rPr>
      </w:pPr>
    </w:p>
    <w:p w14:paraId="7C9A5700">
      <w:pPr>
        <w:pStyle w:val="6"/>
        <w:rPr>
          <w:color w:val="auto"/>
          <w:highlight w:val="none"/>
        </w:rPr>
      </w:pPr>
      <w:bookmarkStart w:id="120" w:name="bookmark87"/>
      <w:bookmarkEnd w:id="120"/>
      <w:r>
        <w:rPr>
          <w:color w:val="auto"/>
          <w:highlight w:val="none"/>
        </w:rPr>
        <w:t xml:space="preserve">2.2 </w:t>
      </w:r>
      <w:r>
        <w:rPr>
          <w:rFonts w:hint="eastAsia"/>
          <w:color w:val="auto"/>
          <w:highlight w:val="none"/>
        </w:rPr>
        <w:t>分值构成与评分标准</w:t>
      </w:r>
    </w:p>
    <w:p w14:paraId="10CBEC29">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2.2.1</w:t>
      </w:r>
      <w:r>
        <w:rPr>
          <w:rFonts w:hint="eastAsia" w:ascii="宋体" w:hAnsi="宋体"/>
          <w:color w:val="auto"/>
          <w:sz w:val="24"/>
          <w:szCs w:val="24"/>
          <w:highlight w:val="none"/>
        </w:rPr>
        <w:t>分值构成</w:t>
      </w:r>
    </w:p>
    <w:p w14:paraId="4F652506">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w:t>
      </w:r>
      <w:r>
        <w:rPr>
          <w:rFonts w:ascii="宋体" w:hAnsi="宋体"/>
          <w:color w:val="auto"/>
          <w:sz w:val="24"/>
          <w:szCs w:val="24"/>
          <w:highlight w:val="none"/>
        </w:rPr>
        <w:t>1</w:t>
      </w:r>
      <w:r>
        <w:rPr>
          <w:rFonts w:hint="eastAsia" w:ascii="宋体" w:hAnsi="宋体"/>
          <w:color w:val="auto"/>
          <w:sz w:val="24"/>
          <w:szCs w:val="24"/>
          <w:highlight w:val="none"/>
        </w:rPr>
        <w:t>）企业综合实力部分：见评标办法前附表；</w:t>
      </w:r>
    </w:p>
    <w:p w14:paraId="6F88CA49">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w:t>
      </w:r>
      <w:r>
        <w:rPr>
          <w:rFonts w:ascii="宋体" w:hAnsi="宋体"/>
          <w:color w:val="auto"/>
          <w:sz w:val="24"/>
          <w:szCs w:val="24"/>
          <w:highlight w:val="none"/>
        </w:rPr>
        <w:t>2</w:t>
      </w:r>
      <w:r>
        <w:rPr>
          <w:rFonts w:hint="eastAsia" w:ascii="宋体" w:hAnsi="宋体"/>
          <w:color w:val="auto"/>
          <w:sz w:val="24"/>
          <w:szCs w:val="24"/>
          <w:highlight w:val="none"/>
        </w:rPr>
        <w:t>）技术方案部分：见评标办法前附表；</w:t>
      </w:r>
    </w:p>
    <w:p w14:paraId="338AF2C4">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w:t>
      </w:r>
      <w:r>
        <w:rPr>
          <w:rFonts w:ascii="宋体" w:hAnsi="宋体"/>
          <w:color w:val="auto"/>
          <w:sz w:val="24"/>
          <w:szCs w:val="24"/>
          <w:highlight w:val="none"/>
        </w:rPr>
        <w:t>3</w:t>
      </w:r>
      <w:r>
        <w:rPr>
          <w:rFonts w:hint="eastAsia" w:ascii="宋体" w:hAnsi="宋体"/>
          <w:color w:val="auto"/>
          <w:sz w:val="24"/>
          <w:szCs w:val="24"/>
          <w:highlight w:val="none"/>
        </w:rPr>
        <w:t>）投标报价部分：见评标办法前附表；</w:t>
      </w:r>
    </w:p>
    <w:p w14:paraId="22836BAE">
      <w:pPr>
        <w:spacing w:line="360" w:lineRule="auto"/>
        <w:ind w:firstLine="480" w:firstLineChars="200"/>
        <w:rPr>
          <w:rFonts w:ascii="宋体" w:hAnsi="宋体"/>
          <w:strike/>
          <w:color w:val="auto"/>
          <w:sz w:val="24"/>
          <w:szCs w:val="24"/>
          <w:highlight w:val="none"/>
        </w:rPr>
      </w:pPr>
      <w:r>
        <w:rPr>
          <w:rFonts w:hint="eastAsia" w:ascii="宋体" w:hAnsi="宋体"/>
          <w:strike/>
          <w:color w:val="auto"/>
          <w:sz w:val="24"/>
          <w:szCs w:val="24"/>
          <w:highlight w:val="none"/>
        </w:rPr>
        <w:t>（</w:t>
      </w:r>
      <w:r>
        <w:rPr>
          <w:rFonts w:ascii="宋体" w:hAnsi="宋体"/>
          <w:strike/>
          <w:color w:val="auto"/>
          <w:sz w:val="24"/>
          <w:szCs w:val="24"/>
          <w:highlight w:val="none"/>
        </w:rPr>
        <w:t>4</w:t>
      </w:r>
      <w:r>
        <w:rPr>
          <w:rFonts w:hint="eastAsia" w:ascii="宋体" w:hAnsi="宋体"/>
          <w:strike/>
          <w:color w:val="auto"/>
          <w:sz w:val="24"/>
          <w:szCs w:val="24"/>
          <w:highlight w:val="none"/>
        </w:rPr>
        <w:t>）其他因素部分：见评标办法前附表。</w:t>
      </w:r>
    </w:p>
    <w:p w14:paraId="6E21F6E1">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2.2.2</w:t>
      </w:r>
      <w:r>
        <w:rPr>
          <w:rFonts w:hint="eastAsia" w:ascii="宋体" w:hAnsi="宋体"/>
          <w:color w:val="auto"/>
          <w:sz w:val="24"/>
          <w:szCs w:val="24"/>
          <w:highlight w:val="none"/>
        </w:rPr>
        <w:t>评标基准价计算</w:t>
      </w:r>
    </w:p>
    <w:p w14:paraId="6CFF1425">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评标基准价计算方法：见评标办法前附表。</w:t>
      </w:r>
    </w:p>
    <w:p w14:paraId="2F8DE46F">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2.2.3</w:t>
      </w:r>
      <w:r>
        <w:rPr>
          <w:rFonts w:hint="eastAsia" w:ascii="宋体" w:hAnsi="宋体"/>
          <w:color w:val="auto"/>
          <w:sz w:val="24"/>
          <w:szCs w:val="24"/>
          <w:highlight w:val="none"/>
        </w:rPr>
        <w:t>投标报价的计算</w:t>
      </w:r>
    </w:p>
    <w:p w14:paraId="0AFAB9D7">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投标报价的偏差率计算公式：见评标办法前附表。</w:t>
      </w:r>
    </w:p>
    <w:p w14:paraId="25541F91">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2.2.4</w:t>
      </w:r>
      <w:r>
        <w:rPr>
          <w:rFonts w:hint="eastAsia" w:ascii="宋体" w:hAnsi="宋体"/>
          <w:color w:val="auto"/>
          <w:sz w:val="24"/>
          <w:szCs w:val="24"/>
          <w:highlight w:val="none"/>
        </w:rPr>
        <w:t>评分标准</w:t>
      </w:r>
    </w:p>
    <w:p w14:paraId="6E9D16F1">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w:t>
      </w:r>
      <w:r>
        <w:rPr>
          <w:rFonts w:ascii="宋体" w:hAnsi="宋体"/>
          <w:color w:val="auto"/>
          <w:sz w:val="24"/>
          <w:szCs w:val="24"/>
          <w:highlight w:val="none"/>
        </w:rPr>
        <w:t>1</w:t>
      </w:r>
      <w:r>
        <w:rPr>
          <w:rFonts w:hint="eastAsia" w:ascii="宋体" w:hAnsi="宋体"/>
          <w:color w:val="auto"/>
          <w:sz w:val="24"/>
          <w:szCs w:val="24"/>
          <w:highlight w:val="none"/>
        </w:rPr>
        <w:t>）企业综合实力评分标准：见评标办法前附表；</w:t>
      </w:r>
    </w:p>
    <w:p w14:paraId="049B71B2">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w:t>
      </w:r>
      <w:r>
        <w:rPr>
          <w:rFonts w:ascii="宋体" w:hAnsi="宋体"/>
          <w:color w:val="auto"/>
          <w:sz w:val="24"/>
          <w:szCs w:val="24"/>
          <w:highlight w:val="none"/>
        </w:rPr>
        <w:t>2</w:t>
      </w:r>
      <w:r>
        <w:rPr>
          <w:rFonts w:hint="eastAsia" w:ascii="宋体" w:hAnsi="宋体"/>
          <w:color w:val="auto"/>
          <w:sz w:val="24"/>
          <w:szCs w:val="24"/>
          <w:highlight w:val="none"/>
        </w:rPr>
        <w:t>）技术方案评分标准：见评标办法前附表；</w:t>
      </w:r>
    </w:p>
    <w:p w14:paraId="2B2A1EE2">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w:t>
      </w:r>
      <w:r>
        <w:rPr>
          <w:rFonts w:ascii="宋体" w:hAnsi="宋体"/>
          <w:color w:val="auto"/>
          <w:sz w:val="24"/>
          <w:szCs w:val="24"/>
          <w:highlight w:val="none"/>
        </w:rPr>
        <w:t>3</w:t>
      </w:r>
      <w:r>
        <w:rPr>
          <w:rFonts w:hint="eastAsia" w:ascii="宋体" w:hAnsi="宋体"/>
          <w:color w:val="auto"/>
          <w:sz w:val="24"/>
          <w:szCs w:val="24"/>
          <w:highlight w:val="none"/>
        </w:rPr>
        <w:t>）投标报价评分标准：见评标办法前附表；</w:t>
      </w:r>
    </w:p>
    <w:p w14:paraId="4E12FFDE">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w:t>
      </w:r>
      <w:r>
        <w:rPr>
          <w:rFonts w:ascii="宋体" w:hAnsi="宋体"/>
          <w:color w:val="auto"/>
          <w:sz w:val="24"/>
          <w:szCs w:val="24"/>
          <w:highlight w:val="none"/>
        </w:rPr>
        <w:t>4</w:t>
      </w:r>
      <w:r>
        <w:rPr>
          <w:rFonts w:hint="eastAsia" w:ascii="宋体" w:hAnsi="宋体"/>
          <w:color w:val="auto"/>
          <w:sz w:val="24"/>
          <w:szCs w:val="24"/>
          <w:highlight w:val="none"/>
        </w:rPr>
        <w:t>）其他因素评分标准：见评标办法前附表。</w:t>
      </w:r>
    </w:p>
    <w:p w14:paraId="4905AF40">
      <w:pPr>
        <w:pStyle w:val="4"/>
        <w:rPr>
          <w:color w:val="auto"/>
          <w:highlight w:val="none"/>
        </w:rPr>
      </w:pPr>
      <w:bookmarkStart w:id="121" w:name="bookmark88"/>
      <w:bookmarkEnd w:id="121"/>
      <w:bookmarkStart w:id="122" w:name="_Toc118553990"/>
      <w:bookmarkStart w:id="123" w:name="_Toc533357321"/>
      <w:r>
        <w:rPr>
          <w:color w:val="auto"/>
          <w:highlight w:val="none"/>
        </w:rPr>
        <w:t xml:space="preserve">3. </w:t>
      </w:r>
      <w:r>
        <w:rPr>
          <w:rFonts w:hint="eastAsia"/>
          <w:color w:val="auto"/>
          <w:highlight w:val="none"/>
        </w:rPr>
        <w:t>评标程序</w:t>
      </w:r>
      <w:bookmarkEnd w:id="122"/>
      <w:bookmarkEnd w:id="123"/>
    </w:p>
    <w:p w14:paraId="2445297F">
      <w:pPr>
        <w:rPr>
          <w:rFonts w:ascii="宋体" w:hAnsi="宋体"/>
          <w:color w:val="auto"/>
          <w:highlight w:val="none"/>
        </w:rPr>
      </w:pPr>
    </w:p>
    <w:p w14:paraId="5F2CD417">
      <w:pPr>
        <w:pStyle w:val="6"/>
        <w:rPr>
          <w:color w:val="auto"/>
          <w:highlight w:val="none"/>
        </w:rPr>
      </w:pPr>
      <w:bookmarkStart w:id="124" w:name="bookmark89"/>
      <w:bookmarkEnd w:id="124"/>
      <w:r>
        <w:rPr>
          <w:color w:val="auto"/>
          <w:highlight w:val="none"/>
        </w:rPr>
        <w:t xml:space="preserve">3.1 </w:t>
      </w:r>
      <w:r>
        <w:rPr>
          <w:rFonts w:hint="eastAsia"/>
          <w:color w:val="auto"/>
          <w:highlight w:val="none"/>
        </w:rPr>
        <w:t>初步评审</w:t>
      </w:r>
    </w:p>
    <w:p w14:paraId="203BD71D">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3.1.1</w:t>
      </w:r>
      <w:r>
        <w:rPr>
          <w:rFonts w:hint="eastAsia" w:ascii="宋体" w:hAnsi="宋体"/>
          <w:color w:val="auto"/>
          <w:sz w:val="24"/>
          <w:szCs w:val="24"/>
          <w:highlight w:val="none"/>
        </w:rPr>
        <w:t>评标委员会可以要求投标人提交第二章“投标人须知”规定的有关证明和证件的原件，以便核验。评标委员会依据本章第</w:t>
      </w:r>
      <w:r>
        <w:rPr>
          <w:rFonts w:ascii="宋体" w:hAnsi="宋体"/>
          <w:color w:val="auto"/>
          <w:sz w:val="24"/>
          <w:szCs w:val="24"/>
          <w:highlight w:val="none"/>
        </w:rPr>
        <w:t>2.1</w:t>
      </w:r>
      <w:r>
        <w:rPr>
          <w:rFonts w:hint="eastAsia" w:ascii="宋体" w:hAnsi="宋体"/>
          <w:color w:val="auto"/>
          <w:sz w:val="24"/>
          <w:szCs w:val="24"/>
          <w:highlight w:val="none"/>
        </w:rPr>
        <w:t>款规定的标准对投标文件进行初步评审。有一项不符合评审标准的，评标委员会应当否决其投标。</w:t>
      </w:r>
    </w:p>
    <w:p w14:paraId="453DF639">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3.1.2</w:t>
      </w:r>
      <w:r>
        <w:rPr>
          <w:rFonts w:hint="eastAsia" w:ascii="宋体" w:hAnsi="宋体"/>
          <w:color w:val="auto"/>
          <w:sz w:val="24"/>
          <w:szCs w:val="24"/>
          <w:highlight w:val="none"/>
        </w:rPr>
        <w:t>投标人有以下情形之一的，评标委员会应当否决其投标：</w:t>
      </w:r>
    </w:p>
    <w:p w14:paraId="662D3627">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w:t>
      </w:r>
      <w:r>
        <w:rPr>
          <w:rFonts w:ascii="宋体" w:hAnsi="宋体"/>
          <w:color w:val="auto"/>
          <w:sz w:val="24"/>
          <w:szCs w:val="24"/>
          <w:highlight w:val="none"/>
        </w:rPr>
        <w:t>1</w:t>
      </w:r>
      <w:r>
        <w:rPr>
          <w:rFonts w:hint="eastAsia" w:ascii="宋体" w:hAnsi="宋体"/>
          <w:color w:val="auto"/>
          <w:sz w:val="24"/>
          <w:szCs w:val="24"/>
          <w:highlight w:val="none"/>
        </w:rPr>
        <w:t>）投标文件没有对招标文件的实质性要求和条件作出响应，或者对招标文件的偏差超出招标文件规定的偏差范围或最高项数；</w:t>
      </w:r>
    </w:p>
    <w:p w14:paraId="0210AF2C">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w:t>
      </w:r>
      <w:r>
        <w:rPr>
          <w:rFonts w:ascii="宋体" w:hAnsi="宋体"/>
          <w:color w:val="auto"/>
          <w:sz w:val="24"/>
          <w:szCs w:val="24"/>
          <w:highlight w:val="none"/>
        </w:rPr>
        <w:t>2</w:t>
      </w:r>
      <w:r>
        <w:rPr>
          <w:rFonts w:hint="eastAsia" w:ascii="宋体" w:hAnsi="宋体"/>
          <w:color w:val="auto"/>
          <w:sz w:val="24"/>
          <w:szCs w:val="24"/>
          <w:highlight w:val="none"/>
        </w:rPr>
        <w:t>）有串通投标、弄虚作假、行贿等违法行为。</w:t>
      </w:r>
    </w:p>
    <w:p w14:paraId="12F4464B">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3.1.3</w:t>
      </w:r>
      <w:r>
        <w:rPr>
          <w:rFonts w:hint="eastAsia" w:ascii="宋体" w:hAnsi="宋体"/>
          <w:color w:val="auto"/>
          <w:sz w:val="24"/>
          <w:szCs w:val="24"/>
          <w:highlight w:val="none"/>
        </w:rPr>
        <w:t>投标报价有算术错误及其他错误的，评标委员会按以下原则要求投标人对投标报价进行修正，并要求投标人书面澄清确认。投标人拒不澄清确认的，评标委员会应当否决其投标：</w:t>
      </w:r>
    </w:p>
    <w:p w14:paraId="31CEADE8">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w:t>
      </w:r>
      <w:r>
        <w:rPr>
          <w:rFonts w:ascii="宋体" w:hAnsi="宋体"/>
          <w:color w:val="auto"/>
          <w:sz w:val="24"/>
          <w:szCs w:val="24"/>
          <w:highlight w:val="none"/>
        </w:rPr>
        <w:t>1</w:t>
      </w:r>
      <w:r>
        <w:rPr>
          <w:rFonts w:hint="eastAsia" w:ascii="宋体" w:hAnsi="宋体"/>
          <w:color w:val="auto"/>
          <w:sz w:val="24"/>
          <w:szCs w:val="24"/>
          <w:highlight w:val="none"/>
        </w:rPr>
        <w:t>）投标文件中的大写金额与小写金额不一致的，以大写金额为准；</w:t>
      </w:r>
    </w:p>
    <w:p w14:paraId="7C8AA00A">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（2）总价金额与单价金额不一致的，以单价金额为准，但单价金额小数点有明显错误的除外。</w:t>
      </w:r>
    </w:p>
    <w:p w14:paraId="4F95987C">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3.1.4 只有通过初步评审的投标人才能进入下一阶段详细评审。当通过初步评审的有效投标人不足四名时，招标人应当依法重新组织招标。在进行形式评审、资格评审、响应性评审过程中，若评委意见不一致时，则按少数服从多数的原则，决定该投标人是否通过相应阶段的评审，进入下一阶段评审。</w:t>
      </w:r>
    </w:p>
    <w:p w14:paraId="65A87444">
      <w:pPr>
        <w:rPr>
          <w:rFonts w:ascii="宋体" w:hAnsi="宋体"/>
          <w:color w:val="auto"/>
          <w:highlight w:val="none"/>
        </w:rPr>
      </w:pPr>
    </w:p>
    <w:p w14:paraId="6A681103">
      <w:pPr>
        <w:pStyle w:val="6"/>
        <w:rPr>
          <w:color w:val="auto"/>
          <w:highlight w:val="none"/>
        </w:rPr>
      </w:pPr>
      <w:bookmarkStart w:id="125" w:name="bookmark90"/>
      <w:bookmarkEnd w:id="125"/>
      <w:r>
        <w:rPr>
          <w:color w:val="auto"/>
          <w:highlight w:val="none"/>
        </w:rPr>
        <w:t xml:space="preserve">3.2 </w:t>
      </w:r>
      <w:r>
        <w:rPr>
          <w:rFonts w:hint="eastAsia"/>
          <w:color w:val="auto"/>
          <w:highlight w:val="none"/>
        </w:rPr>
        <w:t>详细评审</w:t>
      </w:r>
    </w:p>
    <w:p w14:paraId="6AF3723F">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3.2.1</w:t>
      </w:r>
      <w:r>
        <w:rPr>
          <w:rFonts w:hint="eastAsia" w:ascii="宋体" w:hAnsi="宋体"/>
          <w:color w:val="auto"/>
          <w:sz w:val="24"/>
          <w:szCs w:val="24"/>
          <w:highlight w:val="none"/>
        </w:rPr>
        <w:t>评标委员会按本章第</w:t>
      </w:r>
      <w:r>
        <w:rPr>
          <w:rFonts w:ascii="宋体" w:hAnsi="宋体"/>
          <w:color w:val="auto"/>
          <w:sz w:val="24"/>
          <w:szCs w:val="24"/>
          <w:highlight w:val="none"/>
        </w:rPr>
        <w:t>2.2</w:t>
      </w:r>
      <w:r>
        <w:rPr>
          <w:rFonts w:hint="eastAsia" w:ascii="宋体" w:hAnsi="宋体"/>
          <w:color w:val="auto"/>
          <w:sz w:val="24"/>
          <w:szCs w:val="24"/>
          <w:highlight w:val="none"/>
        </w:rPr>
        <w:t>款规定的量化因素和分值进行打分，并计算出综合评估得分。</w:t>
      </w:r>
    </w:p>
    <w:p w14:paraId="7B322F7F">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w:t>
      </w:r>
      <w:r>
        <w:rPr>
          <w:rFonts w:ascii="宋体" w:hAnsi="宋体"/>
          <w:color w:val="auto"/>
          <w:sz w:val="24"/>
          <w:szCs w:val="24"/>
          <w:highlight w:val="none"/>
        </w:rPr>
        <w:t>1</w:t>
      </w:r>
      <w:r>
        <w:rPr>
          <w:rFonts w:hint="eastAsia" w:ascii="宋体" w:hAnsi="宋体"/>
          <w:color w:val="auto"/>
          <w:sz w:val="24"/>
          <w:szCs w:val="24"/>
          <w:highlight w:val="none"/>
        </w:rPr>
        <w:t>）按本章第</w:t>
      </w:r>
      <w:r>
        <w:rPr>
          <w:rFonts w:ascii="宋体" w:hAnsi="宋体"/>
          <w:color w:val="auto"/>
          <w:sz w:val="24"/>
          <w:szCs w:val="24"/>
          <w:highlight w:val="none"/>
        </w:rPr>
        <w:t>2.2.4</w:t>
      </w:r>
      <w:r>
        <w:rPr>
          <w:rFonts w:hint="eastAsia" w:ascii="宋体" w:hAnsi="宋体"/>
          <w:color w:val="auto"/>
          <w:sz w:val="24"/>
          <w:szCs w:val="24"/>
          <w:highlight w:val="none"/>
        </w:rPr>
        <w:t>（</w:t>
      </w:r>
      <w:r>
        <w:rPr>
          <w:rFonts w:ascii="宋体" w:hAnsi="宋体"/>
          <w:color w:val="auto"/>
          <w:sz w:val="24"/>
          <w:szCs w:val="24"/>
          <w:highlight w:val="none"/>
        </w:rPr>
        <w:t>1</w:t>
      </w:r>
      <w:r>
        <w:rPr>
          <w:rFonts w:hint="eastAsia" w:ascii="宋体" w:hAnsi="宋体"/>
          <w:color w:val="auto"/>
          <w:sz w:val="24"/>
          <w:szCs w:val="24"/>
          <w:highlight w:val="none"/>
        </w:rPr>
        <w:t>）目规定的评审因素和分值对企业综合实力部分计算出得分</w:t>
      </w:r>
      <w:r>
        <w:rPr>
          <w:rFonts w:hint="eastAsia" w:ascii="宋体" w:hAnsi="宋体"/>
          <w:b/>
          <w:color w:val="auto"/>
          <w:szCs w:val="21"/>
          <w:highlight w:val="none"/>
        </w:rPr>
        <w:t>A</w:t>
      </w:r>
      <w:r>
        <w:rPr>
          <w:rFonts w:hint="eastAsia" w:ascii="宋体" w:hAnsi="宋体"/>
          <w:color w:val="auto"/>
          <w:sz w:val="24"/>
          <w:szCs w:val="24"/>
          <w:highlight w:val="none"/>
        </w:rPr>
        <w:t>；</w:t>
      </w:r>
    </w:p>
    <w:p w14:paraId="57435A2B">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w:t>
      </w:r>
      <w:r>
        <w:rPr>
          <w:rFonts w:ascii="宋体" w:hAnsi="宋体"/>
          <w:color w:val="auto"/>
          <w:sz w:val="24"/>
          <w:szCs w:val="24"/>
          <w:highlight w:val="none"/>
        </w:rPr>
        <w:t>2</w:t>
      </w:r>
      <w:r>
        <w:rPr>
          <w:rFonts w:hint="eastAsia" w:ascii="宋体" w:hAnsi="宋体"/>
          <w:color w:val="auto"/>
          <w:sz w:val="24"/>
          <w:szCs w:val="24"/>
          <w:highlight w:val="none"/>
        </w:rPr>
        <w:t>）按本章第</w:t>
      </w:r>
      <w:r>
        <w:rPr>
          <w:rFonts w:ascii="宋体" w:hAnsi="宋体"/>
          <w:color w:val="auto"/>
          <w:sz w:val="24"/>
          <w:szCs w:val="24"/>
          <w:highlight w:val="none"/>
        </w:rPr>
        <w:t>2.2.4</w:t>
      </w:r>
      <w:r>
        <w:rPr>
          <w:rFonts w:hint="eastAsia" w:ascii="宋体" w:hAnsi="宋体"/>
          <w:color w:val="auto"/>
          <w:sz w:val="24"/>
          <w:szCs w:val="24"/>
          <w:highlight w:val="none"/>
        </w:rPr>
        <w:t>（</w:t>
      </w:r>
      <w:r>
        <w:rPr>
          <w:rFonts w:ascii="宋体" w:hAnsi="宋体"/>
          <w:color w:val="auto"/>
          <w:sz w:val="24"/>
          <w:szCs w:val="24"/>
          <w:highlight w:val="none"/>
        </w:rPr>
        <w:t>2</w:t>
      </w:r>
      <w:r>
        <w:rPr>
          <w:rFonts w:hint="eastAsia" w:ascii="宋体" w:hAnsi="宋体"/>
          <w:color w:val="auto"/>
          <w:sz w:val="24"/>
          <w:szCs w:val="24"/>
          <w:highlight w:val="none"/>
        </w:rPr>
        <w:t>）目规定的评审因素和分值对技术方案部分计算出得分</w:t>
      </w:r>
      <w:r>
        <w:rPr>
          <w:rFonts w:hint="eastAsia" w:ascii="宋体" w:hAnsi="宋体"/>
          <w:b/>
          <w:color w:val="auto"/>
          <w:szCs w:val="21"/>
          <w:highlight w:val="none"/>
        </w:rPr>
        <w:t>B</w:t>
      </w:r>
      <w:r>
        <w:rPr>
          <w:rFonts w:hint="eastAsia" w:ascii="宋体" w:hAnsi="宋体"/>
          <w:color w:val="auto"/>
          <w:sz w:val="24"/>
          <w:szCs w:val="24"/>
          <w:highlight w:val="none"/>
        </w:rPr>
        <w:t>；</w:t>
      </w:r>
    </w:p>
    <w:p w14:paraId="0DBD0EDF">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w:t>
      </w:r>
      <w:r>
        <w:rPr>
          <w:rFonts w:ascii="宋体" w:hAnsi="宋体"/>
          <w:color w:val="auto"/>
          <w:sz w:val="24"/>
          <w:szCs w:val="24"/>
          <w:highlight w:val="none"/>
        </w:rPr>
        <w:t>3</w:t>
      </w:r>
      <w:r>
        <w:rPr>
          <w:rFonts w:hint="eastAsia" w:ascii="宋体" w:hAnsi="宋体"/>
          <w:color w:val="auto"/>
          <w:sz w:val="24"/>
          <w:szCs w:val="24"/>
          <w:highlight w:val="none"/>
        </w:rPr>
        <w:t>）按本章第</w:t>
      </w:r>
      <w:r>
        <w:rPr>
          <w:rFonts w:ascii="宋体" w:hAnsi="宋体"/>
          <w:color w:val="auto"/>
          <w:sz w:val="24"/>
          <w:szCs w:val="24"/>
          <w:highlight w:val="none"/>
        </w:rPr>
        <w:t>2.2.4</w:t>
      </w:r>
      <w:r>
        <w:rPr>
          <w:rFonts w:hint="eastAsia" w:ascii="宋体" w:hAnsi="宋体"/>
          <w:color w:val="auto"/>
          <w:sz w:val="24"/>
          <w:szCs w:val="24"/>
          <w:highlight w:val="none"/>
        </w:rPr>
        <w:t>（</w:t>
      </w:r>
      <w:r>
        <w:rPr>
          <w:rFonts w:ascii="宋体" w:hAnsi="宋体"/>
          <w:color w:val="auto"/>
          <w:sz w:val="24"/>
          <w:szCs w:val="24"/>
          <w:highlight w:val="none"/>
        </w:rPr>
        <w:t>3</w:t>
      </w:r>
      <w:r>
        <w:rPr>
          <w:rFonts w:hint="eastAsia" w:ascii="宋体" w:hAnsi="宋体"/>
          <w:color w:val="auto"/>
          <w:sz w:val="24"/>
          <w:szCs w:val="24"/>
          <w:highlight w:val="none"/>
        </w:rPr>
        <w:t>）目规定的评审因素和分值对投标报价部分计算出得分</w:t>
      </w:r>
      <w:r>
        <w:rPr>
          <w:rFonts w:hint="eastAsia" w:ascii="宋体" w:hAnsi="宋体"/>
          <w:b/>
          <w:color w:val="auto"/>
          <w:szCs w:val="21"/>
          <w:highlight w:val="none"/>
        </w:rPr>
        <w:t>C</w:t>
      </w:r>
      <w:r>
        <w:rPr>
          <w:rFonts w:hint="eastAsia" w:ascii="宋体" w:hAnsi="宋体"/>
          <w:color w:val="auto"/>
          <w:sz w:val="24"/>
          <w:szCs w:val="24"/>
          <w:highlight w:val="none"/>
        </w:rPr>
        <w:t>。</w:t>
      </w:r>
    </w:p>
    <w:p w14:paraId="59446A3C">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3.2.2</w:t>
      </w:r>
      <w:r>
        <w:rPr>
          <w:rFonts w:hint="eastAsia" w:ascii="宋体" w:hAnsi="宋体"/>
          <w:color w:val="auto"/>
          <w:sz w:val="24"/>
          <w:szCs w:val="24"/>
          <w:highlight w:val="none"/>
        </w:rPr>
        <w:t>评分分值计算保留小数点后两位，小数点后第三位“四舍五入”。</w:t>
      </w:r>
    </w:p>
    <w:p w14:paraId="63E0C033">
      <w:pPr>
        <w:spacing w:line="360" w:lineRule="auto"/>
        <w:ind w:firstLine="480" w:firstLineChars="200"/>
        <w:rPr>
          <w:rFonts w:ascii="宋体" w:hAnsi="宋体"/>
          <w:color w:val="auto"/>
          <w:sz w:val="24"/>
          <w:szCs w:val="24"/>
          <w:highlight w:val="none"/>
          <w:u w:val="single"/>
        </w:rPr>
      </w:pPr>
      <w:r>
        <w:rPr>
          <w:rFonts w:ascii="宋体" w:hAnsi="宋体"/>
          <w:color w:val="auto"/>
          <w:sz w:val="24"/>
          <w:szCs w:val="24"/>
          <w:highlight w:val="none"/>
        </w:rPr>
        <w:t>3.2.3</w:t>
      </w:r>
      <w:r>
        <w:rPr>
          <w:rFonts w:hint="eastAsia" w:ascii="宋体" w:hAnsi="宋体"/>
          <w:color w:val="auto"/>
          <w:sz w:val="24"/>
          <w:szCs w:val="24"/>
          <w:highlight w:val="none"/>
        </w:rPr>
        <w:t>投标人总得分=</w:t>
      </w:r>
      <w:r>
        <w:rPr>
          <w:rFonts w:hint="eastAsia" w:ascii="宋体" w:hAnsi="宋体"/>
          <w:color w:val="auto"/>
          <w:sz w:val="24"/>
          <w:szCs w:val="24"/>
          <w:highlight w:val="none"/>
          <w:u w:val="single"/>
        </w:rPr>
        <w:t xml:space="preserve"> A+B+C </w:t>
      </w:r>
    </w:p>
    <w:p w14:paraId="5639CDA1">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3.2.4</w:t>
      </w:r>
      <w:r>
        <w:rPr>
          <w:rFonts w:hint="eastAsia" w:ascii="宋体" w:hAnsi="宋体"/>
          <w:color w:val="auto"/>
          <w:sz w:val="24"/>
          <w:szCs w:val="24"/>
          <w:highlight w:val="none"/>
        </w:rPr>
        <w:t>评标委员会发现投标人的报价明显低于其他投标报价，使得其投标报价可能低于其个别成本的，应当要求该投标人作出书面说明并提供相应的证明材料。投标人不能合理说明或者不能提供相应证明材料的，评标委员会应当认定该投标人以低于成本报价竞标，并否决其投标。</w:t>
      </w:r>
    </w:p>
    <w:p w14:paraId="306765F7">
      <w:pPr>
        <w:rPr>
          <w:rFonts w:ascii="宋体" w:hAnsi="宋体"/>
          <w:color w:val="auto"/>
          <w:highlight w:val="none"/>
        </w:rPr>
      </w:pPr>
    </w:p>
    <w:p w14:paraId="150E498C">
      <w:pPr>
        <w:pStyle w:val="6"/>
        <w:rPr>
          <w:color w:val="auto"/>
          <w:highlight w:val="none"/>
        </w:rPr>
      </w:pPr>
      <w:bookmarkStart w:id="126" w:name="bookmark91"/>
      <w:bookmarkEnd w:id="126"/>
      <w:r>
        <w:rPr>
          <w:color w:val="auto"/>
          <w:highlight w:val="none"/>
        </w:rPr>
        <w:t xml:space="preserve">3.3 </w:t>
      </w:r>
      <w:r>
        <w:rPr>
          <w:rFonts w:hint="eastAsia"/>
          <w:color w:val="auto"/>
          <w:highlight w:val="none"/>
        </w:rPr>
        <w:t>投标文件的澄清</w:t>
      </w:r>
    </w:p>
    <w:p w14:paraId="3AB6335C">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3.3.1</w:t>
      </w:r>
      <w:r>
        <w:rPr>
          <w:rFonts w:hint="eastAsia" w:ascii="宋体" w:hAnsi="宋体"/>
          <w:color w:val="auto"/>
          <w:sz w:val="24"/>
          <w:szCs w:val="24"/>
          <w:highlight w:val="none"/>
        </w:rPr>
        <w:t>在评标过程中，评标委员会可以书面形式要求投标人对投标文件中含义不明确、对同类问题表述不一致或者有明显文字和计算错误的内容作必要的澄清、说明或补正。澄清、说明或补正应以书面方式进行。评标委员会不接受投标人主动提出的澄清、说明或补正。</w:t>
      </w:r>
    </w:p>
    <w:p w14:paraId="6982122D">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3.3.2</w:t>
      </w:r>
      <w:r>
        <w:rPr>
          <w:rFonts w:hint="eastAsia" w:ascii="宋体" w:hAnsi="宋体"/>
          <w:color w:val="auto"/>
          <w:sz w:val="24"/>
          <w:szCs w:val="24"/>
          <w:highlight w:val="none"/>
        </w:rPr>
        <w:t>澄清、说明或补正不得超出投标文件的范围且不得改变投标文件的实质性内容，并构成投标文件的组成部分。</w:t>
      </w:r>
    </w:p>
    <w:p w14:paraId="00F3E35B">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3.3.3</w:t>
      </w:r>
      <w:r>
        <w:rPr>
          <w:rFonts w:hint="eastAsia" w:ascii="宋体" w:hAnsi="宋体"/>
          <w:color w:val="auto"/>
          <w:sz w:val="24"/>
          <w:szCs w:val="24"/>
          <w:highlight w:val="none"/>
        </w:rPr>
        <w:t>评标委员会对投标人提交的澄清、说明或补正有疑问的，可以要求投标人进一步澄清、说明或补正，直至满足评标委员会的要求。</w:t>
      </w:r>
    </w:p>
    <w:p w14:paraId="71C24B63">
      <w:pPr>
        <w:rPr>
          <w:rFonts w:ascii="宋体" w:hAnsi="宋体"/>
          <w:color w:val="auto"/>
          <w:highlight w:val="none"/>
        </w:rPr>
      </w:pPr>
    </w:p>
    <w:p w14:paraId="6E3A78BC">
      <w:pPr>
        <w:pStyle w:val="6"/>
        <w:rPr>
          <w:color w:val="auto"/>
          <w:highlight w:val="none"/>
        </w:rPr>
      </w:pPr>
      <w:bookmarkStart w:id="127" w:name="bookmark92"/>
      <w:bookmarkEnd w:id="127"/>
      <w:r>
        <w:rPr>
          <w:color w:val="auto"/>
          <w:highlight w:val="none"/>
        </w:rPr>
        <w:t xml:space="preserve">3.4 </w:t>
      </w:r>
      <w:r>
        <w:rPr>
          <w:rFonts w:hint="eastAsia"/>
          <w:color w:val="auto"/>
          <w:highlight w:val="none"/>
        </w:rPr>
        <w:t>评标结果</w:t>
      </w:r>
    </w:p>
    <w:p w14:paraId="6AED0786">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3.4.1</w:t>
      </w:r>
      <w:r>
        <w:rPr>
          <w:rFonts w:hint="eastAsia" w:ascii="宋体" w:hAnsi="宋体"/>
          <w:color w:val="auto"/>
          <w:sz w:val="24"/>
          <w:szCs w:val="24"/>
          <w:highlight w:val="none"/>
        </w:rPr>
        <w:t>除第二章“投标人须知”前附表授权直接确定中标人外，评标委员会按照得分由高到低的顺序推荐中标候选人，并标明排序。</w:t>
      </w:r>
    </w:p>
    <w:p w14:paraId="51E457B5">
      <w:pPr>
        <w:ind w:firstLine="540" w:firstLineChars="225"/>
        <w:rPr>
          <w:rFonts w:ascii="宋体" w:hAnsi="宋体"/>
          <w:color w:val="auto"/>
          <w:sz w:val="24"/>
          <w:szCs w:val="24"/>
          <w:highlight w:val="none"/>
        </w:rPr>
      </w:pPr>
      <w:r>
        <w:rPr>
          <w:rFonts w:ascii="宋体" w:hAnsi="宋体"/>
          <w:color w:val="auto"/>
          <w:sz w:val="24"/>
          <w:szCs w:val="24"/>
          <w:highlight w:val="none"/>
        </w:rPr>
        <w:t>3.4.2</w:t>
      </w:r>
      <w:r>
        <w:rPr>
          <w:rFonts w:hint="eastAsia" w:ascii="宋体" w:hAnsi="宋体"/>
          <w:color w:val="auto"/>
          <w:sz w:val="24"/>
          <w:szCs w:val="24"/>
          <w:highlight w:val="none"/>
        </w:rPr>
        <w:t>评标委员会完成评标后，应当向招标人提交书面评标报告和中标候选人名单。</w:t>
      </w:r>
    </w:p>
    <w:p w14:paraId="4A2E415D">
      <w:pPr>
        <w:adjustRightInd w:val="0"/>
        <w:snapToGrid w:val="0"/>
        <w:spacing w:line="360" w:lineRule="auto"/>
        <w:jc w:val="center"/>
        <w:rPr>
          <w:rFonts w:ascii="宋体" w:hAnsi="宋体"/>
          <w:color w:val="auto"/>
          <w:szCs w:val="21"/>
          <w:highlight w:val="none"/>
        </w:rPr>
      </w:pPr>
      <w:r>
        <w:rPr>
          <w:rFonts w:ascii="宋体" w:hAnsi="宋体"/>
          <w:color w:val="auto"/>
          <w:szCs w:val="21"/>
          <w:highlight w:val="none"/>
        </w:rPr>
        <w:t xml:space="preserve"> </w:t>
      </w:r>
    </w:p>
    <w:p w14:paraId="460BACDB">
      <w:pPr>
        <w:pStyle w:val="2"/>
        <w:rPr>
          <w:color w:val="auto"/>
          <w:sz w:val="24"/>
          <w:szCs w:val="24"/>
          <w:highlight w:val="none"/>
        </w:rPr>
      </w:pPr>
      <w:bookmarkStart w:id="128" w:name="_Toc533357322"/>
      <w:r>
        <w:rPr>
          <w:rFonts w:hint="eastAsia"/>
          <w:color w:val="auto"/>
          <w:sz w:val="24"/>
          <w:szCs w:val="24"/>
          <w:highlight w:val="none"/>
        </w:rPr>
        <w:t xml:space="preserve">       </w:t>
      </w:r>
    </w:p>
    <w:p w14:paraId="5ED78102">
      <w:pPr>
        <w:rPr>
          <w:color w:val="auto"/>
          <w:sz w:val="24"/>
          <w:szCs w:val="24"/>
          <w:highlight w:val="none"/>
        </w:rPr>
      </w:pPr>
      <w:r>
        <w:rPr>
          <w:rFonts w:hint="eastAsia"/>
          <w:color w:val="auto"/>
          <w:sz w:val="24"/>
          <w:szCs w:val="24"/>
          <w:highlight w:val="none"/>
        </w:rPr>
        <w:br w:type="page"/>
      </w:r>
    </w:p>
    <w:p w14:paraId="3C78DB59">
      <w:pPr>
        <w:pStyle w:val="2"/>
        <w:rPr>
          <w:color w:val="auto"/>
          <w:sz w:val="24"/>
          <w:szCs w:val="24"/>
          <w:highlight w:val="none"/>
        </w:rPr>
      </w:pPr>
      <w:bookmarkStart w:id="129" w:name="_Toc118553991"/>
    </w:p>
    <w:p w14:paraId="47752B88">
      <w:pPr>
        <w:pStyle w:val="2"/>
        <w:rPr>
          <w:color w:val="auto"/>
          <w:highlight w:val="none"/>
        </w:rPr>
      </w:pPr>
      <w:r>
        <w:rPr>
          <w:rFonts w:hint="eastAsia"/>
          <w:color w:val="auto"/>
          <w:highlight w:val="none"/>
        </w:rPr>
        <w:t>第四章  合同条款及格式</w:t>
      </w:r>
      <w:bookmarkEnd w:id="128"/>
      <w:bookmarkEnd w:id="129"/>
      <w:bookmarkStart w:id="130" w:name="_Toc533357324"/>
    </w:p>
    <w:p w14:paraId="16B0E0DE">
      <w:pPr>
        <w:jc w:val="center"/>
        <w:rPr>
          <w:rFonts w:hint="eastAsia" w:eastAsia="宋体"/>
          <w:color w:val="auto"/>
          <w:sz w:val="52"/>
          <w:szCs w:val="56"/>
          <w:highlight w:val="none"/>
          <w:lang w:eastAsia="zh-CN"/>
        </w:rPr>
      </w:pPr>
      <w:bookmarkStart w:id="131" w:name="_Toc19059"/>
      <w:bookmarkEnd w:id="131"/>
      <w:bookmarkStart w:id="132" w:name="_Toc8835"/>
      <w:bookmarkEnd w:id="132"/>
      <w:bookmarkStart w:id="133" w:name="_Toc1562"/>
      <w:bookmarkEnd w:id="133"/>
      <w:bookmarkStart w:id="134" w:name="_Toc118553992"/>
      <w:r>
        <w:rPr>
          <w:rFonts w:hint="eastAsia"/>
          <w:color w:val="auto"/>
          <w:sz w:val="52"/>
          <w:szCs w:val="56"/>
          <w:highlight w:val="none"/>
          <w:lang w:eastAsia="zh-CN"/>
        </w:rPr>
        <w:t>（</w:t>
      </w:r>
      <w:r>
        <w:rPr>
          <w:rFonts w:hint="eastAsia"/>
          <w:color w:val="auto"/>
          <w:sz w:val="52"/>
          <w:szCs w:val="56"/>
          <w:highlight w:val="none"/>
          <w:lang w:val="en-US" w:eastAsia="zh-CN"/>
        </w:rPr>
        <w:t>另册</w:t>
      </w:r>
      <w:r>
        <w:rPr>
          <w:rFonts w:hint="eastAsia"/>
          <w:color w:val="auto"/>
          <w:sz w:val="52"/>
          <w:szCs w:val="56"/>
          <w:highlight w:val="none"/>
          <w:lang w:eastAsia="zh-CN"/>
        </w:rPr>
        <w:t>）</w:t>
      </w:r>
    </w:p>
    <w:p w14:paraId="610184B6">
      <w:pPr>
        <w:rPr>
          <w:rFonts w:hint="eastAsia"/>
          <w:color w:val="auto"/>
          <w:highlight w:val="none"/>
        </w:rPr>
      </w:pPr>
      <w:r>
        <w:rPr>
          <w:rFonts w:hint="eastAsia"/>
          <w:color w:val="auto"/>
          <w:highlight w:val="none"/>
        </w:rPr>
        <w:br w:type="page"/>
      </w:r>
    </w:p>
    <w:p w14:paraId="0EA51A42">
      <w:pPr>
        <w:pStyle w:val="2"/>
        <w:rPr>
          <w:color w:val="auto"/>
          <w:highlight w:val="none"/>
        </w:rPr>
      </w:pPr>
      <w:r>
        <w:rPr>
          <w:rFonts w:hint="eastAsia"/>
          <w:color w:val="auto"/>
          <w:highlight w:val="none"/>
        </w:rPr>
        <w:t>第二卷</w:t>
      </w:r>
      <w:bookmarkEnd w:id="134"/>
    </w:p>
    <w:p w14:paraId="12C0DBE2">
      <w:pPr>
        <w:pStyle w:val="2"/>
        <w:numPr>
          <w:ilvl w:val="0"/>
          <w:numId w:val="2"/>
        </w:numPr>
        <w:rPr>
          <w:color w:val="auto"/>
          <w:highlight w:val="none"/>
        </w:rPr>
      </w:pPr>
      <w:r>
        <w:rPr>
          <w:rFonts w:hint="eastAsia"/>
          <w:color w:val="auto"/>
          <w:highlight w:val="none"/>
        </w:rPr>
        <w:t xml:space="preserve"> </w:t>
      </w:r>
      <w:bookmarkStart w:id="135" w:name="_Toc118553993"/>
      <w:r>
        <w:rPr>
          <w:rFonts w:hint="eastAsia"/>
          <w:color w:val="auto"/>
          <w:highlight w:val="none"/>
        </w:rPr>
        <w:t>委托人要求</w:t>
      </w:r>
      <w:bookmarkEnd w:id="135"/>
    </w:p>
    <w:p w14:paraId="4D185D44">
      <w:pPr>
        <w:spacing w:line="360" w:lineRule="auto"/>
        <w:ind w:firstLine="426" w:firstLineChars="177"/>
        <w:rPr>
          <w:rFonts w:ascii="宋体" w:hAnsi="宋体"/>
          <w:b/>
          <w:color w:val="auto"/>
          <w:sz w:val="24"/>
          <w:szCs w:val="24"/>
          <w:highlight w:val="none"/>
        </w:rPr>
      </w:pPr>
      <w:r>
        <w:rPr>
          <w:rFonts w:hint="eastAsia" w:ascii="宋体" w:hAnsi="宋体"/>
          <w:b/>
          <w:color w:val="auto"/>
          <w:sz w:val="24"/>
          <w:szCs w:val="24"/>
          <w:highlight w:val="none"/>
        </w:rPr>
        <w:t>1. 项目概况：</w:t>
      </w:r>
    </w:p>
    <w:p w14:paraId="58E4A4C1">
      <w:pPr>
        <w:spacing w:line="360" w:lineRule="auto"/>
        <w:ind w:firstLine="420" w:firstLineChars="175"/>
        <w:rPr>
          <w:rFonts w:hint="eastAsia" w:ascii="宋体" w:hAnsi="宋体"/>
          <w:color w:val="auto"/>
          <w:sz w:val="24"/>
          <w:szCs w:val="24"/>
          <w:highlight w:val="none"/>
          <w:u w:val="none"/>
          <w:lang w:eastAsia="zh-CN"/>
        </w:rPr>
      </w:pPr>
      <w:r>
        <w:rPr>
          <w:rFonts w:hint="eastAsia" w:ascii="宋体" w:hAnsi="宋体"/>
          <w:color w:val="auto"/>
          <w:sz w:val="24"/>
          <w:szCs w:val="24"/>
          <w:highlight w:val="none"/>
        </w:rPr>
        <w:t>1.1项目名称：</w:t>
      </w:r>
      <w:r>
        <w:rPr>
          <w:rFonts w:hint="eastAsia" w:ascii="宋体" w:hAnsi="宋体"/>
          <w:color w:val="auto"/>
          <w:sz w:val="24"/>
          <w:szCs w:val="24"/>
          <w:highlight w:val="none"/>
          <w:u w:val="none"/>
          <w:lang w:eastAsia="zh-CN"/>
        </w:rPr>
        <w:t>广州市黄埔区龙湖街旺村城中村改造项目北地块（北AZ-03地块）检测监测服务。</w:t>
      </w:r>
    </w:p>
    <w:p w14:paraId="2499A457">
      <w:pPr>
        <w:spacing w:line="360" w:lineRule="auto"/>
        <w:ind w:firstLine="420" w:firstLineChars="175"/>
        <w:rPr>
          <w:rFonts w:hint="eastAsia" w:ascii="宋体" w:hAnsi="宋体" w:cs="宋体"/>
          <w:color w:val="auto"/>
          <w:sz w:val="24"/>
          <w:szCs w:val="24"/>
          <w:highlight w:val="none"/>
          <w:u w:val="single"/>
        </w:rPr>
      </w:pPr>
      <w:r>
        <w:rPr>
          <w:rFonts w:hint="eastAsia" w:ascii="宋体" w:hAnsi="宋体"/>
          <w:color w:val="auto"/>
          <w:sz w:val="24"/>
          <w:szCs w:val="24"/>
          <w:highlight w:val="none"/>
        </w:rPr>
        <w:t>1.2建设规模：</w:t>
      </w:r>
      <w:r>
        <w:rPr>
          <w:rFonts w:hint="eastAsia" w:ascii="宋体" w:hAnsi="宋体" w:cs="宋体"/>
          <w:color w:val="auto"/>
          <w:sz w:val="24"/>
          <w:szCs w:val="24"/>
          <w:highlight w:val="none"/>
        </w:rPr>
        <w:t>项目位于广州市黄埔区龙湖街道旺村村旺村西路，北AZ-03</w:t>
      </w:r>
      <w:r>
        <w:rPr>
          <w:rFonts w:hint="eastAsia" w:ascii="宋体" w:hAnsi="宋体" w:cs="宋体"/>
          <w:color w:val="auto"/>
          <w:sz w:val="24"/>
          <w:szCs w:val="24"/>
          <w:highlight w:val="none"/>
          <w:lang w:val="en-US" w:eastAsia="zh-CN"/>
        </w:rPr>
        <w:t>地块</w:t>
      </w:r>
      <w:r>
        <w:rPr>
          <w:rFonts w:hint="eastAsia" w:ascii="宋体" w:hAnsi="宋体" w:cs="宋体"/>
          <w:color w:val="auto"/>
          <w:sz w:val="24"/>
          <w:szCs w:val="24"/>
          <w:highlight w:val="none"/>
        </w:rPr>
        <w:t>用地面积26</w:t>
      </w:r>
      <w:r>
        <w:rPr>
          <w:rFonts w:hint="eastAsia" w:ascii="宋体" w:hAnsi="宋体" w:cs="宋体"/>
          <w:color w:val="auto"/>
          <w:sz w:val="24"/>
          <w:szCs w:val="24"/>
          <w:highlight w:val="none"/>
          <w:lang w:val="en-US" w:eastAsia="zh-CN"/>
        </w:rPr>
        <w:t>,</w:t>
      </w:r>
      <w:r>
        <w:rPr>
          <w:rFonts w:hint="eastAsia" w:ascii="宋体" w:hAnsi="宋体" w:cs="宋体"/>
          <w:color w:val="auto"/>
          <w:sz w:val="24"/>
          <w:szCs w:val="24"/>
          <w:highlight w:val="none"/>
        </w:rPr>
        <w:t>668㎡，预计总建筑面积为216</w:t>
      </w:r>
      <w:r>
        <w:rPr>
          <w:rFonts w:hint="eastAsia" w:ascii="宋体" w:hAnsi="宋体" w:cs="宋体"/>
          <w:color w:val="auto"/>
          <w:sz w:val="24"/>
          <w:szCs w:val="24"/>
          <w:highlight w:val="none"/>
          <w:lang w:val="en-US" w:eastAsia="zh-CN"/>
        </w:rPr>
        <w:t>,</w:t>
      </w:r>
      <w:r>
        <w:rPr>
          <w:rFonts w:hint="eastAsia" w:ascii="宋体" w:hAnsi="宋体" w:cs="宋体"/>
          <w:color w:val="auto"/>
          <w:sz w:val="24"/>
          <w:szCs w:val="24"/>
          <w:highlight w:val="none"/>
        </w:rPr>
        <w:t>942平方米，计容总建筑面积141</w:t>
      </w:r>
      <w:r>
        <w:rPr>
          <w:rFonts w:hint="eastAsia" w:ascii="宋体" w:hAnsi="宋体" w:cs="宋体"/>
          <w:color w:val="auto"/>
          <w:sz w:val="24"/>
          <w:szCs w:val="24"/>
          <w:highlight w:val="none"/>
          <w:lang w:val="en-US" w:eastAsia="zh-CN"/>
        </w:rPr>
        <w:t>,</w:t>
      </w:r>
      <w:r>
        <w:rPr>
          <w:rFonts w:hint="eastAsia" w:ascii="宋体" w:hAnsi="宋体" w:cs="宋体"/>
          <w:color w:val="auto"/>
          <w:sz w:val="24"/>
          <w:szCs w:val="24"/>
          <w:highlight w:val="none"/>
        </w:rPr>
        <w:t>340㎡。建设内容包括村民复建安置住宅、商业及配套公共服务等设施。具体以政府批复的规划条件为准。</w:t>
      </w:r>
    </w:p>
    <w:p w14:paraId="57635923">
      <w:pPr>
        <w:spacing w:line="360" w:lineRule="auto"/>
        <w:ind w:firstLine="420" w:firstLineChars="175"/>
        <w:rPr>
          <w:rFonts w:ascii="宋体" w:hAnsi="宋体"/>
          <w:color w:val="auto"/>
          <w:sz w:val="24"/>
          <w:szCs w:val="24"/>
          <w:highlight w:val="none"/>
        </w:rPr>
      </w:pPr>
      <w:r>
        <w:rPr>
          <w:rFonts w:hint="eastAsia" w:ascii="宋体" w:hAnsi="宋体"/>
          <w:color w:val="auto"/>
          <w:sz w:val="24"/>
          <w:szCs w:val="24"/>
          <w:highlight w:val="none"/>
        </w:rPr>
        <w:t>1.3建设地点：</w:t>
      </w:r>
      <w:r>
        <w:rPr>
          <w:rFonts w:hint="eastAsia" w:ascii="宋体" w:hAnsi="宋体" w:cs="宋体"/>
          <w:color w:val="auto"/>
          <w:sz w:val="24"/>
          <w:szCs w:val="24"/>
          <w:highlight w:val="none"/>
          <w:u w:val="none"/>
        </w:rPr>
        <w:t>广州市黄埔区龙湖街道旺村村</w:t>
      </w:r>
      <w:r>
        <w:rPr>
          <w:rFonts w:hint="eastAsia" w:ascii="宋体" w:hAnsi="宋体" w:cs="宋体"/>
          <w:color w:val="auto"/>
          <w:sz w:val="24"/>
          <w:szCs w:val="24"/>
          <w:highlight w:val="none"/>
          <w:lang w:eastAsia="zh-CN"/>
        </w:rPr>
        <w:t>。</w:t>
      </w:r>
    </w:p>
    <w:p w14:paraId="7C513EAF">
      <w:pPr>
        <w:spacing w:line="360" w:lineRule="auto"/>
        <w:ind w:firstLine="424" w:firstLineChars="177"/>
        <w:rPr>
          <w:rFonts w:ascii="宋体" w:hAnsi="宋体"/>
          <w:color w:val="auto"/>
          <w:sz w:val="24"/>
          <w:szCs w:val="24"/>
          <w:highlight w:val="none"/>
        </w:rPr>
      </w:pPr>
      <w:r>
        <w:rPr>
          <w:rFonts w:hint="eastAsia" w:ascii="宋体" w:hAnsi="宋体"/>
          <w:color w:val="auto"/>
          <w:sz w:val="24"/>
          <w:szCs w:val="24"/>
          <w:highlight w:val="none"/>
        </w:rPr>
        <w:t>1.4工程投资：</w:t>
      </w:r>
      <w:r>
        <w:rPr>
          <w:rFonts w:hint="eastAsia" w:ascii="宋体" w:hAnsi="宋体" w:cs="宋体"/>
          <w:color w:val="auto"/>
          <w:sz w:val="24"/>
          <w:szCs w:val="24"/>
          <w:highlight w:val="none"/>
        </w:rPr>
        <w:t>建设总投资</w:t>
      </w:r>
      <w:r>
        <w:rPr>
          <w:rFonts w:hint="eastAsia" w:ascii="宋体" w:hAnsi="宋体" w:cs="宋体"/>
          <w:color w:val="auto"/>
          <w:sz w:val="24"/>
          <w:szCs w:val="24"/>
          <w:highlight w:val="none"/>
          <w:u w:val="none"/>
          <w:lang w:val="en-US" w:eastAsia="zh-CN"/>
        </w:rPr>
        <w:t>暂定</w:t>
      </w:r>
      <w:r>
        <w:rPr>
          <w:rFonts w:hint="eastAsia" w:ascii="宋体" w:hAnsi="宋体" w:cs="宋体"/>
          <w:color w:val="auto"/>
          <w:sz w:val="24"/>
          <w:szCs w:val="24"/>
          <w:highlight w:val="none"/>
        </w:rPr>
        <w:t>142</w:t>
      </w:r>
      <w:r>
        <w:rPr>
          <w:rFonts w:hint="eastAsia" w:ascii="宋体" w:hAnsi="宋体" w:cs="宋体"/>
          <w:color w:val="auto"/>
          <w:sz w:val="24"/>
          <w:szCs w:val="24"/>
          <w:highlight w:val="none"/>
          <w:lang w:val="en-US" w:eastAsia="zh-CN"/>
        </w:rPr>
        <w:t>,</w:t>
      </w:r>
      <w:r>
        <w:rPr>
          <w:rFonts w:hint="eastAsia" w:ascii="宋体" w:hAnsi="宋体" w:cs="宋体"/>
          <w:color w:val="auto"/>
          <w:sz w:val="24"/>
          <w:szCs w:val="24"/>
          <w:highlight w:val="none"/>
        </w:rPr>
        <w:t>640.79万元，其中：建安工程费106</w:t>
      </w:r>
      <w:r>
        <w:rPr>
          <w:rFonts w:hint="eastAsia" w:ascii="宋体" w:hAnsi="宋体" w:cs="宋体"/>
          <w:color w:val="auto"/>
          <w:sz w:val="24"/>
          <w:szCs w:val="24"/>
          <w:highlight w:val="none"/>
          <w:lang w:val="en-US" w:eastAsia="zh-CN"/>
        </w:rPr>
        <w:t>,</w:t>
      </w:r>
      <w:r>
        <w:rPr>
          <w:rFonts w:hint="eastAsia" w:ascii="宋体" w:hAnsi="宋体" w:cs="宋体"/>
          <w:color w:val="auto"/>
          <w:sz w:val="24"/>
          <w:szCs w:val="24"/>
          <w:highlight w:val="none"/>
        </w:rPr>
        <w:t>930.220367万元。</w:t>
      </w:r>
    </w:p>
    <w:p w14:paraId="1E06EF8F">
      <w:pPr>
        <w:spacing w:line="360" w:lineRule="auto"/>
        <w:ind w:firstLine="424" w:firstLineChars="177"/>
        <w:rPr>
          <w:rFonts w:ascii="宋体" w:hAnsi="宋体"/>
          <w:color w:val="auto"/>
          <w:sz w:val="24"/>
          <w:szCs w:val="24"/>
          <w:highlight w:val="none"/>
        </w:rPr>
      </w:pPr>
      <w:r>
        <w:rPr>
          <w:rFonts w:hint="eastAsia" w:ascii="宋体" w:hAnsi="宋体"/>
          <w:color w:val="auto"/>
          <w:sz w:val="24"/>
          <w:szCs w:val="24"/>
          <w:highlight w:val="none"/>
        </w:rPr>
        <w:t>1.5本次招标服务期：</w:t>
      </w:r>
    </w:p>
    <w:p w14:paraId="33E8B19F">
      <w:pPr>
        <w:adjustRightInd/>
        <w:snapToGrid/>
        <w:spacing w:before="0" w:beforeLines="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自</w:t>
      </w:r>
      <w:r>
        <w:rPr>
          <w:rFonts w:hint="eastAsia" w:ascii="Times New Roman" w:hAnsi="宋体" w:eastAsia="宋体" w:cs="宋体"/>
          <w:color w:val="auto"/>
          <w:sz w:val="24"/>
          <w:szCs w:val="24"/>
          <w:highlight w:val="none"/>
        </w:rPr>
        <w:t>签订</w:t>
      </w:r>
      <w:r>
        <w:rPr>
          <w:rFonts w:hint="eastAsia" w:ascii="宋体" w:hAnsi="宋体" w:eastAsia="宋体" w:cs="宋体"/>
          <w:color w:val="auto"/>
          <w:sz w:val="24"/>
          <w:szCs w:val="24"/>
          <w:highlight w:val="none"/>
        </w:rPr>
        <w:t>合同之日起，至</w:t>
      </w:r>
      <w:r>
        <w:rPr>
          <w:rFonts w:hint="eastAsia" w:ascii="宋体" w:hAnsi="宋体" w:cs="宋体"/>
          <w:color w:val="auto"/>
          <w:sz w:val="24"/>
          <w:szCs w:val="24"/>
          <w:highlight w:val="none"/>
          <w:lang w:val="en-US" w:eastAsia="zh-CN"/>
        </w:rPr>
        <w:t>本项目</w:t>
      </w:r>
      <w:r>
        <w:rPr>
          <w:rFonts w:hint="eastAsia" w:ascii="宋体" w:hAnsi="宋体" w:eastAsia="宋体" w:cs="宋体"/>
          <w:color w:val="auto"/>
          <w:sz w:val="24"/>
          <w:szCs w:val="24"/>
          <w:highlight w:val="none"/>
        </w:rPr>
        <w:t>所有服务项目完成并竣工验收备案为止（建筑</w:t>
      </w:r>
      <w:r>
        <w:rPr>
          <w:rFonts w:hint="eastAsia" w:ascii="宋体" w:hAnsi="宋体" w:cs="宋体"/>
          <w:color w:val="auto"/>
          <w:sz w:val="24"/>
          <w:szCs w:val="24"/>
          <w:highlight w:val="none"/>
          <w:lang w:eastAsia="zh-CN"/>
        </w:rPr>
        <w:t>主体沉降观测</w:t>
      </w:r>
      <w:r>
        <w:rPr>
          <w:rFonts w:hint="eastAsia" w:ascii="宋体" w:hAnsi="宋体" w:eastAsia="宋体" w:cs="宋体"/>
          <w:color w:val="auto"/>
          <w:sz w:val="24"/>
          <w:szCs w:val="24"/>
          <w:highlight w:val="none"/>
        </w:rPr>
        <w:t>除外，服务期限按国家</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省、市、区相关</w:t>
      </w:r>
      <w:r>
        <w:rPr>
          <w:rFonts w:hint="eastAsia" w:ascii="宋体" w:hAnsi="宋体" w:eastAsia="宋体" w:cs="宋体"/>
          <w:color w:val="auto"/>
          <w:sz w:val="24"/>
          <w:szCs w:val="24"/>
          <w:highlight w:val="none"/>
        </w:rPr>
        <w:t>规范执行），具体开工日期以甲方发出要求开始的日期为准，服务周期必须满足实际施工要求，包括但不限于施工准备阶段、施工全过程及竣工验收需完成的相关服务。</w:t>
      </w:r>
    </w:p>
    <w:p w14:paraId="64F71214">
      <w:pPr>
        <w:adjustRightInd/>
        <w:snapToGrid/>
        <w:spacing w:before="0" w:beforeLines="0"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另外，在项目竣工验收备案后，需定期进行建筑沉降</w:t>
      </w:r>
      <w:r>
        <w:rPr>
          <w:rFonts w:hint="eastAsia" w:ascii="宋体" w:hAnsi="宋体" w:cs="宋体"/>
          <w:color w:val="auto"/>
          <w:sz w:val="24"/>
          <w:szCs w:val="24"/>
          <w:highlight w:val="none"/>
          <w:lang w:val="en-US" w:eastAsia="zh-CN"/>
        </w:rPr>
        <w:t>监</w:t>
      </w:r>
      <w:r>
        <w:rPr>
          <w:rFonts w:hint="eastAsia" w:ascii="宋体" w:hAnsi="宋体" w:eastAsia="宋体" w:cs="宋体"/>
          <w:color w:val="auto"/>
          <w:sz w:val="24"/>
          <w:szCs w:val="24"/>
          <w:highlight w:val="none"/>
        </w:rPr>
        <w:t>测，直至建筑沉降达到稳定状态为止。</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具体以</w:t>
      </w:r>
      <w:r>
        <w:rPr>
          <w:rFonts w:hint="eastAsia" w:ascii="宋体" w:hAnsi="宋体" w:eastAsia="宋体" w:cs="宋体"/>
          <w:color w:val="auto"/>
          <w:sz w:val="24"/>
          <w:szCs w:val="24"/>
          <w:highlight w:val="none"/>
        </w:rPr>
        <w:t>国家</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省、市、区</w:t>
      </w:r>
      <w:r>
        <w:rPr>
          <w:rFonts w:hint="eastAsia" w:ascii="宋体" w:hAnsi="宋体" w:eastAsia="宋体" w:cs="宋体"/>
          <w:color w:val="auto"/>
          <w:sz w:val="24"/>
          <w:szCs w:val="24"/>
          <w:highlight w:val="none"/>
          <w:lang w:val="en-US" w:eastAsia="zh-CN"/>
        </w:rPr>
        <w:t>相关规范及设计要求为准</w:t>
      </w:r>
      <w:r>
        <w:rPr>
          <w:rFonts w:hint="eastAsia" w:ascii="宋体" w:hAnsi="宋体" w:cs="宋体"/>
          <w:color w:val="auto"/>
          <w:sz w:val="24"/>
          <w:szCs w:val="24"/>
          <w:highlight w:val="none"/>
          <w:lang w:eastAsia="zh-CN"/>
        </w:rPr>
        <w:t>）</w:t>
      </w:r>
    </w:p>
    <w:p w14:paraId="64AFD7D0">
      <w:pPr>
        <w:spacing w:line="360" w:lineRule="auto"/>
        <w:ind w:firstLine="424" w:firstLineChars="177"/>
        <w:rPr>
          <w:rFonts w:ascii="宋体" w:hAnsi="宋体"/>
          <w:color w:val="auto"/>
          <w:sz w:val="24"/>
          <w:szCs w:val="24"/>
          <w:highlight w:val="none"/>
        </w:rPr>
      </w:pPr>
      <w:r>
        <w:rPr>
          <w:rFonts w:hint="eastAsia" w:ascii="宋体" w:hAnsi="宋体"/>
          <w:color w:val="auto"/>
          <w:sz w:val="24"/>
          <w:szCs w:val="24"/>
          <w:highlight w:val="none"/>
        </w:rPr>
        <w:t>1.6工程质量标准：</w:t>
      </w:r>
      <w:r>
        <w:rPr>
          <w:rFonts w:hint="eastAsia" w:ascii="宋体" w:hAnsi="宋体"/>
          <w:color w:val="auto"/>
          <w:sz w:val="24"/>
          <w:szCs w:val="24"/>
          <w:highlight w:val="none"/>
          <w:u w:val="none"/>
        </w:rPr>
        <w:t>符合国家及省、市</w:t>
      </w:r>
      <w:r>
        <w:rPr>
          <w:rFonts w:hint="eastAsia" w:ascii="宋体" w:hAnsi="宋体"/>
          <w:color w:val="auto"/>
          <w:sz w:val="24"/>
          <w:szCs w:val="24"/>
          <w:highlight w:val="none"/>
          <w:u w:val="none"/>
          <w:lang w:eastAsia="zh-CN"/>
        </w:rPr>
        <w:t>、</w:t>
      </w:r>
      <w:r>
        <w:rPr>
          <w:rFonts w:hint="eastAsia" w:ascii="宋体" w:hAnsi="宋体"/>
          <w:color w:val="auto"/>
          <w:sz w:val="24"/>
          <w:szCs w:val="24"/>
          <w:highlight w:val="none"/>
          <w:u w:val="none"/>
          <w:lang w:val="en-US" w:eastAsia="zh-CN"/>
        </w:rPr>
        <w:t>区</w:t>
      </w:r>
      <w:r>
        <w:rPr>
          <w:rFonts w:hint="eastAsia" w:ascii="宋体" w:hAnsi="宋体"/>
          <w:color w:val="auto"/>
          <w:sz w:val="24"/>
          <w:szCs w:val="24"/>
          <w:highlight w:val="none"/>
          <w:u w:val="none"/>
        </w:rPr>
        <w:t>有关检测</w:t>
      </w:r>
      <w:r>
        <w:rPr>
          <w:rFonts w:hint="eastAsia" w:ascii="宋体" w:hAnsi="宋体"/>
          <w:color w:val="auto"/>
          <w:sz w:val="24"/>
          <w:szCs w:val="24"/>
          <w:highlight w:val="none"/>
          <w:u w:val="none"/>
          <w:lang w:val="en-US" w:eastAsia="zh-CN"/>
        </w:rPr>
        <w:t>监测</w:t>
      </w:r>
      <w:r>
        <w:rPr>
          <w:rFonts w:hint="eastAsia" w:ascii="宋体" w:hAnsi="宋体"/>
          <w:color w:val="auto"/>
          <w:sz w:val="24"/>
          <w:szCs w:val="24"/>
          <w:highlight w:val="none"/>
          <w:u w:val="none"/>
        </w:rPr>
        <w:t>标准</w:t>
      </w:r>
      <w:r>
        <w:rPr>
          <w:rFonts w:hint="eastAsia" w:ascii="宋体" w:hAnsi="宋体"/>
          <w:color w:val="auto"/>
          <w:sz w:val="24"/>
          <w:szCs w:val="24"/>
          <w:highlight w:val="none"/>
          <w:u w:val="none"/>
          <w:lang w:val="en-US" w:eastAsia="zh-CN"/>
        </w:rPr>
        <w:t>及相关监管或主管部门要求</w:t>
      </w:r>
      <w:r>
        <w:rPr>
          <w:rFonts w:hint="eastAsia" w:ascii="宋体" w:hAnsi="宋体"/>
          <w:color w:val="auto"/>
          <w:sz w:val="24"/>
          <w:szCs w:val="24"/>
          <w:highlight w:val="none"/>
          <w:u w:val="none"/>
        </w:rPr>
        <w:t>。</w:t>
      </w:r>
    </w:p>
    <w:p w14:paraId="1FD1BFE0">
      <w:pPr>
        <w:spacing w:line="360" w:lineRule="auto"/>
        <w:ind w:firstLine="426" w:firstLineChars="177"/>
        <w:rPr>
          <w:rFonts w:ascii="宋体" w:hAnsi="宋体"/>
          <w:b/>
          <w:color w:val="auto"/>
          <w:sz w:val="24"/>
          <w:szCs w:val="24"/>
          <w:highlight w:val="none"/>
        </w:rPr>
      </w:pPr>
      <w:r>
        <w:rPr>
          <w:rFonts w:hint="eastAsia" w:ascii="宋体" w:hAnsi="宋体"/>
          <w:b/>
          <w:color w:val="auto"/>
          <w:sz w:val="24"/>
          <w:szCs w:val="24"/>
          <w:highlight w:val="none"/>
        </w:rPr>
        <w:t>2.检测范围及内容：</w:t>
      </w:r>
    </w:p>
    <w:p w14:paraId="387E45F5">
      <w:pPr>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为本项目提供基坑支护监测、高支模监测、水土保持监测（含验收）、主体沉降观测、地基基础检测、支护结构检测、建筑工程材料检测、主体结构实体检测、人防结构实体及人防设备安装质量检测、消防检测、防雷检测、发电机组负载检测、智能建筑检测（含光纤入户）、室内环境检测、土壤氡检测、钢结构检测、园区道路及管道检测、建筑节能及绿色建筑检测、幕墙与门窗工程检测、结构安全鉴定等本项目施工及验收阶段相关的第三方检测及监测项目并提供合格的检测/监测报告，以及相关申报检测技术成果审批服务。具体以</w:t>
      </w:r>
      <w:r>
        <w:rPr>
          <w:rFonts w:hint="eastAsia" w:ascii="宋体" w:hAnsi="宋体" w:cs="宋体"/>
          <w:bCs/>
          <w:color w:val="auto"/>
          <w:sz w:val="24"/>
          <w:szCs w:val="24"/>
          <w:highlight w:val="none"/>
          <w:lang w:val="en-US" w:eastAsia="zh-CN"/>
        </w:rPr>
        <w:t>甲方</w:t>
      </w:r>
      <w:r>
        <w:rPr>
          <w:rFonts w:hint="eastAsia" w:ascii="宋体" w:hAnsi="宋体" w:eastAsia="宋体" w:cs="宋体"/>
          <w:bCs/>
          <w:color w:val="auto"/>
          <w:sz w:val="24"/>
          <w:szCs w:val="24"/>
          <w:highlight w:val="none"/>
        </w:rPr>
        <w:t>最终实施的方案为准。</w:t>
      </w:r>
    </w:p>
    <w:p w14:paraId="447D0AA8">
      <w:pPr>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具体工作内容及要求包括但不限于：</w:t>
      </w:r>
    </w:p>
    <w:p w14:paraId="13FADDEA">
      <w:pPr>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（1）具体检测/监测项目及工程量以</w:t>
      </w:r>
      <w:r>
        <w:rPr>
          <w:rFonts w:hint="eastAsia" w:ascii="宋体" w:hAnsi="宋体" w:eastAsia="宋体" w:cs="宋体"/>
          <w:bCs/>
          <w:color w:val="auto"/>
          <w:sz w:val="24"/>
          <w:szCs w:val="24"/>
          <w:highlight w:val="none"/>
          <w:lang w:val="en-US" w:eastAsia="zh-CN"/>
        </w:rPr>
        <w:t>检测监测清单</w:t>
      </w:r>
      <w:r>
        <w:rPr>
          <w:rFonts w:hint="eastAsia" w:ascii="宋体" w:hAnsi="宋体" w:eastAsia="宋体" w:cs="宋体"/>
          <w:bCs/>
          <w:color w:val="auto"/>
          <w:sz w:val="24"/>
          <w:szCs w:val="24"/>
          <w:highlight w:val="none"/>
        </w:rPr>
        <w:t>、设计图纸、甲方要求及有关规范要求为准。检测/监测工作须满足需满足本项目施工过程需要、竣工验收要求及相关主管监督部门的要求。</w:t>
      </w:r>
    </w:p>
    <w:p w14:paraId="4488EB5E">
      <w:pPr>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根据设计文件、施工组织设计、相关规范和相关行政职能部门及甲方要求，结合本项目实际情况，编制检测/监测方案，并确保检测/监测方案符合有关规范要求及通过工程所在行政区域的相关建设行政主管部门和监督部门的审批，同时负责协调相关工作，申报检测/监测技术成果的审批，保证技术成果能够通过相关部门认可，确保不因检测/监测工作影响本项目的建设进度和竣工验收，由此产生的费用已包含在综合单价中。</w:t>
      </w:r>
    </w:p>
    <w:p w14:paraId="2F8E090C">
      <w:pPr>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（3）在进行检测/监测服务过程中，与本项目相关的施工、监理、设计、咨询、甲方等相关单位及建设行政主管部门和监督部门协调工作，由此产生的费用已包含在综合单价中。</w:t>
      </w:r>
    </w:p>
    <w:p w14:paraId="2015C36D">
      <w:pPr>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（4）本工程已包含监督抽检的工作内容，监督抽检数量按建设行政主管部门要求实施，由此产生的费用已包含在综合单价中。</w:t>
      </w:r>
    </w:p>
    <w:p w14:paraId="7C9FF607">
      <w:pPr>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5）检测/监测数据的有关信息（包括但不限于：合同、计划、方案等）须按当地政府规定上传至广州市建设工程质量检测监管平台及其他政府指定的信息管理系统（如有），根据《广州市城乡建设委员会关于启用地下工程及深基坑安全监测信息管理系统的通知》《广州市住房和城乡建设委员会关于启用高大模板实时监测管理平台的通知》等要求，需做好信息化管理工作（含电子数据上传）确保不因传输报送工作影响本项目的建设进度和竣工验收，由此产生的费用已包含在综合单价中。</w:t>
      </w:r>
    </w:p>
    <w:p w14:paraId="24490A74">
      <w:pPr>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6）用于完成本工程检测/监测的仪器、设备和材料由乙方自行配备、运输、存管。仪器、设备和材料应有产品出厂合格证、检定/校准证书等合格证明，同时符合相关技术标准和检定要求，该费用已包含在综合单价中。</w:t>
      </w:r>
    </w:p>
    <w:p w14:paraId="24D68012">
      <w:pPr>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7）乙方提交的检测/监测报告在甲方项目实施竣工验收备案时发现因乙方原因有遗漏或错误或需补充提供的，乙方应无条件进行补充或修订直至完成竣工验收备案相应工作，由此产生的费用已包含在综合单价中。</w:t>
      </w:r>
    </w:p>
    <w:p w14:paraId="103A4070">
      <w:pPr>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8）监测/观测后，监测/观测数据报警或由于其他客观情况需要，甲方要求乙方进行复检时，乙方应负责进行监测/观测，由此发生的费用已包含在综合单价中，不再另行计取，基坑监测清单中观测费为传统监测费用，自动化监测费用已在观测点埋设中综合考虑，不再另行计取。</w:t>
      </w:r>
    </w:p>
    <w:p w14:paraId="1B33C55C">
      <w:pPr>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（9）乙方应向甲方提供非驻场式的技术咨询、支持服务，包括参加本项目相关会议、安排技术人员到现场解决相关问题等服务，人员办公住宿等由乙方自行负责。</w:t>
      </w:r>
    </w:p>
    <w:p w14:paraId="218B4C58">
      <w:pPr>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10）乙方应具备自行完成约定项目的检测监测工作的能力，除另有约定外，原则上不得转包和分包；如乙方检测、监测资质不能涵盖的项目，或根据建设主管部门的要求，需要由不同工程质量检测(监测)机构进行检测(监测)的，由乙方报甲方书面批准后，乙方方可委托有资质的相应单位实施，并按相关要求取得相应管理部门确认，确保不影响项目验收。乙方须对该第三方出具的结果负责，此部分工作产生的费用由乙方自行承担并已包含于综合单价中，不再另行计取。</w:t>
      </w:r>
    </w:p>
    <w:p w14:paraId="4D5EB43B">
      <w:pPr>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（11）本项目实施期间，如因本项目验收需要，经甲方确认需增加《</w:t>
      </w:r>
      <w:r>
        <w:rPr>
          <w:rFonts w:hint="eastAsia" w:ascii="宋体" w:hAnsi="宋体" w:eastAsia="宋体" w:cs="宋体"/>
          <w:bCs/>
          <w:color w:val="auto"/>
          <w:sz w:val="24"/>
          <w:szCs w:val="24"/>
          <w:highlight w:val="none"/>
          <w:lang w:val="en-US" w:eastAsia="zh-CN"/>
        </w:rPr>
        <w:t>检测监测清单</w:t>
      </w:r>
      <w:r>
        <w:rPr>
          <w:rFonts w:hint="eastAsia" w:ascii="宋体" w:hAnsi="宋体" w:eastAsia="宋体" w:cs="宋体"/>
          <w:bCs/>
          <w:color w:val="auto"/>
          <w:sz w:val="24"/>
          <w:szCs w:val="24"/>
          <w:highlight w:val="none"/>
        </w:rPr>
        <w:t>》中没有的其他检测、监测项目，且乙方也具备相应资质，则乙方不得以任何理由拒绝为甲方提供检测、监测，并出具符合验收要求的检测、监测报告。若乙方资质不能涵盖的项目，由乙方报甲方批准后委托有资质的相应单位实施，乙方应对该第三方出具的结果负责，并按相关要求取得相应管理部门确认，确保不影响项目验收。甲方亦可另行委托。</w:t>
      </w:r>
    </w:p>
    <w:p w14:paraId="07CFC677">
      <w:pPr>
        <w:spacing w:line="360" w:lineRule="auto"/>
        <w:ind w:firstLine="424" w:firstLineChars="177"/>
        <w:rPr>
          <w:rFonts w:ascii="宋体" w:hAnsi="宋体"/>
          <w:bCs/>
          <w:color w:val="auto"/>
          <w:sz w:val="24"/>
          <w:szCs w:val="24"/>
          <w:highlight w:val="none"/>
          <w:u w:val="none"/>
        </w:rPr>
      </w:pPr>
      <w:r>
        <w:rPr>
          <w:rFonts w:hint="eastAsia" w:ascii="宋体" w:hAnsi="宋体"/>
          <w:bCs/>
          <w:color w:val="auto"/>
          <w:sz w:val="24"/>
          <w:szCs w:val="24"/>
          <w:highlight w:val="none"/>
          <w:u w:val="none"/>
        </w:rPr>
        <w:t>具体以</w:t>
      </w:r>
      <w:r>
        <w:rPr>
          <w:rFonts w:hint="eastAsia" w:ascii="宋体" w:hAnsi="宋体"/>
          <w:bCs/>
          <w:color w:val="auto"/>
          <w:sz w:val="24"/>
          <w:szCs w:val="24"/>
          <w:highlight w:val="none"/>
          <w:u w:val="none"/>
          <w:lang w:val="en-US" w:eastAsia="zh-CN"/>
        </w:rPr>
        <w:t>合同约定</w:t>
      </w:r>
      <w:r>
        <w:rPr>
          <w:rFonts w:hint="eastAsia" w:ascii="宋体" w:hAnsi="宋体"/>
          <w:bCs/>
          <w:color w:val="auto"/>
          <w:sz w:val="24"/>
          <w:szCs w:val="24"/>
          <w:highlight w:val="none"/>
          <w:u w:val="none"/>
        </w:rPr>
        <w:t>为准。</w:t>
      </w:r>
    </w:p>
    <w:p w14:paraId="68A70094">
      <w:pPr>
        <w:spacing w:line="360" w:lineRule="auto"/>
        <w:ind w:firstLine="426" w:firstLineChars="177"/>
        <w:rPr>
          <w:rFonts w:hint="default" w:ascii="宋体" w:hAnsi="宋体" w:eastAsia="宋体"/>
          <w:b/>
          <w:color w:val="auto"/>
          <w:sz w:val="24"/>
          <w:szCs w:val="24"/>
          <w:highlight w:val="none"/>
          <w:lang w:val="en-US" w:eastAsia="zh-CN"/>
        </w:rPr>
      </w:pPr>
      <w:r>
        <w:rPr>
          <w:rFonts w:hint="eastAsia" w:ascii="宋体" w:hAnsi="宋体"/>
          <w:b/>
          <w:color w:val="auto"/>
          <w:sz w:val="24"/>
          <w:szCs w:val="24"/>
          <w:highlight w:val="none"/>
        </w:rPr>
        <w:t>3.检测及监测标准：</w:t>
      </w:r>
      <w:r>
        <w:rPr>
          <w:rFonts w:hint="eastAsia" w:ascii="宋体" w:hAnsi="宋体"/>
          <w:b w:val="0"/>
          <w:bCs/>
          <w:color w:val="auto"/>
          <w:sz w:val="24"/>
          <w:szCs w:val="24"/>
          <w:highlight w:val="none"/>
        </w:rPr>
        <w:t>按照国家、地方政府以及行业主管部门现行有效的规范、标准、规程和文件，本合同约定的质量检测/监测服务适用的技术标准、规范等依据必须符合相关监督管理部门的规范标准。</w:t>
      </w:r>
      <w:r>
        <w:rPr>
          <w:rFonts w:hint="eastAsia" w:ascii="宋体" w:hAnsi="宋体"/>
          <w:b w:val="0"/>
          <w:bCs/>
          <w:color w:val="auto"/>
          <w:sz w:val="24"/>
          <w:szCs w:val="24"/>
          <w:highlight w:val="none"/>
          <w:lang w:val="en-US" w:eastAsia="zh-CN"/>
        </w:rPr>
        <w:t>标准包括但不限于：</w:t>
      </w:r>
    </w:p>
    <w:p w14:paraId="2CBCB8A0">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（1）《建筑工程施工质量验收统一标准》（GB50300-2013）；</w:t>
      </w:r>
    </w:p>
    <w:p w14:paraId="61DA54AD">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（2）《建筑装饰装修工程质量验收规范》（GB50300-2018）；</w:t>
      </w:r>
    </w:p>
    <w:p w14:paraId="429FE5DD">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（3）《广东省建筑节能与绿色建筑工程施工质量验收规范》DBJ 15-65-2021；</w:t>
      </w:r>
    </w:p>
    <w:p w14:paraId="3BF64FCA">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（4）《广东省公共建筑节能设计标准》DBJ 15-51-2020；</w:t>
      </w:r>
    </w:p>
    <w:p w14:paraId="3984BA66">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（5）《建筑节能工程施工质量验收规范》GB50411；</w:t>
      </w:r>
    </w:p>
    <w:p w14:paraId="758B3386">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（6）《民用建筑工程室内环境污染控制标准》GB50325-2020；</w:t>
      </w:r>
    </w:p>
    <w:p w14:paraId="0FEA6DDA">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（7）《通风与空调工程施工质量验收规范》GB50243；</w:t>
      </w:r>
    </w:p>
    <w:p w14:paraId="6BA07F35">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（8）《建筑电气工程施工质量验收规范》GB50303；</w:t>
      </w:r>
    </w:p>
    <w:p w14:paraId="5B5E20E0">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（9）《公共建筑节能检测标准》JGJ/T177；</w:t>
      </w:r>
    </w:p>
    <w:p w14:paraId="7FB09B28">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（10）《居住建筑节能检测标准》JGJ/T132；</w:t>
      </w:r>
    </w:p>
    <w:p w14:paraId="2FDCCFA0">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（11）《照明测量方法》GB/T5700；</w:t>
      </w:r>
    </w:p>
    <w:p w14:paraId="7C24F6FF">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（12）《风机盘管机组》GB/T19232；</w:t>
      </w:r>
    </w:p>
    <w:p w14:paraId="73B36507">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（13）《建筑玻璃可见光透射比、太阳光直接透射比、太阳能总透射比、紫外线透射比及有关窗玻璃参数的测定》GB/T2680；</w:t>
      </w:r>
    </w:p>
    <w:p w14:paraId="6B453B6A">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（14）《建筑门窗玻璃幕墙热工计算规程》JGJ/T151；</w:t>
      </w:r>
    </w:p>
    <w:p w14:paraId="33C10271">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（15）《中空玻璃》GB/T11944；</w:t>
      </w:r>
    </w:p>
    <w:p w14:paraId="22C8CB2C">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（16）《绝热材料稳态热阻及有关特性的测定防护热板法》GB/T10294；</w:t>
      </w:r>
    </w:p>
    <w:p w14:paraId="226D18FA">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（17）《绝热稳态传热性质的测定标定和防护热箱法》GB/T13475；</w:t>
      </w:r>
    </w:p>
    <w:p w14:paraId="6BBD6D94">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（18）《建筑外门窗保温性能分级及其检测方法》GB/T8484；</w:t>
      </w:r>
    </w:p>
    <w:p w14:paraId="0CAA1611">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（19）《建筑材料及制品燃烧性能分级》GB8624；</w:t>
      </w:r>
    </w:p>
    <w:p w14:paraId="2B41AB7D">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（20）《建筑材料可燃性试验方法》GB/T8626；</w:t>
      </w:r>
    </w:p>
    <w:p w14:paraId="3035557D">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（21）《建筑材料不燃性试验方法》GB/T5646；</w:t>
      </w:r>
    </w:p>
    <w:p w14:paraId="7A8CDCCB">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（22）《建筑外门窗气密、水密、抗风压性能分级及检测方法》GB/T7106；</w:t>
      </w:r>
    </w:p>
    <w:p w14:paraId="16C3941D">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（23）《泡沫塑料和橡胶表观密度的测定》GB/T6343；</w:t>
      </w:r>
    </w:p>
    <w:p w14:paraId="015AE3E3">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（24）《硬质泡沫塑料吸水率的测定》GB/T8810；</w:t>
      </w:r>
    </w:p>
    <w:p w14:paraId="31721839">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（25）《硬质泡沫塑料压缩性能的测定》GB/T8813；</w:t>
      </w:r>
    </w:p>
    <w:p w14:paraId="22F811BA">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（26）《无机硬质绝热制品试验方法》GB/T5486；</w:t>
      </w:r>
    </w:p>
    <w:p w14:paraId="163802FC">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（27）《矿物棉及其制品试验方法》GB/T5480；</w:t>
      </w:r>
    </w:p>
    <w:p w14:paraId="63BB9879">
      <w:pPr>
        <w:spacing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rPr>
        <w:t>（28）广州市地方标准《园林绿化植物材料》DB4401T37 -2019</w:t>
      </w:r>
      <w:r>
        <w:rPr>
          <w:rFonts w:hint="eastAsia" w:ascii="宋体" w:hAnsi="宋体" w:cs="宋体"/>
          <w:color w:val="auto"/>
          <w:sz w:val="24"/>
          <w:szCs w:val="24"/>
          <w:highlight w:val="none"/>
          <w:lang w:eastAsia="zh-CN"/>
        </w:rPr>
        <w:t>；</w:t>
      </w:r>
    </w:p>
    <w:p w14:paraId="0339385B">
      <w:pPr>
        <w:spacing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rPr>
        <w:t>（29）广东省标准《广东城市绿化工程施工和验收规范》DB44/T581-2009</w:t>
      </w:r>
      <w:r>
        <w:rPr>
          <w:rFonts w:hint="eastAsia" w:ascii="宋体" w:hAnsi="宋体" w:cs="宋体"/>
          <w:color w:val="auto"/>
          <w:sz w:val="24"/>
          <w:szCs w:val="24"/>
          <w:highlight w:val="none"/>
          <w:lang w:eastAsia="zh-CN"/>
        </w:rPr>
        <w:t>；</w:t>
      </w:r>
    </w:p>
    <w:p w14:paraId="7E28D89C">
      <w:pPr>
        <w:spacing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rPr>
        <w:t>（30）广东省标准《园林绿化木本苗》CJ/T24-2018</w:t>
      </w:r>
      <w:r>
        <w:rPr>
          <w:rFonts w:hint="eastAsia" w:ascii="宋体" w:hAnsi="宋体" w:cs="宋体"/>
          <w:color w:val="auto"/>
          <w:sz w:val="24"/>
          <w:szCs w:val="24"/>
          <w:highlight w:val="none"/>
          <w:lang w:eastAsia="zh-CN"/>
        </w:rPr>
        <w:t>；</w:t>
      </w:r>
    </w:p>
    <w:p w14:paraId="496732E0">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（31）其它国家和广东省、广州市的有关的法律、法规、规章、规范及标准，及本项目施工图纸及其会审、变更记录。</w:t>
      </w:r>
    </w:p>
    <w:p w14:paraId="745F7398">
      <w:pPr>
        <w:spacing w:line="360" w:lineRule="auto"/>
        <w:ind w:firstLine="426" w:firstLineChars="177"/>
        <w:rPr>
          <w:rFonts w:ascii="宋体" w:hAnsi="宋体"/>
          <w:b/>
          <w:color w:val="auto"/>
          <w:sz w:val="24"/>
          <w:szCs w:val="24"/>
          <w:highlight w:val="none"/>
        </w:rPr>
      </w:pPr>
      <w:r>
        <w:rPr>
          <w:rFonts w:hint="eastAsia" w:ascii="宋体" w:hAnsi="宋体"/>
          <w:b/>
          <w:color w:val="auto"/>
          <w:sz w:val="24"/>
          <w:szCs w:val="24"/>
          <w:highlight w:val="none"/>
        </w:rPr>
        <w:t>4.</w:t>
      </w:r>
      <w:bookmarkStart w:id="136" w:name="_Toc511557119"/>
      <w:bookmarkStart w:id="137" w:name="_Toc9843"/>
      <w:bookmarkStart w:id="138" w:name="_Toc24882"/>
      <w:r>
        <w:rPr>
          <w:rFonts w:hint="eastAsia" w:ascii="宋体" w:hAnsi="宋体"/>
          <w:b/>
          <w:color w:val="auto"/>
          <w:sz w:val="24"/>
          <w:szCs w:val="24"/>
          <w:highlight w:val="none"/>
        </w:rPr>
        <w:t>委托人的其他要求</w:t>
      </w:r>
      <w:bookmarkEnd w:id="136"/>
      <w:bookmarkEnd w:id="137"/>
      <w:bookmarkEnd w:id="138"/>
      <w:r>
        <w:rPr>
          <w:rFonts w:hint="eastAsia" w:ascii="宋体" w:hAnsi="宋体"/>
          <w:b/>
          <w:color w:val="auto"/>
          <w:sz w:val="24"/>
          <w:szCs w:val="24"/>
          <w:highlight w:val="none"/>
        </w:rPr>
        <w:t>：</w:t>
      </w:r>
    </w:p>
    <w:p w14:paraId="73922146">
      <w:pPr>
        <w:pStyle w:val="26"/>
        <w:spacing w:line="360" w:lineRule="auto"/>
        <w:ind w:left="0" w:leftChars="0" w:firstLine="480"/>
        <w:rPr>
          <w:rFonts w:hint="eastAsia" w:ascii="宋体" w:hAnsi="宋体"/>
          <w:color w:val="auto"/>
          <w:sz w:val="24"/>
          <w:highlight w:val="none"/>
        </w:rPr>
      </w:pPr>
      <w:r>
        <w:rPr>
          <w:rFonts w:hint="eastAsia" w:ascii="宋体" w:hAnsi="宋体"/>
          <w:color w:val="auto"/>
          <w:sz w:val="24"/>
          <w:highlight w:val="none"/>
        </w:rPr>
        <w:t>详见本招标文件的第一章投标人须知和本工程委托检测监测合同的相关约定。</w:t>
      </w:r>
    </w:p>
    <w:p w14:paraId="7BC2CB6E">
      <w:pPr>
        <w:numPr>
          <w:ilvl w:val="0"/>
          <w:numId w:val="3"/>
        </w:numPr>
        <w:spacing w:line="360" w:lineRule="auto"/>
        <w:ind w:left="0" w:leftChars="0" w:firstLine="426" w:firstLineChars="177"/>
        <w:rPr>
          <w:rFonts w:hint="eastAsia" w:ascii="宋体" w:hAnsi="宋体" w:cs="宋体"/>
          <w:b/>
          <w:bCs/>
          <w:color w:val="auto"/>
          <w:sz w:val="24"/>
          <w:szCs w:val="24"/>
          <w:highlight w:val="none"/>
        </w:rPr>
      </w:pPr>
      <w:r>
        <w:rPr>
          <w:rFonts w:hint="eastAsia" w:ascii="宋体" w:hAnsi="宋体" w:eastAsia="宋体" w:cs="宋体"/>
          <w:b/>
          <w:bCs/>
          <w:color w:val="auto"/>
          <w:kern w:val="2"/>
          <w:sz w:val="24"/>
          <w:szCs w:val="24"/>
          <w:highlight w:val="none"/>
          <w:lang w:val="en-US" w:eastAsia="zh-CN" w:bidi="ar-SA"/>
        </w:rPr>
        <w:t>招标控制价（含检测监测清单）</w:t>
      </w:r>
      <w:r>
        <w:rPr>
          <w:rFonts w:hint="eastAsia" w:ascii="宋体" w:hAnsi="宋体" w:cs="宋体"/>
          <w:b/>
          <w:bCs/>
          <w:color w:val="auto"/>
          <w:sz w:val="24"/>
          <w:szCs w:val="24"/>
          <w:highlight w:val="none"/>
        </w:rPr>
        <w:t>（另册）</w:t>
      </w:r>
    </w:p>
    <w:p w14:paraId="131FE1C6">
      <w:pPr>
        <w:spacing w:line="360" w:lineRule="auto"/>
        <w:ind w:firstLine="482" w:firstLineChars="200"/>
        <w:rPr>
          <w:b/>
          <w:color w:val="auto"/>
          <w:sz w:val="24"/>
          <w:szCs w:val="24"/>
          <w:highlight w:val="none"/>
          <w:lang w:bidi="ar"/>
        </w:rPr>
      </w:pPr>
      <w:r>
        <w:rPr>
          <w:rFonts w:hint="eastAsia"/>
          <w:b/>
          <w:color w:val="auto"/>
          <w:sz w:val="24"/>
          <w:szCs w:val="24"/>
          <w:highlight w:val="none"/>
          <w:lang w:val="en-US" w:eastAsia="zh-CN" w:bidi="ar"/>
        </w:rPr>
        <w:t>6.</w:t>
      </w:r>
      <w:r>
        <w:rPr>
          <w:rFonts w:hint="eastAsia"/>
          <w:b/>
          <w:color w:val="auto"/>
          <w:sz w:val="24"/>
          <w:szCs w:val="24"/>
          <w:highlight w:val="none"/>
          <w:lang w:bidi="ar"/>
        </w:rPr>
        <w:t>检测</w:t>
      </w:r>
      <w:r>
        <w:rPr>
          <w:rFonts w:hint="eastAsia"/>
          <w:b/>
          <w:color w:val="auto"/>
          <w:sz w:val="24"/>
          <w:szCs w:val="24"/>
          <w:highlight w:val="none"/>
          <w:lang w:eastAsia="zh-CN" w:bidi="ar"/>
        </w:rPr>
        <w:t>监测</w:t>
      </w:r>
      <w:r>
        <w:rPr>
          <w:rFonts w:hint="eastAsia"/>
          <w:b/>
          <w:color w:val="auto"/>
          <w:sz w:val="24"/>
          <w:szCs w:val="24"/>
          <w:highlight w:val="none"/>
          <w:lang w:bidi="ar"/>
        </w:rPr>
        <w:t>设备要求</w:t>
      </w:r>
    </w:p>
    <w:p w14:paraId="527661A5">
      <w:pPr>
        <w:spacing w:line="360" w:lineRule="auto"/>
        <w:ind w:firstLine="480" w:firstLineChars="200"/>
        <w:rPr>
          <w:color w:val="auto"/>
          <w:sz w:val="24"/>
          <w:szCs w:val="24"/>
          <w:highlight w:val="none"/>
          <w:lang w:bidi="ar"/>
        </w:rPr>
      </w:pPr>
      <w:r>
        <w:rPr>
          <w:rFonts w:hint="eastAsia"/>
          <w:color w:val="auto"/>
          <w:sz w:val="24"/>
          <w:szCs w:val="24"/>
          <w:highlight w:val="none"/>
          <w:lang w:bidi="ar"/>
        </w:rPr>
        <w:t>用于完成本项目检测</w:t>
      </w:r>
      <w:r>
        <w:rPr>
          <w:rFonts w:hint="eastAsia"/>
          <w:color w:val="auto"/>
          <w:sz w:val="24"/>
          <w:szCs w:val="24"/>
          <w:highlight w:val="none"/>
          <w:lang w:eastAsia="zh-CN" w:bidi="ar"/>
        </w:rPr>
        <w:t>监测</w:t>
      </w:r>
      <w:r>
        <w:rPr>
          <w:rFonts w:hint="eastAsia"/>
          <w:color w:val="auto"/>
          <w:sz w:val="24"/>
          <w:szCs w:val="24"/>
          <w:highlight w:val="none"/>
          <w:lang w:bidi="ar"/>
        </w:rPr>
        <w:t>的仪器、设备和材料由乙方自行运输，存管。仪器、设备和材料应有产品出厂合格证，检定</w:t>
      </w:r>
      <w:r>
        <w:rPr>
          <w:color w:val="auto"/>
          <w:sz w:val="24"/>
          <w:szCs w:val="24"/>
          <w:highlight w:val="none"/>
          <w:lang w:bidi="ar"/>
        </w:rPr>
        <w:t>/</w:t>
      </w:r>
      <w:r>
        <w:rPr>
          <w:rFonts w:hint="eastAsia"/>
          <w:color w:val="auto"/>
          <w:sz w:val="24"/>
          <w:szCs w:val="24"/>
          <w:highlight w:val="none"/>
          <w:lang w:bidi="ar"/>
        </w:rPr>
        <w:t>校准证书，同时符合相关技术标准和检定要求。本项目应遵守广州市建设科学技术委员会等相关部门对本工程的相关批示及指导意见执行。</w:t>
      </w:r>
    </w:p>
    <w:p w14:paraId="7DC88940">
      <w:pPr>
        <w:pStyle w:val="12"/>
        <w:spacing w:afterLines="50"/>
        <w:jc w:val="center"/>
        <w:rPr>
          <w:rFonts w:hint="eastAsia"/>
          <w:b/>
          <w:color w:val="auto"/>
          <w:sz w:val="28"/>
          <w:highlight w:val="none"/>
          <w:lang w:bidi="ar"/>
        </w:rPr>
      </w:pPr>
      <w:r>
        <w:rPr>
          <w:rFonts w:hint="eastAsia"/>
          <w:b/>
          <w:color w:val="auto"/>
          <w:sz w:val="28"/>
          <w:highlight w:val="none"/>
          <w:lang w:bidi="ar"/>
        </w:rPr>
        <w:t>拟投入本项目的检测、监测设备要求表</w:t>
      </w:r>
    </w:p>
    <w:p w14:paraId="699F1E5C"/>
    <w:tbl>
      <w:tblPr>
        <w:tblStyle w:val="27"/>
        <w:tblW w:w="804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61"/>
        <w:gridCol w:w="4520"/>
        <w:gridCol w:w="2268"/>
      </w:tblGrid>
      <w:tr w14:paraId="36C048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61" w:type="dxa"/>
            <w:vMerge w:val="restart"/>
            <w:tcBorders>
              <w:top w:val="single" w:color="auto" w:sz="12" w:space="0"/>
              <w:left w:val="single" w:color="auto" w:sz="12" w:space="0"/>
            </w:tcBorders>
            <w:vAlign w:val="center"/>
          </w:tcPr>
          <w:p w14:paraId="5BE0CF8F">
            <w:pPr>
              <w:pStyle w:val="12"/>
              <w:adjustRightInd w:val="0"/>
              <w:snapToGrid w:val="0"/>
              <w:spacing w:after="0"/>
              <w:jc w:val="center"/>
              <w:rPr>
                <w:b/>
                <w:color w:val="auto"/>
                <w:highlight w:val="none"/>
                <w:lang w:bidi="ar"/>
              </w:rPr>
            </w:pPr>
            <w:r>
              <w:rPr>
                <w:rFonts w:hint="eastAsia"/>
                <w:b/>
                <w:color w:val="auto"/>
                <w:highlight w:val="none"/>
                <w:lang w:bidi="ar"/>
              </w:rPr>
              <w:t>序号</w:t>
            </w:r>
          </w:p>
        </w:tc>
        <w:tc>
          <w:tcPr>
            <w:tcW w:w="4520" w:type="dxa"/>
            <w:vMerge w:val="restart"/>
            <w:tcBorders>
              <w:top w:val="single" w:color="auto" w:sz="12" w:space="0"/>
            </w:tcBorders>
            <w:vAlign w:val="center"/>
          </w:tcPr>
          <w:p w14:paraId="71E23619">
            <w:pPr>
              <w:pStyle w:val="12"/>
              <w:adjustRightInd w:val="0"/>
              <w:snapToGrid w:val="0"/>
              <w:spacing w:after="0"/>
              <w:jc w:val="center"/>
              <w:rPr>
                <w:b/>
                <w:color w:val="auto"/>
                <w:highlight w:val="none"/>
                <w:lang w:bidi="ar"/>
              </w:rPr>
            </w:pPr>
            <w:r>
              <w:rPr>
                <w:rFonts w:hint="eastAsia"/>
                <w:b/>
                <w:color w:val="auto"/>
                <w:highlight w:val="none"/>
                <w:lang w:bidi="ar"/>
              </w:rPr>
              <w:t>设备名称</w:t>
            </w:r>
          </w:p>
        </w:tc>
        <w:tc>
          <w:tcPr>
            <w:tcW w:w="2268" w:type="dxa"/>
            <w:vMerge w:val="restart"/>
            <w:tcBorders>
              <w:top w:val="single" w:color="auto" w:sz="12" w:space="0"/>
            </w:tcBorders>
            <w:vAlign w:val="center"/>
          </w:tcPr>
          <w:p w14:paraId="66D3DE2C">
            <w:pPr>
              <w:pStyle w:val="12"/>
              <w:adjustRightInd w:val="0"/>
              <w:snapToGrid w:val="0"/>
              <w:spacing w:after="0"/>
              <w:jc w:val="center"/>
              <w:rPr>
                <w:b/>
                <w:color w:val="auto"/>
                <w:highlight w:val="none"/>
                <w:lang w:bidi="ar"/>
              </w:rPr>
            </w:pPr>
            <w:r>
              <w:rPr>
                <w:rFonts w:hint="eastAsia"/>
                <w:b/>
                <w:color w:val="auto"/>
                <w:highlight w:val="none"/>
                <w:lang w:bidi="ar"/>
              </w:rPr>
              <w:t>本项目数量基本要求</w:t>
            </w:r>
          </w:p>
        </w:tc>
      </w:tr>
      <w:tr w14:paraId="045ABC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1" w:hRule="atLeast"/>
          <w:jc w:val="center"/>
        </w:trPr>
        <w:tc>
          <w:tcPr>
            <w:tcW w:w="1261" w:type="dxa"/>
            <w:vMerge w:val="continue"/>
            <w:tcBorders>
              <w:left w:val="single" w:color="auto" w:sz="12" w:space="0"/>
              <w:bottom w:val="single" w:color="auto" w:sz="12" w:space="0"/>
            </w:tcBorders>
            <w:vAlign w:val="center"/>
          </w:tcPr>
          <w:p w14:paraId="6DB82FFF">
            <w:pPr>
              <w:pStyle w:val="12"/>
              <w:adjustRightInd w:val="0"/>
              <w:snapToGrid w:val="0"/>
              <w:spacing w:after="0"/>
              <w:jc w:val="center"/>
              <w:rPr>
                <w:color w:val="auto"/>
                <w:highlight w:val="none"/>
                <w:lang w:bidi="ar"/>
              </w:rPr>
            </w:pPr>
          </w:p>
        </w:tc>
        <w:tc>
          <w:tcPr>
            <w:tcW w:w="4520" w:type="dxa"/>
            <w:vMerge w:val="continue"/>
            <w:tcBorders>
              <w:bottom w:val="single" w:color="auto" w:sz="12" w:space="0"/>
            </w:tcBorders>
            <w:vAlign w:val="center"/>
          </w:tcPr>
          <w:p w14:paraId="33CA0B34">
            <w:pPr>
              <w:pStyle w:val="12"/>
              <w:adjustRightInd w:val="0"/>
              <w:snapToGrid w:val="0"/>
              <w:spacing w:after="0"/>
              <w:jc w:val="center"/>
              <w:rPr>
                <w:color w:val="auto"/>
                <w:highlight w:val="none"/>
                <w:lang w:bidi="ar"/>
              </w:rPr>
            </w:pPr>
          </w:p>
        </w:tc>
        <w:tc>
          <w:tcPr>
            <w:tcW w:w="2268" w:type="dxa"/>
            <w:vMerge w:val="continue"/>
            <w:tcBorders>
              <w:bottom w:val="single" w:color="auto" w:sz="12" w:space="0"/>
            </w:tcBorders>
            <w:vAlign w:val="center"/>
          </w:tcPr>
          <w:p w14:paraId="39231968">
            <w:pPr>
              <w:pStyle w:val="12"/>
              <w:adjustRightInd w:val="0"/>
              <w:snapToGrid w:val="0"/>
              <w:spacing w:after="0"/>
              <w:jc w:val="center"/>
              <w:rPr>
                <w:color w:val="auto"/>
                <w:highlight w:val="none"/>
                <w:lang w:bidi="ar"/>
              </w:rPr>
            </w:pPr>
          </w:p>
        </w:tc>
      </w:tr>
      <w:tr w14:paraId="407DFB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61" w:type="dxa"/>
            <w:tcBorders>
              <w:top w:val="single" w:color="auto" w:sz="12" w:space="0"/>
              <w:left w:val="single" w:color="auto" w:sz="12" w:space="0"/>
            </w:tcBorders>
            <w:vAlign w:val="center"/>
          </w:tcPr>
          <w:p w14:paraId="4608470F">
            <w:pPr>
              <w:pStyle w:val="12"/>
              <w:adjustRightInd w:val="0"/>
              <w:snapToGrid w:val="0"/>
              <w:spacing w:after="0"/>
              <w:jc w:val="center"/>
              <w:rPr>
                <w:color w:val="auto"/>
                <w:highlight w:val="none"/>
                <w:lang w:bidi="ar"/>
              </w:rPr>
            </w:pPr>
            <w:r>
              <w:rPr>
                <w:color w:val="auto"/>
                <w:highlight w:val="none"/>
                <w:lang w:bidi="ar"/>
              </w:rPr>
              <w:t>1</w:t>
            </w:r>
          </w:p>
        </w:tc>
        <w:tc>
          <w:tcPr>
            <w:tcW w:w="4520" w:type="dxa"/>
            <w:tcBorders>
              <w:top w:val="single" w:color="auto" w:sz="12" w:space="0"/>
            </w:tcBorders>
            <w:vAlign w:val="center"/>
          </w:tcPr>
          <w:p w14:paraId="515D3C7B">
            <w:pPr>
              <w:pStyle w:val="12"/>
              <w:adjustRightInd w:val="0"/>
              <w:snapToGrid w:val="0"/>
              <w:spacing w:after="0"/>
              <w:jc w:val="center"/>
              <w:rPr>
                <w:color w:val="auto"/>
                <w:highlight w:val="none"/>
                <w:lang w:bidi="ar"/>
              </w:rPr>
            </w:pPr>
            <w:r>
              <w:rPr>
                <w:rFonts w:hint="eastAsia"/>
                <w:color w:val="auto"/>
                <w:highlight w:val="none"/>
                <w:lang w:bidi="ar"/>
              </w:rPr>
              <w:t>电子天平</w:t>
            </w:r>
          </w:p>
        </w:tc>
        <w:tc>
          <w:tcPr>
            <w:tcW w:w="2268" w:type="dxa"/>
            <w:tcBorders>
              <w:top w:val="single" w:color="auto" w:sz="12" w:space="0"/>
            </w:tcBorders>
            <w:vAlign w:val="center"/>
          </w:tcPr>
          <w:p w14:paraId="1630536E">
            <w:pPr>
              <w:pStyle w:val="12"/>
              <w:adjustRightInd w:val="0"/>
              <w:snapToGrid w:val="0"/>
              <w:spacing w:after="0"/>
              <w:jc w:val="center"/>
              <w:rPr>
                <w:color w:val="auto"/>
                <w:highlight w:val="none"/>
                <w:lang w:bidi="ar"/>
              </w:rPr>
            </w:pPr>
            <w:r>
              <w:rPr>
                <w:rFonts w:hint="eastAsia"/>
                <w:color w:val="auto"/>
                <w:highlight w:val="none"/>
                <w:lang w:bidi="ar"/>
              </w:rPr>
              <w:t>1台</w:t>
            </w:r>
          </w:p>
        </w:tc>
      </w:tr>
      <w:tr w14:paraId="0494B8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61" w:type="dxa"/>
            <w:tcBorders>
              <w:left w:val="single" w:color="auto" w:sz="12" w:space="0"/>
            </w:tcBorders>
            <w:vAlign w:val="center"/>
          </w:tcPr>
          <w:p w14:paraId="079A1AD8">
            <w:pPr>
              <w:pStyle w:val="12"/>
              <w:adjustRightInd w:val="0"/>
              <w:snapToGrid w:val="0"/>
              <w:spacing w:after="0"/>
              <w:jc w:val="center"/>
              <w:rPr>
                <w:color w:val="auto"/>
                <w:highlight w:val="none"/>
                <w:lang w:bidi="ar"/>
              </w:rPr>
            </w:pPr>
            <w:r>
              <w:rPr>
                <w:color w:val="auto"/>
                <w:highlight w:val="none"/>
                <w:lang w:bidi="ar"/>
              </w:rPr>
              <w:t>2</w:t>
            </w:r>
          </w:p>
        </w:tc>
        <w:tc>
          <w:tcPr>
            <w:tcW w:w="4520" w:type="dxa"/>
            <w:vAlign w:val="center"/>
          </w:tcPr>
          <w:p w14:paraId="42B2E673">
            <w:pPr>
              <w:pStyle w:val="12"/>
              <w:adjustRightInd w:val="0"/>
              <w:snapToGrid w:val="0"/>
              <w:spacing w:after="0"/>
              <w:jc w:val="center"/>
              <w:rPr>
                <w:color w:val="auto"/>
                <w:highlight w:val="none"/>
                <w:lang w:bidi="ar"/>
              </w:rPr>
            </w:pPr>
            <w:r>
              <w:rPr>
                <w:rFonts w:hint="eastAsia"/>
                <w:color w:val="auto"/>
                <w:highlight w:val="none"/>
                <w:lang w:bidi="ar"/>
              </w:rPr>
              <w:t>震击式标准振筛机</w:t>
            </w:r>
          </w:p>
        </w:tc>
        <w:tc>
          <w:tcPr>
            <w:tcW w:w="2268" w:type="dxa"/>
            <w:vAlign w:val="center"/>
          </w:tcPr>
          <w:p w14:paraId="792E3233">
            <w:pPr>
              <w:pStyle w:val="12"/>
              <w:adjustRightInd w:val="0"/>
              <w:snapToGrid w:val="0"/>
              <w:spacing w:after="0"/>
              <w:jc w:val="center"/>
              <w:rPr>
                <w:color w:val="auto"/>
                <w:highlight w:val="none"/>
                <w:lang w:bidi="ar"/>
              </w:rPr>
            </w:pPr>
            <w:r>
              <w:rPr>
                <w:rFonts w:hint="eastAsia"/>
                <w:color w:val="auto"/>
                <w:highlight w:val="none"/>
                <w:lang w:bidi="ar"/>
              </w:rPr>
              <w:t>1台</w:t>
            </w:r>
          </w:p>
        </w:tc>
      </w:tr>
      <w:tr w14:paraId="361CA8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61" w:type="dxa"/>
            <w:tcBorders>
              <w:left w:val="single" w:color="auto" w:sz="12" w:space="0"/>
            </w:tcBorders>
            <w:vAlign w:val="center"/>
          </w:tcPr>
          <w:p w14:paraId="45EF54C8">
            <w:pPr>
              <w:pStyle w:val="12"/>
              <w:adjustRightInd w:val="0"/>
              <w:snapToGrid w:val="0"/>
              <w:spacing w:after="0"/>
              <w:jc w:val="center"/>
              <w:rPr>
                <w:color w:val="auto"/>
                <w:highlight w:val="none"/>
                <w:lang w:bidi="ar"/>
              </w:rPr>
            </w:pPr>
            <w:r>
              <w:rPr>
                <w:color w:val="auto"/>
                <w:highlight w:val="none"/>
                <w:lang w:bidi="ar"/>
              </w:rPr>
              <w:t>3</w:t>
            </w:r>
          </w:p>
        </w:tc>
        <w:tc>
          <w:tcPr>
            <w:tcW w:w="4520" w:type="dxa"/>
            <w:vAlign w:val="center"/>
          </w:tcPr>
          <w:p w14:paraId="5F62BE0F">
            <w:pPr>
              <w:pStyle w:val="12"/>
              <w:adjustRightInd w:val="0"/>
              <w:snapToGrid w:val="0"/>
              <w:spacing w:after="0"/>
              <w:jc w:val="center"/>
              <w:rPr>
                <w:color w:val="auto"/>
                <w:highlight w:val="none"/>
                <w:lang w:bidi="ar"/>
              </w:rPr>
            </w:pPr>
            <w:r>
              <w:rPr>
                <w:rFonts w:hint="eastAsia"/>
                <w:color w:val="auto"/>
                <w:highlight w:val="none"/>
                <w:lang w:bidi="ar"/>
              </w:rPr>
              <w:t>微机控制电液伺服压力试验机</w:t>
            </w:r>
          </w:p>
        </w:tc>
        <w:tc>
          <w:tcPr>
            <w:tcW w:w="2268" w:type="dxa"/>
            <w:vAlign w:val="center"/>
          </w:tcPr>
          <w:p w14:paraId="0ADFBA75">
            <w:pPr>
              <w:pStyle w:val="12"/>
              <w:adjustRightInd w:val="0"/>
              <w:snapToGrid w:val="0"/>
              <w:spacing w:after="0"/>
              <w:jc w:val="center"/>
              <w:rPr>
                <w:color w:val="auto"/>
                <w:highlight w:val="none"/>
                <w:lang w:bidi="ar"/>
              </w:rPr>
            </w:pPr>
            <w:r>
              <w:rPr>
                <w:rFonts w:hint="eastAsia"/>
                <w:color w:val="auto"/>
                <w:highlight w:val="none"/>
                <w:lang w:bidi="ar"/>
              </w:rPr>
              <w:t>1台</w:t>
            </w:r>
          </w:p>
        </w:tc>
      </w:tr>
      <w:tr w14:paraId="2A04EC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61" w:type="dxa"/>
            <w:tcBorders>
              <w:left w:val="single" w:color="auto" w:sz="12" w:space="0"/>
            </w:tcBorders>
            <w:vAlign w:val="center"/>
          </w:tcPr>
          <w:p w14:paraId="7E632E4D">
            <w:pPr>
              <w:pStyle w:val="12"/>
              <w:adjustRightInd w:val="0"/>
              <w:snapToGrid w:val="0"/>
              <w:spacing w:after="0"/>
              <w:jc w:val="center"/>
              <w:rPr>
                <w:color w:val="auto"/>
                <w:highlight w:val="none"/>
                <w:lang w:bidi="ar"/>
              </w:rPr>
            </w:pPr>
            <w:r>
              <w:rPr>
                <w:color w:val="auto"/>
                <w:highlight w:val="none"/>
                <w:lang w:bidi="ar"/>
              </w:rPr>
              <w:t>4</w:t>
            </w:r>
          </w:p>
        </w:tc>
        <w:tc>
          <w:tcPr>
            <w:tcW w:w="4520" w:type="dxa"/>
            <w:vAlign w:val="center"/>
          </w:tcPr>
          <w:p w14:paraId="0A9DA3B0">
            <w:pPr>
              <w:pStyle w:val="12"/>
              <w:adjustRightInd w:val="0"/>
              <w:snapToGrid w:val="0"/>
              <w:spacing w:after="0"/>
              <w:jc w:val="center"/>
              <w:rPr>
                <w:color w:val="auto"/>
                <w:highlight w:val="none"/>
                <w:lang w:bidi="ar"/>
              </w:rPr>
            </w:pPr>
            <w:r>
              <w:rPr>
                <w:rFonts w:hint="eastAsia"/>
                <w:color w:val="auto"/>
                <w:highlight w:val="none"/>
                <w:lang w:bidi="ar"/>
              </w:rPr>
              <w:t>微机控制电子万能试验机</w:t>
            </w:r>
          </w:p>
        </w:tc>
        <w:tc>
          <w:tcPr>
            <w:tcW w:w="2268" w:type="dxa"/>
            <w:vAlign w:val="center"/>
          </w:tcPr>
          <w:p w14:paraId="1B80D213">
            <w:pPr>
              <w:pStyle w:val="12"/>
              <w:adjustRightInd w:val="0"/>
              <w:snapToGrid w:val="0"/>
              <w:spacing w:after="0"/>
              <w:jc w:val="center"/>
              <w:rPr>
                <w:color w:val="auto"/>
                <w:highlight w:val="none"/>
                <w:lang w:bidi="ar"/>
              </w:rPr>
            </w:pPr>
            <w:r>
              <w:rPr>
                <w:rFonts w:hint="eastAsia"/>
                <w:color w:val="auto"/>
                <w:highlight w:val="none"/>
                <w:lang w:bidi="ar"/>
              </w:rPr>
              <w:t>1台</w:t>
            </w:r>
          </w:p>
        </w:tc>
      </w:tr>
      <w:tr w14:paraId="1885B4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61" w:type="dxa"/>
            <w:tcBorders>
              <w:left w:val="single" w:color="auto" w:sz="12" w:space="0"/>
            </w:tcBorders>
            <w:vAlign w:val="center"/>
          </w:tcPr>
          <w:p w14:paraId="52697A8D">
            <w:pPr>
              <w:pStyle w:val="12"/>
              <w:adjustRightInd w:val="0"/>
              <w:snapToGrid w:val="0"/>
              <w:spacing w:after="0"/>
              <w:jc w:val="center"/>
              <w:rPr>
                <w:color w:val="auto"/>
                <w:highlight w:val="none"/>
                <w:lang w:bidi="ar"/>
              </w:rPr>
            </w:pPr>
            <w:r>
              <w:rPr>
                <w:color w:val="auto"/>
                <w:highlight w:val="none"/>
                <w:lang w:bidi="ar"/>
              </w:rPr>
              <w:t>5</w:t>
            </w:r>
          </w:p>
        </w:tc>
        <w:tc>
          <w:tcPr>
            <w:tcW w:w="4520" w:type="dxa"/>
            <w:vAlign w:val="center"/>
          </w:tcPr>
          <w:p w14:paraId="25EAA976">
            <w:pPr>
              <w:pStyle w:val="12"/>
              <w:adjustRightInd w:val="0"/>
              <w:snapToGrid w:val="0"/>
              <w:spacing w:after="0"/>
              <w:jc w:val="center"/>
              <w:rPr>
                <w:rFonts w:hint="eastAsia" w:eastAsia="宋体"/>
                <w:color w:val="auto"/>
                <w:highlight w:val="none"/>
                <w:lang w:eastAsia="zh-CN" w:bidi="ar"/>
              </w:rPr>
            </w:pPr>
            <w:r>
              <w:rPr>
                <w:rFonts w:hint="eastAsia"/>
                <w:color w:val="auto"/>
                <w:highlight w:val="none"/>
                <w:lang w:eastAsia="zh-CN" w:bidi="ar"/>
              </w:rPr>
              <w:t>氯离子自动滴定仪</w:t>
            </w:r>
          </w:p>
        </w:tc>
        <w:tc>
          <w:tcPr>
            <w:tcW w:w="2268" w:type="dxa"/>
            <w:vAlign w:val="center"/>
          </w:tcPr>
          <w:p w14:paraId="2BD75241">
            <w:pPr>
              <w:pStyle w:val="12"/>
              <w:adjustRightInd w:val="0"/>
              <w:snapToGrid w:val="0"/>
              <w:spacing w:after="0"/>
              <w:jc w:val="center"/>
              <w:rPr>
                <w:color w:val="auto"/>
                <w:highlight w:val="none"/>
                <w:lang w:bidi="ar"/>
              </w:rPr>
            </w:pPr>
            <w:r>
              <w:rPr>
                <w:rFonts w:hint="eastAsia"/>
                <w:color w:val="auto"/>
                <w:highlight w:val="none"/>
                <w:lang w:bidi="ar"/>
              </w:rPr>
              <w:t>1台</w:t>
            </w:r>
          </w:p>
        </w:tc>
      </w:tr>
      <w:tr w14:paraId="5105A5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61" w:type="dxa"/>
            <w:tcBorders>
              <w:left w:val="single" w:color="auto" w:sz="12" w:space="0"/>
            </w:tcBorders>
            <w:vAlign w:val="center"/>
          </w:tcPr>
          <w:p w14:paraId="35E10428">
            <w:pPr>
              <w:pStyle w:val="12"/>
              <w:adjustRightInd w:val="0"/>
              <w:snapToGrid w:val="0"/>
              <w:spacing w:after="0"/>
              <w:jc w:val="center"/>
              <w:rPr>
                <w:color w:val="auto"/>
                <w:highlight w:val="none"/>
                <w:lang w:bidi="ar"/>
              </w:rPr>
            </w:pPr>
            <w:r>
              <w:rPr>
                <w:color w:val="auto"/>
                <w:highlight w:val="none"/>
                <w:lang w:bidi="ar"/>
              </w:rPr>
              <w:t>6</w:t>
            </w:r>
          </w:p>
        </w:tc>
        <w:tc>
          <w:tcPr>
            <w:tcW w:w="4520" w:type="dxa"/>
            <w:vAlign w:val="center"/>
          </w:tcPr>
          <w:p w14:paraId="7C9DC693">
            <w:pPr>
              <w:pStyle w:val="12"/>
              <w:adjustRightInd w:val="0"/>
              <w:snapToGrid w:val="0"/>
              <w:spacing w:after="0"/>
              <w:jc w:val="center"/>
              <w:rPr>
                <w:color w:val="auto"/>
                <w:highlight w:val="none"/>
                <w:lang w:bidi="ar"/>
              </w:rPr>
            </w:pPr>
            <w:r>
              <w:rPr>
                <w:rFonts w:hint="eastAsia"/>
                <w:color w:val="auto"/>
                <w:highlight w:val="none"/>
                <w:lang w:bidi="ar"/>
              </w:rPr>
              <w:t>沸煮箱</w:t>
            </w:r>
          </w:p>
        </w:tc>
        <w:tc>
          <w:tcPr>
            <w:tcW w:w="2268" w:type="dxa"/>
            <w:vAlign w:val="center"/>
          </w:tcPr>
          <w:p w14:paraId="0A43C82C">
            <w:pPr>
              <w:pStyle w:val="12"/>
              <w:adjustRightInd w:val="0"/>
              <w:snapToGrid w:val="0"/>
              <w:spacing w:after="0"/>
              <w:jc w:val="center"/>
              <w:rPr>
                <w:color w:val="auto"/>
                <w:highlight w:val="none"/>
                <w:lang w:bidi="ar"/>
              </w:rPr>
            </w:pPr>
            <w:r>
              <w:rPr>
                <w:rFonts w:hint="eastAsia"/>
                <w:color w:val="auto"/>
                <w:highlight w:val="none"/>
                <w:lang w:bidi="ar"/>
              </w:rPr>
              <w:t>1台</w:t>
            </w:r>
          </w:p>
        </w:tc>
      </w:tr>
      <w:tr w14:paraId="46FF19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61" w:type="dxa"/>
            <w:tcBorders>
              <w:left w:val="single" w:color="auto" w:sz="12" w:space="0"/>
            </w:tcBorders>
            <w:vAlign w:val="center"/>
          </w:tcPr>
          <w:p w14:paraId="7A4435B1">
            <w:pPr>
              <w:pStyle w:val="12"/>
              <w:adjustRightInd w:val="0"/>
              <w:snapToGrid w:val="0"/>
              <w:spacing w:after="0"/>
              <w:jc w:val="center"/>
              <w:rPr>
                <w:color w:val="auto"/>
                <w:highlight w:val="none"/>
                <w:lang w:bidi="ar"/>
              </w:rPr>
            </w:pPr>
            <w:r>
              <w:rPr>
                <w:color w:val="auto"/>
                <w:highlight w:val="none"/>
                <w:lang w:bidi="ar"/>
              </w:rPr>
              <w:t>7</w:t>
            </w:r>
          </w:p>
        </w:tc>
        <w:tc>
          <w:tcPr>
            <w:tcW w:w="4520" w:type="dxa"/>
            <w:vAlign w:val="center"/>
          </w:tcPr>
          <w:p w14:paraId="216313C8">
            <w:pPr>
              <w:pStyle w:val="12"/>
              <w:adjustRightInd w:val="0"/>
              <w:snapToGrid w:val="0"/>
              <w:spacing w:after="0"/>
              <w:jc w:val="center"/>
              <w:rPr>
                <w:color w:val="auto"/>
                <w:highlight w:val="none"/>
                <w:lang w:bidi="ar"/>
              </w:rPr>
            </w:pPr>
            <w:r>
              <w:rPr>
                <w:rFonts w:hint="eastAsia"/>
                <w:color w:val="auto"/>
                <w:highlight w:val="none"/>
                <w:lang w:bidi="ar"/>
              </w:rPr>
              <w:t>雷氏夹测定仪</w:t>
            </w:r>
          </w:p>
        </w:tc>
        <w:tc>
          <w:tcPr>
            <w:tcW w:w="2268" w:type="dxa"/>
            <w:vAlign w:val="center"/>
          </w:tcPr>
          <w:p w14:paraId="3B357CE2">
            <w:pPr>
              <w:pStyle w:val="12"/>
              <w:adjustRightInd w:val="0"/>
              <w:snapToGrid w:val="0"/>
              <w:spacing w:after="0"/>
              <w:jc w:val="center"/>
              <w:rPr>
                <w:color w:val="auto"/>
                <w:highlight w:val="none"/>
                <w:lang w:bidi="ar"/>
              </w:rPr>
            </w:pPr>
            <w:r>
              <w:rPr>
                <w:rFonts w:hint="eastAsia"/>
                <w:color w:val="auto"/>
                <w:highlight w:val="none"/>
                <w:lang w:bidi="ar"/>
              </w:rPr>
              <w:t>1台</w:t>
            </w:r>
          </w:p>
        </w:tc>
      </w:tr>
      <w:tr w14:paraId="0F696E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61" w:type="dxa"/>
            <w:tcBorders>
              <w:left w:val="single" w:color="auto" w:sz="12" w:space="0"/>
            </w:tcBorders>
            <w:vAlign w:val="center"/>
          </w:tcPr>
          <w:p w14:paraId="40263122">
            <w:pPr>
              <w:pStyle w:val="12"/>
              <w:adjustRightInd w:val="0"/>
              <w:snapToGrid w:val="0"/>
              <w:spacing w:after="0"/>
              <w:jc w:val="center"/>
              <w:rPr>
                <w:color w:val="auto"/>
                <w:highlight w:val="none"/>
                <w:lang w:bidi="ar"/>
              </w:rPr>
            </w:pPr>
            <w:r>
              <w:rPr>
                <w:color w:val="auto"/>
                <w:highlight w:val="none"/>
                <w:lang w:bidi="ar"/>
              </w:rPr>
              <w:t>8</w:t>
            </w:r>
          </w:p>
        </w:tc>
        <w:tc>
          <w:tcPr>
            <w:tcW w:w="4520" w:type="dxa"/>
            <w:vAlign w:val="center"/>
          </w:tcPr>
          <w:p w14:paraId="5505306D">
            <w:pPr>
              <w:pStyle w:val="12"/>
              <w:adjustRightInd w:val="0"/>
              <w:snapToGrid w:val="0"/>
              <w:spacing w:after="0"/>
              <w:jc w:val="center"/>
              <w:rPr>
                <w:color w:val="auto"/>
                <w:highlight w:val="none"/>
                <w:lang w:bidi="ar"/>
              </w:rPr>
            </w:pPr>
            <w:r>
              <w:rPr>
                <w:rFonts w:hint="eastAsia"/>
                <w:color w:val="auto"/>
                <w:highlight w:val="none"/>
                <w:lang w:bidi="ar"/>
              </w:rPr>
              <w:t>雷氏夹膨胀</w:t>
            </w:r>
          </w:p>
          <w:p w14:paraId="552EC80E">
            <w:pPr>
              <w:pStyle w:val="12"/>
              <w:adjustRightInd w:val="0"/>
              <w:snapToGrid w:val="0"/>
              <w:spacing w:after="0"/>
              <w:jc w:val="center"/>
              <w:rPr>
                <w:color w:val="auto"/>
                <w:highlight w:val="none"/>
                <w:lang w:bidi="ar"/>
              </w:rPr>
            </w:pPr>
            <w:r>
              <w:rPr>
                <w:rFonts w:hint="eastAsia"/>
                <w:color w:val="auto"/>
                <w:highlight w:val="none"/>
                <w:lang w:bidi="ar"/>
              </w:rPr>
              <w:t>测定仪</w:t>
            </w:r>
          </w:p>
        </w:tc>
        <w:tc>
          <w:tcPr>
            <w:tcW w:w="2268" w:type="dxa"/>
            <w:vAlign w:val="center"/>
          </w:tcPr>
          <w:p w14:paraId="09F8EF5F">
            <w:pPr>
              <w:pStyle w:val="12"/>
              <w:adjustRightInd w:val="0"/>
              <w:snapToGrid w:val="0"/>
              <w:spacing w:after="0"/>
              <w:jc w:val="center"/>
              <w:rPr>
                <w:color w:val="auto"/>
                <w:highlight w:val="none"/>
                <w:lang w:bidi="ar"/>
              </w:rPr>
            </w:pPr>
            <w:r>
              <w:rPr>
                <w:rFonts w:hint="eastAsia"/>
                <w:color w:val="auto"/>
                <w:highlight w:val="none"/>
                <w:lang w:bidi="ar"/>
              </w:rPr>
              <w:t>1台</w:t>
            </w:r>
          </w:p>
        </w:tc>
      </w:tr>
      <w:tr w14:paraId="7CB45C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61" w:type="dxa"/>
            <w:tcBorders>
              <w:left w:val="single" w:color="auto" w:sz="12" w:space="0"/>
            </w:tcBorders>
            <w:vAlign w:val="center"/>
          </w:tcPr>
          <w:p w14:paraId="1DF948CE">
            <w:pPr>
              <w:pStyle w:val="12"/>
              <w:adjustRightInd w:val="0"/>
              <w:snapToGrid w:val="0"/>
              <w:spacing w:after="0"/>
              <w:jc w:val="center"/>
              <w:rPr>
                <w:color w:val="auto"/>
                <w:highlight w:val="none"/>
                <w:lang w:bidi="ar"/>
              </w:rPr>
            </w:pPr>
            <w:r>
              <w:rPr>
                <w:color w:val="auto"/>
                <w:highlight w:val="none"/>
                <w:lang w:bidi="ar"/>
              </w:rPr>
              <w:t>9</w:t>
            </w:r>
          </w:p>
        </w:tc>
        <w:tc>
          <w:tcPr>
            <w:tcW w:w="4520" w:type="dxa"/>
            <w:vAlign w:val="center"/>
          </w:tcPr>
          <w:p w14:paraId="511BF7E6">
            <w:pPr>
              <w:pStyle w:val="12"/>
              <w:adjustRightInd w:val="0"/>
              <w:snapToGrid w:val="0"/>
              <w:spacing w:after="0"/>
              <w:jc w:val="center"/>
              <w:rPr>
                <w:color w:val="auto"/>
                <w:highlight w:val="none"/>
                <w:lang w:bidi="ar"/>
              </w:rPr>
            </w:pPr>
            <w:r>
              <w:rPr>
                <w:rFonts w:hint="eastAsia"/>
                <w:color w:val="auto"/>
                <w:highlight w:val="none"/>
                <w:lang w:bidi="ar"/>
              </w:rPr>
              <w:t>电热鼓风干燥箱</w:t>
            </w:r>
          </w:p>
        </w:tc>
        <w:tc>
          <w:tcPr>
            <w:tcW w:w="2268" w:type="dxa"/>
            <w:vAlign w:val="center"/>
          </w:tcPr>
          <w:p w14:paraId="0AE2D41C">
            <w:pPr>
              <w:pStyle w:val="12"/>
              <w:adjustRightInd w:val="0"/>
              <w:snapToGrid w:val="0"/>
              <w:spacing w:after="0"/>
              <w:jc w:val="center"/>
              <w:rPr>
                <w:color w:val="auto"/>
                <w:highlight w:val="none"/>
                <w:lang w:bidi="ar"/>
              </w:rPr>
            </w:pPr>
            <w:r>
              <w:rPr>
                <w:rFonts w:hint="eastAsia"/>
                <w:color w:val="auto"/>
                <w:highlight w:val="none"/>
                <w:lang w:bidi="ar"/>
              </w:rPr>
              <w:t>1台</w:t>
            </w:r>
          </w:p>
        </w:tc>
      </w:tr>
      <w:tr w14:paraId="3CA066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61" w:type="dxa"/>
            <w:tcBorders>
              <w:left w:val="single" w:color="auto" w:sz="12" w:space="0"/>
            </w:tcBorders>
            <w:vAlign w:val="center"/>
          </w:tcPr>
          <w:p w14:paraId="7E336353">
            <w:pPr>
              <w:pStyle w:val="12"/>
              <w:adjustRightInd w:val="0"/>
              <w:snapToGrid w:val="0"/>
              <w:spacing w:after="0"/>
              <w:jc w:val="center"/>
              <w:rPr>
                <w:color w:val="auto"/>
                <w:highlight w:val="none"/>
                <w:lang w:bidi="ar"/>
              </w:rPr>
            </w:pPr>
            <w:r>
              <w:rPr>
                <w:color w:val="auto"/>
                <w:highlight w:val="none"/>
                <w:lang w:bidi="ar"/>
              </w:rPr>
              <w:t>10</w:t>
            </w:r>
          </w:p>
        </w:tc>
        <w:tc>
          <w:tcPr>
            <w:tcW w:w="4520" w:type="dxa"/>
            <w:vAlign w:val="center"/>
          </w:tcPr>
          <w:p w14:paraId="7DB7D929">
            <w:pPr>
              <w:pStyle w:val="12"/>
              <w:adjustRightInd w:val="0"/>
              <w:snapToGrid w:val="0"/>
              <w:spacing w:after="0"/>
              <w:jc w:val="center"/>
              <w:rPr>
                <w:color w:val="auto"/>
                <w:highlight w:val="none"/>
                <w:lang w:bidi="ar"/>
              </w:rPr>
            </w:pPr>
            <w:r>
              <w:rPr>
                <w:rFonts w:hint="eastAsia"/>
                <w:color w:val="auto"/>
                <w:highlight w:val="none"/>
                <w:lang w:bidi="ar"/>
              </w:rPr>
              <w:t>微机控制压折试验机</w:t>
            </w:r>
          </w:p>
        </w:tc>
        <w:tc>
          <w:tcPr>
            <w:tcW w:w="2268" w:type="dxa"/>
            <w:vAlign w:val="center"/>
          </w:tcPr>
          <w:p w14:paraId="3DBAAD20">
            <w:pPr>
              <w:pStyle w:val="12"/>
              <w:adjustRightInd w:val="0"/>
              <w:snapToGrid w:val="0"/>
              <w:spacing w:after="0"/>
              <w:jc w:val="center"/>
              <w:rPr>
                <w:color w:val="auto"/>
                <w:highlight w:val="none"/>
                <w:lang w:bidi="ar"/>
              </w:rPr>
            </w:pPr>
            <w:r>
              <w:rPr>
                <w:rFonts w:hint="eastAsia"/>
                <w:color w:val="auto"/>
                <w:highlight w:val="none"/>
                <w:lang w:bidi="ar"/>
              </w:rPr>
              <w:t>1台</w:t>
            </w:r>
          </w:p>
        </w:tc>
      </w:tr>
      <w:tr w14:paraId="0B031B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61" w:type="dxa"/>
            <w:tcBorders>
              <w:left w:val="single" w:color="auto" w:sz="12" w:space="0"/>
            </w:tcBorders>
            <w:vAlign w:val="center"/>
          </w:tcPr>
          <w:p w14:paraId="54F26DF2">
            <w:pPr>
              <w:pStyle w:val="12"/>
              <w:adjustRightInd w:val="0"/>
              <w:snapToGrid w:val="0"/>
              <w:spacing w:after="0"/>
              <w:jc w:val="center"/>
              <w:rPr>
                <w:color w:val="auto"/>
                <w:highlight w:val="none"/>
                <w:lang w:bidi="ar"/>
              </w:rPr>
            </w:pPr>
            <w:r>
              <w:rPr>
                <w:color w:val="auto"/>
                <w:highlight w:val="none"/>
                <w:lang w:bidi="ar"/>
              </w:rPr>
              <w:t>11</w:t>
            </w:r>
          </w:p>
        </w:tc>
        <w:tc>
          <w:tcPr>
            <w:tcW w:w="4520" w:type="dxa"/>
            <w:vAlign w:val="center"/>
          </w:tcPr>
          <w:p w14:paraId="3BD7EBA4">
            <w:pPr>
              <w:pStyle w:val="12"/>
              <w:adjustRightInd w:val="0"/>
              <w:snapToGrid w:val="0"/>
              <w:spacing w:after="0"/>
              <w:jc w:val="center"/>
              <w:rPr>
                <w:rFonts w:hint="eastAsia" w:eastAsia="宋体"/>
                <w:color w:val="auto"/>
                <w:highlight w:val="none"/>
                <w:lang w:eastAsia="zh-CN" w:bidi="ar"/>
              </w:rPr>
            </w:pPr>
            <w:r>
              <w:rPr>
                <w:rFonts w:hint="eastAsia"/>
                <w:color w:val="auto"/>
                <w:highlight w:val="none"/>
                <w:lang w:eastAsia="zh-CN" w:bidi="ar"/>
              </w:rPr>
              <w:t>钢筋弯曲机</w:t>
            </w:r>
          </w:p>
        </w:tc>
        <w:tc>
          <w:tcPr>
            <w:tcW w:w="2268" w:type="dxa"/>
            <w:vAlign w:val="center"/>
          </w:tcPr>
          <w:p w14:paraId="7D01E3AB">
            <w:pPr>
              <w:pStyle w:val="12"/>
              <w:adjustRightInd w:val="0"/>
              <w:snapToGrid w:val="0"/>
              <w:spacing w:after="0"/>
              <w:jc w:val="center"/>
              <w:rPr>
                <w:color w:val="auto"/>
                <w:highlight w:val="none"/>
                <w:lang w:bidi="ar"/>
              </w:rPr>
            </w:pPr>
            <w:r>
              <w:rPr>
                <w:rFonts w:hint="eastAsia"/>
                <w:color w:val="auto"/>
                <w:highlight w:val="none"/>
                <w:lang w:bidi="ar"/>
              </w:rPr>
              <w:t>1台</w:t>
            </w:r>
          </w:p>
        </w:tc>
      </w:tr>
      <w:tr w14:paraId="086035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61" w:type="dxa"/>
            <w:tcBorders>
              <w:left w:val="single" w:color="auto" w:sz="12" w:space="0"/>
            </w:tcBorders>
            <w:vAlign w:val="center"/>
          </w:tcPr>
          <w:p w14:paraId="75F2A759">
            <w:pPr>
              <w:pStyle w:val="12"/>
              <w:adjustRightInd w:val="0"/>
              <w:snapToGrid w:val="0"/>
              <w:spacing w:after="0"/>
              <w:jc w:val="center"/>
              <w:rPr>
                <w:color w:val="auto"/>
                <w:highlight w:val="none"/>
                <w:lang w:bidi="ar"/>
              </w:rPr>
            </w:pPr>
            <w:r>
              <w:rPr>
                <w:color w:val="auto"/>
                <w:highlight w:val="none"/>
                <w:lang w:bidi="ar"/>
              </w:rPr>
              <w:t>12</w:t>
            </w:r>
          </w:p>
        </w:tc>
        <w:tc>
          <w:tcPr>
            <w:tcW w:w="4520" w:type="dxa"/>
            <w:vAlign w:val="center"/>
          </w:tcPr>
          <w:p w14:paraId="4D8F6F23">
            <w:pPr>
              <w:pStyle w:val="12"/>
              <w:adjustRightInd w:val="0"/>
              <w:snapToGrid w:val="0"/>
              <w:spacing w:after="0"/>
              <w:jc w:val="center"/>
              <w:rPr>
                <w:rFonts w:hint="eastAsia" w:eastAsia="宋体"/>
                <w:color w:val="auto"/>
                <w:highlight w:val="none"/>
                <w:lang w:eastAsia="zh-CN" w:bidi="ar"/>
              </w:rPr>
            </w:pPr>
            <w:r>
              <w:rPr>
                <w:rFonts w:hint="eastAsia"/>
                <w:color w:val="auto"/>
                <w:highlight w:val="none"/>
                <w:lang w:eastAsia="zh-CN" w:bidi="ar"/>
              </w:rPr>
              <w:t>钢筋扫描仪</w:t>
            </w:r>
          </w:p>
        </w:tc>
        <w:tc>
          <w:tcPr>
            <w:tcW w:w="2268" w:type="dxa"/>
            <w:vAlign w:val="center"/>
          </w:tcPr>
          <w:p w14:paraId="02655282">
            <w:pPr>
              <w:pStyle w:val="12"/>
              <w:adjustRightInd w:val="0"/>
              <w:snapToGrid w:val="0"/>
              <w:spacing w:after="0"/>
              <w:jc w:val="center"/>
              <w:rPr>
                <w:color w:val="auto"/>
                <w:highlight w:val="none"/>
                <w:lang w:bidi="ar"/>
              </w:rPr>
            </w:pPr>
            <w:r>
              <w:rPr>
                <w:rFonts w:hint="eastAsia"/>
                <w:color w:val="auto"/>
                <w:highlight w:val="none"/>
                <w:lang w:bidi="ar"/>
              </w:rPr>
              <w:t>1台</w:t>
            </w:r>
          </w:p>
        </w:tc>
      </w:tr>
      <w:tr w14:paraId="3B125B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61" w:type="dxa"/>
            <w:tcBorders>
              <w:left w:val="single" w:color="auto" w:sz="12" w:space="0"/>
            </w:tcBorders>
            <w:vAlign w:val="center"/>
          </w:tcPr>
          <w:p w14:paraId="71B175D7">
            <w:pPr>
              <w:pStyle w:val="12"/>
              <w:adjustRightInd w:val="0"/>
              <w:snapToGrid w:val="0"/>
              <w:spacing w:after="0"/>
              <w:jc w:val="center"/>
              <w:rPr>
                <w:color w:val="auto"/>
                <w:highlight w:val="none"/>
                <w:lang w:bidi="ar"/>
              </w:rPr>
            </w:pPr>
            <w:r>
              <w:rPr>
                <w:color w:val="auto"/>
                <w:highlight w:val="none"/>
                <w:lang w:bidi="ar"/>
              </w:rPr>
              <w:t>13</w:t>
            </w:r>
          </w:p>
        </w:tc>
        <w:tc>
          <w:tcPr>
            <w:tcW w:w="4520" w:type="dxa"/>
            <w:vAlign w:val="center"/>
          </w:tcPr>
          <w:p w14:paraId="0F1E29EF">
            <w:pPr>
              <w:pStyle w:val="12"/>
              <w:adjustRightInd w:val="0"/>
              <w:snapToGrid w:val="0"/>
              <w:spacing w:after="0"/>
              <w:jc w:val="center"/>
              <w:rPr>
                <w:color w:val="auto"/>
                <w:highlight w:val="none"/>
                <w:lang w:bidi="ar"/>
              </w:rPr>
            </w:pPr>
            <w:r>
              <w:rPr>
                <w:rFonts w:hint="eastAsia"/>
                <w:color w:val="auto"/>
                <w:highlight w:val="none"/>
                <w:lang w:bidi="ar"/>
              </w:rPr>
              <w:t>裂缝测宽仪</w:t>
            </w:r>
          </w:p>
        </w:tc>
        <w:tc>
          <w:tcPr>
            <w:tcW w:w="2268" w:type="dxa"/>
            <w:vAlign w:val="center"/>
          </w:tcPr>
          <w:p w14:paraId="7E41F510">
            <w:pPr>
              <w:pStyle w:val="12"/>
              <w:adjustRightInd w:val="0"/>
              <w:snapToGrid w:val="0"/>
              <w:spacing w:after="0"/>
              <w:jc w:val="center"/>
              <w:rPr>
                <w:color w:val="auto"/>
                <w:highlight w:val="none"/>
                <w:lang w:bidi="ar"/>
              </w:rPr>
            </w:pPr>
            <w:r>
              <w:rPr>
                <w:rFonts w:hint="eastAsia"/>
                <w:color w:val="auto"/>
                <w:highlight w:val="none"/>
                <w:lang w:bidi="ar"/>
              </w:rPr>
              <w:t>1台</w:t>
            </w:r>
          </w:p>
        </w:tc>
      </w:tr>
      <w:tr w14:paraId="57D2DD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61" w:type="dxa"/>
            <w:tcBorders>
              <w:left w:val="single" w:color="auto" w:sz="12" w:space="0"/>
            </w:tcBorders>
            <w:vAlign w:val="center"/>
          </w:tcPr>
          <w:p w14:paraId="09909C88">
            <w:pPr>
              <w:pStyle w:val="12"/>
              <w:adjustRightInd w:val="0"/>
              <w:snapToGrid w:val="0"/>
              <w:spacing w:after="0"/>
              <w:jc w:val="center"/>
              <w:rPr>
                <w:color w:val="auto"/>
                <w:highlight w:val="none"/>
                <w:lang w:bidi="ar"/>
              </w:rPr>
            </w:pPr>
            <w:r>
              <w:rPr>
                <w:color w:val="auto"/>
                <w:highlight w:val="none"/>
                <w:lang w:bidi="ar"/>
              </w:rPr>
              <w:t>14</w:t>
            </w:r>
          </w:p>
        </w:tc>
        <w:tc>
          <w:tcPr>
            <w:tcW w:w="4520" w:type="dxa"/>
            <w:vAlign w:val="center"/>
          </w:tcPr>
          <w:p w14:paraId="03CB48D3">
            <w:pPr>
              <w:pStyle w:val="12"/>
              <w:adjustRightInd w:val="0"/>
              <w:snapToGrid w:val="0"/>
              <w:spacing w:after="0"/>
              <w:jc w:val="center"/>
              <w:rPr>
                <w:rFonts w:hint="eastAsia" w:ascii="Times New Roman" w:hAnsi="Times New Roman" w:eastAsia="宋体" w:cs="Times New Roman"/>
                <w:color w:val="auto"/>
                <w:kern w:val="2"/>
                <w:sz w:val="21"/>
                <w:szCs w:val="20"/>
                <w:highlight w:val="none"/>
                <w:lang w:val="en-US" w:eastAsia="zh-CN" w:bidi="ar"/>
              </w:rPr>
            </w:pPr>
            <w:r>
              <w:rPr>
                <w:rFonts w:hint="eastAsia"/>
                <w:color w:val="auto"/>
                <w:highlight w:val="none"/>
                <w:lang w:eastAsia="zh-CN" w:bidi="ar"/>
              </w:rPr>
              <w:t>震击式标准振筛机</w:t>
            </w:r>
          </w:p>
        </w:tc>
        <w:tc>
          <w:tcPr>
            <w:tcW w:w="2268" w:type="dxa"/>
            <w:vAlign w:val="center"/>
          </w:tcPr>
          <w:p w14:paraId="2C17B5AC">
            <w:pPr>
              <w:pStyle w:val="12"/>
              <w:adjustRightInd w:val="0"/>
              <w:snapToGrid w:val="0"/>
              <w:spacing w:after="0"/>
              <w:jc w:val="center"/>
              <w:rPr>
                <w:rFonts w:ascii="Times New Roman" w:hAnsi="Times New Roman" w:eastAsia="宋体" w:cs="Times New Roman"/>
                <w:color w:val="auto"/>
                <w:kern w:val="2"/>
                <w:sz w:val="21"/>
                <w:szCs w:val="20"/>
                <w:highlight w:val="none"/>
                <w:lang w:val="en-US" w:eastAsia="zh-CN" w:bidi="ar"/>
              </w:rPr>
            </w:pPr>
            <w:r>
              <w:rPr>
                <w:rFonts w:hint="eastAsia"/>
                <w:color w:val="auto"/>
                <w:highlight w:val="none"/>
                <w:lang w:bidi="ar"/>
              </w:rPr>
              <w:t>1台</w:t>
            </w:r>
          </w:p>
        </w:tc>
      </w:tr>
      <w:tr w14:paraId="6A407A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61" w:type="dxa"/>
            <w:tcBorders>
              <w:left w:val="single" w:color="auto" w:sz="12" w:space="0"/>
            </w:tcBorders>
            <w:vAlign w:val="center"/>
          </w:tcPr>
          <w:p w14:paraId="4204FED8">
            <w:pPr>
              <w:pStyle w:val="12"/>
              <w:adjustRightInd w:val="0"/>
              <w:snapToGrid w:val="0"/>
              <w:spacing w:after="0"/>
              <w:jc w:val="center"/>
              <w:rPr>
                <w:color w:val="auto"/>
                <w:highlight w:val="none"/>
                <w:lang w:bidi="ar"/>
              </w:rPr>
            </w:pPr>
            <w:r>
              <w:rPr>
                <w:color w:val="auto"/>
                <w:highlight w:val="none"/>
                <w:lang w:bidi="ar"/>
              </w:rPr>
              <w:t>15</w:t>
            </w:r>
          </w:p>
        </w:tc>
        <w:tc>
          <w:tcPr>
            <w:tcW w:w="4520" w:type="dxa"/>
            <w:vAlign w:val="center"/>
          </w:tcPr>
          <w:p w14:paraId="2A9CD729">
            <w:pPr>
              <w:pStyle w:val="12"/>
              <w:adjustRightInd w:val="0"/>
              <w:snapToGrid w:val="0"/>
              <w:spacing w:after="0"/>
              <w:jc w:val="center"/>
              <w:rPr>
                <w:rFonts w:ascii="Times New Roman" w:hAnsi="Times New Roman" w:eastAsia="宋体" w:cs="Times New Roman"/>
                <w:color w:val="auto"/>
                <w:kern w:val="2"/>
                <w:sz w:val="21"/>
                <w:szCs w:val="20"/>
                <w:highlight w:val="none"/>
                <w:lang w:val="en-US" w:eastAsia="zh-CN" w:bidi="ar"/>
              </w:rPr>
            </w:pPr>
            <w:r>
              <w:rPr>
                <w:rFonts w:hint="eastAsia"/>
                <w:color w:val="auto"/>
                <w:highlight w:val="none"/>
                <w:lang w:bidi="ar"/>
              </w:rPr>
              <w:t>水泥细度负压筛析仪</w:t>
            </w:r>
          </w:p>
        </w:tc>
        <w:tc>
          <w:tcPr>
            <w:tcW w:w="2268" w:type="dxa"/>
            <w:vAlign w:val="center"/>
          </w:tcPr>
          <w:p w14:paraId="6A172B22">
            <w:pPr>
              <w:pStyle w:val="12"/>
              <w:adjustRightInd w:val="0"/>
              <w:snapToGrid w:val="0"/>
              <w:spacing w:after="0"/>
              <w:jc w:val="center"/>
              <w:rPr>
                <w:rFonts w:ascii="Times New Roman" w:hAnsi="Times New Roman" w:eastAsia="宋体" w:cs="Times New Roman"/>
                <w:color w:val="auto"/>
                <w:kern w:val="2"/>
                <w:sz w:val="21"/>
                <w:szCs w:val="20"/>
                <w:highlight w:val="none"/>
                <w:lang w:val="en-US" w:eastAsia="zh-CN" w:bidi="ar"/>
              </w:rPr>
            </w:pPr>
            <w:r>
              <w:rPr>
                <w:rFonts w:hint="eastAsia"/>
                <w:color w:val="auto"/>
                <w:highlight w:val="none"/>
                <w:lang w:bidi="ar"/>
              </w:rPr>
              <w:t>1台</w:t>
            </w:r>
          </w:p>
        </w:tc>
      </w:tr>
      <w:tr w14:paraId="7A0456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61" w:type="dxa"/>
            <w:tcBorders>
              <w:left w:val="single" w:color="auto" w:sz="12" w:space="0"/>
            </w:tcBorders>
            <w:vAlign w:val="center"/>
          </w:tcPr>
          <w:p w14:paraId="2FE73BC1">
            <w:pPr>
              <w:pStyle w:val="12"/>
              <w:adjustRightInd w:val="0"/>
              <w:snapToGrid w:val="0"/>
              <w:spacing w:after="0"/>
              <w:jc w:val="center"/>
              <w:rPr>
                <w:color w:val="auto"/>
                <w:highlight w:val="none"/>
                <w:lang w:bidi="ar"/>
              </w:rPr>
            </w:pPr>
            <w:r>
              <w:rPr>
                <w:color w:val="auto"/>
                <w:highlight w:val="none"/>
                <w:lang w:bidi="ar"/>
              </w:rPr>
              <w:t>16</w:t>
            </w:r>
          </w:p>
        </w:tc>
        <w:tc>
          <w:tcPr>
            <w:tcW w:w="4520" w:type="dxa"/>
            <w:vAlign w:val="center"/>
          </w:tcPr>
          <w:p w14:paraId="22A647C4">
            <w:pPr>
              <w:pStyle w:val="12"/>
              <w:adjustRightInd w:val="0"/>
              <w:snapToGrid w:val="0"/>
              <w:spacing w:after="0"/>
              <w:jc w:val="center"/>
              <w:rPr>
                <w:rFonts w:ascii="Times New Roman" w:hAnsi="Times New Roman" w:eastAsia="宋体" w:cs="Times New Roman"/>
                <w:color w:val="auto"/>
                <w:kern w:val="2"/>
                <w:sz w:val="21"/>
                <w:szCs w:val="20"/>
                <w:highlight w:val="none"/>
                <w:lang w:val="en-US" w:eastAsia="zh-CN" w:bidi="ar"/>
              </w:rPr>
            </w:pPr>
            <w:r>
              <w:rPr>
                <w:rFonts w:hint="eastAsia"/>
                <w:color w:val="auto"/>
                <w:highlight w:val="none"/>
                <w:lang w:bidi="ar"/>
              </w:rPr>
              <w:t>抗渗仪</w:t>
            </w:r>
          </w:p>
        </w:tc>
        <w:tc>
          <w:tcPr>
            <w:tcW w:w="2268" w:type="dxa"/>
            <w:vAlign w:val="center"/>
          </w:tcPr>
          <w:p w14:paraId="4EB881B0">
            <w:pPr>
              <w:pStyle w:val="12"/>
              <w:adjustRightInd w:val="0"/>
              <w:snapToGrid w:val="0"/>
              <w:spacing w:after="0"/>
              <w:jc w:val="center"/>
              <w:rPr>
                <w:rFonts w:ascii="Times New Roman" w:hAnsi="Times New Roman" w:eastAsia="宋体" w:cs="Times New Roman"/>
                <w:color w:val="auto"/>
                <w:kern w:val="2"/>
                <w:sz w:val="21"/>
                <w:szCs w:val="20"/>
                <w:highlight w:val="none"/>
                <w:lang w:val="en-US" w:eastAsia="zh-CN" w:bidi="ar"/>
              </w:rPr>
            </w:pPr>
            <w:r>
              <w:rPr>
                <w:rFonts w:hint="eastAsia"/>
                <w:color w:val="auto"/>
                <w:highlight w:val="none"/>
                <w:lang w:bidi="ar"/>
              </w:rPr>
              <w:t>1台</w:t>
            </w:r>
          </w:p>
        </w:tc>
      </w:tr>
      <w:tr w14:paraId="38295D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61" w:type="dxa"/>
            <w:tcBorders>
              <w:left w:val="single" w:color="auto" w:sz="12" w:space="0"/>
            </w:tcBorders>
            <w:vAlign w:val="center"/>
          </w:tcPr>
          <w:p w14:paraId="6A40E38D">
            <w:pPr>
              <w:pStyle w:val="12"/>
              <w:adjustRightInd w:val="0"/>
              <w:snapToGrid w:val="0"/>
              <w:spacing w:after="0"/>
              <w:jc w:val="center"/>
              <w:rPr>
                <w:color w:val="auto"/>
                <w:highlight w:val="none"/>
                <w:lang w:bidi="ar"/>
              </w:rPr>
            </w:pPr>
            <w:r>
              <w:rPr>
                <w:color w:val="auto"/>
                <w:highlight w:val="none"/>
                <w:lang w:bidi="ar"/>
              </w:rPr>
              <w:t>17</w:t>
            </w:r>
          </w:p>
        </w:tc>
        <w:tc>
          <w:tcPr>
            <w:tcW w:w="4520" w:type="dxa"/>
            <w:vAlign w:val="center"/>
          </w:tcPr>
          <w:p w14:paraId="239626FA">
            <w:pPr>
              <w:pStyle w:val="12"/>
              <w:adjustRightInd w:val="0"/>
              <w:snapToGrid w:val="0"/>
              <w:spacing w:after="0"/>
              <w:jc w:val="center"/>
              <w:rPr>
                <w:rFonts w:ascii="Times New Roman" w:hAnsi="Times New Roman" w:eastAsia="宋体" w:cs="Times New Roman"/>
                <w:color w:val="auto"/>
                <w:kern w:val="2"/>
                <w:sz w:val="21"/>
                <w:szCs w:val="20"/>
                <w:highlight w:val="none"/>
                <w:lang w:val="en-US" w:eastAsia="zh-CN" w:bidi="ar"/>
              </w:rPr>
            </w:pPr>
            <w:r>
              <w:rPr>
                <w:rFonts w:hint="eastAsia"/>
                <w:color w:val="auto"/>
                <w:highlight w:val="none"/>
                <w:lang w:bidi="ar"/>
              </w:rPr>
              <w:t>高强螺栓检测仪</w:t>
            </w:r>
          </w:p>
        </w:tc>
        <w:tc>
          <w:tcPr>
            <w:tcW w:w="2268" w:type="dxa"/>
            <w:vAlign w:val="center"/>
          </w:tcPr>
          <w:p w14:paraId="75A0D8FA">
            <w:pPr>
              <w:pStyle w:val="12"/>
              <w:adjustRightInd w:val="0"/>
              <w:snapToGrid w:val="0"/>
              <w:spacing w:after="0"/>
              <w:jc w:val="center"/>
              <w:rPr>
                <w:rFonts w:ascii="Times New Roman" w:hAnsi="Times New Roman" w:eastAsia="宋体" w:cs="Times New Roman"/>
                <w:color w:val="auto"/>
                <w:kern w:val="2"/>
                <w:sz w:val="21"/>
                <w:szCs w:val="20"/>
                <w:highlight w:val="none"/>
                <w:lang w:val="en-US" w:eastAsia="zh-CN" w:bidi="ar"/>
              </w:rPr>
            </w:pPr>
            <w:r>
              <w:rPr>
                <w:rFonts w:hint="eastAsia"/>
                <w:color w:val="auto"/>
                <w:highlight w:val="none"/>
                <w:lang w:bidi="ar"/>
              </w:rPr>
              <w:t>1台</w:t>
            </w:r>
          </w:p>
        </w:tc>
      </w:tr>
      <w:tr w14:paraId="357C9C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61" w:type="dxa"/>
            <w:tcBorders>
              <w:left w:val="single" w:color="auto" w:sz="12" w:space="0"/>
            </w:tcBorders>
            <w:vAlign w:val="center"/>
          </w:tcPr>
          <w:p w14:paraId="1480B9B7">
            <w:pPr>
              <w:pStyle w:val="12"/>
              <w:adjustRightInd w:val="0"/>
              <w:snapToGrid w:val="0"/>
              <w:spacing w:after="0"/>
              <w:jc w:val="center"/>
              <w:rPr>
                <w:color w:val="auto"/>
                <w:highlight w:val="none"/>
                <w:lang w:bidi="ar"/>
              </w:rPr>
            </w:pPr>
            <w:r>
              <w:rPr>
                <w:color w:val="auto"/>
                <w:highlight w:val="none"/>
                <w:lang w:bidi="ar"/>
              </w:rPr>
              <w:t>18</w:t>
            </w:r>
          </w:p>
        </w:tc>
        <w:tc>
          <w:tcPr>
            <w:tcW w:w="4520" w:type="dxa"/>
            <w:vAlign w:val="center"/>
          </w:tcPr>
          <w:p w14:paraId="0740FC2E">
            <w:pPr>
              <w:pStyle w:val="12"/>
              <w:adjustRightInd w:val="0"/>
              <w:snapToGrid w:val="0"/>
              <w:spacing w:after="0"/>
              <w:jc w:val="center"/>
              <w:rPr>
                <w:rFonts w:ascii="Times New Roman" w:hAnsi="Times New Roman" w:eastAsia="宋体" w:cs="Times New Roman"/>
                <w:color w:val="auto"/>
                <w:kern w:val="2"/>
                <w:sz w:val="21"/>
                <w:szCs w:val="20"/>
                <w:highlight w:val="none"/>
                <w:lang w:val="en-US" w:eastAsia="zh-CN" w:bidi="ar"/>
              </w:rPr>
            </w:pPr>
            <w:r>
              <w:rPr>
                <w:rFonts w:hint="eastAsia"/>
                <w:color w:val="auto"/>
                <w:highlight w:val="none"/>
                <w:lang w:bidi="ar"/>
              </w:rPr>
              <w:t>激光测距仪</w:t>
            </w:r>
          </w:p>
        </w:tc>
        <w:tc>
          <w:tcPr>
            <w:tcW w:w="2268" w:type="dxa"/>
            <w:vAlign w:val="center"/>
          </w:tcPr>
          <w:p w14:paraId="3C6554B1">
            <w:pPr>
              <w:pStyle w:val="12"/>
              <w:adjustRightInd w:val="0"/>
              <w:snapToGrid w:val="0"/>
              <w:spacing w:after="0"/>
              <w:jc w:val="center"/>
              <w:rPr>
                <w:rFonts w:ascii="Times New Roman" w:hAnsi="Times New Roman" w:eastAsia="宋体" w:cs="Times New Roman"/>
                <w:color w:val="auto"/>
                <w:kern w:val="2"/>
                <w:sz w:val="21"/>
                <w:szCs w:val="20"/>
                <w:highlight w:val="none"/>
                <w:lang w:val="en-US" w:eastAsia="zh-CN" w:bidi="ar"/>
              </w:rPr>
            </w:pPr>
            <w:r>
              <w:rPr>
                <w:rFonts w:hint="eastAsia"/>
                <w:color w:val="auto"/>
                <w:highlight w:val="none"/>
                <w:lang w:bidi="ar"/>
              </w:rPr>
              <w:t>1台</w:t>
            </w:r>
          </w:p>
        </w:tc>
      </w:tr>
      <w:tr w14:paraId="4AFB86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61" w:type="dxa"/>
            <w:tcBorders>
              <w:left w:val="single" w:color="auto" w:sz="12" w:space="0"/>
            </w:tcBorders>
            <w:vAlign w:val="center"/>
          </w:tcPr>
          <w:p w14:paraId="63D81DFC">
            <w:pPr>
              <w:pStyle w:val="12"/>
              <w:adjustRightInd w:val="0"/>
              <w:snapToGrid w:val="0"/>
              <w:spacing w:after="0"/>
              <w:jc w:val="center"/>
              <w:rPr>
                <w:color w:val="auto"/>
                <w:highlight w:val="none"/>
                <w:lang w:bidi="ar"/>
              </w:rPr>
            </w:pPr>
            <w:r>
              <w:rPr>
                <w:color w:val="auto"/>
                <w:highlight w:val="none"/>
                <w:lang w:bidi="ar"/>
              </w:rPr>
              <w:t>19</w:t>
            </w:r>
          </w:p>
        </w:tc>
        <w:tc>
          <w:tcPr>
            <w:tcW w:w="4520" w:type="dxa"/>
            <w:vAlign w:val="center"/>
          </w:tcPr>
          <w:p w14:paraId="52BED88A">
            <w:pPr>
              <w:pStyle w:val="12"/>
              <w:adjustRightInd w:val="0"/>
              <w:snapToGrid w:val="0"/>
              <w:spacing w:after="0"/>
              <w:jc w:val="center"/>
              <w:rPr>
                <w:rFonts w:ascii="Times New Roman" w:hAnsi="Times New Roman" w:eastAsia="宋体" w:cs="Times New Roman"/>
                <w:color w:val="auto"/>
                <w:kern w:val="2"/>
                <w:sz w:val="21"/>
                <w:szCs w:val="20"/>
                <w:highlight w:val="none"/>
                <w:lang w:val="en-US" w:eastAsia="zh-CN" w:bidi="ar"/>
              </w:rPr>
            </w:pPr>
            <w:r>
              <w:rPr>
                <w:rFonts w:hint="eastAsia"/>
                <w:color w:val="auto"/>
                <w:highlight w:val="none"/>
                <w:lang w:bidi="ar"/>
              </w:rPr>
              <w:t>箱式电阻炉</w:t>
            </w:r>
          </w:p>
        </w:tc>
        <w:tc>
          <w:tcPr>
            <w:tcW w:w="2268" w:type="dxa"/>
            <w:vAlign w:val="center"/>
          </w:tcPr>
          <w:p w14:paraId="5F20A2F2">
            <w:pPr>
              <w:pStyle w:val="12"/>
              <w:adjustRightInd w:val="0"/>
              <w:snapToGrid w:val="0"/>
              <w:spacing w:after="0"/>
              <w:jc w:val="center"/>
              <w:rPr>
                <w:rFonts w:ascii="Times New Roman" w:hAnsi="Times New Roman" w:eastAsia="宋体" w:cs="Times New Roman"/>
                <w:color w:val="auto"/>
                <w:kern w:val="2"/>
                <w:sz w:val="21"/>
                <w:szCs w:val="20"/>
                <w:highlight w:val="none"/>
                <w:lang w:val="en-US" w:eastAsia="zh-CN" w:bidi="ar"/>
              </w:rPr>
            </w:pPr>
            <w:r>
              <w:rPr>
                <w:rFonts w:hint="eastAsia"/>
                <w:color w:val="auto"/>
                <w:highlight w:val="none"/>
                <w:lang w:bidi="ar"/>
              </w:rPr>
              <w:t>1台</w:t>
            </w:r>
          </w:p>
        </w:tc>
      </w:tr>
      <w:tr w14:paraId="113B7E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61" w:type="dxa"/>
            <w:tcBorders>
              <w:left w:val="single" w:color="auto" w:sz="12" w:space="0"/>
            </w:tcBorders>
            <w:vAlign w:val="center"/>
          </w:tcPr>
          <w:p w14:paraId="39367839">
            <w:pPr>
              <w:pStyle w:val="12"/>
              <w:adjustRightInd w:val="0"/>
              <w:snapToGrid w:val="0"/>
              <w:spacing w:after="0"/>
              <w:jc w:val="center"/>
              <w:rPr>
                <w:color w:val="auto"/>
                <w:highlight w:val="none"/>
                <w:lang w:bidi="ar"/>
              </w:rPr>
            </w:pPr>
            <w:r>
              <w:rPr>
                <w:color w:val="auto"/>
                <w:highlight w:val="none"/>
                <w:lang w:bidi="ar"/>
              </w:rPr>
              <w:t>20</w:t>
            </w:r>
          </w:p>
        </w:tc>
        <w:tc>
          <w:tcPr>
            <w:tcW w:w="4520" w:type="dxa"/>
            <w:vAlign w:val="center"/>
          </w:tcPr>
          <w:p w14:paraId="53BEA8E9">
            <w:pPr>
              <w:pStyle w:val="12"/>
              <w:adjustRightInd w:val="0"/>
              <w:snapToGrid w:val="0"/>
              <w:spacing w:after="0"/>
              <w:jc w:val="center"/>
              <w:rPr>
                <w:rFonts w:ascii="Times New Roman" w:hAnsi="Times New Roman" w:eastAsia="宋体" w:cs="Times New Roman"/>
                <w:color w:val="auto"/>
                <w:kern w:val="2"/>
                <w:sz w:val="21"/>
                <w:szCs w:val="20"/>
                <w:highlight w:val="none"/>
                <w:lang w:val="en-US" w:eastAsia="zh-CN" w:bidi="ar"/>
              </w:rPr>
            </w:pPr>
            <w:r>
              <w:rPr>
                <w:rFonts w:hint="eastAsia"/>
                <w:color w:val="auto"/>
                <w:highlight w:val="none"/>
                <w:lang w:bidi="ar"/>
              </w:rPr>
              <w:t>低温试验箱</w:t>
            </w:r>
          </w:p>
        </w:tc>
        <w:tc>
          <w:tcPr>
            <w:tcW w:w="2268" w:type="dxa"/>
            <w:vAlign w:val="center"/>
          </w:tcPr>
          <w:p w14:paraId="5C470879">
            <w:pPr>
              <w:pStyle w:val="12"/>
              <w:adjustRightInd w:val="0"/>
              <w:snapToGrid w:val="0"/>
              <w:spacing w:after="0"/>
              <w:jc w:val="center"/>
              <w:rPr>
                <w:rFonts w:ascii="Times New Roman" w:hAnsi="Times New Roman" w:eastAsia="宋体" w:cs="Times New Roman"/>
                <w:color w:val="auto"/>
                <w:kern w:val="2"/>
                <w:sz w:val="21"/>
                <w:szCs w:val="20"/>
                <w:highlight w:val="none"/>
                <w:lang w:val="en-US" w:eastAsia="zh-CN" w:bidi="ar"/>
              </w:rPr>
            </w:pPr>
            <w:r>
              <w:rPr>
                <w:rFonts w:hint="eastAsia"/>
                <w:color w:val="auto"/>
                <w:highlight w:val="none"/>
                <w:lang w:bidi="ar"/>
              </w:rPr>
              <w:t>1台</w:t>
            </w:r>
          </w:p>
        </w:tc>
      </w:tr>
      <w:tr w14:paraId="561BA3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61" w:type="dxa"/>
            <w:tcBorders>
              <w:left w:val="single" w:color="auto" w:sz="12" w:space="0"/>
            </w:tcBorders>
            <w:vAlign w:val="center"/>
          </w:tcPr>
          <w:p w14:paraId="27407439">
            <w:pPr>
              <w:pStyle w:val="12"/>
              <w:adjustRightInd w:val="0"/>
              <w:snapToGrid w:val="0"/>
              <w:spacing w:after="0"/>
              <w:jc w:val="center"/>
              <w:rPr>
                <w:color w:val="auto"/>
                <w:highlight w:val="none"/>
                <w:lang w:bidi="ar"/>
              </w:rPr>
            </w:pPr>
            <w:r>
              <w:rPr>
                <w:color w:val="auto"/>
                <w:highlight w:val="none"/>
                <w:lang w:bidi="ar"/>
              </w:rPr>
              <w:t>21</w:t>
            </w:r>
          </w:p>
        </w:tc>
        <w:tc>
          <w:tcPr>
            <w:tcW w:w="4520" w:type="dxa"/>
            <w:vAlign w:val="center"/>
          </w:tcPr>
          <w:p w14:paraId="370D59B3">
            <w:pPr>
              <w:pStyle w:val="12"/>
              <w:adjustRightInd w:val="0"/>
              <w:snapToGrid w:val="0"/>
              <w:spacing w:after="0"/>
              <w:jc w:val="center"/>
              <w:rPr>
                <w:rFonts w:ascii="Times New Roman" w:hAnsi="Times New Roman" w:eastAsia="宋体" w:cs="Times New Roman"/>
                <w:color w:val="auto"/>
                <w:kern w:val="2"/>
                <w:sz w:val="21"/>
                <w:szCs w:val="20"/>
                <w:highlight w:val="none"/>
                <w:lang w:val="en-US" w:eastAsia="zh-CN" w:bidi="ar"/>
              </w:rPr>
            </w:pPr>
            <w:r>
              <w:rPr>
                <w:rFonts w:hint="eastAsia"/>
                <w:color w:val="auto"/>
                <w:highlight w:val="none"/>
                <w:lang w:bidi="ar"/>
              </w:rPr>
              <w:t>涂层测厚仪</w:t>
            </w:r>
          </w:p>
        </w:tc>
        <w:tc>
          <w:tcPr>
            <w:tcW w:w="2268" w:type="dxa"/>
            <w:vAlign w:val="center"/>
          </w:tcPr>
          <w:p w14:paraId="7259DD23">
            <w:pPr>
              <w:pStyle w:val="12"/>
              <w:adjustRightInd w:val="0"/>
              <w:snapToGrid w:val="0"/>
              <w:spacing w:after="0"/>
              <w:jc w:val="center"/>
              <w:rPr>
                <w:rFonts w:ascii="Times New Roman" w:hAnsi="Times New Roman" w:eastAsia="宋体" w:cs="Times New Roman"/>
                <w:color w:val="auto"/>
                <w:kern w:val="2"/>
                <w:sz w:val="21"/>
                <w:szCs w:val="20"/>
                <w:highlight w:val="none"/>
                <w:lang w:val="en-US" w:eastAsia="zh-CN" w:bidi="ar"/>
              </w:rPr>
            </w:pPr>
            <w:r>
              <w:rPr>
                <w:rFonts w:hint="eastAsia"/>
                <w:color w:val="auto"/>
                <w:highlight w:val="none"/>
                <w:lang w:bidi="ar"/>
              </w:rPr>
              <w:t>1台</w:t>
            </w:r>
          </w:p>
        </w:tc>
      </w:tr>
      <w:tr w14:paraId="352949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61" w:type="dxa"/>
            <w:tcBorders>
              <w:left w:val="single" w:color="auto" w:sz="12" w:space="0"/>
            </w:tcBorders>
            <w:vAlign w:val="center"/>
          </w:tcPr>
          <w:p w14:paraId="62E6971B">
            <w:pPr>
              <w:pStyle w:val="12"/>
              <w:adjustRightInd w:val="0"/>
              <w:snapToGrid w:val="0"/>
              <w:spacing w:after="0"/>
              <w:jc w:val="center"/>
              <w:rPr>
                <w:color w:val="auto"/>
                <w:highlight w:val="none"/>
                <w:lang w:bidi="ar"/>
              </w:rPr>
            </w:pPr>
            <w:r>
              <w:rPr>
                <w:color w:val="auto"/>
                <w:highlight w:val="none"/>
                <w:lang w:bidi="ar"/>
              </w:rPr>
              <w:t>22</w:t>
            </w:r>
          </w:p>
        </w:tc>
        <w:tc>
          <w:tcPr>
            <w:tcW w:w="4520" w:type="dxa"/>
            <w:vAlign w:val="center"/>
          </w:tcPr>
          <w:p w14:paraId="0365B20A">
            <w:pPr>
              <w:pStyle w:val="12"/>
              <w:adjustRightInd w:val="0"/>
              <w:snapToGrid w:val="0"/>
              <w:spacing w:after="0"/>
              <w:jc w:val="center"/>
              <w:rPr>
                <w:rFonts w:ascii="Times New Roman" w:hAnsi="Times New Roman" w:eastAsia="宋体" w:cs="Times New Roman"/>
                <w:color w:val="auto"/>
                <w:kern w:val="2"/>
                <w:sz w:val="21"/>
                <w:szCs w:val="20"/>
                <w:highlight w:val="none"/>
                <w:lang w:val="en-US" w:eastAsia="zh-CN" w:bidi="ar"/>
              </w:rPr>
            </w:pPr>
            <w:r>
              <w:rPr>
                <w:rFonts w:hint="eastAsia"/>
                <w:color w:val="auto"/>
                <w:highlight w:val="none"/>
                <w:lang w:bidi="ar"/>
              </w:rPr>
              <w:t>数字回弹仪</w:t>
            </w:r>
          </w:p>
        </w:tc>
        <w:tc>
          <w:tcPr>
            <w:tcW w:w="2268" w:type="dxa"/>
            <w:vAlign w:val="center"/>
          </w:tcPr>
          <w:p w14:paraId="3F6C786E">
            <w:pPr>
              <w:pStyle w:val="12"/>
              <w:adjustRightInd w:val="0"/>
              <w:snapToGrid w:val="0"/>
              <w:spacing w:after="0"/>
              <w:jc w:val="center"/>
              <w:rPr>
                <w:rFonts w:ascii="Times New Roman" w:hAnsi="Times New Roman" w:eastAsia="宋体" w:cs="Times New Roman"/>
                <w:color w:val="auto"/>
                <w:kern w:val="2"/>
                <w:sz w:val="21"/>
                <w:szCs w:val="20"/>
                <w:highlight w:val="none"/>
                <w:lang w:val="en-US" w:eastAsia="zh-CN" w:bidi="ar"/>
              </w:rPr>
            </w:pPr>
            <w:r>
              <w:rPr>
                <w:rFonts w:hint="eastAsia"/>
                <w:color w:val="auto"/>
                <w:highlight w:val="none"/>
                <w:lang w:bidi="ar"/>
              </w:rPr>
              <w:t>1台</w:t>
            </w:r>
          </w:p>
        </w:tc>
      </w:tr>
      <w:tr w14:paraId="52BB79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61" w:type="dxa"/>
            <w:tcBorders>
              <w:left w:val="single" w:color="auto" w:sz="12" w:space="0"/>
            </w:tcBorders>
            <w:vAlign w:val="center"/>
          </w:tcPr>
          <w:p w14:paraId="0E6F7D9B">
            <w:pPr>
              <w:pStyle w:val="12"/>
              <w:adjustRightInd w:val="0"/>
              <w:snapToGrid w:val="0"/>
              <w:spacing w:after="0"/>
              <w:jc w:val="center"/>
              <w:rPr>
                <w:color w:val="auto"/>
                <w:highlight w:val="none"/>
                <w:lang w:bidi="ar"/>
              </w:rPr>
            </w:pPr>
            <w:r>
              <w:rPr>
                <w:color w:val="auto"/>
                <w:highlight w:val="none"/>
                <w:lang w:bidi="ar"/>
              </w:rPr>
              <w:t>23</w:t>
            </w:r>
          </w:p>
        </w:tc>
        <w:tc>
          <w:tcPr>
            <w:tcW w:w="4520" w:type="dxa"/>
            <w:vAlign w:val="center"/>
          </w:tcPr>
          <w:p w14:paraId="152DD0F9">
            <w:pPr>
              <w:pStyle w:val="12"/>
              <w:adjustRightInd w:val="0"/>
              <w:snapToGrid w:val="0"/>
              <w:spacing w:after="0"/>
              <w:jc w:val="center"/>
              <w:rPr>
                <w:rFonts w:ascii="Times New Roman" w:hAnsi="Times New Roman" w:eastAsia="宋体" w:cs="Times New Roman"/>
                <w:color w:val="auto"/>
                <w:kern w:val="2"/>
                <w:sz w:val="21"/>
                <w:szCs w:val="20"/>
                <w:highlight w:val="none"/>
                <w:lang w:val="en-US" w:eastAsia="zh-CN" w:bidi="ar"/>
              </w:rPr>
            </w:pPr>
            <w:r>
              <w:rPr>
                <w:rFonts w:hint="eastAsia"/>
                <w:color w:val="auto"/>
                <w:highlight w:val="none"/>
                <w:lang w:bidi="ar"/>
              </w:rPr>
              <w:t>基桩动测仪</w:t>
            </w:r>
          </w:p>
        </w:tc>
        <w:tc>
          <w:tcPr>
            <w:tcW w:w="2268" w:type="dxa"/>
            <w:vAlign w:val="center"/>
          </w:tcPr>
          <w:p w14:paraId="34C9FA01">
            <w:pPr>
              <w:pStyle w:val="12"/>
              <w:adjustRightInd w:val="0"/>
              <w:snapToGrid w:val="0"/>
              <w:spacing w:after="0"/>
              <w:jc w:val="center"/>
              <w:rPr>
                <w:rFonts w:ascii="Times New Roman" w:hAnsi="Times New Roman" w:eastAsia="宋体" w:cs="Times New Roman"/>
                <w:color w:val="auto"/>
                <w:kern w:val="2"/>
                <w:sz w:val="21"/>
                <w:szCs w:val="20"/>
                <w:highlight w:val="none"/>
                <w:lang w:val="en-US" w:eastAsia="zh-CN" w:bidi="ar"/>
              </w:rPr>
            </w:pPr>
            <w:r>
              <w:rPr>
                <w:rFonts w:hint="eastAsia"/>
                <w:color w:val="auto"/>
                <w:highlight w:val="none"/>
                <w:lang w:bidi="ar"/>
              </w:rPr>
              <w:t>1台</w:t>
            </w:r>
          </w:p>
        </w:tc>
      </w:tr>
      <w:tr w14:paraId="416217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61" w:type="dxa"/>
            <w:tcBorders>
              <w:left w:val="single" w:color="auto" w:sz="12" w:space="0"/>
            </w:tcBorders>
            <w:vAlign w:val="center"/>
          </w:tcPr>
          <w:p w14:paraId="7299337D">
            <w:pPr>
              <w:pStyle w:val="12"/>
              <w:adjustRightInd w:val="0"/>
              <w:snapToGrid w:val="0"/>
              <w:spacing w:after="0"/>
              <w:jc w:val="center"/>
              <w:rPr>
                <w:color w:val="auto"/>
                <w:highlight w:val="none"/>
                <w:lang w:bidi="ar"/>
              </w:rPr>
            </w:pPr>
            <w:r>
              <w:rPr>
                <w:color w:val="auto"/>
                <w:highlight w:val="none"/>
                <w:lang w:bidi="ar"/>
              </w:rPr>
              <w:t>24</w:t>
            </w:r>
          </w:p>
        </w:tc>
        <w:tc>
          <w:tcPr>
            <w:tcW w:w="4520" w:type="dxa"/>
            <w:vAlign w:val="center"/>
          </w:tcPr>
          <w:p w14:paraId="2E589208">
            <w:pPr>
              <w:pStyle w:val="12"/>
              <w:adjustRightInd w:val="0"/>
              <w:snapToGrid w:val="0"/>
              <w:spacing w:after="0"/>
              <w:jc w:val="center"/>
              <w:rPr>
                <w:rFonts w:hint="eastAsia" w:ascii="Times New Roman" w:hAnsi="Times New Roman" w:eastAsia="宋体" w:cs="Times New Roman"/>
                <w:color w:val="auto"/>
                <w:kern w:val="2"/>
                <w:sz w:val="21"/>
                <w:szCs w:val="20"/>
                <w:highlight w:val="none"/>
                <w:lang w:val="en-US" w:eastAsia="zh-CN" w:bidi="ar"/>
              </w:rPr>
            </w:pPr>
            <w:r>
              <w:rPr>
                <w:rFonts w:hint="eastAsia"/>
                <w:color w:val="auto"/>
                <w:highlight w:val="none"/>
                <w:lang w:eastAsia="zh-CN" w:bidi="ar"/>
              </w:rPr>
              <w:t>静载荷测试仪</w:t>
            </w:r>
          </w:p>
        </w:tc>
        <w:tc>
          <w:tcPr>
            <w:tcW w:w="2268" w:type="dxa"/>
            <w:vAlign w:val="center"/>
          </w:tcPr>
          <w:p w14:paraId="18F7A183">
            <w:pPr>
              <w:pStyle w:val="12"/>
              <w:adjustRightInd w:val="0"/>
              <w:snapToGrid w:val="0"/>
              <w:spacing w:after="0"/>
              <w:jc w:val="center"/>
              <w:rPr>
                <w:rFonts w:ascii="Times New Roman" w:hAnsi="Times New Roman" w:eastAsia="宋体" w:cs="Times New Roman"/>
                <w:color w:val="auto"/>
                <w:kern w:val="2"/>
                <w:sz w:val="21"/>
                <w:szCs w:val="20"/>
                <w:highlight w:val="none"/>
                <w:lang w:val="en-US" w:eastAsia="zh-CN" w:bidi="ar"/>
              </w:rPr>
            </w:pPr>
            <w:r>
              <w:rPr>
                <w:rFonts w:hint="eastAsia"/>
                <w:color w:val="auto"/>
                <w:highlight w:val="none"/>
                <w:lang w:bidi="ar"/>
              </w:rPr>
              <w:t>1台</w:t>
            </w:r>
          </w:p>
        </w:tc>
      </w:tr>
      <w:tr w14:paraId="5F2865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61" w:type="dxa"/>
            <w:tcBorders>
              <w:left w:val="single" w:color="auto" w:sz="12" w:space="0"/>
            </w:tcBorders>
            <w:vAlign w:val="center"/>
          </w:tcPr>
          <w:p w14:paraId="3A73A334">
            <w:pPr>
              <w:pStyle w:val="12"/>
              <w:adjustRightInd w:val="0"/>
              <w:snapToGrid w:val="0"/>
              <w:spacing w:after="0"/>
              <w:jc w:val="center"/>
              <w:rPr>
                <w:color w:val="auto"/>
                <w:highlight w:val="none"/>
                <w:lang w:bidi="ar"/>
              </w:rPr>
            </w:pPr>
            <w:r>
              <w:rPr>
                <w:color w:val="auto"/>
                <w:highlight w:val="none"/>
                <w:lang w:bidi="ar"/>
              </w:rPr>
              <w:t>25</w:t>
            </w:r>
          </w:p>
        </w:tc>
        <w:tc>
          <w:tcPr>
            <w:tcW w:w="4520" w:type="dxa"/>
            <w:vAlign w:val="center"/>
          </w:tcPr>
          <w:p w14:paraId="42CC54D1">
            <w:pPr>
              <w:pStyle w:val="12"/>
              <w:adjustRightInd w:val="0"/>
              <w:snapToGrid w:val="0"/>
              <w:spacing w:after="0"/>
              <w:jc w:val="center"/>
              <w:rPr>
                <w:rFonts w:hint="eastAsia" w:ascii="Times New Roman" w:hAnsi="Times New Roman" w:eastAsia="宋体" w:cs="Times New Roman"/>
                <w:color w:val="auto"/>
                <w:kern w:val="2"/>
                <w:sz w:val="21"/>
                <w:szCs w:val="20"/>
                <w:highlight w:val="none"/>
                <w:lang w:val="en-US" w:eastAsia="zh-CN" w:bidi="ar"/>
              </w:rPr>
            </w:pPr>
            <w:r>
              <w:rPr>
                <w:rFonts w:hint="eastAsia"/>
                <w:color w:val="auto"/>
                <w:highlight w:val="none"/>
                <w:lang w:eastAsia="zh-CN" w:bidi="ar"/>
              </w:rPr>
              <w:t>平板载荷测定仪</w:t>
            </w:r>
          </w:p>
        </w:tc>
        <w:tc>
          <w:tcPr>
            <w:tcW w:w="2268" w:type="dxa"/>
            <w:vAlign w:val="center"/>
          </w:tcPr>
          <w:p w14:paraId="5E1D6E62">
            <w:pPr>
              <w:pStyle w:val="12"/>
              <w:adjustRightInd w:val="0"/>
              <w:snapToGrid w:val="0"/>
              <w:spacing w:after="0"/>
              <w:jc w:val="center"/>
              <w:rPr>
                <w:rFonts w:ascii="Times New Roman" w:hAnsi="Times New Roman" w:eastAsia="宋体" w:cs="Times New Roman"/>
                <w:color w:val="auto"/>
                <w:kern w:val="2"/>
                <w:sz w:val="21"/>
                <w:szCs w:val="20"/>
                <w:highlight w:val="none"/>
                <w:lang w:val="en-US" w:eastAsia="zh-CN" w:bidi="ar"/>
              </w:rPr>
            </w:pPr>
            <w:r>
              <w:rPr>
                <w:rFonts w:hint="eastAsia"/>
                <w:color w:val="auto"/>
                <w:highlight w:val="none"/>
                <w:lang w:bidi="ar"/>
              </w:rPr>
              <w:t>1台</w:t>
            </w:r>
          </w:p>
        </w:tc>
      </w:tr>
      <w:tr w14:paraId="4F0638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61" w:type="dxa"/>
            <w:tcBorders>
              <w:left w:val="single" w:color="auto" w:sz="12" w:space="0"/>
            </w:tcBorders>
            <w:vAlign w:val="center"/>
          </w:tcPr>
          <w:p w14:paraId="421DA1DF">
            <w:pPr>
              <w:pStyle w:val="12"/>
              <w:adjustRightInd w:val="0"/>
              <w:snapToGrid w:val="0"/>
              <w:spacing w:after="0"/>
              <w:jc w:val="center"/>
              <w:rPr>
                <w:color w:val="auto"/>
                <w:highlight w:val="none"/>
                <w:lang w:bidi="ar"/>
              </w:rPr>
            </w:pPr>
            <w:r>
              <w:rPr>
                <w:color w:val="auto"/>
                <w:highlight w:val="none"/>
                <w:lang w:bidi="ar"/>
              </w:rPr>
              <w:t>26</w:t>
            </w:r>
          </w:p>
        </w:tc>
        <w:tc>
          <w:tcPr>
            <w:tcW w:w="4520" w:type="dxa"/>
            <w:vAlign w:val="center"/>
          </w:tcPr>
          <w:p w14:paraId="2A56B8AA">
            <w:pPr>
              <w:pStyle w:val="12"/>
              <w:adjustRightInd w:val="0"/>
              <w:snapToGrid w:val="0"/>
              <w:spacing w:after="0"/>
              <w:jc w:val="center"/>
              <w:rPr>
                <w:rFonts w:ascii="Times New Roman" w:hAnsi="Times New Roman" w:eastAsia="宋体" w:cs="Times New Roman"/>
                <w:color w:val="auto"/>
                <w:kern w:val="2"/>
                <w:sz w:val="21"/>
                <w:szCs w:val="20"/>
                <w:highlight w:val="none"/>
                <w:lang w:val="en-US" w:eastAsia="zh-CN" w:bidi="ar"/>
              </w:rPr>
            </w:pPr>
            <w:r>
              <w:rPr>
                <w:rFonts w:hint="eastAsia"/>
                <w:color w:val="auto"/>
                <w:highlight w:val="none"/>
                <w:lang w:bidi="ar"/>
              </w:rPr>
              <w:t>全站仪</w:t>
            </w:r>
          </w:p>
        </w:tc>
        <w:tc>
          <w:tcPr>
            <w:tcW w:w="2268" w:type="dxa"/>
            <w:vAlign w:val="center"/>
          </w:tcPr>
          <w:p w14:paraId="4AC64A90">
            <w:pPr>
              <w:pStyle w:val="12"/>
              <w:adjustRightInd w:val="0"/>
              <w:snapToGrid w:val="0"/>
              <w:spacing w:after="0"/>
              <w:jc w:val="center"/>
              <w:rPr>
                <w:rFonts w:ascii="Times New Roman" w:hAnsi="Times New Roman" w:eastAsia="宋体" w:cs="Times New Roman"/>
                <w:color w:val="auto"/>
                <w:kern w:val="2"/>
                <w:sz w:val="21"/>
                <w:szCs w:val="20"/>
                <w:highlight w:val="none"/>
                <w:lang w:val="en-US" w:eastAsia="zh-CN" w:bidi="ar"/>
              </w:rPr>
            </w:pPr>
            <w:r>
              <w:rPr>
                <w:rFonts w:hint="eastAsia"/>
                <w:color w:val="auto"/>
                <w:highlight w:val="none"/>
                <w:lang w:bidi="ar"/>
              </w:rPr>
              <w:t>3台</w:t>
            </w:r>
          </w:p>
        </w:tc>
      </w:tr>
      <w:tr w14:paraId="4E3F24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61" w:type="dxa"/>
            <w:tcBorders>
              <w:left w:val="single" w:color="auto" w:sz="12" w:space="0"/>
            </w:tcBorders>
            <w:vAlign w:val="center"/>
          </w:tcPr>
          <w:p w14:paraId="68B260FA">
            <w:pPr>
              <w:pStyle w:val="12"/>
              <w:adjustRightInd w:val="0"/>
              <w:snapToGrid w:val="0"/>
              <w:spacing w:after="0"/>
              <w:jc w:val="center"/>
              <w:rPr>
                <w:color w:val="auto"/>
                <w:highlight w:val="none"/>
                <w:lang w:bidi="ar"/>
              </w:rPr>
            </w:pPr>
            <w:r>
              <w:rPr>
                <w:color w:val="auto"/>
                <w:highlight w:val="none"/>
                <w:lang w:bidi="ar"/>
              </w:rPr>
              <w:t>27</w:t>
            </w:r>
          </w:p>
        </w:tc>
        <w:tc>
          <w:tcPr>
            <w:tcW w:w="4520" w:type="dxa"/>
            <w:vAlign w:val="center"/>
          </w:tcPr>
          <w:p w14:paraId="6CEA9403">
            <w:pPr>
              <w:pStyle w:val="12"/>
              <w:adjustRightInd w:val="0"/>
              <w:snapToGrid w:val="0"/>
              <w:spacing w:after="0"/>
              <w:jc w:val="center"/>
              <w:rPr>
                <w:rFonts w:ascii="Times New Roman" w:hAnsi="Times New Roman" w:eastAsia="宋体" w:cs="Times New Roman"/>
                <w:color w:val="auto"/>
                <w:kern w:val="2"/>
                <w:sz w:val="21"/>
                <w:szCs w:val="20"/>
                <w:highlight w:val="none"/>
                <w:lang w:val="en-US" w:eastAsia="zh-CN" w:bidi="ar"/>
              </w:rPr>
            </w:pPr>
            <w:r>
              <w:rPr>
                <w:rFonts w:hint="eastAsia"/>
                <w:color w:val="auto"/>
                <w:highlight w:val="none"/>
                <w:lang w:bidi="ar"/>
              </w:rPr>
              <w:t>测斜仪</w:t>
            </w:r>
          </w:p>
        </w:tc>
        <w:tc>
          <w:tcPr>
            <w:tcW w:w="2268" w:type="dxa"/>
            <w:vAlign w:val="center"/>
          </w:tcPr>
          <w:p w14:paraId="48B7C604">
            <w:pPr>
              <w:pStyle w:val="12"/>
              <w:adjustRightInd w:val="0"/>
              <w:snapToGrid w:val="0"/>
              <w:spacing w:after="0"/>
              <w:jc w:val="center"/>
              <w:rPr>
                <w:rFonts w:ascii="Times New Roman" w:hAnsi="Times New Roman" w:eastAsia="宋体" w:cs="Times New Roman"/>
                <w:color w:val="auto"/>
                <w:kern w:val="2"/>
                <w:sz w:val="21"/>
                <w:szCs w:val="20"/>
                <w:highlight w:val="none"/>
                <w:lang w:val="en-US" w:eastAsia="zh-CN" w:bidi="ar"/>
              </w:rPr>
            </w:pPr>
            <w:r>
              <w:rPr>
                <w:rFonts w:hint="eastAsia"/>
                <w:color w:val="auto"/>
                <w:highlight w:val="none"/>
                <w:lang w:bidi="ar"/>
              </w:rPr>
              <w:t>3台</w:t>
            </w:r>
          </w:p>
        </w:tc>
      </w:tr>
      <w:tr w14:paraId="2D28E2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61" w:type="dxa"/>
            <w:tcBorders>
              <w:left w:val="single" w:color="auto" w:sz="12" w:space="0"/>
            </w:tcBorders>
            <w:vAlign w:val="center"/>
          </w:tcPr>
          <w:p w14:paraId="4CB15F77">
            <w:pPr>
              <w:pStyle w:val="12"/>
              <w:adjustRightInd w:val="0"/>
              <w:snapToGrid w:val="0"/>
              <w:spacing w:after="0"/>
              <w:jc w:val="center"/>
              <w:rPr>
                <w:color w:val="auto"/>
                <w:highlight w:val="none"/>
                <w:lang w:bidi="ar"/>
              </w:rPr>
            </w:pPr>
            <w:r>
              <w:rPr>
                <w:color w:val="auto"/>
                <w:highlight w:val="none"/>
                <w:lang w:bidi="ar"/>
              </w:rPr>
              <w:t>28</w:t>
            </w:r>
          </w:p>
        </w:tc>
        <w:tc>
          <w:tcPr>
            <w:tcW w:w="4520" w:type="dxa"/>
            <w:vAlign w:val="center"/>
          </w:tcPr>
          <w:p w14:paraId="74F3D1A3">
            <w:pPr>
              <w:pStyle w:val="12"/>
              <w:adjustRightInd w:val="0"/>
              <w:snapToGrid w:val="0"/>
              <w:spacing w:after="0"/>
              <w:jc w:val="center"/>
              <w:rPr>
                <w:rFonts w:ascii="Times New Roman" w:hAnsi="Times New Roman" w:eastAsia="宋体" w:cs="Times New Roman"/>
                <w:color w:val="auto"/>
                <w:kern w:val="2"/>
                <w:sz w:val="21"/>
                <w:szCs w:val="20"/>
                <w:highlight w:val="none"/>
                <w:lang w:val="en-US" w:eastAsia="zh-CN" w:bidi="ar"/>
              </w:rPr>
            </w:pPr>
            <w:r>
              <w:rPr>
                <w:rFonts w:hint="eastAsia"/>
                <w:color w:val="auto"/>
                <w:highlight w:val="none"/>
                <w:lang w:bidi="ar"/>
              </w:rPr>
              <w:t>振弦读数仪</w:t>
            </w:r>
          </w:p>
        </w:tc>
        <w:tc>
          <w:tcPr>
            <w:tcW w:w="2268" w:type="dxa"/>
            <w:vAlign w:val="center"/>
          </w:tcPr>
          <w:p w14:paraId="04A1F2BD">
            <w:pPr>
              <w:pStyle w:val="12"/>
              <w:adjustRightInd w:val="0"/>
              <w:snapToGrid w:val="0"/>
              <w:spacing w:after="0"/>
              <w:jc w:val="center"/>
              <w:rPr>
                <w:rFonts w:ascii="Times New Roman" w:hAnsi="Times New Roman" w:eastAsia="宋体" w:cs="Times New Roman"/>
                <w:color w:val="auto"/>
                <w:kern w:val="2"/>
                <w:sz w:val="21"/>
                <w:szCs w:val="20"/>
                <w:highlight w:val="none"/>
                <w:lang w:val="en-US" w:eastAsia="zh-CN" w:bidi="ar"/>
              </w:rPr>
            </w:pPr>
            <w:r>
              <w:rPr>
                <w:rFonts w:hint="eastAsia"/>
                <w:color w:val="auto"/>
                <w:highlight w:val="none"/>
                <w:lang w:bidi="ar"/>
              </w:rPr>
              <w:t>3台</w:t>
            </w:r>
          </w:p>
        </w:tc>
      </w:tr>
      <w:tr w14:paraId="69DAE0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61" w:type="dxa"/>
            <w:tcBorders>
              <w:left w:val="single" w:color="auto" w:sz="12" w:space="0"/>
            </w:tcBorders>
            <w:vAlign w:val="center"/>
          </w:tcPr>
          <w:p w14:paraId="65915932">
            <w:pPr>
              <w:pStyle w:val="12"/>
              <w:adjustRightInd w:val="0"/>
              <w:snapToGrid w:val="0"/>
              <w:spacing w:after="0"/>
              <w:jc w:val="center"/>
              <w:rPr>
                <w:color w:val="auto"/>
                <w:highlight w:val="none"/>
                <w:lang w:bidi="ar"/>
              </w:rPr>
            </w:pPr>
            <w:r>
              <w:rPr>
                <w:color w:val="auto"/>
                <w:highlight w:val="none"/>
                <w:lang w:bidi="ar"/>
              </w:rPr>
              <w:t>29</w:t>
            </w:r>
          </w:p>
        </w:tc>
        <w:tc>
          <w:tcPr>
            <w:tcW w:w="4520" w:type="dxa"/>
            <w:vAlign w:val="center"/>
          </w:tcPr>
          <w:p w14:paraId="6B1C33DE">
            <w:pPr>
              <w:pStyle w:val="12"/>
              <w:adjustRightInd w:val="0"/>
              <w:snapToGrid w:val="0"/>
              <w:spacing w:after="0"/>
              <w:jc w:val="center"/>
              <w:rPr>
                <w:rFonts w:ascii="Times New Roman" w:hAnsi="Times New Roman" w:eastAsia="宋体" w:cs="Times New Roman"/>
                <w:color w:val="auto"/>
                <w:kern w:val="2"/>
                <w:sz w:val="21"/>
                <w:szCs w:val="20"/>
                <w:highlight w:val="none"/>
                <w:lang w:val="en-US" w:eastAsia="zh-CN" w:bidi="ar"/>
              </w:rPr>
            </w:pPr>
            <w:r>
              <w:rPr>
                <w:rFonts w:hint="eastAsia"/>
                <w:color w:val="auto"/>
                <w:highlight w:val="none"/>
                <w:lang w:bidi="ar"/>
              </w:rPr>
              <w:t>水位计</w:t>
            </w:r>
          </w:p>
        </w:tc>
        <w:tc>
          <w:tcPr>
            <w:tcW w:w="2268" w:type="dxa"/>
            <w:vAlign w:val="center"/>
          </w:tcPr>
          <w:p w14:paraId="6E94A87D">
            <w:pPr>
              <w:pStyle w:val="12"/>
              <w:adjustRightInd w:val="0"/>
              <w:snapToGrid w:val="0"/>
              <w:spacing w:after="0"/>
              <w:jc w:val="center"/>
              <w:rPr>
                <w:rFonts w:ascii="Times New Roman" w:hAnsi="Times New Roman" w:eastAsia="宋体" w:cs="Times New Roman"/>
                <w:color w:val="auto"/>
                <w:kern w:val="2"/>
                <w:sz w:val="21"/>
                <w:szCs w:val="20"/>
                <w:highlight w:val="none"/>
                <w:lang w:val="en-US" w:eastAsia="zh-CN" w:bidi="ar"/>
              </w:rPr>
            </w:pPr>
            <w:r>
              <w:rPr>
                <w:rFonts w:hint="eastAsia"/>
                <w:color w:val="auto"/>
                <w:highlight w:val="none"/>
                <w:lang w:bidi="ar"/>
              </w:rPr>
              <w:t>3台</w:t>
            </w:r>
          </w:p>
        </w:tc>
      </w:tr>
    </w:tbl>
    <w:p w14:paraId="6CB8B125">
      <w:pPr>
        <w:pStyle w:val="2"/>
        <w:ind w:firstLine="482" w:firstLineChars="200"/>
        <w:jc w:val="center"/>
        <w:rPr>
          <w:color w:val="auto"/>
          <w:highlight w:val="none"/>
        </w:rPr>
      </w:pPr>
      <w:r>
        <w:rPr>
          <w:rFonts w:hint="eastAsia" w:cs="宋体"/>
          <w:bCs/>
          <w:color w:val="auto"/>
          <w:sz w:val="24"/>
          <w:szCs w:val="24"/>
          <w:highlight w:val="none"/>
        </w:rPr>
        <w:br w:type="page"/>
      </w:r>
      <w:bookmarkStart w:id="139" w:name="_Toc118553994"/>
      <w:r>
        <w:rPr>
          <w:rFonts w:hint="eastAsia"/>
          <w:color w:val="auto"/>
          <w:highlight w:val="none"/>
        </w:rPr>
        <w:t>第三卷</w:t>
      </w:r>
      <w:bookmarkEnd w:id="130"/>
      <w:bookmarkEnd w:id="139"/>
    </w:p>
    <w:p w14:paraId="3EFEBB67">
      <w:pPr>
        <w:pStyle w:val="2"/>
        <w:rPr>
          <w:color w:val="auto"/>
          <w:highlight w:val="none"/>
        </w:rPr>
      </w:pPr>
      <w:bookmarkStart w:id="140" w:name="_Toc118553995"/>
      <w:bookmarkStart w:id="141" w:name="_Toc533357327"/>
      <w:r>
        <w:rPr>
          <w:rFonts w:hint="eastAsia"/>
          <w:color w:val="auto"/>
          <w:highlight w:val="none"/>
        </w:rPr>
        <w:t>第六章  投标文件格式</w:t>
      </w:r>
      <w:bookmarkEnd w:id="140"/>
      <w:bookmarkEnd w:id="141"/>
    </w:p>
    <w:p w14:paraId="5A14A18B">
      <w:pPr>
        <w:spacing w:line="360" w:lineRule="auto"/>
        <w:jc w:val="center"/>
        <w:rPr>
          <w:rFonts w:hint="eastAsia" w:ascii="宋体" w:hAnsi="宋体" w:cs="宋体"/>
          <w:color w:val="auto"/>
          <w:sz w:val="44"/>
          <w:szCs w:val="44"/>
          <w:highlight w:val="none"/>
          <w:lang w:eastAsia="zh-CN"/>
        </w:rPr>
      </w:pPr>
      <w:r>
        <w:rPr>
          <w:color w:val="auto"/>
          <w:highlight w:val="none"/>
        </w:rPr>
        <w:br w:type="page"/>
      </w:r>
      <w:r>
        <w:rPr>
          <w:rFonts w:hint="eastAsia" w:ascii="宋体" w:hAnsi="宋体" w:cs="宋体"/>
          <w:color w:val="auto"/>
          <w:sz w:val="44"/>
          <w:szCs w:val="44"/>
          <w:highlight w:val="none"/>
          <w:lang w:eastAsia="zh-CN"/>
        </w:rPr>
        <w:t>广州市黄埔区龙湖街旺村城中村改造项目北地块（北AZ-03地块）检测监测服务</w:t>
      </w:r>
    </w:p>
    <w:p w14:paraId="6B5A787C">
      <w:pPr>
        <w:tabs>
          <w:tab w:val="left" w:pos="3780"/>
          <w:tab w:val="left" w:pos="4440"/>
          <w:tab w:val="left" w:pos="5100"/>
        </w:tabs>
        <w:spacing w:line="549" w:lineRule="exact"/>
        <w:ind w:left="3138" w:right="2659"/>
        <w:jc w:val="center"/>
        <w:rPr>
          <w:rFonts w:ascii="宋体" w:hAnsi="宋体"/>
          <w:color w:val="auto"/>
          <w:sz w:val="44"/>
          <w:szCs w:val="24"/>
          <w:highlight w:val="none"/>
        </w:rPr>
      </w:pPr>
    </w:p>
    <w:p w14:paraId="74D13924">
      <w:pPr>
        <w:pStyle w:val="26"/>
        <w:rPr>
          <w:rFonts w:ascii="宋体" w:hAnsi="宋体"/>
          <w:color w:val="auto"/>
          <w:sz w:val="44"/>
          <w:szCs w:val="24"/>
          <w:highlight w:val="none"/>
        </w:rPr>
      </w:pPr>
    </w:p>
    <w:p w14:paraId="44A59CD6">
      <w:pPr>
        <w:pStyle w:val="26"/>
        <w:rPr>
          <w:rFonts w:ascii="宋体" w:hAnsi="宋体"/>
          <w:color w:val="auto"/>
          <w:sz w:val="44"/>
          <w:szCs w:val="24"/>
          <w:highlight w:val="none"/>
        </w:rPr>
      </w:pPr>
    </w:p>
    <w:p w14:paraId="0E1D6F8A">
      <w:pPr>
        <w:pStyle w:val="26"/>
        <w:rPr>
          <w:rFonts w:ascii="宋体" w:hAnsi="宋体"/>
          <w:color w:val="auto"/>
          <w:sz w:val="44"/>
          <w:szCs w:val="24"/>
          <w:highlight w:val="none"/>
        </w:rPr>
      </w:pPr>
    </w:p>
    <w:p w14:paraId="4EB304B8">
      <w:pPr>
        <w:pStyle w:val="26"/>
        <w:rPr>
          <w:rFonts w:ascii="宋体" w:hAnsi="宋体"/>
          <w:color w:val="auto"/>
          <w:sz w:val="44"/>
          <w:szCs w:val="24"/>
          <w:highlight w:val="none"/>
        </w:rPr>
      </w:pPr>
    </w:p>
    <w:p w14:paraId="05E950F6">
      <w:pPr>
        <w:pStyle w:val="33"/>
        <w:rPr>
          <w:color w:val="auto"/>
          <w:highlight w:val="none"/>
        </w:rPr>
      </w:pPr>
    </w:p>
    <w:p w14:paraId="3ADA5A4D">
      <w:pPr>
        <w:pStyle w:val="33"/>
        <w:rPr>
          <w:color w:val="auto"/>
          <w:highlight w:val="none"/>
        </w:rPr>
      </w:pPr>
    </w:p>
    <w:p w14:paraId="787898BE">
      <w:pPr>
        <w:tabs>
          <w:tab w:val="left" w:pos="3780"/>
          <w:tab w:val="left" w:pos="4440"/>
          <w:tab w:val="left" w:pos="5100"/>
        </w:tabs>
        <w:spacing w:line="549" w:lineRule="exact"/>
        <w:ind w:left="3138" w:right="2659"/>
        <w:jc w:val="center"/>
        <w:rPr>
          <w:rFonts w:ascii="宋体" w:hAnsi="宋体"/>
          <w:color w:val="auto"/>
          <w:sz w:val="44"/>
          <w:szCs w:val="24"/>
          <w:highlight w:val="none"/>
        </w:rPr>
      </w:pPr>
      <w:r>
        <w:rPr>
          <w:rFonts w:ascii="宋体" w:hAnsi="宋体"/>
          <w:color w:val="auto"/>
          <w:sz w:val="44"/>
          <w:szCs w:val="24"/>
          <w:highlight w:val="none"/>
        </w:rPr>
        <w:t>投标文</w:t>
      </w:r>
      <w:r>
        <w:rPr>
          <w:rFonts w:ascii="宋体" w:hAnsi="宋体"/>
          <w:color w:val="auto"/>
          <w:w w:val="99"/>
          <w:sz w:val="44"/>
          <w:szCs w:val="24"/>
          <w:highlight w:val="none"/>
        </w:rPr>
        <w:t>件</w:t>
      </w:r>
    </w:p>
    <w:p w14:paraId="61505CE9">
      <w:pPr>
        <w:spacing w:line="200" w:lineRule="exact"/>
        <w:jc w:val="left"/>
        <w:rPr>
          <w:rFonts w:ascii="宋体" w:hAnsi="宋体"/>
          <w:color w:val="auto"/>
          <w:sz w:val="20"/>
          <w:szCs w:val="24"/>
          <w:highlight w:val="none"/>
        </w:rPr>
      </w:pPr>
    </w:p>
    <w:p w14:paraId="0542163D">
      <w:pPr>
        <w:spacing w:line="200" w:lineRule="exact"/>
        <w:jc w:val="left"/>
        <w:rPr>
          <w:rFonts w:ascii="宋体" w:hAnsi="宋体"/>
          <w:color w:val="auto"/>
          <w:sz w:val="20"/>
          <w:szCs w:val="24"/>
          <w:highlight w:val="none"/>
        </w:rPr>
      </w:pPr>
    </w:p>
    <w:p w14:paraId="4DC734B4">
      <w:pPr>
        <w:spacing w:line="200" w:lineRule="exact"/>
        <w:jc w:val="left"/>
        <w:rPr>
          <w:rFonts w:ascii="宋体" w:hAnsi="宋体"/>
          <w:color w:val="auto"/>
          <w:sz w:val="20"/>
          <w:szCs w:val="24"/>
          <w:highlight w:val="none"/>
        </w:rPr>
      </w:pPr>
    </w:p>
    <w:p w14:paraId="1180FBC7">
      <w:pPr>
        <w:spacing w:line="200" w:lineRule="exact"/>
        <w:jc w:val="left"/>
        <w:rPr>
          <w:rFonts w:ascii="宋体" w:hAnsi="宋体"/>
          <w:color w:val="auto"/>
          <w:sz w:val="20"/>
          <w:szCs w:val="24"/>
          <w:highlight w:val="none"/>
        </w:rPr>
      </w:pPr>
    </w:p>
    <w:p w14:paraId="17B58161">
      <w:pPr>
        <w:spacing w:line="200" w:lineRule="exact"/>
        <w:jc w:val="left"/>
        <w:rPr>
          <w:rFonts w:ascii="宋体" w:hAnsi="宋体"/>
          <w:color w:val="auto"/>
          <w:sz w:val="20"/>
          <w:szCs w:val="24"/>
          <w:highlight w:val="none"/>
        </w:rPr>
      </w:pPr>
    </w:p>
    <w:p w14:paraId="54ECC77B">
      <w:pPr>
        <w:spacing w:line="200" w:lineRule="exact"/>
        <w:jc w:val="left"/>
        <w:rPr>
          <w:rFonts w:ascii="宋体" w:hAnsi="宋体"/>
          <w:color w:val="auto"/>
          <w:sz w:val="20"/>
          <w:szCs w:val="24"/>
          <w:highlight w:val="none"/>
        </w:rPr>
      </w:pPr>
    </w:p>
    <w:p w14:paraId="65905FFF">
      <w:pPr>
        <w:spacing w:line="200" w:lineRule="exact"/>
        <w:jc w:val="left"/>
        <w:rPr>
          <w:rFonts w:ascii="宋体" w:hAnsi="宋体"/>
          <w:color w:val="auto"/>
          <w:sz w:val="20"/>
          <w:szCs w:val="24"/>
          <w:highlight w:val="none"/>
        </w:rPr>
      </w:pPr>
    </w:p>
    <w:p w14:paraId="7C0DA5B5">
      <w:pPr>
        <w:spacing w:line="200" w:lineRule="exact"/>
        <w:jc w:val="left"/>
        <w:rPr>
          <w:rFonts w:ascii="宋体" w:hAnsi="宋体"/>
          <w:color w:val="auto"/>
          <w:sz w:val="20"/>
          <w:szCs w:val="24"/>
          <w:highlight w:val="none"/>
        </w:rPr>
      </w:pPr>
    </w:p>
    <w:p w14:paraId="6A437F9B">
      <w:pPr>
        <w:spacing w:line="200" w:lineRule="exact"/>
        <w:jc w:val="left"/>
        <w:rPr>
          <w:rFonts w:ascii="宋体" w:hAnsi="宋体"/>
          <w:color w:val="auto"/>
          <w:sz w:val="20"/>
          <w:szCs w:val="24"/>
          <w:highlight w:val="none"/>
        </w:rPr>
      </w:pPr>
    </w:p>
    <w:p w14:paraId="61AD2E5C">
      <w:pPr>
        <w:spacing w:line="200" w:lineRule="exact"/>
        <w:jc w:val="left"/>
        <w:rPr>
          <w:rFonts w:ascii="宋体" w:hAnsi="宋体"/>
          <w:color w:val="auto"/>
          <w:sz w:val="20"/>
          <w:szCs w:val="24"/>
          <w:highlight w:val="none"/>
        </w:rPr>
      </w:pPr>
    </w:p>
    <w:p w14:paraId="46FF7BF3">
      <w:pPr>
        <w:spacing w:line="200" w:lineRule="exact"/>
        <w:jc w:val="left"/>
        <w:rPr>
          <w:rFonts w:ascii="宋体" w:hAnsi="宋体"/>
          <w:color w:val="auto"/>
          <w:sz w:val="20"/>
          <w:szCs w:val="24"/>
          <w:highlight w:val="none"/>
        </w:rPr>
      </w:pPr>
    </w:p>
    <w:p w14:paraId="7B18F8BC">
      <w:pPr>
        <w:spacing w:line="200" w:lineRule="exact"/>
        <w:jc w:val="left"/>
        <w:rPr>
          <w:rFonts w:ascii="宋体" w:hAnsi="宋体"/>
          <w:color w:val="auto"/>
          <w:sz w:val="20"/>
          <w:szCs w:val="24"/>
          <w:highlight w:val="none"/>
        </w:rPr>
      </w:pPr>
    </w:p>
    <w:p w14:paraId="0DE65978">
      <w:pPr>
        <w:spacing w:line="200" w:lineRule="exact"/>
        <w:jc w:val="left"/>
        <w:rPr>
          <w:rFonts w:ascii="宋体" w:hAnsi="宋体"/>
          <w:color w:val="auto"/>
          <w:sz w:val="20"/>
          <w:szCs w:val="24"/>
          <w:highlight w:val="none"/>
        </w:rPr>
      </w:pPr>
    </w:p>
    <w:p w14:paraId="55F5F7D3">
      <w:pPr>
        <w:spacing w:line="200" w:lineRule="exact"/>
        <w:jc w:val="left"/>
        <w:rPr>
          <w:rFonts w:ascii="宋体" w:hAnsi="宋体"/>
          <w:color w:val="auto"/>
          <w:sz w:val="20"/>
          <w:szCs w:val="24"/>
          <w:highlight w:val="none"/>
        </w:rPr>
      </w:pPr>
    </w:p>
    <w:p w14:paraId="5AA3868C">
      <w:pPr>
        <w:spacing w:line="200" w:lineRule="exact"/>
        <w:jc w:val="left"/>
        <w:rPr>
          <w:rFonts w:ascii="宋体" w:hAnsi="宋体"/>
          <w:color w:val="auto"/>
          <w:sz w:val="20"/>
          <w:szCs w:val="24"/>
          <w:highlight w:val="none"/>
        </w:rPr>
      </w:pPr>
    </w:p>
    <w:p w14:paraId="6CA05914">
      <w:pPr>
        <w:spacing w:line="200" w:lineRule="exact"/>
        <w:jc w:val="left"/>
        <w:rPr>
          <w:rFonts w:ascii="宋体" w:hAnsi="宋体"/>
          <w:color w:val="auto"/>
          <w:sz w:val="20"/>
          <w:szCs w:val="24"/>
          <w:highlight w:val="none"/>
        </w:rPr>
      </w:pPr>
    </w:p>
    <w:p w14:paraId="36B7FAA9">
      <w:pPr>
        <w:spacing w:line="200" w:lineRule="exact"/>
        <w:jc w:val="left"/>
        <w:rPr>
          <w:rFonts w:ascii="宋体" w:hAnsi="宋体"/>
          <w:color w:val="auto"/>
          <w:sz w:val="20"/>
          <w:szCs w:val="24"/>
          <w:highlight w:val="none"/>
        </w:rPr>
      </w:pPr>
    </w:p>
    <w:p w14:paraId="689EF6B2">
      <w:pPr>
        <w:spacing w:before="17" w:line="240" w:lineRule="exact"/>
        <w:jc w:val="left"/>
        <w:rPr>
          <w:rFonts w:ascii="宋体" w:hAnsi="宋体"/>
          <w:color w:val="auto"/>
          <w:sz w:val="24"/>
          <w:szCs w:val="24"/>
          <w:highlight w:val="none"/>
        </w:rPr>
      </w:pPr>
    </w:p>
    <w:p w14:paraId="35F06E19">
      <w:pPr>
        <w:tabs>
          <w:tab w:val="left" w:pos="4480"/>
          <w:tab w:val="left" w:pos="6940"/>
        </w:tabs>
        <w:spacing w:line="540" w:lineRule="atLeast"/>
        <w:ind w:left="1201" w:right="-34"/>
        <w:jc w:val="left"/>
        <w:rPr>
          <w:rFonts w:ascii="宋体" w:hAnsi="宋体"/>
          <w:color w:val="auto"/>
          <w:sz w:val="28"/>
          <w:szCs w:val="24"/>
          <w:highlight w:val="none"/>
        </w:rPr>
      </w:pPr>
      <w:r>
        <w:rPr>
          <w:rFonts w:ascii="宋体" w:hAnsi="宋体"/>
          <w:color w:val="auto"/>
          <w:sz w:val="28"/>
          <w:szCs w:val="24"/>
          <w:highlight w:val="none"/>
        </w:rPr>
        <w:t>投标人：</w:t>
      </w:r>
      <w:r>
        <w:rPr>
          <w:rFonts w:ascii="宋体" w:hAnsi="宋体"/>
          <w:color w:val="auto"/>
          <w:sz w:val="28"/>
          <w:szCs w:val="24"/>
          <w:highlight w:val="none"/>
          <w:u w:val="single"/>
        </w:rPr>
        <w:t xml:space="preserve">  </w:t>
      </w:r>
      <w:r>
        <w:rPr>
          <w:rFonts w:hint="eastAsia" w:ascii="宋体" w:hAnsi="宋体"/>
          <w:color w:val="auto"/>
          <w:sz w:val="28"/>
          <w:szCs w:val="24"/>
          <w:highlight w:val="none"/>
          <w:u w:val="single"/>
        </w:rPr>
        <w:t xml:space="preserve">              </w:t>
      </w:r>
      <w:r>
        <w:rPr>
          <w:rFonts w:ascii="宋体" w:hAnsi="宋体"/>
          <w:color w:val="auto"/>
          <w:sz w:val="28"/>
          <w:szCs w:val="24"/>
          <w:highlight w:val="none"/>
          <w:u w:val="single"/>
        </w:rPr>
        <w:tab/>
      </w:r>
      <w:r>
        <w:rPr>
          <w:rFonts w:ascii="宋体" w:hAnsi="宋体"/>
          <w:color w:val="auto"/>
          <w:sz w:val="28"/>
          <w:szCs w:val="24"/>
          <w:highlight w:val="none"/>
        </w:rPr>
        <w:t>（盖</w:t>
      </w:r>
      <w:r>
        <w:rPr>
          <w:rFonts w:ascii="宋体" w:hAnsi="宋体"/>
          <w:color w:val="auto"/>
          <w:spacing w:val="-3"/>
          <w:sz w:val="28"/>
          <w:szCs w:val="24"/>
          <w:highlight w:val="none"/>
        </w:rPr>
        <w:t>单</w:t>
      </w:r>
      <w:r>
        <w:rPr>
          <w:rFonts w:ascii="宋体" w:hAnsi="宋体"/>
          <w:color w:val="auto"/>
          <w:sz w:val="28"/>
          <w:szCs w:val="24"/>
          <w:highlight w:val="none"/>
        </w:rPr>
        <w:t>位</w:t>
      </w:r>
      <w:r>
        <w:rPr>
          <w:rFonts w:ascii="宋体" w:hAnsi="宋体"/>
          <w:color w:val="auto"/>
          <w:spacing w:val="-3"/>
          <w:sz w:val="28"/>
          <w:szCs w:val="24"/>
          <w:highlight w:val="none"/>
        </w:rPr>
        <w:t>章</w:t>
      </w:r>
      <w:r>
        <w:rPr>
          <w:rFonts w:ascii="宋体" w:hAnsi="宋体"/>
          <w:color w:val="auto"/>
          <w:sz w:val="28"/>
          <w:szCs w:val="24"/>
          <w:highlight w:val="none"/>
        </w:rPr>
        <w:t xml:space="preserve">） </w:t>
      </w:r>
    </w:p>
    <w:p w14:paraId="654ED753">
      <w:pPr>
        <w:tabs>
          <w:tab w:val="left" w:pos="4480"/>
          <w:tab w:val="left" w:pos="6940"/>
        </w:tabs>
        <w:spacing w:line="540" w:lineRule="atLeast"/>
        <w:ind w:left="1201" w:right="-34"/>
        <w:jc w:val="left"/>
        <w:rPr>
          <w:rFonts w:ascii="宋体" w:hAnsi="宋体"/>
          <w:color w:val="auto"/>
          <w:sz w:val="28"/>
          <w:szCs w:val="24"/>
          <w:highlight w:val="none"/>
        </w:rPr>
      </w:pPr>
      <w:r>
        <w:rPr>
          <w:rFonts w:ascii="宋体" w:hAnsi="宋体"/>
          <w:color w:val="auto"/>
          <w:sz w:val="28"/>
          <w:szCs w:val="24"/>
          <w:highlight w:val="none"/>
        </w:rPr>
        <w:t>法定代</w:t>
      </w:r>
      <w:r>
        <w:rPr>
          <w:rFonts w:ascii="宋体" w:hAnsi="宋体"/>
          <w:color w:val="auto"/>
          <w:spacing w:val="-3"/>
          <w:sz w:val="28"/>
          <w:szCs w:val="24"/>
          <w:highlight w:val="none"/>
        </w:rPr>
        <w:t>表</w:t>
      </w:r>
      <w:r>
        <w:rPr>
          <w:rFonts w:ascii="宋体" w:hAnsi="宋体"/>
          <w:color w:val="auto"/>
          <w:sz w:val="28"/>
          <w:szCs w:val="24"/>
          <w:highlight w:val="none"/>
        </w:rPr>
        <w:t>人或</w:t>
      </w:r>
      <w:r>
        <w:rPr>
          <w:rFonts w:ascii="宋体" w:hAnsi="宋体"/>
          <w:color w:val="auto"/>
          <w:spacing w:val="-3"/>
          <w:sz w:val="28"/>
          <w:szCs w:val="24"/>
          <w:highlight w:val="none"/>
        </w:rPr>
        <w:t>其委</w:t>
      </w:r>
      <w:r>
        <w:rPr>
          <w:rFonts w:ascii="宋体" w:hAnsi="宋体"/>
          <w:color w:val="auto"/>
          <w:sz w:val="28"/>
          <w:szCs w:val="24"/>
          <w:highlight w:val="none"/>
        </w:rPr>
        <w:t>托代理</w:t>
      </w:r>
      <w:r>
        <w:rPr>
          <w:rFonts w:ascii="宋体" w:hAnsi="宋体"/>
          <w:color w:val="auto"/>
          <w:spacing w:val="-3"/>
          <w:sz w:val="28"/>
          <w:szCs w:val="24"/>
          <w:highlight w:val="none"/>
        </w:rPr>
        <w:t>人</w:t>
      </w:r>
      <w:r>
        <w:rPr>
          <w:rFonts w:ascii="宋体" w:hAnsi="宋体"/>
          <w:color w:val="auto"/>
          <w:spacing w:val="1"/>
          <w:sz w:val="28"/>
          <w:szCs w:val="24"/>
          <w:highlight w:val="none"/>
        </w:rPr>
        <w:t>：</w:t>
      </w:r>
      <w:r>
        <w:rPr>
          <w:rFonts w:ascii="宋体" w:hAnsi="宋体"/>
          <w:color w:val="auto"/>
          <w:sz w:val="28"/>
          <w:szCs w:val="24"/>
          <w:highlight w:val="none"/>
          <w:u w:val="single"/>
        </w:rPr>
        <w:t xml:space="preserve"> </w:t>
      </w:r>
      <w:r>
        <w:rPr>
          <w:rFonts w:hint="eastAsia" w:ascii="宋体" w:hAnsi="宋体"/>
          <w:color w:val="auto"/>
          <w:sz w:val="28"/>
          <w:szCs w:val="24"/>
          <w:highlight w:val="none"/>
          <w:u w:val="single"/>
        </w:rPr>
        <w:t xml:space="preserve">             </w:t>
      </w:r>
      <w:r>
        <w:rPr>
          <w:rFonts w:ascii="宋体" w:hAnsi="宋体"/>
          <w:color w:val="auto"/>
          <w:sz w:val="28"/>
          <w:szCs w:val="24"/>
          <w:highlight w:val="none"/>
          <w:u w:val="single"/>
        </w:rPr>
        <w:t xml:space="preserve"> </w:t>
      </w:r>
      <w:r>
        <w:rPr>
          <w:rFonts w:ascii="宋体" w:hAnsi="宋体"/>
          <w:color w:val="auto"/>
          <w:spacing w:val="-3"/>
          <w:sz w:val="28"/>
          <w:szCs w:val="24"/>
          <w:highlight w:val="none"/>
        </w:rPr>
        <w:t>（</w:t>
      </w:r>
      <w:r>
        <w:rPr>
          <w:rFonts w:ascii="宋体" w:hAnsi="宋体"/>
          <w:color w:val="auto"/>
          <w:sz w:val="28"/>
          <w:szCs w:val="24"/>
          <w:highlight w:val="none"/>
        </w:rPr>
        <w:t>签字</w:t>
      </w:r>
      <w:r>
        <w:rPr>
          <w:rFonts w:hint="eastAsia" w:ascii="宋体" w:hAnsi="宋体"/>
          <w:color w:val="auto"/>
          <w:sz w:val="28"/>
          <w:szCs w:val="24"/>
          <w:highlight w:val="none"/>
        </w:rPr>
        <w:t>或盖章</w:t>
      </w:r>
      <w:r>
        <w:rPr>
          <w:rFonts w:ascii="宋体" w:hAnsi="宋体"/>
          <w:color w:val="auto"/>
          <w:sz w:val="28"/>
          <w:szCs w:val="24"/>
          <w:highlight w:val="none"/>
        </w:rPr>
        <w:t>）</w:t>
      </w:r>
    </w:p>
    <w:p w14:paraId="3923B845">
      <w:pPr>
        <w:spacing w:before="5" w:line="130" w:lineRule="exact"/>
        <w:jc w:val="left"/>
        <w:rPr>
          <w:rFonts w:ascii="宋体" w:hAnsi="宋体"/>
          <w:color w:val="auto"/>
          <w:sz w:val="13"/>
          <w:szCs w:val="24"/>
          <w:highlight w:val="none"/>
        </w:rPr>
      </w:pPr>
    </w:p>
    <w:p w14:paraId="59AE5BE2">
      <w:pPr>
        <w:spacing w:line="200" w:lineRule="exact"/>
        <w:jc w:val="left"/>
        <w:rPr>
          <w:rFonts w:ascii="宋体" w:hAnsi="宋体"/>
          <w:color w:val="auto"/>
          <w:sz w:val="20"/>
          <w:szCs w:val="24"/>
          <w:highlight w:val="none"/>
        </w:rPr>
      </w:pPr>
    </w:p>
    <w:p w14:paraId="4621A8C2">
      <w:pPr>
        <w:spacing w:line="200" w:lineRule="exact"/>
        <w:jc w:val="left"/>
        <w:rPr>
          <w:rFonts w:ascii="宋体" w:hAnsi="宋体"/>
          <w:color w:val="auto"/>
          <w:sz w:val="20"/>
          <w:szCs w:val="24"/>
          <w:highlight w:val="none"/>
        </w:rPr>
      </w:pPr>
    </w:p>
    <w:p w14:paraId="52A52AF2">
      <w:pPr>
        <w:widowControl/>
        <w:jc w:val="center"/>
        <w:rPr>
          <w:color w:val="auto"/>
          <w:highlight w:val="none"/>
        </w:rPr>
      </w:pPr>
      <w:r>
        <w:rPr>
          <w:rFonts w:ascii="宋体" w:hAnsi="宋体"/>
          <w:color w:val="auto"/>
          <w:sz w:val="28"/>
          <w:szCs w:val="24"/>
          <w:highlight w:val="none"/>
          <w:u w:val="single"/>
        </w:rPr>
        <w:tab/>
      </w:r>
      <w:r>
        <w:rPr>
          <w:rFonts w:hint="eastAsia" w:ascii="宋体" w:hAnsi="宋体"/>
          <w:color w:val="auto"/>
          <w:sz w:val="28"/>
          <w:szCs w:val="24"/>
          <w:highlight w:val="none"/>
          <w:u w:val="single"/>
        </w:rPr>
        <w:t xml:space="preserve"> </w:t>
      </w:r>
      <w:r>
        <w:rPr>
          <w:rFonts w:ascii="宋体" w:hAnsi="宋体"/>
          <w:color w:val="auto"/>
          <w:spacing w:val="2"/>
          <w:sz w:val="28"/>
          <w:szCs w:val="24"/>
          <w:highlight w:val="none"/>
        </w:rPr>
        <w:t>年</w:t>
      </w:r>
      <w:r>
        <w:rPr>
          <w:rFonts w:ascii="宋体" w:hAnsi="宋体"/>
          <w:color w:val="auto"/>
          <w:sz w:val="28"/>
          <w:szCs w:val="24"/>
          <w:highlight w:val="none"/>
          <w:u w:val="single"/>
        </w:rPr>
        <w:t xml:space="preserve">  </w:t>
      </w:r>
      <w:r>
        <w:rPr>
          <w:rFonts w:ascii="宋体" w:hAnsi="宋体"/>
          <w:color w:val="auto"/>
          <w:sz w:val="28"/>
          <w:szCs w:val="24"/>
          <w:highlight w:val="none"/>
          <w:u w:val="single"/>
        </w:rPr>
        <w:tab/>
      </w:r>
      <w:r>
        <w:rPr>
          <w:rFonts w:ascii="宋体" w:hAnsi="宋体"/>
          <w:color w:val="auto"/>
          <w:spacing w:val="2"/>
          <w:sz w:val="28"/>
          <w:szCs w:val="24"/>
          <w:highlight w:val="none"/>
        </w:rPr>
        <w:t>月</w:t>
      </w:r>
      <w:r>
        <w:rPr>
          <w:rFonts w:ascii="宋体" w:hAnsi="宋体"/>
          <w:color w:val="auto"/>
          <w:sz w:val="28"/>
          <w:szCs w:val="24"/>
          <w:highlight w:val="none"/>
          <w:u w:val="single"/>
        </w:rPr>
        <w:t xml:space="preserve">  </w:t>
      </w:r>
      <w:r>
        <w:rPr>
          <w:rFonts w:ascii="宋体" w:hAnsi="宋体"/>
          <w:color w:val="auto"/>
          <w:sz w:val="28"/>
          <w:szCs w:val="24"/>
          <w:highlight w:val="none"/>
          <w:u w:val="single"/>
        </w:rPr>
        <w:tab/>
      </w:r>
      <w:r>
        <w:rPr>
          <w:rFonts w:ascii="宋体" w:hAnsi="宋体"/>
          <w:color w:val="auto"/>
          <w:sz w:val="28"/>
          <w:szCs w:val="24"/>
          <w:highlight w:val="none"/>
        </w:rPr>
        <w:t>日</w:t>
      </w:r>
    </w:p>
    <w:p w14:paraId="78CD4376">
      <w:pPr>
        <w:widowControl/>
        <w:jc w:val="left"/>
        <w:rPr>
          <w:color w:val="auto"/>
          <w:highlight w:val="none"/>
        </w:rPr>
      </w:pPr>
      <w:r>
        <w:rPr>
          <w:color w:val="auto"/>
          <w:highlight w:val="none"/>
        </w:rPr>
        <w:br w:type="page"/>
      </w:r>
    </w:p>
    <w:p w14:paraId="1727C034">
      <w:pPr>
        <w:rPr>
          <w:color w:val="auto"/>
          <w:highlight w:val="none"/>
        </w:rPr>
      </w:pPr>
    </w:p>
    <w:p w14:paraId="255E8D41">
      <w:pPr>
        <w:pStyle w:val="26"/>
        <w:rPr>
          <w:rFonts w:ascii="Calibri" w:hAnsi="Calibri"/>
          <w:color w:val="auto"/>
          <w:highlight w:val="none"/>
        </w:rPr>
      </w:pPr>
    </w:p>
    <w:p w14:paraId="2A6AAC9E">
      <w:pPr>
        <w:jc w:val="center"/>
        <w:rPr>
          <w:rFonts w:ascii="宋体" w:hAnsi="宋体"/>
          <w:b/>
          <w:color w:val="auto"/>
          <w:sz w:val="28"/>
          <w:szCs w:val="28"/>
          <w:highlight w:val="none"/>
        </w:rPr>
      </w:pPr>
      <w:r>
        <w:rPr>
          <w:rFonts w:hint="eastAsia" w:ascii="宋体" w:hAnsi="宋体"/>
          <w:b/>
          <w:color w:val="auto"/>
          <w:sz w:val="28"/>
          <w:szCs w:val="28"/>
          <w:highlight w:val="none"/>
        </w:rPr>
        <w:t>目  录</w:t>
      </w:r>
    </w:p>
    <w:p w14:paraId="77262C59">
      <w:pPr>
        <w:pStyle w:val="25"/>
        <w:tabs>
          <w:tab w:val="left" w:pos="960"/>
        </w:tabs>
        <w:spacing w:line="440" w:lineRule="exact"/>
        <w:ind w:left="960"/>
        <w:rPr>
          <w:rFonts w:ascii="宋体" w:hAnsi="宋体"/>
          <w:color w:val="auto"/>
          <w:sz w:val="24"/>
          <w:highlight w:val="none"/>
        </w:rPr>
      </w:pPr>
      <w:bookmarkStart w:id="142" w:name="_Toc390704763"/>
      <w:bookmarkStart w:id="143" w:name="_Toc266373528"/>
      <w:r>
        <w:rPr>
          <w:rFonts w:hint="eastAsia" w:ascii="宋体" w:hAnsi="宋体"/>
          <w:color w:val="auto"/>
          <w:sz w:val="24"/>
          <w:highlight w:val="none"/>
        </w:rPr>
        <w:t>一、投标函及其附表</w:t>
      </w:r>
    </w:p>
    <w:p w14:paraId="180F0C34">
      <w:pPr>
        <w:pStyle w:val="25"/>
        <w:tabs>
          <w:tab w:val="left" w:pos="960"/>
        </w:tabs>
        <w:spacing w:line="440" w:lineRule="exact"/>
        <w:ind w:left="960"/>
        <w:rPr>
          <w:rFonts w:ascii="宋体" w:hAnsi="宋体"/>
          <w:color w:val="auto"/>
          <w:sz w:val="24"/>
          <w:highlight w:val="none"/>
        </w:rPr>
      </w:pPr>
      <w:r>
        <w:rPr>
          <w:rFonts w:hint="eastAsia" w:ascii="宋体" w:hAnsi="宋体"/>
          <w:color w:val="auto"/>
          <w:sz w:val="24"/>
          <w:highlight w:val="none"/>
        </w:rPr>
        <w:t>二、法定代表人证明书及授权委托书</w:t>
      </w:r>
    </w:p>
    <w:p w14:paraId="5A90AC05">
      <w:pPr>
        <w:pStyle w:val="25"/>
        <w:tabs>
          <w:tab w:val="left" w:pos="960"/>
        </w:tabs>
        <w:spacing w:line="440" w:lineRule="exact"/>
        <w:ind w:left="960"/>
        <w:rPr>
          <w:rFonts w:ascii="宋体" w:hAnsi="宋体"/>
          <w:color w:val="auto"/>
          <w:sz w:val="24"/>
          <w:highlight w:val="none"/>
        </w:rPr>
      </w:pPr>
      <w:r>
        <w:rPr>
          <w:rFonts w:hint="eastAsia" w:ascii="宋体" w:hAnsi="宋体"/>
          <w:color w:val="auto"/>
          <w:sz w:val="24"/>
          <w:highlight w:val="none"/>
        </w:rPr>
        <w:t>三、投标保证金</w:t>
      </w:r>
    </w:p>
    <w:p w14:paraId="116121BA">
      <w:pPr>
        <w:pStyle w:val="25"/>
        <w:tabs>
          <w:tab w:val="left" w:pos="960"/>
        </w:tabs>
        <w:spacing w:line="440" w:lineRule="exact"/>
        <w:ind w:left="960"/>
        <w:rPr>
          <w:rFonts w:ascii="宋体" w:hAnsi="宋体"/>
          <w:color w:val="auto"/>
          <w:sz w:val="24"/>
          <w:highlight w:val="none"/>
        </w:rPr>
      </w:pPr>
      <w:r>
        <w:rPr>
          <w:rFonts w:hint="eastAsia" w:ascii="宋体" w:hAnsi="宋体"/>
          <w:color w:val="auto"/>
          <w:sz w:val="24"/>
          <w:highlight w:val="none"/>
        </w:rPr>
        <w:t>四、投标报价书</w:t>
      </w:r>
    </w:p>
    <w:p w14:paraId="693401D8">
      <w:pPr>
        <w:pStyle w:val="25"/>
        <w:tabs>
          <w:tab w:val="left" w:pos="960"/>
        </w:tabs>
        <w:spacing w:line="440" w:lineRule="exact"/>
        <w:ind w:left="960"/>
        <w:rPr>
          <w:rFonts w:ascii="宋体" w:hAnsi="宋体"/>
          <w:color w:val="auto"/>
          <w:sz w:val="24"/>
          <w:highlight w:val="none"/>
        </w:rPr>
      </w:pPr>
      <w:r>
        <w:rPr>
          <w:rFonts w:hint="eastAsia" w:ascii="宋体" w:hAnsi="宋体"/>
          <w:color w:val="auto"/>
          <w:sz w:val="24"/>
          <w:highlight w:val="none"/>
        </w:rPr>
        <w:t>五、资格审查资料</w:t>
      </w:r>
    </w:p>
    <w:p w14:paraId="22B6F758">
      <w:pPr>
        <w:pStyle w:val="25"/>
        <w:tabs>
          <w:tab w:val="left" w:pos="960"/>
        </w:tabs>
        <w:spacing w:line="440" w:lineRule="exact"/>
        <w:ind w:left="960"/>
        <w:rPr>
          <w:rFonts w:ascii="宋体" w:hAnsi="宋体"/>
          <w:color w:val="auto"/>
          <w:sz w:val="24"/>
          <w:highlight w:val="none"/>
        </w:rPr>
      </w:pPr>
      <w:r>
        <w:rPr>
          <w:rFonts w:hint="eastAsia" w:ascii="宋体" w:hAnsi="宋体"/>
          <w:color w:val="auto"/>
          <w:sz w:val="24"/>
          <w:highlight w:val="none"/>
        </w:rPr>
        <w:t>六、类似项目业绩表</w:t>
      </w:r>
    </w:p>
    <w:p w14:paraId="0F7AED47">
      <w:pPr>
        <w:pStyle w:val="25"/>
        <w:tabs>
          <w:tab w:val="left" w:pos="960"/>
        </w:tabs>
        <w:spacing w:line="440" w:lineRule="exact"/>
        <w:ind w:left="960"/>
        <w:rPr>
          <w:rFonts w:hint="eastAsia" w:ascii="宋体" w:hAnsi="宋体"/>
          <w:color w:val="auto"/>
          <w:sz w:val="24"/>
          <w:highlight w:val="none"/>
        </w:rPr>
      </w:pPr>
      <w:r>
        <w:rPr>
          <w:rFonts w:hint="eastAsia" w:ascii="宋体" w:hAnsi="宋体"/>
          <w:color w:val="auto"/>
          <w:sz w:val="24"/>
          <w:highlight w:val="none"/>
        </w:rPr>
        <w:t>七、投标人信誉证明材料</w:t>
      </w:r>
    </w:p>
    <w:p w14:paraId="28297937">
      <w:pPr>
        <w:pStyle w:val="25"/>
        <w:tabs>
          <w:tab w:val="left" w:pos="960"/>
        </w:tabs>
        <w:spacing w:line="440" w:lineRule="exact"/>
        <w:ind w:left="960"/>
        <w:rPr>
          <w:rFonts w:hint="default" w:ascii="宋体" w:hAnsi="宋体"/>
          <w:color w:val="auto"/>
          <w:sz w:val="24"/>
          <w:highlight w:val="none"/>
          <w:lang w:val="en-US"/>
        </w:rPr>
      </w:pPr>
      <w:r>
        <w:rPr>
          <w:rFonts w:hint="eastAsia" w:ascii="宋体" w:hAnsi="宋体" w:cs="Times New Roman"/>
          <w:b w:val="0"/>
          <w:bCs w:val="0"/>
          <w:color w:val="auto"/>
          <w:sz w:val="24"/>
          <w:szCs w:val="24"/>
          <w:highlight w:val="none"/>
          <w:lang w:val="en-US" w:eastAsia="zh-CN"/>
        </w:rPr>
        <w:t>八</w:t>
      </w:r>
      <w:r>
        <w:rPr>
          <w:rFonts w:hint="eastAsia" w:ascii="宋体" w:hAnsi="宋体" w:cs="Times New Roman"/>
          <w:b w:val="0"/>
          <w:bCs w:val="0"/>
          <w:color w:val="auto"/>
          <w:sz w:val="24"/>
          <w:szCs w:val="24"/>
          <w:highlight w:val="none"/>
        </w:rPr>
        <w:t>、投标人廉洁承诺书</w:t>
      </w:r>
    </w:p>
    <w:p w14:paraId="6F26063C">
      <w:pPr>
        <w:pStyle w:val="25"/>
        <w:tabs>
          <w:tab w:val="left" w:pos="960"/>
        </w:tabs>
        <w:spacing w:line="440" w:lineRule="exact"/>
        <w:ind w:left="960"/>
        <w:rPr>
          <w:rFonts w:ascii="宋体" w:hAnsi="宋体"/>
          <w:color w:val="auto"/>
          <w:sz w:val="24"/>
          <w:highlight w:val="none"/>
        </w:rPr>
      </w:pPr>
      <w:r>
        <w:rPr>
          <w:rFonts w:hint="eastAsia" w:ascii="宋体" w:hAnsi="宋体"/>
          <w:color w:val="auto"/>
          <w:sz w:val="24"/>
          <w:highlight w:val="none"/>
          <w:lang w:val="en-US" w:eastAsia="zh-CN"/>
        </w:rPr>
        <w:t>九</w:t>
      </w:r>
      <w:r>
        <w:rPr>
          <w:rFonts w:hint="eastAsia" w:ascii="宋体" w:hAnsi="宋体"/>
          <w:color w:val="auto"/>
          <w:sz w:val="24"/>
          <w:highlight w:val="none"/>
        </w:rPr>
        <w:t>、拟投入本项目的检测、监测人员资格证明材料</w:t>
      </w:r>
    </w:p>
    <w:p w14:paraId="3350636C">
      <w:pPr>
        <w:pStyle w:val="25"/>
        <w:tabs>
          <w:tab w:val="left" w:pos="960"/>
        </w:tabs>
        <w:spacing w:line="440" w:lineRule="exact"/>
        <w:ind w:left="960"/>
        <w:rPr>
          <w:rFonts w:ascii="宋体" w:hAnsi="宋体"/>
          <w:color w:val="auto"/>
          <w:sz w:val="24"/>
          <w:highlight w:val="none"/>
        </w:rPr>
      </w:pPr>
      <w:r>
        <w:rPr>
          <w:rFonts w:hint="eastAsia" w:ascii="宋体" w:hAnsi="宋体"/>
          <w:color w:val="auto"/>
          <w:sz w:val="24"/>
          <w:highlight w:val="none"/>
          <w:lang w:val="en-US" w:eastAsia="zh-CN"/>
        </w:rPr>
        <w:t>十</w:t>
      </w:r>
      <w:r>
        <w:rPr>
          <w:rFonts w:hint="eastAsia" w:ascii="宋体" w:hAnsi="宋体"/>
          <w:color w:val="auto"/>
          <w:sz w:val="24"/>
          <w:highlight w:val="none"/>
        </w:rPr>
        <w:t>、拟投入本项目的主要检测、监测仪器设备一览表</w:t>
      </w:r>
    </w:p>
    <w:p w14:paraId="785FB0E2">
      <w:pPr>
        <w:pStyle w:val="25"/>
        <w:tabs>
          <w:tab w:val="left" w:pos="960"/>
        </w:tabs>
        <w:spacing w:line="440" w:lineRule="exact"/>
        <w:ind w:left="960"/>
        <w:rPr>
          <w:rFonts w:ascii="宋体" w:hAnsi="宋体"/>
          <w:color w:val="auto"/>
          <w:sz w:val="24"/>
          <w:highlight w:val="none"/>
        </w:rPr>
      </w:pPr>
      <w:r>
        <w:rPr>
          <w:rFonts w:hint="eastAsia" w:ascii="宋体" w:hAnsi="宋体"/>
          <w:color w:val="auto"/>
          <w:sz w:val="24"/>
          <w:highlight w:val="none"/>
        </w:rPr>
        <w:t>十</w:t>
      </w:r>
      <w:r>
        <w:rPr>
          <w:rFonts w:hint="eastAsia" w:ascii="宋体" w:hAnsi="宋体"/>
          <w:color w:val="auto"/>
          <w:sz w:val="24"/>
          <w:highlight w:val="none"/>
          <w:lang w:val="en-US" w:eastAsia="zh-CN"/>
        </w:rPr>
        <w:t>一</w:t>
      </w:r>
      <w:r>
        <w:rPr>
          <w:rFonts w:hint="eastAsia" w:ascii="宋体" w:hAnsi="宋体"/>
          <w:color w:val="auto"/>
          <w:sz w:val="24"/>
          <w:highlight w:val="none"/>
        </w:rPr>
        <w:t>、检测、监测方案</w:t>
      </w:r>
    </w:p>
    <w:p w14:paraId="4C8EBA5E">
      <w:pPr>
        <w:pStyle w:val="25"/>
        <w:tabs>
          <w:tab w:val="left" w:pos="960"/>
        </w:tabs>
        <w:spacing w:line="440" w:lineRule="exact"/>
        <w:ind w:left="960"/>
        <w:rPr>
          <w:rFonts w:ascii="宋体" w:hAnsi="宋体"/>
          <w:color w:val="auto"/>
          <w:kern w:val="0"/>
          <w:sz w:val="18"/>
          <w:highlight w:val="none"/>
        </w:rPr>
      </w:pPr>
      <w:r>
        <w:rPr>
          <w:rFonts w:hint="eastAsia" w:ascii="宋体" w:hAnsi="宋体"/>
          <w:color w:val="auto"/>
          <w:sz w:val="24"/>
          <w:highlight w:val="none"/>
        </w:rPr>
        <w:t>十</w:t>
      </w:r>
      <w:r>
        <w:rPr>
          <w:rFonts w:hint="eastAsia" w:ascii="宋体" w:hAnsi="宋体"/>
          <w:color w:val="auto"/>
          <w:sz w:val="24"/>
          <w:highlight w:val="none"/>
          <w:lang w:val="en-US" w:eastAsia="zh-CN"/>
        </w:rPr>
        <w:t>二</w:t>
      </w:r>
      <w:r>
        <w:rPr>
          <w:rFonts w:hint="eastAsia" w:ascii="宋体" w:hAnsi="宋体"/>
          <w:color w:val="auto"/>
          <w:sz w:val="24"/>
          <w:highlight w:val="none"/>
        </w:rPr>
        <w:t>、其他资料</w:t>
      </w:r>
      <w:r>
        <w:rPr>
          <w:rFonts w:ascii="宋体" w:hAnsi="宋体"/>
          <w:color w:val="auto"/>
          <w:sz w:val="24"/>
          <w:highlight w:val="none"/>
        </w:rPr>
        <w:br w:type="page"/>
      </w:r>
      <w:bookmarkEnd w:id="142"/>
    </w:p>
    <w:p w14:paraId="7C3064C7">
      <w:pPr>
        <w:pStyle w:val="4"/>
        <w:jc w:val="center"/>
        <w:rPr>
          <w:color w:val="auto"/>
          <w:highlight w:val="none"/>
        </w:rPr>
      </w:pPr>
      <w:bookmarkStart w:id="144" w:name="_Toc118553996"/>
      <w:bookmarkStart w:id="145" w:name="_Toc533334219"/>
      <w:bookmarkStart w:id="146" w:name="_Toc533357328"/>
      <w:bookmarkStart w:id="147" w:name="_Toc11434"/>
      <w:bookmarkStart w:id="148" w:name="_Toc390704764"/>
      <w:r>
        <w:rPr>
          <w:rFonts w:hint="eastAsia"/>
          <w:color w:val="auto"/>
          <w:highlight w:val="none"/>
        </w:rPr>
        <w:t>一、</w:t>
      </w:r>
      <w:bookmarkStart w:id="149" w:name="_Toc6931"/>
      <w:bookmarkStart w:id="150" w:name="_Toc352691656"/>
      <w:bookmarkStart w:id="151" w:name="_Toc369531692"/>
      <w:r>
        <w:rPr>
          <w:rFonts w:hint="eastAsia"/>
          <w:color w:val="auto"/>
          <w:highlight w:val="none"/>
        </w:rPr>
        <w:t>投标函及其附表</w:t>
      </w:r>
      <w:bookmarkEnd w:id="144"/>
      <w:bookmarkEnd w:id="145"/>
    </w:p>
    <w:bookmarkEnd w:id="149"/>
    <w:bookmarkEnd w:id="150"/>
    <w:bookmarkEnd w:id="151"/>
    <w:p w14:paraId="7682B1E8">
      <w:pPr>
        <w:spacing w:line="360" w:lineRule="auto"/>
        <w:jc w:val="center"/>
        <w:rPr>
          <w:rFonts w:ascii="宋体" w:hAnsi="宋体"/>
          <w:color w:val="auto"/>
          <w:sz w:val="28"/>
          <w:szCs w:val="28"/>
          <w:highlight w:val="none"/>
        </w:rPr>
      </w:pPr>
      <w:r>
        <w:rPr>
          <w:rFonts w:hint="eastAsia" w:ascii="宋体" w:hAnsi="宋体"/>
          <w:b/>
          <w:bCs/>
          <w:color w:val="auto"/>
          <w:sz w:val="28"/>
          <w:szCs w:val="28"/>
          <w:highlight w:val="none"/>
        </w:rPr>
        <w:t>（一）投标函</w:t>
      </w:r>
    </w:p>
    <w:p w14:paraId="68617F3C">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致：</w:t>
      </w:r>
      <w:r>
        <w:rPr>
          <w:rFonts w:ascii="宋体" w:hAnsi="宋体"/>
          <w:color w:val="auto"/>
          <w:sz w:val="24"/>
          <w:szCs w:val="24"/>
          <w:highlight w:val="none"/>
        </w:rPr>
        <w:t xml:space="preserve">  </w:t>
      </w:r>
      <w:r>
        <w:rPr>
          <w:rFonts w:ascii="宋体" w:hAnsi="宋体"/>
          <w:color w:val="auto"/>
          <w:sz w:val="24"/>
          <w:szCs w:val="24"/>
          <w:highlight w:val="none"/>
          <w:u w:val="single"/>
        </w:rPr>
        <w:t xml:space="preserve">       </w:t>
      </w:r>
      <w:r>
        <w:rPr>
          <w:rFonts w:ascii="宋体" w:hAnsi="宋体"/>
          <w:b/>
          <w:bCs/>
          <w:color w:val="auto"/>
          <w:sz w:val="24"/>
          <w:szCs w:val="24"/>
          <w:highlight w:val="none"/>
          <w:u w:val="single"/>
        </w:rPr>
        <w:t xml:space="preserve"> </w:t>
      </w:r>
      <w:r>
        <w:rPr>
          <w:rFonts w:hint="eastAsia" w:ascii="宋体" w:hAnsi="宋体"/>
          <w:color w:val="auto"/>
          <w:sz w:val="24"/>
          <w:szCs w:val="24"/>
          <w:highlight w:val="none"/>
          <w:u w:val="single"/>
        </w:rPr>
        <w:t>（招标人）</w:t>
      </w:r>
      <w:r>
        <w:rPr>
          <w:rFonts w:ascii="宋体" w:hAnsi="宋体"/>
          <w:color w:val="auto"/>
          <w:sz w:val="24"/>
          <w:szCs w:val="24"/>
          <w:highlight w:val="none"/>
          <w:u w:val="single"/>
        </w:rPr>
        <w:t xml:space="preserve">          </w:t>
      </w:r>
    </w:p>
    <w:p w14:paraId="397C0451">
      <w:pPr>
        <w:pStyle w:val="12"/>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 xml:space="preserve">1. </w:t>
      </w:r>
      <w:r>
        <w:rPr>
          <w:rFonts w:hint="eastAsia" w:ascii="宋体" w:hAnsi="宋体"/>
          <w:color w:val="auto"/>
          <w:sz w:val="24"/>
          <w:szCs w:val="24"/>
          <w:highlight w:val="none"/>
        </w:rPr>
        <w:t>在仔细分析研究了贵单位提供的</w:t>
      </w:r>
      <w:r>
        <w:rPr>
          <w:rFonts w:ascii="宋体" w:hAnsi="宋体"/>
          <w:color w:val="auto"/>
          <w:sz w:val="24"/>
          <w:szCs w:val="24"/>
          <w:highlight w:val="none"/>
          <w:u w:val="single"/>
        </w:rPr>
        <w:t xml:space="preserve">        </w:t>
      </w:r>
      <w:r>
        <w:rPr>
          <w:rFonts w:hint="eastAsia" w:ascii="宋体" w:hAnsi="宋体"/>
          <w:color w:val="auto"/>
          <w:sz w:val="24"/>
          <w:szCs w:val="24"/>
          <w:highlight w:val="none"/>
          <w:u w:val="single"/>
        </w:rPr>
        <w:t>（项目名称）</w:t>
      </w:r>
      <w:r>
        <w:rPr>
          <w:rFonts w:hint="eastAsia" w:ascii="宋体" w:hAnsi="宋体"/>
          <w:color w:val="auto"/>
          <w:sz w:val="24"/>
          <w:szCs w:val="24"/>
          <w:highlight w:val="none"/>
        </w:rPr>
        <w:t>招标文件后，我方愿意以总价为人民币（大写）</w:t>
      </w:r>
      <w:r>
        <w:rPr>
          <w:rFonts w:ascii="宋体" w:hAnsi="宋体"/>
          <w:color w:val="auto"/>
          <w:sz w:val="24"/>
          <w:szCs w:val="24"/>
          <w:highlight w:val="none"/>
          <w:u w:val="single"/>
        </w:rPr>
        <w:t xml:space="preserve">                      </w:t>
      </w:r>
      <w:r>
        <w:rPr>
          <w:rFonts w:hint="eastAsia" w:ascii="宋体" w:hAnsi="宋体"/>
          <w:color w:val="auto"/>
          <w:sz w:val="24"/>
          <w:szCs w:val="24"/>
          <w:highlight w:val="none"/>
        </w:rPr>
        <w:t>（小写</w:t>
      </w:r>
      <w:r>
        <w:rPr>
          <w:rFonts w:hint="eastAsia" w:ascii="宋体" w:hAnsi="宋体"/>
          <w:color w:val="auto"/>
          <w:sz w:val="24"/>
          <w:szCs w:val="24"/>
          <w:highlight w:val="none"/>
          <w:u w:val="single"/>
        </w:rPr>
        <w:t>　　　　　</w:t>
      </w:r>
      <w:r>
        <w:rPr>
          <w:rFonts w:hint="eastAsia" w:ascii="宋体" w:hAnsi="宋体"/>
          <w:color w:val="auto"/>
          <w:sz w:val="24"/>
          <w:szCs w:val="24"/>
          <w:highlight w:val="none"/>
        </w:rPr>
        <w:t>）作为</w:t>
      </w:r>
      <w:r>
        <w:rPr>
          <w:rFonts w:ascii="宋体" w:hAnsi="宋体"/>
          <w:color w:val="auto"/>
          <w:sz w:val="24"/>
          <w:szCs w:val="24"/>
          <w:highlight w:val="none"/>
          <w:u w:val="single"/>
        </w:rPr>
        <w:t xml:space="preserve">    </w:t>
      </w:r>
      <w:r>
        <w:rPr>
          <w:rFonts w:hint="eastAsia" w:ascii="宋体" w:hAnsi="宋体"/>
          <w:color w:val="auto"/>
          <w:sz w:val="24"/>
          <w:szCs w:val="24"/>
          <w:highlight w:val="none"/>
          <w:u w:val="single"/>
        </w:rPr>
        <w:t>项目名称</w:t>
      </w:r>
      <w:r>
        <w:rPr>
          <w:rFonts w:ascii="宋体" w:hAnsi="宋体"/>
          <w:color w:val="auto"/>
          <w:sz w:val="24"/>
          <w:szCs w:val="24"/>
          <w:highlight w:val="none"/>
          <w:u w:val="single"/>
        </w:rPr>
        <w:t xml:space="preserve">        </w:t>
      </w:r>
      <w:r>
        <w:rPr>
          <w:rFonts w:hint="eastAsia" w:ascii="宋体" w:hAnsi="宋体"/>
          <w:color w:val="auto"/>
          <w:sz w:val="24"/>
          <w:szCs w:val="24"/>
          <w:highlight w:val="none"/>
        </w:rPr>
        <w:t>服务费的总价，并遵照招标文件的有关规定要求，承担全部服务任务工作。</w:t>
      </w:r>
    </w:p>
    <w:p w14:paraId="6A19E1E5">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2.</w:t>
      </w:r>
      <w:r>
        <w:rPr>
          <w:rFonts w:hint="eastAsia" w:ascii="宋体" w:hAnsi="宋体"/>
          <w:color w:val="auto"/>
          <w:sz w:val="24"/>
          <w:szCs w:val="24"/>
          <w:highlight w:val="none"/>
        </w:rPr>
        <w:t>我方确认的</w:t>
      </w:r>
      <w:r>
        <w:rPr>
          <w:rFonts w:hint="eastAsia" w:ascii="宋体" w:hAnsi="宋体"/>
          <w:b/>
          <w:bCs/>
          <w:color w:val="auto"/>
          <w:sz w:val="24"/>
          <w:szCs w:val="24"/>
          <w:highlight w:val="none"/>
        </w:rPr>
        <w:t>投标函</w:t>
      </w:r>
      <w:r>
        <w:rPr>
          <w:rFonts w:hint="eastAsia" w:ascii="宋体" w:hAnsi="宋体"/>
          <w:color w:val="auto"/>
          <w:sz w:val="24"/>
          <w:szCs w:val="24"/>
          <w:highlight w:val="none"/>
        </w:rPr>
        <w:t>是我单位投标文件的组成部分。</w:t>
      </w:r>
    </w:p>
    <w:p w14:paraId="66245FFD">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3.</w:t>
      </w:r>
      <w:r>
        <w:rPr>
          <w:rFonts w:hint="eastAsia" w:ascii="宋体" w:hAnsi="宋体"/>
          <w:color w:val="auto"/>
          <w:sz w:val="24"/>
          <w:szCs w:val="24"/>
          <w:highlight w:val="none"/>
        </w:rPr>
        <w:t>如果贵单位接受我方的投标，我方保证按合同规定的期限内开始本工程的检测工作并按投标书中规定的期限内完成合同规定的全部任务。</w:t>
      </w:r>
    </w:p>
    <w:p w14:paraId="7A91F7BA">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4.</w:t>
      </w:r>
      <w:r>
        <w:rPr>
          <w:rFonts w:hint="eastAsia" w:ascii="宋体" w:hAnsi="宋体"/>
          <w:color w:val="auto"/>
          <w:sz w:val="24"/>
          <w:szCs w:val="24"/>
          <w:highlight w:val="none"/>
        </w:rPr>
        <w:t>我方同意在从规定的</w:t>
      </w:r>
      <w:r>
        <w:rPr>
          <w:rFonts w:hint="eastAsia" w:ascii="宋体" w:hAnsi="宋体"/>
          <w:b/>
          <w:bCs/>
          <w:color w:val="auto"/>
          <w:sz w:val="24"/>
          <w:szCs w:val="24"/>
          <w:highlight w:val="none"/>
        </w:rPr>
        <w:t>递交投标文件截止之日起</w:t>
      </w:r>
      <w:r>
        <w:rPr>
          <w:rFonts w:ascii="宋体" w:hAnsi="宋体"/>
          <w:b/>
          <w:bCs/>
          <w:color w:val="auto"/>
          <w:sz w:val="24"/>
          <w:szCs w:val="24"/>
          <w:highlight w:val="none"/>
        </w:rPr>
        <w:t>90</w:t>
      </w:r>
      <w:r>
        <w:rPr>
          <w:rFonts w:hint="eastAsia" w:ascii="宋体" w:hAnsi="宋体"/>
          <w:b/>
          <w:bCs/>
          <w:color w:val="auto"/>
          <w:sz w:val="24"/>
          <w:szCs w:val="24"/>
          <w:highlight w:val="none"/>
        </w:rPr>
        <w:t>天</w:t>
      </w:r>
      <w:r>
        <w:rPr>
          <w:rFonts w:hint="eastAsia" w:ascii="宋体" w:hAnsi="宋体"/>
          <w:color w:val="auto"/>
          <w:sz w:val="24"/>
          <w:szCs w:val="24"/>
          <w:highlight w:val="none"/>
        </w:rPr>
        <w:t>内遵守本投标文件。在此期限届满之前，本投标文件始终将对我们具有约束力并随时接受中标。</w:t>
      </w:r>
    </w:p>
    <w:p w14:paraId="51B2445C">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5.</w:t>
      </w:r>
      <w:r>
        <w:rPr>
          <w:rFonts w:hint="eastAsia" w:ascii="宋体" w:hAnsi="宋体"/>
          <w:color w:val="auto"/>
          <w:sz w:val="24"/>
          <w:szCs w:val="24"/>
          <w:highlight w:val="none"/>
        </w:rPr>
        <w:t>在合同协议制定和签署之前，本投标书连同贵单位的中标通知书、双方签认的补充、修正或澄清文件及其他文件和附件应成为约束贵、我双方的合同文件。</w:t>
      </w:r>
    </w:p>
    <w:p w14:paraId="5B659250">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6.</w:t>
      </w:r>
      <w:r>
        <w:rPr>
          <w:rFonts w:hint="eastAsia" w:ascii="宋体" w:hAnsi="宋体"/>
          <w:color w:val="auto"/>
          <w:sz w:val="24"/>
          <w:szCs w:val="24"/>
          <w:highlight w:val="none"/>
        </w:rPr>
        <w:t>我们理解，贵单位不一定接受最低标价的投标文件或可能接受其他任何投标文件，同时也理解，贵单位不负担我们的任何投标费用。</w:t>
      </w:r>
    </w:p>
    <w:p w14:paraId="0063F372">
      <w:pPr>
        <w:rPr>
          <w:rFonts w:ascii="宋体" w:hAnsi="宋体"/>
          <w:color w:val="auto"/>
          <w:highlight w:val="none"/>
        </w:rPr>
      </w:pPr>
    </w:p>
    <w:p w14:paraId="114DBD3A">
      <w:pPr>
        <w:spacing w:line="440" w:lineRule="exact"/>
        <w:ind w:firstLine="2520" w:firstLineChars="1200"/>
        <w:jc w:val="left"/>
        <w:rPr>
          <w:rFonts w:ascii="宋体" w:hAnsi="宋体"/>
          <w:color w:val="auto"/>
          <w:szCs w:val="21"/>
          <w:highlight w:val="none"/>
        </w:rPr>
      </w:pPr>
    </w:p>
    <w:p w14:paraId="218674BB">
      <w:pPr>
        <w:pStyle w:val="12"/>
        <w:tabs>
          <w:tab w:val="left" w:pos="7321"/>
        </w:tabs>
        <w:spacing w:before="36"/>
        <w:ind w:left="2701"/>
        <w:rPr>
          <w:rFonts w:ascii="宋体" w:hAnsi="宋体"/>
          <w:color w:val="auto"/>
          <w:sz w:val="24"/>
          <w:szCs w:val="24"/>
          <w:highlight w:val="none"/>
        </w:rPr>
      </w:pPr>
      <w:r>
        <w:rPr>
          <w:rFonts w:hint="eastAsia" w:ascii="宋体" w:hAnsi="宋体"/>
          <w:color w:val="auto"/>
          <w:sz w:val="24"/>
          <w:szCs w:val="24"/>
          <w:highlight w:val="none"/>
        </w:rPr>
        <w:t>投标人：</w:t>
      </w:r>
      <w:r>
        <w:rPr>
          <w:rFonts w:ascii="宋体" w:hAnsi="宋体"/>
          <w:color w:val="auto"/>
          <w:sz w:val="24"/>
          <w:szCs w:val="24"/>
          <w:highlight w:val="none"/>
          <w:u w:val="single" w:color="000000"/>
        </w:rPr>
        <w:tab/>
      </w:r>
      <w:r>
        <w:rPr>
          <w:rFonts w:hint="eastAsia" w:ascii="宋体" w:hAnsi="宋体"/>
          <w:color w:val="auto"/>
          <w:sz w:val="24"/>
          <w:szCs w:val="24"/>
          <w:highlight w:val="none"/>
        </w:rPr>
        <w:t>（盖单位章）</w:t>
      </w:r>
    </w:p>
    <w:p w14:paraId="483415F9">
      <w:pPr>
        <w:spacing w:before="13"/>
        <w:rPr>
          <w:rFonts w:ascii="宋体" w:hAnsi="宋体" w:cs="宋体"/>
          <w:color w:val="auto"/>
          <w:sz w:val="24"/>
          <w:szCs w:val="24"/>
          <w:highlight w:val="none"/>
        </w:rPr>
      </w:pPr>
    </w:p>
    <w:p w14:paraId="0519B8B9">
      <w:pPr>
        <w:pStyle w:val="12"/>
        <w:tabs>
          <w:tab w:val="left" w:pos="6481"/>
        </w:tabs>
        <w:spacing w:before="36"/>
        <w:ind w:left="2701"/>
        <w:rPr>
          <w:rFonts w:ascii="宋体" w:hAnsi="宋体"/>
          <w:color w:val="auto"/>
          <w:sz w:val="24"/>
          <w:szCs w:val="24"/>
          <w:highlight w:val="none"/>
        </w:rPr>
      </w:pPr>
      <w:r>
        <w:rPr>
          <w:rFonts w:hint="eastAsia" w:ascii="宋体" w:hAnsi="宋体"/>
          <w:color w:val="auto"/>
          <w:spacing w:val="-2"/>
          <w:sz w:val="24"/>
          <w:szCs w:val="24"/>
          <w:highlight w:val="none"/>
        </w:rPr>
        <w:t>法定代表人或其委托代理人：</w:t>
      </w:r>
      <w:r>
        <w:rPr>
          <w:rFonts w:ascii="宋体" w:hAnsi="宋体"/>
          <w:color w:val="auto"/>
          <w:spacing w:val="-2"/>
          <w:sz w:val="24"/>
          <w:szCs w:val="24"/>
          <w:highlight w:val="none"/>
          <w:u w:val="single" w:color="000000"/>
        </w:rPr>
        <w:tab/>
      </w:r>
      <w:r>
        <w:rPr>
          <w:rFonts w:hint="eastAsia" w:ascii="宋体" w:hAnsi="宋体"/>
          <w:color w:val="auto"/>
          <w:spacing w:val="-1"/>
          <w:sz w:val="24"/>
          <w:szCs w:val="24"/>
          <w:highlight w:val="none"/>
        </w:rPr>
        <w:t>（签字或盖章）</w:t>
      </w:r>
    </w:p>
    <w:p w14:paraId="12C6A7C1">
      <w:pPr>
        <w:spacing w:before="10"/>
        <w:rPr>
          <w:rFonts w:ascii="宋体" w:hAnsi="宋体" w:cs="宋体"/>
          <w:color w:val="auto"/>
          <w:sz w:val="24"/>
          <w:szCs w:val="24"/>
          <w:highlight w:val="none"/>
        </w:rPr>
      </w:pPr>
    </w:p>
    <w:p w14:paraId="27D29DC1">
      <w:pPr>
        <w:spacing w:line="440" w:lineRule="exact"/>
        <w:ind w:firstLine="5400" w:firstLineChars="2250"/>
        <w:jc w:val="right"/>
        <w:rPr>
          <w:rFonts w:ascii="宋体" w:hAnsi="宋体"/>
          <w:color w:val="auto"/>
          <w:sz w:val="24"/>
          <w:szCs w:val="24"/>
          <w:highlight w:val="none"/>
        </w:rPr>
      </w:pPr>
      <w:r>
        <w:rPr>
          <w:rFonts w:ascii="宋体" w:hAnsi="宋体"/>
          <w:color w:val="auto"/>
          <w:sz w:val="24"/>
          <w:szCs w:val="24"/>
          <w:highlight w:val="none"/>
          <w:u w:val="single" w:color="000000"/>
        </w:rPr>
        <w:tab/>
      </w:r>
      <w:r>
        <w:rPr>
          <w:rFonts w:hint="eastAsia" w:ascii="宋体" w:hAnsi="宋体"/>
          <w:color w:val="auto"/>
          <w:sz w:val="24"/>
          <w:szCs w:val="24"/>
          <w:highlight w:val="none"/>
          <w:u w:val="single" w:color="000000"/>
        </w:rPr>
        <w:t xml:space="preserve">   </w:t>
      </w:r>
      <w:r>
        <w:rPr>
          <w:rFonts w:hint="eastAsia" w:ascii="宋体" w:hAnsi="宋体"/>
          <w:color w:val="auto"/>
          <w:sz w:val="24"/>
          <w:szCs w:val="24"/>
          <w:highlight w:val="none"/>
        </w:rPr>
        <w:t>年</w:t>
      </w:r>
      <w:r>
        <w:rPr>
          <w:rFonts w:ascii="宋体" w:hAnsi="宋体"/>
          <w:color w:val="auto"/>
          <w:sz w:val="24"/>
          <w:szCs w:val="24"/>
          <w:highlight w:val="none"/>
          <w:u w:val="single" w:color="000000"/>
        </w:rPr>
        <w:tab/>
      </w:r>
      <w:r>
        <w:rPr>
          <w:rFonts w:ascii="宋体" w:hAnsi="宋体"/>
          <w:color w:val="auto"/>
          <w:sz w:val="24"/>
          <w:szCs w:val="24"/>
          <w:highlight w:val="none"/>
          <w:u w:val="single" w:color="000000"/>
        </w:rPr>
        <w:t xml:space="preserve"> </w:t>
      </w:r>
      <w:r>
        <w:rPr>
          <w:rFonts w:hint="eastAsia" w:ascii="宋体" w:hAnsi="宋体"/>
          <w:color w:val="auto"/>
          <w:sz w:val="24"/>
          <w:szCs w:val="24"/>
          <w:highlight w:val="none"/>
        </w:rPr>
        <w:t>月</w:t>
      </w:r>
      <w:r>
        <w:rPr>
          <w:rFonts w:ascii="宋体" w:hAnsi="宋体"/>
          <w:color w:val="auto"/>
          <w:sz w:val="24"/>
          <w:szCs w:val="24"/>
          <w:highlight w:val="none"/>
          <w:u w:val="single" w:color="000000"/>
        </w:rPr>
        <w:tab/>
      </w:r>
      <w:r>
        <w:rPr>
          <w:rFonts w:ascii="宋体" w:hAnsi="宋体"/>
          <w:color w:val="auto"/>
          <w:sz w:val="24"/>
          <w:szCs w:val="24"/>
          <w:highlight w:val="none"/>
          <w:u w:val="single" w:color="000000"/>
        </w:rPr>
        <w:t xml:space="preserve">  </w:t>
      </w:r>
      <w:r>
        <w:rPr>
          <w:rFonts w:hint="eastAsia" w:ascii="宋体" w:hAnsi="宋体"/>
          <w:color w:val="auto"/>
          <w:sz w:val="24"/>
          <w:szCs w:val="24"/>
          <w:highlight w:val="none"/>
        </w:rPr>
        <w:t>日</w:t>
      </w:r>
    </w:p>
    <w:p w14:paraId="664364DB">
      <w:pPr>
        <w:spacing w:line="360" w:lineRule="auto"/>
        <w:jc w:val="center"/>
        <w:rPr>
          <w:rFonts w:ascii="宋体" w:hAnsi="宋体"/>
          <w:b/>
          <w:bCs/>
          <w:color w:val="auto"/>
          <w:sz w:val="28"/>
          <w:szCs w:val="28"/>
          <w:highlight w:val="none"/>
        </w:rPr>
      </w:pPr>
      <w:bookmarkStart w:id="152" w:name="_Toc391394112"/>
      <w:bookmarkStart w:id="153" w:name="_Toc533334220"/>
      <w:bookmarkStart w:id="154" w:name="_Toc528170356"/>
      <w:bookmarkStart w:id="155" w:name="_Toc370676427"/>
      <w:bookmarkStart w:id="156" w:name="_Toc13516"/>
      <w:bookmarkStart w:id="157" w:name="_Toc385943066"/>
      <w:bookmarkStart w:id="158" w:name="_Toc359594236"/>
      <w:bookmarkStart w:id="159" w:name="_Toc482188652"/>
      <w:bookmarkStart w:id="160" w:name="_Toc532390635"/>
      <w:r>
        <w:rPr>
          <w:rFonts w:ascii="宋体" w:hAnsi="宋体"/>
          <w:b/>
          <w:color w:val="auto"/>
          <w:szCs w:val="21"/>
          <w:highlight w:val="none"/>
        </w:rPr>
        <w:br w:type="page"/>
      </w:r>
      <w:r>
        <w:rPr>
          <w:rFonts w:hint="eastAsia" w:ascii="宋体" w:hAnsi="宋体"/>
          <w:b/>
          <w:bCs/>
          <w:color w:val="auto"/>
          <w:sz w:val="28"/>
          <w:szCs w:val="28"/>
          <w:highlight w:val="none"/>
        </w:rPr>
        <w:t>（二）投标函附</w:t>
      </w:r>
      <w:bookmarkEnd w:id="152"/>
      <w:bookmarkEnd w:id="153"/>
      <w:bookmarkEnd w:id="154"/>
      <w:bookmarkEnd w:id="155"/>
      <w:bookmarkEnd w:id="156"/>
      <w:bookmarkEnd w:id="157"/>
      <w:bookmarkEnd w:id="158"/>
      <w:bookmarkEnd w:id="159"/>
      <w:bookmarkEnd w:id="160"/>
      <w:r>
        <w:rPr>
          <w:rFonts w:hint="eastAsia" w:ascii="宋体" w:hAnsi="宋体"/>
          <w:b/>
          <w:bCs/>
          <w:color w:val="auto"/>
          <w:sz w:val="28"/>
          <w:szCs w:val="28"/>
          <w:highlight w:val="none"/>
        </w:rPr>
        <w:t>表</w:t>
      </w:r>
    </w:p>
    <w:tbl>
      <w:tblPr>
        <w:tblStyle w:val="2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9"/>
        <w:gridCol w:w="1889"/>
        <w:gridCol w:w="4126"/>
        <w:gridCol w:w="1654"/>
      </w:tblGrid>
      <w:tr w14:paraId="687CBA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8" w:hRule="atLeast"/>
          <w:jc w:val="center"/>
        </w:trPr>
        <w:tc>
          <w:tcPr>
            <w:tcW w:w="769" w:type="dxa"/>
            <w:tcBorders>
              <w:top w:val="single" w:color="auto" w:sz="4" w:space="0"/>
              <w:left w:val="single" w:color="auto" w:sz="4" w:space="0"/>
              <w:bottom w:val="single" w:color="auto" w:sz="4" w:space="0"/>
              <w:right w:val="single" w:color="auto" w:sz="4" w:space="0"/>
            </w:tcBorders>
            <w:vAlign w:val="center"/>
          </w:tcPr>
          <w:p w14:paraId="7305F278">
            <w:pPr>
              <w:jc w:val="center"/>
              <w:rPr>
                <w:rFonts w:ascii="宋体" w:hAnsi="宋体"/>
                <w:b/>
                <w:color w:val="auto"/>
                <w:sz w:val="24"/>
                <w:szCs w:val="28"/>
                <w:highlight w:val="none"/>
              </w:rPr>
            </w:pPr>
            <w:r>
              <w:rPr>
                <w:rFonts w:hint="eastAsia" w:ascii="宋体" w:hAnsi="宋体"/>
                <w:b/>
                <w:color w:val="auto"/>
                <w:sz w:val="24"/>
                <w:szCs w:val="28"/>
                <w:highlight w:val="none"/>
              </w:rPr>
              <w:t>序号</w:t>
            </w:r>
          </w:p>
        </w:tc>
        <w:tc>
          <w:tcPr>
            <w:tcW w:w="1889" w:type="dxa"/>
            <w:tcBorders>
              <w:top w:val="single" w:color="auto" w:sz="4" w:space="0"/>
              <w:left w:val="single" w:color="auto" w:sz="4" w:space="0"/>
              <w:bottom w:val="single" w:color="auto" w:sz="4" w:space="0"/>
              <w:right w:val="single" w:color="auto" w:sz="4" w:space="0"/>
            </w:tcBorders>
            <w:vAlign w:val="center"/>
          </w:tcPr>
          <w:p w14:paraId="01FA24BA">
            <w:pPr>
              <w:jc w:val="center"/>
              <w:rPr>
                <w:rFonts w:ascii="宋体" w:hAnsi="宋体"/>
                <w:b/>
                <w:color w:val="auto"/>
                <w:sz w:val="24"/>
                <w:szCs w:val="28"/>
                <w:highlight w:val="none"/>
              </w:rPr>
            </w:pPr>
            <w:r>
              <w:rPr>
                <w:rFonts w:hint="eastAsia" w:ascii="宋体" w:hAnsi="宋体"/>
                <w:b/>
                <w:color w:val="auto"/>
                <w:sz w:val="24"/>
                <w:szCs w:val="28"/>
                <w:highlight w:val="none"/>
              </w:rPr>
              <w:t>条款名称</w:t>
            </w:r>
          </w:p>
        </w:tc>
        <w:tc>
          <w:tcPr>
            <w:tcW w:w="4126" w:type="dxa"/>
            <w:tcBorders>
              <w:top w:val="single" w:color="auto" w:sz="4" w:space="0"/>
              <w:left w:val="single" w:color="auto" w:sz="4" w:space="0"/>
              <w:bottom w:val="single" w:color="auto" w:sz="4" w:space="0"/>
              <w:right w:val="single" w:color="auto" w:sz="4" w:space="0"/>
            </w:tcBorders>
            <w:vAlign w:val="center"/>
          </w:tcPr>
          <w:p w14:paraId="5F20ADE6">
            <w:pPr>
              <w:jc w:val="center"/>
              <w:rPr>
                <w:rFonts w:ascii="宋体" w:hAnsi="宋体"/>
                <w:b/>
                <w:color w:val="auto"/>
                <w:sz w:val="24"/>
                <w:szCs w:val="28"/>
                <w:highlight w:val="none"/>
              </w:rPr>
            </w:pPr>
            <w:r>
              <w:rPr>
                <w:rFonts w:hint="eastAsia" w:ascii="宋体" w:hAnsi="宋体"/>
                <w:b/>
                <w:color w:val="auto"/>
                <w:sz w:val="24"/>
                <w:szCs w:val="28"/>
                <w:highlight w:val="none"/>
              </w:rPr>
              <w:t>约定内容</w:t>
            </w:r>
          </w:p>
        </w:tc>
        <w:tc>
          <w:tcPr>
            <w:tcW w:w="1654" w:type="dxa"/>
            <w:tcBorders>
              <w:top w:val="single" w:color="auto" w:sz="4" w:space="0"/>
              <w:left w:val="single" w:color="auto" w:sz="4" w:space="0"/>
              <w:bottom w:val="single" w:color="auto" w:sz="4" w:space="0"/>
              <w:right w:val="single" w:color="auto" w:sz="4" w:space="0"/>
            </w:tcBorders>
            <w:vAlign w:val="center"/>
          </w:tcPr>
          <w:p w14:paraId="01F3CF22">
            <w:pPr>
              <w:jc w:val="center"/>
              <w:rPr>
                <w:rFonts w:ascii="宋体" w:hAnsi="宋体"/>
                <w:b/>
                <w:color w:val="auto"/>
                <w:sz w:val="24"/>
                <w:szCs w:val="28"/>
                <w:highlight w:val="none"/>
              </w:rPr>
            </w:pPr>
            <w:r>
              <w:rPr>
                <w:rFonts w:hint="eastAsia" w:ascii="宋体" w:hAnsi="宋体"/>
                <w:b/>
                <w:color w:val="auto"/>
                <w:sz w:val="24"/>
                <w:szCs w:val="28"/>
                <w:highlight w:val="none"/>
              </w:rPr>
              <w:t>备注</w:t>
            </w:r>
          </w:p>
        </w:tc>
      </w:tr>
      <w:tr w14:paraId="0DEFB2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8" w:hRule="atLeast"/>
          <w:jc w:val="center"/>
        </w:trPr>
        <w:tc>
          <w:tcPr>
            <w:tcW w:w="769" w:type="dxa"/>
            <w:tcBorders>
              <w:top w:val="single" w:color="auto" w:sz="4" w:space="0"/>
              <w:left w:val="single" w:color="auto" w:sz="4" w:space="0"/>
              <w:bottom w:val="single" w:color="auto" w:sz="4" w:space="0"/>
              <w:right w:val="single" w:color="auto" w:sz="4" w:space="0"/>
            </w:tcBorders>
            <w:vAlign w:val="center"/>
          </w:tcPr>
          <w:p w14:paraId="497B4D63">
            <w:pPr>
              <w:jc w:val="center"/>
              <w:rPr>
                <w:rFonts w:ascii="宋体" w:hAnsi="宋体" w:cs="宋体"/>
                <w:color w:val="auto"/>
                <w:sz w:val="24"/>
                <w:szCs w:val="24"/>
                <w:highlight w:val="none"/>
              </w:rPr>
            </w:pPr>
            <w:r>
              <w:rPr>
                <w:rFonts w:hint="eastAsia" w:ascii="宋体" w:hAnsi="宋体" w:cs="宋体"/>
                <w:color w:val="auto"/>
                <w:sz w:val="24"/>
                <w:szCs w:val="24"/>
                <w:highlight w:val="none"/>
              </w:rPr>
              <w:t>1</w:t>
            </w:r>
          </w:p>
        </w:tc>
        <w:tc>
          <w:tcPr>
            <w:tcW w:w="1889" w:type="dxa"/>
            <w:tcBorders>
              <w:top w:val="single" w:color="auto" w:sz="4" w:space="0"/>
              <w:left w:val="single" w:color="auto" w:sz="4" w:space="0"/>
              <w:bottom w:val="single" w:color="auto" w:sz="4" w:space="0"/>
              <w:right w:val="single" w:color="auto" w:sz="4" w:space="0"/>
            </w:tcBorders>
            <w:vAlign w:val="center"/>
          </w:tcPr>
          <w:p w14:paraId="1863CD9C">
            <w:pPr>
              <w:jc w:val="center"/>
              <w:rPr>
                <w:rFonts w:ascii="宋体" w:hAnsi="宋体" w:cs="宋体"/>
                <w:color w:val="auto"/>
                <w:sz w:val="24"/>
                <w:szCs w:val="24"/>
                <w:highlight w:val="none"/>
              </w:rPr>
            </w:pPr>
            <w:r>
              <w:rPr>
                <w:rFonts w:hint="eastAsia" w:ascii="宋体" w:hAnsi="宋体" w:cs="宋体"/>
                <w:color w:val="auto"/>
                <w:sz w:val="24"/>
                <w:szCs w:val="24"/>
                <w:highlight w:val="none"/>
              </w:rPr>
              <w:t>项目负责人</w:t>
            </w:r>
          </w:p>
        </w:tc>
        <w:tc>
          <w:tcPr>
            <w:tcW w:w="4126" w:type="dxa"/>
            <w:tcBorders>
              <w:top w:val="single" w:color="auto" w:sz="4" w:space="0"/>
              <w:left w:val="single" w:color="auto" w:sz="4" w:space="0"/>
              <w:bottom w:val="single" w:color="auto" w:sz="4" w:space="0"/>
              <w:right w:val="single" w:color="auto" w:sz="4" w:space="0"/>
            </w:tcBorders>
            <w:vAlign w:val="center"/>
          </w:tcPr>
          <w:p w14:paraId="12341469">
            <w:pPr>
              <w:jc w:val="left"/>
              <w:rPr>
                <w:rFonts w:ascii="宋体" w:hAnsi="宋体" w:cs="宋体"/>
                <w:bCs/>
                <w:color w:val="auto"/>
                <w:sz w:val="24"/>
                <w:szCs w:val="24"/>
                <w:highlight w:val="none"/>
                <w:u w:val="single"/>
              </w:rPr>
            </w:pPr>
            <w:r>
              <w:rPr>
                <w:rFonts w:hint="eastAsia" w:ascii="宋体" w:hAnsi="宋体" w:cs="宋体"/>
                <w:bCs/>
                <w:color w:val="auto"/>
                <w:sz w:val="24"/>
                <w:szCs w:val="24"/>
                <w:highlight w:val="none"/>
              </w:rPr>
              <w:t>姓    名：</w:t>
            </w:r>
            <w:r>
              <w:rPr>
                <w:rFonts w:hint="eastAsia" w:ascii="宋体" w:hAnsi="宋体" w:cs="宋体"/>
                <w:bCs/>
                <w:color w:val="auto"/>
                <w:sz w:val="24"/>
                <w:szCs w:val="24"/>
                <w:highlight w:val="none"/>
                <w:u w:val="single"/>
              </w:rPr>
              <w:t xml:space="preserve">           </w:t>
            </w:r>
          </w:p>
          <w:p w14:paraId="3463585D">
            <w:pPr>
              <w:jc w:val="left"/>
              <w:rPr>
                <w:rFonts w:ascii="宋体" w:hAnsi="宋体" w:cs="宋体"/>
                <w:bCs/>
                <w:color w:val="auto"/>
                <w:sz w:val="24"/>
                <w:szCs w:val="24"/>
                <w:highlight w:val="none"/>
              </w:rPr>
            </w:pPr>
            <w:r>
              <w:rPr>
                <w:rFonts w:hint="eastAsia" w:ascii="宋体" w:hAnsi="宋体" w:cs="宋体"/>
                <w:bCs/>
                <w:color w:val="auto"/>
                <w:sz w:val="24"/>
                <w:szCs w:val="24"/>
                <w:highlight w:val="none"/>
              </w:rPr>
              <w:t>技术职称：</w:t>
            </w:r>
            <w:r>
              <w:rPr>
                <w:rFonts w:hint="eastAsia" w:ascii="宋体" w:hAnsi="宋体" w:cs="宋体"/>
                <w:bCs/>
                <w:color w:val="auto"/>
                <w:sz w:val="24"/>
                <w:szCs w:val="24"/>
                <w:highlight w:val="none"/>
                <w:u w:val="single"/>
              </w:rPr>
              <w:t xml:space="preserve">           </w:t>
            </w:r>
          </w:p>
          <w:p w14:paraId="67CD474D">
            <w:pPr>
              <w:jc w:val="left"/>
              <w:rPr>
                <w:rFonts w:ascii="宋体" w:hAnsi="宋体" w:cs="宋体"/>
                <w:bCs/>
                <w:color w:val="auto"/>
                <w:sz w:val="24"/>
                <w:szCs w:val="24"/>
                <w:highlight w:val="none"/>
              </w:rPr>
            </w:pPr>
            <w:r>
              <w:rPr>
                <w:rFonts w:hint="eastAsia" w:ascii="宋体" w:hAnsi="宋体" w:cs="宋体"/>
                <w:bCs/>
                <w:color w:val="auto"/>
                <w:sz w:val="24"/>
                <w:szCs w:val="24"/>
                <w:highlight w:val="none"/>
              </w:rPr>
              <w:t>专    业：</w:t>
            </w:r>
            <w:r>
              <w:rPr>
                <w:rFonts w:hint="eastAsia" w:ascii="宋体" w:hAnsi="宋体" w:cs="宋体"/>
                <w:bCs/>
                <w:color w:val="auto"/>
                <w:sz w:val="24"/>
                <w:szCs w:val="24"/>
                <w:highlight w:val="none"/>
                <w:u w:val="single"/>
              </w:rPr>
              <w:t xml:space="preserve">           </w:t>
            </w:r>
          </w:p>
        </w:tc>
        <w:tc>
          <w:tcPr>
            <w:tcW w:w="1654" w:type="dxa"/>
            <w:tcBorders>
              <w:top w:val="single" w:color="auto" w:sz="4" w:space="0"/>
              <w:left w:val="single" w:color="auto" w:sz="4" w:space="0"/>
              <w:bottom w:val="single" w:color="auto" w:sz="4" w:space="0"/>
              <w:right w:val="single" w:color="auto" w:sz="4" w:space="0"/>
            </w:tcBorders>
            <w:vAlign w:val="center"/>
          </w:tcPr>
          <w:p w14:paraId="5AB91FE5">
            <w:pPr>
              <w:jc w:val="center"/>
              <w:rPr>
                <w:rFonts w:ascii="宋体" w:hAnsi="宋体"/>
                <w:b/>
                <w:color w:val="auto"/>
                <w:szCs w:val="21"/>
                <w:highlight w:val="none"/>
              </w:rPr>
            </w:pPr>
          </w:p>
        </w:tc>
      </w:tr>
      <w:tr w14:paraId="513740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8" w:hRule="atLeast"/>
          <w:jc w:val="center"/>
        </w:trPr>
        <w:tc>
          <w:tcPr>
            <w:tcW w:w="769" w:type="dxa"/>
            <w:tcBorders>
              <w:top w:val="single" w:color="auto" w:sz="4" w:space="0"/>
              <w:left w:val="single" w:color="auto" w:sz="4" w:space="0"/>
              <w:bottom w:val="single" w:color="auto" w:sz="4" w:space="0"/>
              <w:right w:val="single" w:color="auto" w:sz="4" w:space="0"/>
            </w:tcBorders>
            <w:vAlign w:val="center"/>
          </w:tcPr>
          <w:p w14:paraId="3949B69C">
            <w:pPr>
              <w:jc w:val="center"/>
              <w:rPr>
                <w:rFonts w:ascii="宋体" w:hAnsi="宋体" w:cs="宋体"/>
                <w:color w:val="auto"/>
                <w:sz w:val="24"/>
                <w:szCs w:val="24"/>
                <w:highlight w:val="none"/>
              </w:rPr>
            </w:pPr>
            <w:r>
              <w:rPr>
                <w:rFonts w:hint="eastAsia" w:ascii="宋体" w:hAnsi="宋体" w:cs="宋体"/>
                <w:color w:val="auto"/>
                <w:sz w:val="24"/>
                <w:szCs w:val="24"/>
                <w:highlight w:val="none"/>
              </w:rPr>
              <w:t>2</w:t>
            </w:r>
          </w:p>
        </w:tc>
        <w:tc>
          <w:tcPr>
            <w:tcW w:w="1889" w:type="dxa"/>
            <w:tcBorders>
              <w:top w:val="single" w:color="auto" w:sz="4" w:space="0"/>
              <w:left w:val="single" w:color="auto" w:sz="4" w:space="0"/>
              <w:bottom w:val="single" w:color="auto" w:sz="4" w:space="0"/>
              <w:right w:val="single" w:color="auto" w:sz="4" w:space="0"/>
            </w:tcBorders>
            <w:vAlign w:val="center"/>
          </w:tcPr>
          <w:p w14:paraId="04DB2DAE">
            <w:pPr>
              <w:jc w:val="center"/>
              <w:rPr>
                <w:rFonts w:ascii="宋体" w:hAnsi="宋体" w:cs="宋体"/>
                <w:color w:val="auto"/>
                <w:sz w:val="24"/>
                <w:szCs w:val="24"/>
                <w:highlight w:val="none"/>
              </w:rPr>
            </w:pPr>
            <w:r>
              <w:rPr>
                <w:rFonts w:hint="eastAsia" w:ascii="宋体" w:hAnsi="宋体" w:cs="宋体"/>
                <w:color w:val="auto"/>
                <w:sz w:val="24"/>
                <w:szCs w:val="24"/>
                <w:highlight w:val="none"/>
              </w:rPr>
              <w:t>服务期限</w:t>
            </w:r>
          </w:p>
        </w:tc>
        <w:tc>
          <w:tcPr>
            <w:tcW w:w="4126" w:type="dxa"/>
            <w:tcBorders>
              <w:top w:val="single" w:color="auto" w:sz="4" w:space="0"/>
              <w:left w:val="single" w:color="auto" w:sz="4" w:space="0"/>
              <w:bottom w:val="single" w:color="auto" w:sz="4" w:space="0"/>
              <w:right w:val="single" w:color="auto" w:sz="4" w:space="0"/>
            </w:tcBorders>
            <w:vAlign w:val="center"/>
          </w:tcPr>
          <w:p w14:paraId="5F57E7B3">
            <w:pPr>
              <w:jc w:val="left"/>
              <w:rPr>
                <w:rFonts w:ascii="宋体" w:hAnsi="宋体" w:cs="宋体"/>
                <w:bCs/>
                <w:color w:val="auto"/>
                <w:sz w:val="24"/>
                <w:szCs w:val="24"/>
                <w:highlight w:val="none"/>
              </w:rPr>
            </w:pPr>
            <w:r>
              <w:rPr>
                <w:rFonts w:hint="eastAsia" w:ascii="宋体" w:hAnsi="宋体" w:cs="宋体"/>
                <w:bCs/>
                <w:color w:val="auto"/>
                <w:sz w:val="24"/>
                <w:szCs w:val="24"/>
                <w:highlight w:val="none"/>
              </w:rPr>
              <w:t>按招标文件要求</w:t>
            </w:r>
          </w:p>
        </w:tc>
        <w:tc>
          <w:tcPr>
            <w:tcW w:w="1654" w:type="dxa"/>
            <w:tcBorders>
              <w:top w:val="single" w:color="auto" w:sz="4" w:space="0"/>
              <w:left w:val="single" w:color="auto" w:sz="4" w:space="0"/>
              <w:bottom w:val="single" w:color="auto" w:sz="4" w:space="0"/>
              <w:right w:val="single" w:color="auto" w:sz="4" w:space="0"/>
            </w:tcBorders>
            <w:vAlign w:val="center"/>
          </w:tcPr>
          <w:p w14:paraId="0701ECD5">
            <w:pPr>
              <w:jc w:val="center"/>
              <w:rPr>
                <w:rFonts w:ascii="宋体" w:hAnsi="宋体"/>
                <w:b/>
                <w:color w:val="auto"/>
                <w:szCs w:val="21"/>
                <w:highlight w:val="none"/>
              </w:rPr>
            </w:pPr>
          </w:p>
        </w:tc>
      </w:tr>
      <w:tr w14:paraId="05F218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8" w:hRule="atLeast"/>
          <w:jc w:val="center"/>
        </w:trPr>
        <w:tc>
          <w:tcPr>
            <w:tcW w:w="769" w:type="dxa"/>
            <w:tcBorders>
              <w:top w:val="single" w:color="auto" w:sz="4" w:space="0"/>
              <w:left w:val="single" w:color="auto" w:sz="4" w:space="0"/>
              <w:bottom w:val="single" w:color="auto" w:sz="4" w:space="0"/>
              <w:right w:val="single" w:color="auto" w:sz="4" w:space="0"/>
            </w:tcBorders>
            <w:vAlign w:val="center"/>
          </w:tcPr>
          <w:p w14:paraId="32462C42">
            <w:pPr>
              <w:jc w:val="center"/>
              <w:rPr>
                <w:rFonts w:ascii="宋体" w:hAnsi="宋体" w:cs="宋体"/>
                <w:color w:val="auto"/>
                <w:sz w:val="24"/>
                <w:szCs w:val="24"/>
                <w:highlight w:val="none"/>
              </w:rPr>
            </w:pPr>
            <w:r>
              <w:rPr>
                <w:rFonts w:hint="eastAsia" w:ascii="宋体" w:hAnsi="宋体" w:cs="宋体"/>
                <w:color w:val="auto"/>
                <w:sz w:val="24"/>
                <w:szCs w:val="24"/>
                <w:highlight w:val="none"/>
              </w:rPr>
              <w:t>3</w:t>
            </w:r>
          </w:p>
        </w:tc>
        <w:tc>
          <w:tcPr>
            <w:tcW w:w="1889" w:type="dxa"/>
            <w:tcBorders>
              <w:top w:val="single" w:color="auto" w:sz="4" w:space="0"/>
              <w:left w:val="single" w:color="auto" w:sz="4" w:space="0"/>
              <w:bottom w:val="single" w:color="auto" w:sz="4" w:space="0"/>
              <w:right w:val="single" w:color="auto" w:sz="4" w:space="0"/>
            </w:tcBorders>
            <w:vAlign w:val="center"/>
          </w:tcPr>
          <w:p w14:paraId="3315C269">
            <w:pPr>
              <w:jc w:val="center"/>
              <w:rPr>
                <w:rFonts w:ascii="宋体" w:hAnsi="宋体" w:cs="宋体"/>
                <w:color w:val="auto"/>
                <w:sz w:val="24"/>
                <w:szCs w:val="24"/>
                <w:highlight w:val="none"/>
              </w:rPr>
            </w:pPr>
            <w:r>
              <w:rPr>
                <w:rFonts w:hint="eastAsia" w:ascii="宋体" w:hAnsi="宋体" w:cs="宋体"/>
                <w:color w:val="auto"/>
                <w:sz w:val="24"/>
                <w:szCs w:val="24"/>
                <w:highlight w:val="none"/>
              </w:rPr>
              <w:t>合同价款</w:t>
            </w:r>
          </w:p>
          <w:p w14:paraId="1EAF1BE3">
            <w:pPr>
              <w:jc w:val="center"/>
              <w:rPr>
                <w:rFonts w:ascii="宋体" w:hAnsi="宋体" w:cs="宋体"/>
                <w:color w:val="auto"/>
                <w:sz w:val="24"/>
                <w:szCs w:val="24"/>
                <w:highlight w:val="none"/>
              </w:rPr>
            </w:pPr>
            <w:r>
              <w:rPr>
                <w:rFonts w:hint="eastAsia" w:ascii="宋体" w:hAnsi="宋体" w:cs="宋体"/>
                <w:color w:val="auto"/>
                <w:sz w:val="24"/>
                <w:szCs w:val="24"/>
                <w:highlight w:val="none"/>
              </w:rPr>
              <w:t>确定方式</w:t>
            </w:r>
          </w:p>
        </w:tc>
        <w:tc>
          <w:tcPr>
            <w:tcW w:w="4126" w:type="dxa"/>
            <w:tcBorders>
              <w:top w:val="single" w:color="auto" w:sz="4" w:space="0"/>
              <w:left w:val="single" w:color="auto" w:sz="4" w:space="0"/>
              <w:bottom w:val="single" w:color="auto" w:sz="4" w:space="0"/>
              <w:right w:val="single" w:color="auto" w:sz="4" w:space="0"/>
            </w:tcBorders>
            <w:vAlign w:val="center"/>
          </w:tcPr>
          <w:p w14:paraId="510F24FE">
            <w:pPr>
              <w:jc w:val="left"/>
              <w:rPr>
                <w:rFonts w:ascii="宋体" w:hAnsi="宋体" w:cs="宋体"/>
                <w:bCs/>
                <w:color w:val="auto"/>
                <w:sz w:val="24"/>
                <w:szCs w:val="24"/>
                <w:highlight w:val="none"/>
              </w:rPr>
            </w:pPr>
            <w:r>
              <w:rPr>
                <w:rFonts w:hint="eastAsia" w:ascii="宋体" w:hAnsi="宋体" w:cs="宋体"/>
                <w:bCs/>
                <w:color w:val="auto"/>
                <w:sz w:val="24"/>
                <w:szCs w:val="24"/>
                <w:highlight w:val="none"/>
              </w:rPr>
              <w:t>按招标文件要求</w:t>
            </w:r>
          </w:p>
        </w:tc>
        <w:tc>
          <w:tcPr>
            <w:tcW w:w="1654" w:type="dxa"/>
            <w:tcBorders>
              <w:top w:val="single" w:color="auto" w:sz="4" w:space="0"/>
              <w:left w:val="single" w:color="auto" w:sz="4" w:space="0"/>
              <w:bottom w:val="single" w:color="auto" w:sz="4" w:space="0"/>
              <w:right w:val="single" w:color="auto" w:sz="4" w:space="0"/>
            </w:tcBorders>
            <w:vAlign w:val="center"/>
          </w:tcPr>
          <w:p w14:paraId="3D5C32AA">
            <w:pPr>
              <w:jc w:val="center"/>
              <w:rPr>
                <w:rFonts w:ascii="宋体" w:hAnsi="宋体"/>
                <w:b/>
                <w:color w:val="auto"/>
                <w:szCs w:val="21"/>
                <w:highlight w:val="none"/>
              </w:rPr>
            </w:pPr>
          </w:p>
        </w:tc>
      </w:tr>
      <w:tr w14:paraId="1F7376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8" w:hRule="atLeast"/>
          <w:jc w:val="center"/>
        </w:trPr>
        <w:tc>
          <w:tcPr>
            <w:tcW w:w="769" w:type="dxa"/>
            <w:tcBorders>
              <w:top w:val="single" w:color="auto" w:sz="4" w:space="0"/>
              <w:left w:val="single" w:color="auto" w:sz="4" w:space="0"/>
              <w:bottom w:val="single" w:color="auto" w:sz="4" w:space="0"/>
              <w:right w:val="single" w:color="auto" w:sz="4" w:space="0"/>
            </w:tcBorders>
            <w:vAlign w:val="center"/>
          </w:tcPr>
          <w:p w14:paraId="5CB302AF">
            <w:pPr>
              <w:jc w:val="center"/>
              <w:rPr>
                <w:rFonts w:ascii="宋体" w:hAnsi="宋体" w:cs="宋体"/>
                <w:color w:val="auto"/>
                <w:sz w:val="24"/>
                <w:szCs w:val="24"/>
                <w:highlight w:val="none"/>
              </w:rPr>
            </w:pPr>
            <w:r>
              <w:rPr>
                <w:rFonts w:hint="eastAsia" w:ascii="宋体" w:hAnsi="宋体" w:cs="宋体"/>
                <w:color w:val="auto"/>
                <w:sz w:val="24"/>
                <w:szCs w:val="24"/>
                <w:highlight w:val="none"/>
              </w:rPr>
              <w:t>4</w:t>
            </w:r>
          </w:p>
        </w:tc>
        <w:tc>
          <w:tcPr>
            <w:tcW w:w="1889" w:type="dxa"/>
            <w:tcBorders>
              <w:top w:val="single" w:color="auto" w:sz="4" w:space="0"/>
              <w:left w:val="single" w:color="auto" w:sz="4" w:space="0"/>
              <w:bottom w:val="single" w:color="auto" w:sz="4" w:space="0"/>
              <w:right w:val="single" w:color="auto" w:sz="4" w:space="0"/>
            </w:tcBorders>
            <w:vAlign w:val="center"/>
          </w:tcPr>
          <w:p w14:paraId="245C3E40">
            <w:pPr>
              <w:jc w:val="center"/>
              <w:rPr>
                <w:rFonts w:ascii="宋体" w:hAnsi="宋体" w:cs="宋体"/>
                <w:color w:val="auto"/>
                <w:sz w:val="24"/>
                <w:szCs w:val="24"/>
                <w:highlight w:val="none"/>
              </w:rPr>
            </w:pPr>
            <w:r>
              <w:rPr>
                <w:rFonts w:hint="eastAsia" w:ascii="宋体" w:hAnsi="宋体" w:cs="宋体"/>
                <w:color w:val="auto"/>
                <w:sz w:val="24"/>
                <w:szCs w:val="24"/>
                <w:highlight w:val="none"/>
              </w:rPr>
              <w:t>质量标准</w:t>
            </w:r>
          </w:p>
        </w:tc>
        <w:tc>
          <w:tcPr>
            <w:tcW w:w="4126" w:type="dxa"/>
            <w:tcBorders>
              <w:top w:val="single" w:color="auto" w:sz="4" w:space="0"/>
              <w:left w:val="single" w:color="auto" w:sz="4" w:space="0"/>
              <w:bottom w:val="single" w:color="auto" w:sz="4" w:space="0"/>
              <w:right w:val="single" w:color="auto" w:sz="4" w:space="0"/>
            </w:tcBorders>
            <w:vAlign w:val="center"/>
          </w:tcPr>
          <w:p w14:paraId="5434762C">
            <w:pPr>
              <w:jc w:val="left"/>
              <w:rPr>
                <w:rFonts w:ascii="宋体" w:hAnsi="宋体" w:cs="宋体"/>
                <w:bCs/>
                <w:color w:val="auto"/>
                <w:sz w:val="24"/>
                <w:szCs w:val="24"/>
                <w:highlight w:val="none"/>
              </w:rPr>
            </w:pPr>
            <w:r>
              <w:rPr>
                <w:rFonts w:hint="eastAsia" w:ascii="宋体" w:hAnsi="宋体" w:cs="宋体"/>
                <w:bCs/>
                <w:color w:val="auto"/>
                <w:sz w:val="24"/>
                <w:szCs w:val="24"/>
                <w:highlight w:val="none"/>
              </w:rPr>
              <w:t>符合国家及省、市</w:t>
            </w:r>
            <w:r>
              <w:rPr>
                <w:rFonts w:hint="eastAsia" w:ascii="宋体" w:hAnsi="宋体" w:cs="宋体"/>
                <w:bCs/>
                <w:color w:val="auto"/>
                <w:sz w:val="24"/>
                <w:szCs w:val="24"/>
                <w:highlight w:val="none"/>
                <w:lang w:eastAsia="zh-CN"/>
              </w:rPr>
              <w:t>、</w:t>
            </w:r>
            <w:r>
              <w:rPr>
                <w:rFonts w:hint="eastAsia" w:ascii="宋体" w:hAnsi="宋体" w:cs="宋体"/>
                <w:bCs/>
                <w:color w:val="auto"/>
                <w:sz w:val="24"/>
                <w:szCs w:val="24"/>
                <w:highlight w:val="none"/>
                <w:lang w:val="en-US" w:eastAsia="zh-CN"/>
              </w:rPr>
              <w:t>区</w:t>
            </w:r>
            <w:r>
              <w:rPr>
                <w:rFonts w:hint="eastAsia" w:ascii="宋体" w:hAnsi="宋体" w:cs="宋体"/>
                <w:bCs/>
                <w:color w:val="auto"/>
                <w:sz w:val="24"/>
                <w:szCs w:val="24"/>
                <w:highlight w:val="none"/>
              </w:rPr>
              <w:t>有关检测标准。</w:t>
            </w:r>
          </w:p>
        </w:tc>
        <w:tc>
          <w:tcPr>
            <w:tcW w:w="1654" w:type="dxa"/>
            <w:tcBorders>
              <w:top w:val="single" w:color="auto" w:sz="4" w:space="0"/>
              <w:left w:val="single" w:color="auto" w:sz="4" w:space="0"/>
              <w:bottom w:val="single" w:color="auto" w:sz="4" w:space="0"/>
              <w:right w:val="single" w:color="auto" w:sz="4" w:space="0"/>
            </w:tcBorders>
            <w:vAlign w:val="center"/>
          </w:tcPr>
          <w:p w14:paraId="1F3EDA00">
            <w:pPr>
              <w:jc w:val="center"/>
              <w:rPr>
                <w:rFonts w:ascii="宋体" w:hAnsi="宋体"/>
                <w:b/>
                <w:color w:val="auto"/>
                <w:szCs w:val="21"/>
                <w:highlight w:val="none"/>
              </w:rPr>
            </w:pPr>
          </w:p>
        </w:tc>
      </w:tr>
      <w:tr w14:paraId="03EF1D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4" w:hRule="atLeast"/>
          <w:jc w:val="center"/>
        </w:trPr>
        <w:tc>
          <w:tcPr>
            <w:tcW w:w="769" w:type="dxa"/>
            <w:vMerge w:val="restart"/>
            <w:tcBorders>
              <w:top w:val="single" w:color="auto" w:sz="4" w:space="0"/>
              <w:left w:val="single" w:color="auto" w:sz="4" w:space="0"/>
              <w:right w:val="single" w:color="auto" w:sz="4" w:space="0"/>
            </w:tcBorders>
            <w:vAlign w:val="center"/>
          </w:tcPr>
          <w:p w14:paraId="3B2D4B30">
            <w:pPr>
              <w:jc w:val="center"/>
              <w:rPr>
                <w:rFonts w:ascii="宋体" w:hAnsi="宋体" w:cs="宋体"/>
                <w:color w:val="auto"/>
                <w:sz w:val="24"/>
                <w:szCs w:val="24"/>
                <w:highlight w:val="none"/>
              </w:rPr>
            </w:pPr>
            <w:r>
              <w:rPr>
                <w:rFonts w:hint="eastAsia" w:ascii="宋体" w:hAnsi="宋体" w:cs="宋体"/>
                <w:color w:val="auto"/>
                <w:sz w:val="24"/>
                <w:szCs w:val="24"/>
                <w:highlight w:val="none"/>
              </w:rPr>
              <w:t>5</w:t>
            </w:r>
          </w:p>
        </w:tc>
        <w:tc>
          <w:tcPr>
            <w:tcW w:w="1889" w:type="dxa"/>
            <w:vMerge w:val="restart"/>
            <w:tcBorders>
              <w:top w:val="single" w:color="auto" w:sz="4" w:space="0"/>
              <w:left w:val="single" w:color="auto" w:sz="4" w:space="0"/>
              <w:right w:val="single" w:color="auto" w:sz="4" w:space="0"/>
            </w:tcBorders>
            <w:vAlign w:val="center"/>
          </w:tcPr>
          <w:p w14:paraId="626A2214">
            <w:pPr>
              <w:jc w:val="center"/>
              <w:rPr>
                <w:rFonts w:ascii="宋体" w:hAnsi="宋体" w:cs="宋体"/>
                <w:color w:val="auto"/>
                <w:sz w:val="24"/>
                <w:szCs w:val="24"/>
                <w:highlight w:val="none"/>
              </w:rPr>
            </w:pPr>
            <w:r>
              <w:rPr>
                <w:rFonts w:hint="eastAsia" w:ascii="宋体" w:hAnsi="宋体" w:cs="宋体"/>
                <w:color w:val="auto"/>
                <w:sz w:val="24"/>
                <w:szCs w:val="24"/>
                <w:highlight w:val="none"/>
              </w:rPr>
              <w:t>投标报价</w:t>
            </w:r>
          </w:p>
        </w:tc>
        <w:tc>
          <w:tcPr>
            <w:tcW w:w="4126" w:type="dxa"/>
            <w:tcBorders>
              <w:top w:val="single" w:color="auto" w:sz="4" w:space="0"/>
              <w:left w:val="single" w:color="auto" w:sz="4" w:space="0"/>
              <w:bottom w:val="single" w:color="auto" w:sz="4" w:space="0"/>
              <w:right w:val="single" w:color="auto" w:sz="4" w:space="0"/>
            </w:tcBorders>
            <w:vAlign w:val="center"/>
          </w:tcPr>
          <w:p w14:paraId="0A6D976F">
            <w:pPr>
              <w:jc w:val="left"/>
              <w:rPr>
                <w:rFonts w:ascii="宋体" w:hAnsi="宋体" w:cs="宋体"/>
                <w:bCs/>
                <w:color w:val="auto"/>
                <w:sz w:val="24"/>
                <w:szCs w:val="24"/>
                <w:highlight w:val="none"/>
                <w:u w:val="single"/>
              </w:rPr>
            </w:pPr>
            <w:r>
              <w:rPr>
                <w:rFonts w:hint="eastAsia" w:ascii="宋体" w:hAnsi="宋体" w:cs="宋体"/>
                <w:bCs/>
                <w:color w:val="auto"/>
                <w:sz w:val="24"/>
                <w:szCs w:val="24"/>
                <w:highlight w:val="none"/>
              </w:rPr>
              <w:t xml:space="preserve">大写： </w:t>
            </w:r>
            <w:r>
              <w:rPr>
                <w:rFonts w:hint="eastAsia" w:ascii="宋体" w:hAnsi="宋体" w:cs="宋体"/>
                <w:bCs/>
                <w:color w:val="auto"/>
                <w:sz w:val="24"/>
                <w:szCs w:val="24"/>
                <w:highlight w:val="none"/>
                <w:u w:val="single"/>
              </w:rPr>
              <w:t xml:space="preserve">        </w:t>
            </w:r>
          </w:p>
          <w:p w14:paraId="7577F5F3">
            <w:pPr>
              <w:jc w:val="left"/>
              <w:rPr>
                <w:rFonts w:ascii="宋体" w:hAnsi="宋体" w:cs="宋体"/>
                <w:bCs/>
                <w:color w:val="auto"/>
                <w:sz w:val="24"/>
                <w:szCs w:val="24"/>
                <w:highlight w:val="none"/>
              </w:rPr>
            </w:pPr>
            <w:r>
              <w:rPr>
                <w:rFonts w:hint="eastAsia" w:ascii="宋体" w:hAnsi="宋体" w:cs="宋体"/>
                <w:bCs/>
                <w:color w:val="auto"/>
                <w:sz w:val="24"/>
                <w:szCs w:val="24"/>
                <w:highlight w:val="none"/>
              </w:rPr>
              <w:t xml:space="preserve">小写： </w:t>
            </w:r>
            <w:r>
              <w:rPr>
                <w:rFonts w:hint="eastAsia" w:ascii="宋体" w:hAnsi="宋体" w:cs="宋体"/>
                <w:bCs/>
                <w:color w:val="auto"/>
                <w:sz w:val="24"/>
                <w:szCs w:val="24"/>
                <w:highlight w:val="none"/>
                <w:u w:val="single"/>
              </w:rPr>
              <w:t xml:space="preserve">        </w:t>
            </w:r>
          </w:p>
        </w:tc>
        <w:tc>
          <w:tcPr>
            <w:tcW w:w="1654" w:type="dxa"/>
            <w:tcBorders>
              <w:top w:val="single" w:color="auto" w:sz="4" w:space="0"/>
              <w:left w:val="single" w:color="auto" w:sz="4" w:space="0"/>
              <w:bottom w:val="single" w:color="auto" w:sz="4" w:space="0"/>
              <w:right w:val="single" w:color="auto" w:sz="4" w:space="0"/>
            </w:tcBorders>
            <w:vAlign w:val="center"/>
          </w:tcPr>
          <w:p w14:paraId="035248B7">
            <w:pPr>
              <w:jc w:val="center"/>
              <w:rPr>
                <w:rFonts w:ascii="宋体" w:hAnsi="宋体"/>
                <w:b/>
                <w:color w:val="auto"/>
                <w:szCs w:val="21"/>
                <w:highlight w:val="none"/>
              </w:rPr>
            </w:pPr>
            <w:r>
              <w:rPr>
                <w:rFonts w:hint="eastAsia" w:ascii="宋体" w:hAnsi="宋体"/>
                <w:b/>
                <w:color w:val="auto"/>
                <w:szCs w:val="21"/>
                <w:highlight w:val="none"/>
              </w:rPr>
              <w:t>以“元”为单位，精确到小数点后2位。</w:t>
            </w:r>
          </w:p>
        </w:tc>
      </w:tr>
      <w:tr w14:paraId="493E83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69" w:type="dxa"/>
            <w:vMerge w:val="continue"/>
            <w:tcBorders>
              <w:left w:val="single" w:color="auto" w:sz="4" w:space="0"/>
              <w:bottom w:val="single" w:color="auto" w:sz="4" w:space="0"/>
              <w:right w:val="single" w:color="auto" w:sz="4" w:space="0"/>
            </w:tcBorders>
            <w:vAlign w:val="center"/>
          </w:tcPr>
          <w:p w14:paraId="4984A116">
            <w:pPr>
              <w:jc w:val="center"/>
              <w:rPr>
                <w:rFonts w:ascii="宋体" w:hAnsi="宋体" w:cs="宋体"/>
                <w:color w:val="auto"/>
                <w:sz w:val="24"/>
                <w:szCs w:val="24"/>
                <w:highlight w:val="none"/>
              </w:rPr>
            </w:pPr>
          </w:p>
        </w:tc>
        <w:tc>
          <w:tcPr>
            <w:tcW w:w="1889" w:type="dxa"/>
            <w:vMerge w:val="continue"/>
            <w:tcBorders>
              <w:left w:val="single" w:color="auto" w:sz="4" w:space="0"/>
              <w:bottom w:val="single" w:color="auto" w:sz="4" w:space="0"/>
              <w:right w:val="single" w:color="auto" w:sz="4" w:space="0"/>
            </w:tcBorders>
            <w:vAlign w:val="center"/>
          </w:tcPr>
          <w:p w14:paraId="25CD824C">
            <w:pPr>
              <w:jc w:val="center"/>
              <w:rPr>
                <w:rFonts w:ascii="宋体" w:hAnsi="宋体" w:cs="宋体"/>
                <w:color w:val="auto"/>
                <w:sz w:val="24"/>
                <w:szCs w:val="24"/>
                <w:highlight w:val="none"/>
              </w:rPr>
            </w:pPr>
          </w:p>
        </w:tc>
        <w:tc>
          <w:tcPr>
            <w:tcW w:w="4126" w:type="dxa"/>
            <w:tcBorders>
              <w:top w:val="single" w:color="auto" w:sz="4" w:space="0"/>
              <w:left w:val="single" w:color="auto" w:sz="4" w:space="0"/>
              <w:bottom w:val="single" w:color="auto" w:sz="4" w:space="0"/>
              <w:right w:val="single" w:color="auto" w:sz="4" w:space="0"/>
            </w:tcBorders>
            <w:vAlign w:val="center"/>
          </w:tcPr>
          <w:p w14:paraId="3EC73E99">
            <w:pPr>
              <w:jc w:val="left"/>
              <w:rPr>
                <w:rFonts w:ascii="宋体" w:hAnsi="宋体" w:cs="宋体"/>
                <w:bCs/>
                <w:color w:val="auto"/>
                <w:sz w:val="24"/>
                <w:szCs w:val="24"/>
                <w:highlight w:val="none"/>
              </w:rPr>
            </w:pPr>
            <w:r>
              <w:rPr>
                <w:rFonts w:hint="eastAsia" w:ascii="宋体" w:hAnsi="宋体" w:cs="宋体"/>
                <w:bCs/>
                <w:color w:val="auto"/>
                <w:sz w:val="24"/>
                <w:szCs w:val="24"/>
                <w:highlight w:val="none"/>
              </w:rPr>
              <w:t>投标下浮率：</w:t>
            </w:r>
            <w:r>
              <w:rPr>
                <w:rFonts w:hint="eastAsia" w:ascii="宋体" w:hAnsi="宋体" w:cs="宋体"/>
                <w:bCs/>
                <w:color w:val="auto"/>
                <w:sz w:val="24"/>
                <w:szCs w:val="24"/>
                <w:highlight w:val="none"/>
                <w:u w:val="single"/>
              </w:rPr>
              <w:t xml:space="preserve">           </w:t>
            </w:r>
          </w:p>
        </w:tc>
        <w:tc>
          <w:tcPr>
            <w:tcW w:w="1654" w:type="dxa"/>
            <w:tcBorders>
              <w:top w:val="single" w:color="auto" w:sz="4" w:space="0"/>
              <w:left w:val="single" w:color="auto" w:sz="4" w:space="0"/>
              <w:bottom w:val="single" w:color="auto" w:sz="4" w:space="0"/>
              <w:right w:val="single" w:color="auto" w:sz="4" w:space="0"/>
            </w:tcBorders>
            <w:vAlign w:val="center"/>
          </w:tcPr>
          <w:p w14:paraId="5E239387">
            <w:pPr>
              <w:jc w:val="center"/>
              <w:rPr>
                <w:rFonts w:ascii="宋体" w:hAnsi="宋体"/>
                <w:b/>
                <w:color w:val="auto"/>
                <w:szCs w:val="21"/>
                <w:highlight w:val="none"/>
              </w:rPr>
            </w:pPr>
            <w:r>
              <w:rPr>
                <w:rFonts w:hint="eastAsia" w:ascii="宋体" w:hAnsi="宋体"/>
                <w:b/>
                <w:color w:val="auto"/>
                <w:szCs w:val="21"/>
                <w:highlight w:val="none"/>
              </w:rPr>
              <w:t>（1-投标报价/</w:t>
            </w:r>
            <w:r>
              <w:rPr>
                <w:rFonts w:hint="eastAsia" w:ascii="Calibri" w:hAnsi="Calibri"/>
                <w:b/>
                <w:bCs w:val="0"/>
                <w:color w:val="auto"/>
                <w:highlight w:val="none"/>
                <w:u w:val="none"/>
                <w:lang w:val="en-US" w:eastAsia="zh-CN"/>
              </w:rPr>
              <w:t>投标基准价</w:t>
            </w:r>
            <w:r>
              <w:rPr>
                <w:rFonts w:hint="eastAsia" w:ascii="宋体" w:hAnsi="宋体"/>
                <w:b/>
                <w:color w:val="auto"/>
                <w:szCs w:val="21"/>
                <w:highlight w:val="none"/>
              </w:rPr>
              <w:t>）*100%</w:t>
            </w:r>
          </w:p>
        </w:tc>
      </w:tr>
      <w:tr w14:paraId="2F9CD4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8" w:hRule="atLeast"/>
          <w:jc w:val="center"/>
        </w:trPr>
        <w:tc>
          <w:tcPr>
            <w:tcW w:w="769" w:type="dxa"/>
            <w:tcBorders>
              <w:top w:val="single" w:color="auto" w:sz="4" w:space="0"/>
              <w:left w:val="single" w:color="auto" w:sz="4" w:space="0"/>
              <w:bottom w:val="single" w:color="auto" w:sz="4" w:space="0"/>
              <w:right w:val="single" w:color="auto" w:sz="4" w:space="0"/>
            </w:tcBorders>
            <w:vAlign w:val="center"/>
          </w:tcPr>
          <w:p w14:paraId="6229B018">
            <w:pPr>
              <w:jc w:val="center"/>
              <w:rPr>
                <w:rFonts w:ascii="宋体" w:hAnsi="宋体" w:cs="宋体"/>
                <w:color w:val="auto"/>
                <w:sz w:val="24"/>
                <w:szCs w:val="24"/>
                <w:highlight w:val="none"/>
              </w:rPr>
            </w:pPr>
            <w:r>
              <w:rPr>
                <w:rFonts w:hint="eastAsia" w:ascii="宋体" w:hAnsi="宋体" w:cs="宋体"/>
                <w:color w:val="auto"/>
                <w:sz w:val="24"/>
                <w:szCs w:val="24"/>
                <w:highlight w:val="none"/>
              </w:rPr>
              <w:t>6</w:t>
            </w:r>
          </w:p>
        </w:tc>
        <w:tc>
          <w:tcPr>
            <w:tcW w:w="1889" w:type="dxa"/>
            <w:tcBorders>
              <w:top w:val="single" w:color="auto" w:sz="4" w:space="0"/>
              <w:left w:val="single" w:color="auto" w:sz="4" w:space="0"/>
              <w:bottom w:val="single" w:color="auto" w:sz="4" w:space="0"/>
              <w:right w:val="single" w:color="auto" w:sz="4" w:space="0"/>
            </w:tcBorders>
            <w:vAlign w:val="center"/>
          </w:tcPr>
          <w:p w14:paraId="3A5F76D5">
            <w:pPr>
              <w:jc w:val="center"/>
              <w:rPr>
                <w:rFonts w:ascii="宋体" w:hAnsi="宋体" w:cs="宋体"/>
                <w:color w:val="auto"/>
                <w:sz w:val="24"/>
                <w:szCs w:val="24"/>
                <w:highlight w:val="none"/>
              </w:rPr>
            </w:pPr>
            <w:r>
              <w:rPr>
                <w:rFonts w:hint="eastAsia" w:ascii="宋体" w:hAnsi="宋体" w:cs="宋体"/>
                <w:color w:val="auto"/>
                <w:sz w:val="24"/>
                <w:szCs w:val="24"/>
                <w:highlight w:val="none"/>
              </w:rPr>
              <w:t>投标有效期</w:t>
            </w:r>
          </w:p>
        </w:tc>
        <w:tc>
          <w:tcPr>
            <w:tcW w:w="4126" w:type="dxa"/>
            <w:tcBorders>
              <w:top w:val="single" w:color="auto" w:sz="4" w:space="0"/>
              <w:left w:val="single" w:color="auto" w:sz="4" w:space="0"/>
              <w:bottom w:val="single" w:color="auto" w:sz="4" w:space="0"/>
              <w:right w:val="single" w:color="auto" w:sz="4" w:space="0"/>
            </w:tcBorders>
            <w:vAlign w:val="center"/>
          </w:tcPr>
          <w:p w14:paraId="664CE13A">
            <w:pPr>
              <w:jc w:val="left"/>
              <w:rPr>
                <w:rFonts w:ascii="宋体" w:hAnsi="宋体" w:cs="宋体"/>
                <w:bCs/>
                <w:color w:val="auto"/>
                <w:sz w:val="24"/>
                <w:szCs w:val="24"/>
                <w:highlight w:val="none"/>
              </w:rPr>
            </w:pPr>
            <w:r>
              <w:rPr>
                <w:rFonts w:hint="eastAsia" w:ascii="宋体" w:hAnsi="宋体" w:cs="宋体"/>
                <w:bCs/>
                <w:color w:val="auto"/>
                <w:sz w:val="24"/>
                <w:highlight w:val="none"/>
              </w:rPr>
              <w:t xml:space="preserve"> 按招标文件要求</w:t>
            </w:r>
          </w:p>
        </w:tc>
        <w:tc>
          <w:tcPr>
            <w:tcW w:w="1654" w:type="dxa"/>
            <w:tcBorders>
              <w:top w:val="single" w:color="auto" w:sz="4" w:space="0"/>
              <w:left w:val="single" w:color="auto" w:sz="4" w:space="0"/>
              <w:bottom w:val="single" w:color="auto" w:sz="4" w:space="0"/>
              <w:right w:val="single" w:color="auto" w:sz="4" w:space="0"/>
            </w:tcBorders>
            <w:vAlign w:val="center"/>
          </w:tcPr>
          <w:p w14:paraId="4484E811">
            <w:pPr>
              <w:jc w:val="center"/>
              <w:rPr>
                <w:rFonts w:ascii="宋体" w:hAnsi="宋体"/>
                <w:b/>
                <w:color w:val="auto"/>
                <w:szCs w:val="21"/>
                <w:highlight w:val="none"/>
              </w:rPr>
            </w:pPr>
          </w:p>
        </w:tc>
      </w:tr>
    </w:tbl>
    <w:p w14:paraId="13D09887">
      <w:pPr>
        <w:spacing w:line="440" w:lineRule="exact"/>
        <w:ind w:firstLine="2520" w:firstLineChars="1200"/>
        <w:jc w:val="left"/>
        <w:rPr>
          <w:rFonts w:ascii="宋体" w:hAnsi="宋体"/>
          <w:color w:val="auto"/>
          <w:szCs w:val="21"/>
          <w:highlight w:val="none"/>
        </w:rPr>
      </w:pPr>
    </w:p>
    <w:p w14:paraId="5065B2CE">
      <w:pPr>
        <w:pStyle w:val="12"/>
        <w:tabs>
          <w:tab w:val="left" w:pos="7321"/>
        </w:tabs>
        <w:spacing w:before="36"/>
        <w:ind w:left="2701"/>
        <w:rPr>
          <w:rFonts w:ascii="宋体" w:hAnsi="宋体"/>
          <w:color w:val="auto"/>
          <w:sz w:val="24"/>
          <w:szCs w:val="24"/>
          <w:highlight w:val="none"/>
        </w:rPr>
      </w:pPr>
      <w:r>
        <w:rPr>
          <w:rFonts w:hint="eastAsia" w:ascii="宋体" w:hAnsi="宋体"/>
          <w:color w:val="auto"/>
          <w:sz w:val="24"/>
          <w:szCs w:val="24"/>
          <w:highlight w:val="none"/>
        </w:rPr>
        <w:t>投标人：</w:t>
      </w:r>
      <w:r>
        <w:rPr>
          <w:rFonts w:ascii="宋体" w:hAnsi="宋体"/>
          <w:color w:val="auto"/>
          <w:sz w:val="24"/>
          <w:szCs w:val="24"/>
          <w:highlight w:val="none"/>
          <w:u w:val="single" w:color="000000"/>
        </w:rPr>
        <w:tab/>
      </w:r>
      <w:r>
        <w:rPr>
          <w:rFonts w:hint="eastAsia" w:ascii="宋体" w:hAnsi="宋体"/>
          <w:color w:val="auto"/>
          <w:sz w:val="24"/>
          <w:szCs w:val="24"/>
          <w:highlight w:val="none"/>
        </w:rPr>
        <w:t>（盖单位章）</w:t>
      </w:r>
    </w:p>
    <w:p w14:paraId="70EB1A64">
      <w:pPr>
        <w:spacing w:before="13"/>
        <w:rPr>
          <w:rFonts w:ascii="宋体" w:hAnsi="宋体" w:cs="宋体"/>
          <w:color w:val="auto"/>
          <w:sz w:val="24"/>
          <w:szCs w:val="24"/>
          <w:highlight w:val="none"/>
        </w:rPr>
      </w:pPr>
    </w:p>
    <w:p w14:paraId="609F1D76">
      <w:pPr>
        <w:pStyle w:val="12"/>
        <w:tabs>
          <w:tab w:val="left" w:pos="6481"/>
        </w:tabs>
        <w:spacing w:before="36"/>
        <w:ind w:left="2701"/>
        <w:rPr>
          <w:rFonts w:ascii="宋体" w:hAnsi="宋体"/>
          <w:color w:val="auto"/>
          <w:sz w:val="24"/>
          <w:szCs w:val="24"/>
          <w:highlight w:val="none"/>
        </w:rPr>
      </w:pPr>
      <w:r>
        <w:rPr>
          <w:rFonts w:hint="eastAsia" w:ascii="宋体" w:hAnsi="宋体"/>
          <w:color w:val="auto"/>
          <w:spacing w:val="-2"/>
          <w:sz w:val="24"/>
          <w:szCs w:val="24"/>
          <w:highlight w:val="none"/>
        </w:rPr>
        <w:t>法定代表人或其委托代理人：</w:t>
      </w:r>
      <w:r>
        <w:rPr>
          <w:rFonts w:ascii="宋体" w:hAnsi="宋体"/>
          <w:color w:val="auto"/>
          <w:spacing w:val="-2"/>
          <w:sz w:val="24"/>
          <w:szCs w:val="24"/>
          <w:highlight w:val="none"/>
          <w:u w:val="single" w:color="000000"/>
        </w:rPr>
        <w:tab/>
      </w:r>
      <w:r>
        <w:rPr>
          <w:rFonts w:hint="eastAsia" w:ascii="宋体" w:hAnsi="宋体"/>
          <w:color w:val="auto"/>
          <w:spacing w:val="-1"/>
          <w:sz w:val="24"/>
          <w:szCs w:val="24"/>
          <w:highlight w:val="none"/>
        </w:rPr>
        <w:t>（签字或盖章）</w:t>
      </w:r>
    </w:p>
    <w:p w14:paraId="06768E83">
      <w:pPr>
        <w:spacing w:before="10"/>
        <w:rPr>
          <w:rFonts w:ascii="宋体" w:hAnsi="宋体" w:cs="宋体"/>
          <w:color w:val="auto"/>
          <w:sz w:val="24"/>
          <w:szCs w:val="24"/>
          <w:highlight w:val="none"/>
        </w:rPr>
      </w:pPr>
    </w:p>
    <w:p w14:paraId="06DFE152">
      <w:pPr>
        <w:spacing w:line="440" w:lineRule="exact"/>
        <w:ind w:firstLine="5280" w:firstLineChars="2200"/>
        <w:rPr>
          <w:rFonts w:ascii="宋体" w:hAnsi="宋体"/>
          <w:color w:val="auto"/>
          <w:sz w:val="24"/>
          <w:szCs w:val="24"/>
          <w:highlight w:val="none"/>
        </w:rPr>
      </w:pPr>
      <w:r>
        <w:rPr>
          <w:rFonts w:ascii="宋体" w:hAnsi="宋体"/>
          <w:color w:val="auto"/>
          <w:sz w:val="24"/>
          <w:szCs w:val="24"/>
          <w:highlight w:val="none"/>
          <w:u w:val="single" w:color="000000"/>
        </w:rPr>
        <w:tab/>
      </w:r>
      <w:r>
        <w:rPr>
          <w:rFonts w:hint="eastAsia" w:ascii="宋体" w:hAnsi="宋体"/>
          <w:color w:val="auto"/>
          <w:sz w:val="24"/>
          <w:szCs w:val="24"/>
          <w:highlight w:val="none"/>
          <w:u w:val="single" w:color="000000"/>
        </w:rPr>
        <w:t xml:space="preserve">   </w:t>
      </w:r>
      <w:r>
        <w:rPr>
          <w:rFonts w:hint="eastAsia" w:ascii="宋体" w:hAnsi="宋体"/>
          <w:color w:val="auto"/>
          <w:sz w:val="24"/>
          <w:szCs w:val="24"/>
          <w:highlight w:val="none"/>
        </w:rPr>
        <w:t>年</w:t>
      </w:r>
      <w:r>
        <w:rPr>
          <w:rFonts w:ascii="宋体" w:hAnsi="宋体"/>
          <w:color w:val="auto"/>
          <w:sz w:val="24"/>
          <w:szCs w:val="24"/>
          <w:highlight w:val="none"/>
          <w:u w:val="single" w:color="000000"/>
        </w:rPr>
        <w:tab/>
      </w:r>
      <w:r>
        <w:rPr>
          <w:rFonts w:ascii="宋体" w:hAnsi="宋体"/>
          <w:color w:val="auto"/>
          <w:sz w:val="24"/>
          <w:szCs w:val="24"/>
          <w:highlight w:val="none"/>
          <w:u w:val="single" w:color="000000"/>
        </w:rPr>
        <w:t xml:space="preserve"> </w:t>
      </w:r>
      <w:r>
        <w:rPr>
          <w:rFonts w:hint="eastAsia" w:ascii="宋体" w:hAnsi="宋体"/>
          <w:color w:val="auto"/>
          <w:sz w:val="24"/>
          <w:szCs w:val="24"/>
          <w:highlight w:val="none"/>
        </w:rPr>
        <w:t>月</w:t>
      </w:r>
      <w:r>
        <w:rPr>
          <w:rFonts w:ascii="宋体" w:hAnsi="宋体"/>
          <w:color w:val="auto"/>
          <w:sz w:val="24"/>
          <w:szCs w:val="24"/>
          <w:highlight w:val="none"/>
          <w:u w:val="single" w:color="000000"/>
        </w:rPr>
        <w:tab/>
      </w:r>
      <w:r>
        <w:rPr>
          <w:rFonts w:ascii="宋体" w:hAnsi="宋体"/>
          <w:color w:val="auto"/>
          <w:sz w:val="24"/>
          <w:szCs w:val="24"/>
          <w:highlight w:val="none"/>
          <w:u w:val="single" w:color="000000"/>
        </w:rPr>
        <w:t xml:space="preserve">  </w:t>
      </w:r>
      <w:r>
        <w:rPr>
          <w:rFonts w:hint="eastAsia" w:ascii="宋体" w:hAnsi="宋体"/>
          <w:color w:val="auto"/>
          <w:sz w:val="24"/>
          <w:szCs w:val="24"/>
          <w:highlight w:val="none"/>
        </w:rPr>
        <w:t>日</w:t>
      </w:r>
    </w:p>
    <w:p w14:paraId="2E0EB7A3">
      <w:pPr>
        <w:spacing w:line="440" w:lineRule="exact"/>
        <w:ind w:firstLine="4620" w:firstLineChars="2200"/>
        <w:rPr>
          <w:rFonts w:ascii="宋体" w:hAnsi="宋体"/>
          <w:color w:val="auto"/>
          <w:sz w:val="24"/>
          <w:highlight w:val="none"/>
        </w:rPr>
      </w:pPr>
      <w:r>
        <w:rPr>
          <w:rFonts w:ascii="宋体" w:hAnsi="宋体"/>
          <w:color w:val="auto"/>
          <w:highlight w:val="none"/>
        </w:rPr>
        <w:br w:type="page"/>
      </w:r>
      <w:bookmarkEnd w:id="146"/>
      <w:bookmarkEnd w:id="147"/>
      <w:bookmarkEnd w:id="148"/>
      <w:bookmarkStart w:id="161" w:name="_Toc21863"/>
      <w:bookmarkStart w:id="162" w:name="_Toc390704765"/>
      <w:bookmarkStart w:id="163" w:name="_Toc533357330"/>
      <w:bookmarkStart w:id="164" w:name="_Toc333829918"/>
      <w:bookmarkStart w:id="165" w:name="_Toc374536213"/>
    </w:p>
    <w:bookmarkEnd w:id="143"/>
    <w:bookmarkEnd w:id="161"/>
    <w:bookmarkEnd w:id="162"/>
    <w:bookmarkEnd w:id="163"/>
    <w:bookmarkEnd w:id="164"/>
    <w:bookmarkEnd w:id="165"/>
    <w:p w14:paraId="4B1ED13D">
      <w:pPr>
        <w:pStyle w:val="4"/>
        <w:jc w:val="center"/>
        <w:rPr>
          <w:color w:val="auto"/>
          <w:highlight w:val="none"/>
        </w:rPr>
      </w:pPr>
      <w:bookmarkStart w:id="166" w:name="_Toc118553997"/>
      <w:r>
        <w:rPr>
          <w:rFonts w:hint="eastAsia"/>
          <w:color w:val="auto"/>
          <w:highlight w:val="none"/>
        </w:rPr>
        <w:t>二、法定代表人证明书及授权委托书</w:t>
      </w:r>
      <w:bookmarkEnd w:id="166"/>
    </w:p>
    <w:p w14:paraId="6AB9FCD9">
      <w:pPr>
        <w:spacing w:before="156" w:beforeLines="50"/>
        <w:jc w:val="center"/>
        <w:rPr>
          <w:rFonts w:ascii="宋体" w:hAnsi="宋体" w:cs="宋体"/>
          <w:b/>
          <w:color w:val="auto"/>
          <w:sz w:val="24"/>
          <w:szCs w:val="24"/>
          <w:highlight w:val="none"/>
        </w:rPr>
      </w:pPr>
      <w:r>
        <w:rPr>
          <w:rFonts w:hint="eastAsia" w:ascii="宋体" w:hAnsi="宋体" w:cs="宋体"/>
          <w:b/>
          <w:color w:val="auto"/>
          <w:sz w:val="24"/>
          <w:szCs w:val="24"/>
          <w:highlight w:val="none"/>
        </w:rPr>
        <w:t>法定代表人证明书</w:t>
      </w:r>
    </w:p>
    <w:p w14:paraId="1F81FFF0">
      <w:pPr>
        <w:spacing w:line="360" w:lineRule="auto"/>
        <w:jc w:val="center"/>
        <w:rPr>
          <w:rFonts w:ascii="宋体" w:hAnsi="宋体"/>
          <w:color w:val="auto"/>
          <w:sz w:val="30"/>
          <w:szCs w:val="30"/>
          <w:highlight w:val="none"/>
        </w:rPr>
      </w:pPr>
      <w:r>
        <w:rPr>
          <w:rFonts w:ascii="宋体" w:hAnsi="宋体"/>
          <w:color w:val="auto"/>
          <w:sz w:val="30"/>
          <w:szCs w:val="30"/>
          <w:highlight w:val="none"/>
        </w:rPr>
        <mc:AlternateContent>
          <mc:Choice Requires="wpg">
            <w:drawing>
              <wp:inline distT="0" distB="0" distL="0" distR="0">
                <wp:extent cx="5800725" cy="2639060"/>
                <wp:effectExtent l="12700" t="11430" r="6350" b="6985"/>
                <wp:docPr id="3" name="组合 3"/>
                <wp:cNvGraphicFramePr/>
                <a:graphic xmlns:a="http://schemas.openxmlformats.org/drawingml/2006/main">
                  <a:graphicData uri="http://schemas.microsoft.com/office/word/2010/wordprocessingGroup">
                    <wpg:wgp>
                      <wpg:cNvGrpSpPr/>
                      <wpg:grpSpPr>
                        <a:xfrm>
                          <a:off x="0" y="0"/>
                          <a:ext cx="5800725" cy="2639060"/>
                          <a:chOff x="0" y="0"/>
                          <a:chExt cx="7140" cy="3468"/>
                        </a:xfrm>
                      </wpg:grpSpPr>
                      <wps:wsp>
                        <wps:cNvPr id="4" name="图片 4"/>
                        <wps:cNvSpPr>
                          <a:spLocks noChangeAspect="1" noChangeArrowheads="1" noTextEdit="1"/>
                        </wps:cNvSpPr>
                        <wps:spPr bwMode="auto">
                          <a:xfrm>
                            <a:off x="0" y="0"/>
                            <a:ext cx="7140" cy="3468"/>
                          </a:xfrm>
                          <a:prstGeom prst="rect">
                            <a:avLst/>
                          </a:prstGeom>
                          <a:noFill/>
                          <a:ln>
                            <a:noFill/>
                          </a:ln>
                        </wps:spPr>
                        <wps:bodyPr rot="0" vert="horz" wrap="square" lIns="91440" tIns="45720" rIns="91440" bIns="45720" anchor="t" anchorCtr="0" upright="1">
                          <a:noAutofit/>
                        </wps:bodyPr>
                      </wps:wsp>
                      <wps:wsp>
                        <wps:cNvPr id="5" name="文本框 5"/>
                        <wps:cNvSpPr txBox="1">
                          <a:spLocks noChangeArrowheads="1"/>
                        </wps:cNvSpPr>
                        <wps:spPr bwMode="auto">
                          <a:xfrm>
                            <a:off x="0" y="0"/>
                            <a:ext cx="7140" cy="3468"/>
                          </a:xfrm>
                          <a:prstGeom prst="rect">
                            <a:avLst/>
                          </a:prstGeom>
                          <a:solidFill>
                            <a:srgbClr val="FFFFFF"/>
                          </a:solidFill>
                          <a:ln w="9525" cmpd="sng">
                            <a:solidFill>
                              <a:srgbClr val="000000"/>
                            </a:solidFill>
                            <a:miter lim="800000"/>
                          </a:ln>
                        </wps:spPr>
                        <wps:txbx>
                          <w:txbxContent>
                            <w:p w14:paraId="31FEBCF2">
                              <w:pPr>
                                <w:spacing w:before="156" w:beforeLines="50"/>
                                <w:rPr>
                                  <w:sz w:val="24"/>
                                  <w:szCs w:val="24"/>
                                </w:rPr>
                              </w:pPr>
                              <w:r>
                                <w:rPr>
                                  <w:rFonts w:hint="eastAsia" w:cs="宋体"/>
                                  <w:sz w:val="28"/>
                                  <w:szCs w:val="28"/>
                                </w:rPr>
                                <w:t>　</w:t>
                              </w:r>
                              <w:r>
                                <w:rPr>
                                  <w:rFonts w:hint="eastAsia" w:cs="宋体"/>
                                  <w:sz w:val="24"/>
                                  <w:szCs w:val="24"/>
                                </w:rPr>
                                <w:t>　</w:t>
                              </w:r>
                              <w:r>
                                <w:rPr>
                                  <w:rFonts w:hint="eastAsia" w:cs="宋体"/>
                                  <w:sz w:val="24"/>
                                  <w:szCs w:val="24"/>
                                  <w:u w:val="single"/>
                                </w:rPr>
                                <w:t>　　　　　　</w:t>
                              </w:r>
                              <w:r>
                                <w:rPr>
                                  <w:rFonts w:hint="eastAsia" w:cs="宋体"/>
                                  <w:sz w:val="24"/>
                                  <w:szCs w:val="24"/>
                                </w:rPr>
                                <w:t>现任我单位</w:t>
                              </w:r>
                              <w:r>
                                <w:rPr>
                                  <w:rFonts w:hint="eastAsia" w:cs="宋体"/>
                                  <w:sz w:val="24"/>
                                  <w:szCs w:val="24"/>
                                  <w:u w:val="single"/>
                                </w:rPr>
                                <w:t>　　　　　</w:t>
                              </w:r>
                              <w:r>
                                <w:rPr>
                                  <w:rFonts w:hint="eastAsia" w:cs="宋体"/>
                                  <w:sz w:val="24"/>
                                  <w:szCs w:val="24"/>
                                </w:rPr>
                                <w:t>职务，为法定代表人（负责人），</w:t>
                              </w:r>
                            </w:p>
                            <w:p w14:paraId="12AF3191">
                              <w:pPr>
                                <w:snapToGrid w:val="0"/>
                                <w:spacing w:line="480" w:lineRule="atLeast"/>
                                <w:rPr>
                                  <w:sz w:val="24"/>
                                  <w:szCs w:val="24"/>
                                </w:rPr>
                              </w:pPr>
                              <w:r>
                                <w:rPr>
                                  <w:rFonts w:hint="eastAsia" w:cs="宋体"/>
                                  <w:sz w:val="24"/>
                                  <w:szCs w:val="24"/>
                                </w:rPr>
                                <w:t>特此证明。</w:t>
                              </w:r>
                            </w:p>
                            <w:p w14:paraId="38A6C8A5">
                              <w:pPr>
                                <w:snapToGrid w:val="0"/>
                                <w:spacing w:line="480" w:lineRule="atLeast"/>
                                <w:rPr>
                                  <w:sz w:val="24"/>
                                  <w:szCs w:val="24"/>
                                  <w:u w:val="single"/>
                                </w:rPr>
                              </w:pPr>
                              <w:r>
                                <w:rPr>
                                  <w:rFonts w:hint="eastAsia" w:cs="宋体"/>
                                  <w:sz w:val="24"/>
                                  <w:szCs w:val="24"/>
                                </w:rPr>
                                <w:t>有效期限：</w:t>
                              </w:r>
                              <w:r>
                                <w:rPr>
                                  <w:sz w:val="24"/>
                                  <w:szCs w:val="24"/>
                                  <w:u w:val="single"/>
                                </w:rPr>
                                <w:t xml:space="preserve">                                </w:t>
                              </w:r>
                              <w:r>
                                <w:rPr>
                                  <w:sz w:val="24"/>
                                  <w:szCs w:val="24"/>
                                </w:rPr>
                                <w:t xml:space="preserve">  </w:t>
                              </w:r>
                            </w:p>
                            <w:p w14:paraId="438BF377">
                              <w:pPr>
                                <w:snapToGrid w:val="0"/>
                                <w:spacing w:line="480" w:lineRule="atLeast"/>
                                <w:rPr>
                                  <w:sz w:val="24"/>
                                  <w:szCs w:val="24"/>
                                  <w:u w:val="single"/>
                                </w:rPr>
                              </w:pPr>
                              <w:r>
                                <w:rPr>
                                  <w:rFonts w:hint="eastAsia" w:cs="宋体"/>
                                  <w:sz w:val="24"/>
                                  <w:szCs w:val="24"/>
                                </w:rPr>
                                <w:t>附：法定代表人（负责人）性别：</w:t>
                              </w:r>
                              <w:r>
                                <w:rPr>
                                  <w:rFonts w:hint="eastAsia" w:cs="宋体"/>
                                  <w:sz w:val="24"/>
                                  <w:szCs w:val="24"/>
                                  <w:u w:val="single"/>
                                </w:rPr>
                                <w:t>　　</w:t>
                              </w:r>
                              <w:r>
                                <w:rPr>
                                  <w:rFonts w:hint="eastAsia" w:cs="宋体"/>
                                  <w:sz w:val="24"/>
                                  <w:szCs w:val="24"/>
                                </w:rPr>
                                <w:t>年龄：</w:t>
                              </w:r>
                              <w:r>
                                <w:rPr>
                                  <w:rFonts w:hint="eastAsia" w:cs="宋体"/>
                                  <w:sz w:val="24"/>
                                  <w:szCs w:val="24"/>
                                  <w:u w:val="single"/>
                                </w:rPr>
                                <w:t>　　</w:t>
                              </w:r>
                              <w:r>
                                <w:rPr>
                                  <w:rFonts w:hint="eastAsia" w:cs="宋体"/>
                                  <w:sz w:val="24"/>
                                  <w:szCs w:val="24"/>
                                </w:rPr>
                                <w:t>身份证号码：</w:t>
                              </w:r>
                              <w:r>
                                <w:rPr>
                                  <w:sz w:val="24"/>
                                  <w:szCs w:val="24"/>
                                  <w:u w:val="single"/>
                                </w:rPr>
                                <w:t xml:space="preserve">                  </w:t>
                              </w:r>
                            </w:p>
                            <w:p w14:paraId="2F65A34A">
                              <w:pPr>
                                <w:snapToGrid w:val="0"/>
                                <w:spacing w:line="480" w:lineRule="atLeast"/>
                                <w:ind w:firstLine="570"/>
                                <w:rPr>
                                  <w:sz w:val="24"/>
                                  <w:szCs w:val="24"/>
                                  <w:u w:val="single"/>
                                </w:rPr>
                              </w:pPr>
                              <w:r>
                                <w:rPr>
                                  <w:rFonts w:hint="eastAsia" w:cs="宋体"/>
                                  <w:sz w:val="24"/>
                                  <w:szCs w:val="24"/>
                                </w:rPr>
                                <w:t>注册号码：</w:t>
                              </w:r>
                              <w:r>
                                <w:rPr>
                                  <w:rFonts w:hint="eastAsia" w:cs="宋体"/>
                                  <w:sz w:val="24"/>
                                  <w:szCs w:val="24"/>
                                  <w:u w:val="single"/>
                                </w:rPr>
                                <w:t>　　　　　　　　　　</w:t>
                              </w:r>
                              <w:r>
                                <w:rPr>
                                  <w:rFonts w:hint="eastAsia" w:cs="宋体"/>
                                  <w:sz w:val="24"/>
                                  <w:szCs w:val="24"/>
                                </w:rPr>
                                <w:t>企业类型：</w:t>
                              </w:r>
                              <w:r>
                                <w:rPr>
                                  <w:sz w:val="24"/>
                                  <w:szCs w:val="24"/>
                                  <w:u w:val="single"/>
                                </w:rPr>
                                <w:t xml:space="preserve">                             </w:t>
                              </w:r>
                            </w:p>
                            <w:p w14:paraId="68572236">
                              <w:pPr>
                                <w:snapToGrid w:val="0"/>
                                <w:spacing w:line="480" w:lineRule="atLeast"/>
                                <w:ind w:firstLine="570"/>
                                <w:rPr>
                                  <w:sz w:val="24"/>
                                  <w:szCs w:val="24"/>
                                  <w:u w:val="single"/>
                                </w:rPr>
                              </w:pPr>
                              <w:r>
                                <w:rPr>
                                  <w:rFonts w:hint="eastAsia" w:cs="宋体"/>
                                  <w:sz w:val="24"/>
                                  <w:szCs w:val="24"/>
                                </w:rPr>
                                <w:t>经营范围：</w:t>
                              </w:r>
                              <w:r>
                                <w:rPr>
                                  <w:sz w:val="24"/>
                                  <w:szCs w:val="24"/>
                                  <w:u w:val="single"/>
                                </w:rPr>
                                <w:t xml:space="preserve">                                                           </w:t>
                              </w:r>
                            </w:p>
                            <w:p w14:paraId="1A9FC11C">
                              <w:pPr>
                                <w:snapToGrid w:val="0"/>
                                <w:spacing w:line="480" w:lineRule="atLeast"/>
                                <w:ind w:firstLine="570"/>
                                <w:rPr>
                                  <w:sz w:val="24"/>
                                  <w:szCs w:val="24"/>
                                </w:rPr>
                              </w:pPr>
                              <w:r>
                                <w:rPr>
                                  <w:rFonts w:hint="eastAsia" w:cs="宋体"/>
                                  <w:sz w:val="24"/>
                                  <w:szCs w:val="24"/>
                                  <w:u w:val="single"/>
                                </w:rPr>
                                <w:t>　　　　　　　　　　　　　　　　</w:t>
                              </w:r>
                              <w:r>
                                <w:rPr>
                                  <w:sz w:val="24"/>
                                  <w:szCs w:val="24"/>
                                </w:rPr>
                                <w:t xml:space="preserve">      </w:t>
                              </w:r>
                              <w:r>
                                <w:rPr>
                                  <w:rFonts w:hint="eastAsia" w:cs="宋体"/>
                                  <w:sz w:val="24"/>
                                  <w:szCs w:val="24"/>
                                </w:rPr>
                                <w:t>单位：　　　（盖章）</w:t>
                              </w:r>
                            </w:p>
                            <w:p w14:paraId="6C2864BB">
                              <w:pPr>
                                <w:snapToGrid w:val="0"/>
                                <w:spacing w:after="100" w:afterAutospacing="1" w:line="480" w:lineRule="atLeast"/>
                                <w:ind w:firstLine="4528" w:firstLineChars="1887"/>
                                <w:rPr>
                                  <w:sz w:val="24"/>
                                  <w:szCs w:val="24"/>
                                </w:rPr>
                              </w:pPr>
                              <w:r>
                                <w:rPr>
                                  <w:rFonts w:hint="eastAsia" w:cs="宋体"/>
                                  <w:sz w:val="24"/>
                                  <w:szCs w:val="24"/>
                                </w:rPr>
                                <w:t>　　　　　</w:t>
                              </w:r>
                              <w:r>
                                <w:rPr>
                                  <w:sz w:val="24"/>
                                  <w:szCs w:val="24"/>
                                </w:rPr>
                                <w:t xml:space="preserve">    </w:t>
                              </w:r>
                              <w:r>
                                <w:rPr>
                                  <w:rFonts w:hint="eastAsia" w:cs="宋体"/>
                                  <w:sz w:val="24"/>
                                  <w:szCs w:val="24"/>
                                </w:rPr>
                                <w:t>年　月　　日</w:t>
                              </w:r>
                            </w:p>
                          </w:txbxContent>
                        </wps:txbx>
                        <wps:bodyPr rot="0" vert="horz" wrap="square" lIns="91440" tIns="45720" rIns="91440" bIns="45720" anchor="t" anchorCtr="0" upright="1">
                          <a:noAutofit/>
                        </wps:bodyPr>
                      </wps:wsp>
                    </wpg:wgp>
                  </a:graphicData>
                </a:graphic>
              </wp:inline>
            </w:drawing>
          </mc:Choice>
          <mc:Fallback>
            <w:pict>
              <v:group id="_x0000_s1026" o:spid="_x0000_s1026" o:spt="203" style="height:207.8pt;width:456.75pt;" coordsize="7140,3468" o:gfxdata="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">
                <o:lock v:ext="edit" aspectratio="f"/>
                <v:rect id="图片 4" o:spid="_x0000_s1026" o:spt="1" style="position:absolute;left:0;top:0;height:3468;width:7140;" filled="f" stroked="f" coordsize="21600,21600" o:gfxdata="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cT4rVvQAA&#10;ANoAAAAPAAAAAAAAAAEAIAAAACIAAABkcnMvZG93bnJldi54bWxQSwECFAAUAAAACACHTuJAMy8F&#10;njsAAAA5AAAAEAAAAAAAAAABACAAAAAMAQAAZHJzL3NoYXBleG1sLnhtbFBLBQYAAAAABgAGAFsB&#10;AAC2AwAAAAA=&#10;">
                  <v:fill on="f" focussize="0,0"/>
                  <v:stroke on="f"/>
                  <v:imagedata o:title=""/>
                  <o:lock v:ext="edit" text="t" aspectratio="t"/>
                </v:rect>
                <v:shape id="_x0000_s1026" o:spid="_x0000_s1026" o:spt="202" type="#_x0000_t202" style="position:absolute;left:0;top:0;height:3468;width:7140;" fillcolor="#FFFFFF" filled="t" stroked="t" coordsize="21600,21600" o:gfxdata="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A7HQ5vQAA&#10;ANoAAAAPAAAAAAAAAAEAIAAAACIAAABkcnMvZG93bnJldi54bWxQSwECFAAUAAAACACHTuJAMy8F&#10;njsAAAA5AAAAEAAAAAAAAAABACAAAAAMAQAAZHJzL3NoYXBleG1sLnhtbFBLBQYAAAAABgAGAFsB&#10;AAC2AwAAAAA=&#10;">
                  <v:fill on="t" focussize="0,0"/>
                  <v:stroke color="#000000" miterlimit="8" joinstyle="miter"/>
                  <v:imagedata o:title=""/>
                  <o:lock v:ext="edit" aspectratio="f"/>
                  <v:textbox>
                    <w:txbxContent>
                      <w:p w14:paraId="31FEBCF2">
                        <w:pPr>
                          <w:spacing w:before="156" w:beforeLines="50"/>
                          <w:rPr>
                            <w:sz w:val="24"/>
                            <w:szCs w:val="24"/>
                          </w:rPr>
                        </w:pPr>
                        <w:r>
                          <w:rPr>
                            <w:rFonts w:hint="eastAsia" w:cs="宋体"/>
                            <w:sz w:val="28"/>
                            <w:szCs w:val="28"/>
                          </w:rPr>
                          <w:t>　</w:t>
                        </w:r>
                        <w:r>
                          <w:rPr>
                            <w:rFonts w:hint="eastAsia" w:cs="宋体"/>
                            <w:sz w:val="24"/>
                            <w:szCs w:val="24"/>
                          </w:rPr>
                          <w:t>　</w:t>
                        </w:r>
                        <w:r>
                          <w:rPr>
                            <w:rFonts w:hint="eastAsia" w:cs="宋体"/>
                            <w:sz w:val="24"/>
                            <w:szCs w:val="24"/>
                            <w:u w:val="single"/>
                          </w:rPr>
                          <w:t>　　　　　　</w:t>
                        </w:r>
                        <w:r>
                          <w:rPr>
                            <w:rFonts w:hint="eastAsia" w:cs="宋体"/>
                            <w:sz w:val="24"/>
                            <w:szCs w:val="24"/>
                          </w:rPr>
                          <w:t>现任我单位</w:t>
                        </w:r>
                        <w:r>
                          <w:rPr>
                            <w:rFonts w:hint="eastAsia" w:cs="宋体"/>
                            <w:sz w:val="24"/>
                            <w:szCs w:val="24"/>
                            <w:u w:val="single"/>
                          </w:rPr>
                          <w:t>　　　　　</w:t>
                        </w:r>
                        <w:r>
                          <w:rPr>
                            <w:rFonts w:hint="eastAsia" w:cs="宋体"/>
                            <w:sz w:val="24"/>
                            <w:szCs w:val="24"/>
                          </w:rPr>
                          <w:t>职务，为法定代表人（负责人），</w:t>
                        </w:r>
                      </w:p>
                      <w:p w14:paraId="12AF3191">
                        <w:pPr>
                          <w:snapToGrid w:val="0"/>
                          <w:spacing w:line="480" w:lineRule="atLeast"/>
                          <w:rPr>
                            <w:sz w:val="24"/>
                            <w:szCs w:val="24"/>
                          </w:rPr>
                        </w:pPr>
                        <w:r>
                          <w:rPr>
                            <w:rFonts w:hint="eastAsia" w:cs="宋体"/>
                            <w:sz w:val="24"/>
                            <w:szCs w:val="24"/>
                          </w:rPr>
                          <w:t>特此证明。</w:t>
                        </w:r>
                      </w:p>
                      <w:p w14:paraId="38A6C8A5">
                        <w:pPr>
                          <w:snapToGrid w:val="0"/>
                          <w:spacing w:line="480" w:lineRule="atLeast"/>
                          <w:rPr>
                            <w:sz w:val="24"/>
                            <w:szCs w:val="24"/>
                            <w:u w:val="single"/>
                          </w:rPr>
                        </w:pPr>
                        <w:r>
                          <w:rPr>
                            <w:rFonts w:hint="eastAsia" w:cs="宋体"/>
                            <w:sz w:val="24"/>
                            <w:szCs w:val="24"/>
                          </w:rPr>
                          <w:t>有效期限：</w:t>
                        </w:r>
                        <w:r>
                          <w:rPr>
                            <w:sz w:val="24"/>
                            <w:szCs w:val="24"/>
                            <w:u w:val="single"/>
                          </w:rPr>
                          <w:t xml:space="preserve">                                </w:t>
                        </w:r>
                        <w:r>
                          <w:rPr>
                            <w:sz w:val="24"/>
                            <w:szCs w:val="24"/>
                          </w:rPr>
                          <w:t xml:space="preserve">  </w:t>
                        </w:r>
                      </w:p>
                      <w:p w14:paraId="438BF377">
                        <w:pPr>
                          <w:snapToGrid w:val="0"/>
                          <w:spacing w:line="480" w:lineRule="atLeast"/>
                          <w:rPr>
                            <w:sz w:val="24"/>
                            <w:szCs w:val="24"/>
                            <w:u w:val="single"/>
                          </w:rPr>
                        </w:pPr>
                        <w:r>
                          <w:rPr>
                            <w:rFonts w:hint="eastAsia" w:cs="宋体"/>
                            <w:sz w:val="24"/>
                            <w:szCs w:val="24"/>
                          </w:rPr>
                          <w:t>附：法定代表人（负责人）性别：</w:t>
                        </w:r>
                        <w:r>
                          <w:rPr>
                            <w:rFonts w:hint="eastAsia" w:cs="宋体"/>
                            <w:sz w:val="24"/>
                            <w:szCs w:val="24"/>
                            <w:u w:val="single"/>
                          </w:rPr>
                          <w:t>　　</w:t>
                        </w:r>
                        <w:r>
                          <w:rPr>
                            <w:rFonts w:hint="eastAsia" w:cs="宋体"/>
                            <w:sz w:val="24"/>
                            <w:szCs w:val="24"/>
                          </w:rPr>
                          <w:t>年龄：</w:t>
                        </w:r>
                        <w:r>
                          <w:rPr>
                            <w:rFonts w:hint="eastAsia" w:cs="宋体"/>
                            <w:sz w:val="24"/>
                            <w:szCs w:val="24"/>
                            <w:u w:val="single"/>
                          </w:rPr>
                          <w:t>　　</w:t>
                        </w:r>
                        <w:r>
                          <w:rPr>
                            <w:rFonts w:hint="eastAsia" w:cs="宋体"/>
                            <w:sz w:val="24"/>
                            <w:szCs w:val="24"/>
                          </w:rPr>
                          <w:t>身份证号码：</w:t>
                        </w:r>
                        <w:r>
                          <w:rPr>
                            <w:sz w:val="24"/>
                            <w:szCs w:val="24"/>
                            <w:u w:val="single"/>
                          </w:rPr>
                          <w:t xml:space="preserve">                  </w:t>
                        </w:r>
                      </w:p>
                      <w:p w14:paraId="2F65A34A">
                        <w:pPr>
                          <w:snapToGrid w:val="0"/>
                          <w:spacing w:line="480" w:lineRule="atLeast"/>
                          <w:ind w:firstLine="570"/>
                          <w:rPr>
                            <w:sz w:val="24"/>
                            <w:szCs w:val="24"/>
                            <w:u w:val="single"/>
                          </w:rPr>
                        </w:pPr>
                        <w:r>
                          <w:rPr>
                            <w:rFonts w:hint="eastAsia" w:cs="宋体"/>
                            <w:sz w:val="24"/>
                            <w:szCs w:val="24"/>
                          </w:rPr>
                          <w:t>注册号码：</w:t>
                        </w:r>
                        <w:r>
                          <w:rPr>
                            <w:rFonts w:hint="eastAsia" w:cs="宋体"/>
                            <w:sz w:val="24"/>
                            <w:szCs w:val="24"/>
                            <w:u w:val="single"/>
                          </w:rPr>
                          <w:t>　　　　　　　　　　</w:t>
                        </w:r>
                        <w:r>
                          <w:rPr>
                            <w:rFonts w:hint="eastAsia" w:cs="宋体"/>
                            <w:sz w:val="24"/>
                            <w:szCs w:val="24"/>
                          </w:rPr>
                          <w:t>企业类型：</w:t>
                        </w:r>
                        <w:r>
                          <w:rPr>
                            <w:sz w:val="24"/>
                            <w:szCs w:val="24"/>
                            <w:u w:val="single"/>
                          </w:rPr>
                          <w:t xml:space="preserve">                             </w:t>
                        </w:r>
                      </w:p>
                      <w:p w14:paraId="68572236">
                        <w:pPr>
                          <w:snapToGrid w:val="0"/>
                          <w:spacing w:line="480" w:lineRule="atLeast"/>
                          <w:ind w:firstLine="570"/>
                          <w:rPr>
                            <w:sz w:val="24"/>
                            <w:szCs w:val="24"/>
                            <w:u w:val="single"/>
                          </w:rPr>
                        </w:pPr>
                        <w:r>
                          <w:rPr>
                            <w:rFonts w:hint="eastAsia" w:cs="宋体"/>
                            <w:sz w:val="24"/>
                            <w:szCs w:val="24"/>
                          </w:rPr>
                          <w:t>经营范围：</w:t>
                        </w:r>
                        <w:r>
                          <w:rPr>
                            <w:sz w:val="24"/>
                            <w:szCs w:val="24"/>
                            <w:u w:val="single"/>
                          </w:rPr>
                          <w:t xml:space="preserve">                                                           </w:t>
                        </w:r>
                      </w:p>
                      <w:p w14:paraId="1A9FC11C">
                        <w:pPr>
                          <w:snapToGrid w:val="0"/>
                          <w:spacing w:line="480" w:lineRule="atLeast"/>
                          <w:ind w:firstLine="570"/>
                          <w:rPr>
                            <w:sz w:val="24"/>
                            <w:szCs w:val="24"/>
                          </w:rPr>
                        </w:pPr>
                        <w:r>
                          <w:rPr>
                            <w:rFonts w:hint="eastAsia" w:cs="宋体"/>
                            <w:sz w:val="24"/>
                            <w:szCs w:val="24"/>
                            <w:u w:val="single"/>
                          </w:rPr>
                          <w:t>　　　　　　　　　　　　　　　　</w:t>
                        </w:r>
                        <w:r>
                          <w:rPr>
                            <w:sz w:val="24"/>
                            <w:szCs w:val="24"/>
                          </w:rPr>
                          <w:t xml:space="preserve">      </w:t>
                        </w:r>
                        <w:r>
                          <w:rPr>
                            <w:rFonts w:hint="eastAsia" w:cs="宋体"/>
                            <w:sz w:val="24"/>
                            <w:szCs w:val="24"/>
                          </w:rPr>
                          <w:t>单位：　　　（盖章）</w:t>
                        </w:r>
                      </w:p>
                      <w:p w14:paraId="6C2864BB">
                        <w:pPr>
                          <w:snapToGrid w:val="0"/>
                          <w:spacing w:after="100" w:afterAutospacing="1" w:line="480" w:lineRule="atLeast"/>
                          <w:ind w:firstLine="4528" w:firstLineChars="1887"/>
                          <w:rPr>
                            <w:sz w:val="24"/>
                            <w:szCs w:val="24"/>
                          </w:rPr>
                        </w:pPr>
                        <w:r>
                          <w:rPr>
                            <w:rFonts w:hint="eastAsia" w:cs="宋体"/>
                            <w:sz w:val="24"/>
                            <w:szCs w:val="24"/>
                          </w:rPr>
                          <w:t>　　　　　</w:t>
                        </w:r>
                        <w:r>
                          <w:rPr>
                            <w:sz w:val="24"/>
                            <w:szCs w:val="24"/>
                          </w:rPr>
                          <w:t xml:space="preserve">    </w:t>
                        </w:r>
                        <w:r>
                          <w:rPr>
                            <w:rFonts w:hint="eastAsia" w:cs="宋体"/>
                            <w:sz w:val="24"/>
                            <w:szCs w:val="24"/>
                          </w:rPr>
                          <w:t>年　月　　日</w:t>
                        </w:r>
                      </w:p>
                    </w:txbxContent>
                  </v:textbox>
                </v:shape>
                <w10:wrap type="none"/>
                <w10:anchorlock/>
              </v:group>
            </w:pict>
          </mc:Fallback>
        </mc:AlternateContent>
      </w:r>
    </w:p>
    <w:p w14:paraId="5BC56C1C">
      <w:pPr>
        <w:spacing w:line="360" w:lineRule="auto"/>
        <w:rPr>
          <w:rFonts w:ascii="宋体" w:hAnsi="宋体"/>
          <w:color w:val="auto"/>
          <w:sz w:val="24"/>
          <w:szCs w:val="24"/>
          <w:highlight w:val="none"/>
        </w:rPr>
      </w:pPr>
      <w:r>
        <w:rPr>
          <w:rFonts w:hint="eastAsia" w:ascii="宋体" w:hAnsi="宋体" w:cs="宋体"/>
          <w:color w:val="auto"/>
          <w:sz w:val="24"/>
          <w:szCs w:val="24"/>
          <w:highlight w:val="none"/>
        </w:rPr>
        <w:t>注：按提供的该表格格式填写，或使用工商管理（市场监督）部门的格式填写。</w:t>
      </w:r>
    </w:p>
    <w:p w14:paraId="6D9D8884">
      <w:pPr>
        <w:spacing w:before="156" w:beforeLines="50"/>
        <w:ind w:firstLine="482" w:firstLineChars="200"/>
        <w:jc w:val="center"/>
        <w:rPr>
          <w:rFonts w:ascii="宋体" w:hAnsi="宋体" w:cs="宋体"/>
          <w:b/>
          <w:color w:val="auto"/>
          <w:sz w:val="24"/>
          <w:szCs w:val="24"/>
          <w:highlight w:val="none"/>
        </w:rPr>
      </w:pPr>
    </w:p>
    <w:p w14:paraId="0643052A">
      <w:pPr>
        <w:spacing w:before="156" w:beforeLines="50"/>
        <w:jc w:val="center"/>
        <w:rPr>
          <w:rFonts w:ascii="宋体" w:hAnsi="宋体" w:cs="宋体"/>
          <w:b/>
          <w:color w:val="auto"/>
          <w:sz w:val="24"/>
          <w:szCs w:val="24"/>
          <w:highlight w:val="none"/>
        </w:rPr>
      </w:pPr>
      <w:r>
        <w:rPr>
          <w:rFonts w:hint="eastAsia" w:ascii="宋体" w:hAnsi="宋体" w:cs="宋体"/>
          <w:b/>
          <w:color w:val="auto"/>
          <w:sz w:val="24"/>
          <w:szCs w:val="24"/>
          <w:highlight w:val="none"/>
        </w:rPr>
        <w:t>授权委托书</w:t>
      </w:r>
      <w:bookmarkEnd w:id="0"/>
      <w:bookmarkEnd w:id="1"/>
      <w:bookmarkEnd w:id="2"/>
    </w:p>
    <w:p w14:paraId="3ABBFB3F">
      <w:pPr>
        <w:widowControl/>
        <w:spacing w:before="260" w:after="260"/>
        <w:ind w:right="1542"/>
        <w:jc w:val="center"/>
        <w:rPr>
          <w:rFonts w:ascii="宋体" w:hAnsi="宋体" w:cs="宋体"/>
          <w:b/>
          <w:bCs/>
          <w:color w:val="auto"/>
          <w:kern w:val="0"/>
          <w:sz w:val="32"/>
          <w:szCs w:val="32"/>
          <w:highlight w:val="none"/>
        </w:rPr>
      </w:pPr>
      <w:r>
        <w:rPr>
          <w:rFonts w:ascii="宋体" w:hAnsi="宋体" w:cs="宋体"/>
          <w:b/>
          <w:bCs/>
          <w:color w:val="auto"/>
          <w:kern w:val="0"/>
          <w:sz w:val="32"/>
          <w:szCs w:val="32"/>
          <w:highlight w:val="none"/>
        </w:rPr>
        <mc:AlternateContent>
          <mc:Choice Requires="wps">
            <w:drawing>
              <wp:inline distT="0" distB="0" distL="0" distR="0">
                <wp:extent cx="6129020" cy="2946400"/>
                <wp:effectExtent l="9525" t="6985" r="5080" b="8890"/>
                <wp:docPr id="2" name="文本框 2"/>
                <wp:cNvGraphicFramePr/>
                <a:graphic xmlns:a="http://schemas.openxmlformats.org/drawingml/2006/main">
                  <a:graphicData uri="http://schemas.microsoft.com/office/word/2010/wordprocessingShape">
                    <wps:wsp>
                      <wps:cNvSpPr txBox="1">
                        <a:spLocks noChangeArrowheads="1"/>
                      </wps:cNvSpPr>
                      <wps:spPr bwMode="auto">
                        <a:xfrm>
                          <a:off x="0" y="0"/>
                          <a:ext cx="6129020" cy="2946400"/>
                        </a:xfrm>
                        <a:prstGeom prst="rect">
                          <a:avLst/>
                        </a:prstGeom>
                        <a:solidFill>
                          <a:srgbClr val="FFFFFF"/>
                        </a:solidFill>
                        <a:ln w="9525" cmpd="sng">
                          <a:solidFill>
                            <a:srgbClr val="000000"/>
                          </a:solidFill>
                          <a:miter lim="800000"/>
                        </a:ln>
                      </wps:spPr>
                      <wps:txbx>
                        <w:txbxContent>
                          <w:p w14:paraId="28D43AA4">
                            <w:pPr>
                              <w:spacing w:before="156" w:beforeLines="50"/>
                              <w:ind w:firstLine="480" w:firstLineChars="200"/>
                              <w:rPr>
                                <w:sz w:val="24"/>
                                <w:szCs w:val="24"/>
                              </w:rPr>
                            </w:pPr>
                            <w:r>
                              <w:rPr>
                                <w:rFonts w:hint="eastAsia" w:cs="宋体"/>
                                <w:sz w:val="24"/>
                                <w:szCs w:val="24"/>
                              </w:rPr>
                              <w:t>兹授权</w:t>
                            </w:r>
                            <w:r>
                              <w:rPr>
                                <w:rFonts w:hint="eastAsia" w:cs="宋体"/>
                                <w:sz w:val="24"/>
                                <w:szCs w:val="24"/>
                                <w:u w:val="single"/>
                              </w:rPr>
                              <w:t>　　　　　</w:t>
                            </w:r>
                            <w:r>
                              <w:rPr>
                                <w:rFonts w:hint="eastAsia" w:cs="宋体"/>
                                <w:sz w:val="24"/>
                                <w:szCs w:val="24"/>
                              </w:rPr>
                              <w:t>为我方委托代理人，其权限是：</w:t>
                            </w:r>
                            <w:r>
                              <w:rPr>
                                <w:sz w:val="24"/>
                                <w:szCs w:val="24"/>
                                <w:u w:val="single"/>
                              </w:rPr>
                              <w:t xml:space="preserve">                        </w:t>
                            </w:r>
                          </w:p>
                          <w:p w14:paraId="2EC5A0C4">
                            <w:pPr>
                              <w:snapToGrid w:val="0"/>
                              <w:spacing w:line="480" w:lineRule="atLeast"/>
                              <w:rPr>
                                <w:sz w:val="24"/>
                                <w:szCs w:val="24"/>
                                <w:u w:val="single"/>
                              </w:rPr>
                            </w:pPr>
                            <w:r>
                              <w:rPr>
                                <w:sz w:val="24"/>
                                <w:szCs w:val="24"/>
                                <w:u w:val="single"/>
                              </w:rPr>
                              <w:t xml:space="preserve">                                                                        </w:t>
                            </w:r>
                          </w:p>
                          <w:p w14:paraId="099C4E84">
                            <w:pPr>
                              <w:snapToGrid w:val="0"/>
                              <w:spacing w:line="480" w:lineRule="atLeast"/>
                              <w:rPr>
                                <w:sz w:val="24"/>
                                <w:szCs w:val="24"/>
                                <w:u w:val="single"/>
                              </w:rPr>
                            </w:pPr>
                            <w:r>
                              <w:rPr>
                                <w:rFonts w:hint="eastAsia" w:cs="宋体"/>
                                <w:sz w:val="24"/>
                                <w:szCs w:val="24"/>
                              </w:rPr>
                              <w:t>有效期限：</w:t>
                            </w:r>
                            <w:r>
                              <w:rPr>
                                <w:sz w:val="24"/>
                                <w:szCs w:val="24"/>
                                <w:u w:val="single"/>
                              </w:rPr>
                              <w:t xml:space="preserve">                                                              </w:t>
                            </w:r>
                          </w:p>
                          <w:p w14:paraId="77B730D5">
                            <w:pPr>
                              <w:snapToGrid w:val="0"/>
                              <w:spacing w:line="480" w:lineRule="atLeast"/>
                              <w:rPr>
                                <w:sz w:val="24"/>
                                <w:szCs w:val="24"/>
                              </w:rPr>
                            </w:pPr>
                            <w:r>
                              <w:rPr>
                                <w:rFonts w:hint="eastAsia" w:cs="宋体"/>
                                <w:sz w:val="24"/>
                                <w:szCs w:val="24"/>
                              </w:rPr>
                              <w:t>附：代理人性别：</w:t>
                            </w:r>
                            <w:r>
                              <w:rPr>
                                <w:rFonts w:hint="eastAsia" w:cs="宋体"/>
                                <w:sz w:val="24"/>
                                <w:szCs w:val="24"/>
                                <w:u w:val="single"/>
                              </w:rPr>
                              <w:t>　　</w:t>
                            </w:r>
                            <w:r>
                              <w:rPr>
                                <w:rFonts w:hint="eastAsia" w:cs="宋体"/>
                                <w:sz w:val="24"/>
                                <w:szCs w:val="24"/>
                              </w:rPr>
                              <w:t>年龄：</w:t>
                            </w:r>
                            <w:r>
                              <w:rPr>
                                <w:rFonts w:hint="eastAsia" w:cs="宋体"/>
                                <w:sz w:val="24"/>
                                <w:szCs w:val="24"/>
                                <w:u w:val="single"/>
                              </w:rPr>
                              <w:t>　　　</w:t>
                            </w:r>
                            <w:r>
                              <w:rPr>
                                <w:rFonts w:hint="eastAsia" w:cs="宋体"/>
                                <w:sz w:val="24"/>
                                <w:szCs w:val="24"/>
                              </w:rPr>
                              <w:t>身份证号码：</w:t>
                            </w:r>
                            <w:r>
                              <w:rPr>
                                <w:sz w:val="24"/>
                                <w:szCs w:val="24"/>
                                <w:u w:val="single"/>
                              </w:rPr>
                              <w:t xml:space="preserve">                            </w:t>
                            </w:r>
                          </w:p>
                          <w:p w14:paraId="628F1BBB">
                            <w:pPr>
                              <w:snapToGrid w:val="0"/>
                              <w:spacing w:line="480" w:lineRule="atLeast"/>
                              <w:ind w:hanging="105"/>
                              <w:rPr>
                                <w:sz w:val="24"/>
                                <w:szCs w:val="24"/>
                                <w:u w:val="single"/>
                              </w:rPr>
                            </w:pPr>
                            <w:r>
                              <w:rPr>
                                <w:rFonts w:hint="eastAsia" w:cs="宋体"/>
                                <w:sz w:val="24"/>
                                <w:szCs w:val="24"/>
                              </w:rPr>
                              <w:t>　　注册号码：</w:t>
                            </w:r>
                            <w:r>
                              <w:rPr>
                                <w:rFonts w:hint="eastAsia" w:cs="宋体"/>
                                <w:sz w:val="24"/>
                                <w:szCs w:val="24"/>
                                <w:u w:val="single"/>
                              </w:rPr>
                              <w:t>　　　　　　　　　</w:t>
                            </w:r>
                            <w:r>
                              <w:rPr>
                                <w:rFonts w:hint="eastAsia" w:cs="宋体"/>
                                <w:sz w:val="24"/>
                                <w:szCs w:val="24"/>
                              </w:rPr>
                              <w:t>企业类型：</w:t>
                            </w:r>
                            <w:r>
                              <w:rPr>
                                <w:sz w:val="24"/>
                                <w:szCs w:val="24"/>
                                <w:u w:val="single"/>
                              </w:rPr>
                              <w:t xml:space="preserve">                               </w:t>
                            </w:r>
                          </w:p>
                          <w:p w14:paraId="299A3CD6">
                            <w:pPr>
                              <w:snapToGrid w:val="0"/>
                              <w:spacing w:line="480" w:lineRule="atLeast"/>
                              <w:ind w:hanging="105"/>
                              <w:rPr>
                                <w:sz w:val="24"/>
                                <w:szCs w:val="24"/>
                                <w:u w:val="single"/>
                              </w:rPr>
                            </w:pPr>
                            <w:r>
                              <w:rPr>
                                <w:rFonts w:hint="eastAsia" w:cs="宋体"/>
                                <w:sz w:val="24"/>
                                <w:szCs w:val="24"/>
                              </w:rPr>
                              <w:t>　　经营范围：</w:t>
                            </w:r>
                            <w:r>
                              <w:rPr>
                                <w:sz w:val="24"/>
                                <w:szCs w:val="24"/>
                                <w:u w:val="single"/>
                              </w:rPr>
                              <w:t xml:space="preserve">                                                           </w:t>
                            </w:r>
                          </w:p>
                          <w:p w14:paraId="3746F83A">
                            <w:pPr>
                              <w:snapToGrid w:val="0"/>
                              <w:spacing w:line="480" w:lineRule="atLeast"/>
                              <w:ind w:hanging="105"/>
                              <w:rPr>
                                <w:sz w:val="24"/>
                                <w:szCs w:val="24"/>
                              </w:rPr>
                            </w:pPr>
                            <w:r>
                              <w:rPr>
                                <w:rFonts w:hint="eastAsia" w:cs="宋体"/>
                                <w:sz w:val="24"/>
                                <w:szCs w:val="24"/>
                              </w:rPr>
                              <w:t>　　法定代表人（负责人）：</w:t>
                            </w:r>
                            <w:r>
                              <w:rPr>
                                <w:rFonts w:hint="eastAsia" w:cs="宋体"/>
                                <w:sz w:val="24"/>
                                <w:szCs w:val="24"/>
                                <w:u w:val="single"/>
                              </w:rPr>
                              <w:t>　　　</w:t>
                            </w:r>
                            <w:r>
                              <w:rPr>
                                <w:sz w:val="24"/>
                                <w:szCs w:val="24"/>
                                <w:u w:val="single"/>
                              </w:rPr>
                              <w:t xml:space="preserve">          </w:t>
                            </w:r>
                            <w:r>
                              <w:rPr>
                                <w:rFonts w:hint="eastAsia" w:cs="宋体"/>
                                <w:sz w:val="24"/>
                                <w:szCs w:val="24"/>
                              </w:rPr>
                              <w:t>（签名）</w:t>
                            </w:r>
                          </w:p>
                          <w:p w14:paraId="6F49CAA6">
                            <w:pPr>
                              <w:snapToGrid w:val="0"/>
                              <w:spacing w:line="480" w:lineRule="atLeast"/>
                              <w:ind w:hanging="105"/>
                              <w:rPr>
                                <w:sz w:val="24"/>
                                <w:szCs w:val="24"/>
                              </w:rPr>
                            </w:pPr>
                            <w:r>
                              <w:rPr>
                                <w:rFonts w:hint="eastAsia" w:cs="宋体"/>
                                <w:sz w:val="24"/>
                                <w:szCs w:val="24"/>
                              </w:rPr>
                              <w:t>　　授权单位：（盖章）</w:t>
                            </w:r>
                            <w:r>
                              <w:rPr>
                                <w:sz w:val="24"/>
                                <w:szCs w:val="24"/>
                                <w:u w:val="single"/>
                              </w:rPr>
                              <w:t xml:space="preserve">                     </w:t>
                            </w:r>
                            <w:r>
                              <w:rPr>
                                <w:rFonts w:hint="eastAsia" w:cs="宋体"/>
                                <w:sz w:val="24"/>
                                <w:szCs w:val="24"/>
                              </w:rPr>
                              <w:t>　</w:t>
                            </w:r>
                          </w:p>
                          <w:p w14:paraId="7B267C0C">
                            <w:pPr>
                              <w:snapToGrid w:val="0"/>
                              <w:spacing w:line="480" w:lineRule="atLeast"/>
                              <w:ind w:firstLine="570"/>
                              <w:rPr>
                                <w:sz w:val="24"/>
                                <w:szCs w:val="24"/>
                              </w:rPr>
                            </w:pPr>
                            <w:r>
                              <w:rPr>
                                <w:rFonts w:hint="eastAsia" w:cs="宋体"/>
                                <w:sz w:val="24"/>
                                <w:szCs w:val="24"/>
                              </w:rPr>
                              <w:t>　　　　　　　　　　　　　　　　　　　　　</w:t>
                            </w:r>
                            <w:r>
                              <w:rPr>
                                <w:sz w:val="24"/>
                                <w:szCs w:val="24"/>
                              </w:rPr>
                              <w:t xml:space="preserve">      </w:t>
                            </w:r>
                            <w:r>
                              <w:rPr>
                                <w:rFonts w:hint="eastAsia" w:cs="宋体"/>
                                <w:sz w:val="24"/>
                                <w:szCs w:val="24"/>
                              </w:rPr>
                              <w:t>年　</w:t>
                            </w:r>
                            <w:r>
                              <w:rPr>
                                <w:sz w:val="24"/>
                                <w:szCs w:val="24"/>
                              </w:rPr>
                              <w:t xml:space="preserve"> </w:t>
                            </w:r>
                            <w:r>
                              <w:rPr>
                                <w:rFonts w:hint="eastAsia" w:cs="宋体"/>
                                <w:sz w:val="24"/>
                                <w:szCs w:val="24"/>
                              </w:rPr>
                              <w:t>月　</w:t>
                            </w:r>
                            <w:r>
                              <w:rPr>
                                <w:sz w:val="24"/>
                                <w:szCs w:val="24"/>
                              </w:rPr>
                              <w:t xml:space="preserve"> </w:t>
                            </w:r>
                            <w:r>
                              <w:rPr>
                                <w:rFonts w:hint="eastAsia" w:cs="宋体"/>
                                <w:sz w:val="24"/>
                                <w:szCs w:val="24"/>
                              </w:rPr>
                              <w:t>日</w:t>
                            </w:r>
                          </w:p>
                        </w:txbxContent>
                      </wps:txbx>
                      <wps:bodyPr rot="0" vert="horz" wrap="square" lIns="91440" tIns="45720" rIns="91440" bIns="45720" anchor="t" anchorCtr="0" upright="1">
                        <a:noAutofit/>
                      </wps:bodyPr>
                    </wps:wsp>
                  </a:graphicData>
                </a:graphic>
              </wp:inline>
            </w:drawing>
          </mc:Choice>
          <mc:Fallback>
            <w:pict>
              <v:shape id="_x0000_s1026" o:spid="_x0000_s1026" o:spt="202" type="#_x0000_t202" style="height:232pt;width:482.6pt;" fillcolor="#FFFFFF" filled="t" stroked="t" coordsize="21600,21600" o:gfxdata="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">
                <v:fill on="t" focussize="0,0"/>
                <v:stroke color="#000000" miterlimit="8" joinstyle="miter"/>
                <v:imagedata o:title=""/>
                <o:lock v:ext="edit" aspectratio="f"/>
                <v:textbox>
                  <w:txbxContent>
                    <w:p w14:paraId="28D43AA4">
                      <w:pPr>
                        <w:spacing w:before="156" w:beforeLines="50"/>
                        <w:ind w:firstLine="480" w:firstLineChars="200"/>
                        <w:rPr>
                          <w:sz w:val="24"/>
                          <w:szCs w:val="24"/>
                        </w:rPr>
                      </w:pPr>
                      <w:r>
                        <w:rPr>
                          <w:rFonts w:hint="eastAsia" w:cs="宋体"/>
                          <w:sz w:val="24"/>
                          <w:szCs w:val="24"/>
                        </w:rPr>
                        <w:t>兹授权</w:t>
                      </w:r>
                      <w:r>
                        <w:rPr>
                          <w:rFonts w:hint="eastAsia" w:cs="宋体"/>
                          <w:sz w:val="24"/>
                          <w:szCs w:val="24"/>
                          <w:u w:val="single"/>
                        </w:rPr>
                        <w:t>　　　　　</w:t>
                      </w:r>
                      <w:r>
                        <w:rPr>
                          <w:rFonts w:hint="eastAsia" w:cs="宋体"/>
                          <w:sz w:val="24"/>
                          <w:szCs w:val="24"/>
                        </w:rPr>
                        <w:t>为我方委托代理人，其权限是：</w:t>
                      </w:r>
                      <w:r>
                        <w:rPr>
                          <w:sz w:val="24"/>
                          <w:szCs w:val="24"/>
                          <w:u w:val="single"/>
                        </w:rPr>
                        <w:t xml:space="preserve">                        </w:t>
                      </w:r>
                    </w:p>
                    <w:p w14:paraId="2EC5A0C4">
                      <w:pPr>
                        <w:snapToGrid w:val="0"/>
                        <w:spacing w:line="480" w:lineRule="atLeast"/>
                        <w:rPr>
                          <w:sz w:val="24"/>
                          <w:szCs w:val="24"/>
                          <w:u w:val="single"/>
                        </w:rPr>
                      </w:pPr>
                      <w:r>
                        <w:rPr>
                          <w:sz w:val="24"/>
                          <w:szCs w:val="24"/>
                          <w:u w:val="single"/>
                        </w:rPr>
                        <w:t xml:space="preserve">                                                                        </w:t>
                      </w:r>
                    </w:p>
                    <w:p w14:paraId="099C4E84">
                      <w:pPr>
                        <w:snapToGrid w:val="0"/>
                        <w:spacing w:line="480" w:lineRule="atLeast"/>
                        <w:rPr>
                          <w:sz w:val="24"/>
                          <w:szCs w:val="24"/>
                          <w:u w:val="single"/>
                        </w:rPr>
                      </w:pPr>
                      <w:r>
                        <w:rPr>
                          <w:rFonts w:hint="eastAsia" w:cs="宋体"/>
                          <w:sz w:val="24"/>
                          <w:szCs w:val="24"/>
                        </w:rPr>
                        <w:t>有效期限：</w:t>
                      </w:r>
                      <w:r>
                        <w:rPr>
                          <w:sz w:val="24"/>
                          <w:szCs w:val="24"/>
                          <w:u w:val="single"/>
                        </w:rPr>
                        <w:t xml:space="preserve">                                                              </w:t>
                      </w:r>
                    </w:p>
                    <w:p w14:paraId="77B730D5">
                      <w:pPr>
                        <w:snapToGrid w:val="0"/>
                        <w:spacing w:line="480" w:lineRule="atLeast"/>
                        <w:rPr>
                          <w:sz w:val="24"/>
                          <w:szCs w:val="24"/>
                        </w:rPr>
                      </w:pPr>
                      <w:r>
                        <w:rPr>
                          <w:rFonts w:hint="eastAsia" w:cs="宋体"/>
                          <w:sz w:val="24"/>
                          <w:szCs w:val="24"/>
                        </w:rPr>
                        <w:t>附：代理人性别：</w:t>
                      </w:r>
                      <w:r>
                        <w:rPr>
                          <w:rFonts w:hint="eastAsia" w:cs="宋体"/>
                          <w:sz w:val="24"/>
                          <w:szCs w:val="24"/>
                          <w:u w:val="single"/>
                        </w:rPr>
                        <w:t>　　</w:t>
                      </w:r>
                      <w:r>
                        <w:rPr>
                          <w:rFonts w:hint="eastAsia" w:cs="宋体"/>
                          <w:sz w:val="24"/>
                          <w:szCs w:val="24"/>
                        </w:rPr>
                        <w:t>年龄：</w:t>
                      </w:r>
                      <w:r>
                        <w:rPr>
                          <w:rFonts w:hint="eastAsia" w:cs="宋体"/>
                          <w:sz w:val="24"/>
                          <w:szCs w:val="24"/>
                          <w:u w:val="single"/>
                        </w:rPr>
                        <w:t>　　　</w:t>
                      </w:r>
                      <w:r>
                        <w:rPr>
                          <w:rFonts w:hint="eastAsia" w:cs="宋体"/>
                          <w:sz w:val="24"/>
                          <w:szCs w:val="24"/>
                        </w:rPr>
                        <w:t>身份证号码：</w:t>
                      </w:r>
                      <w:r>
                        <w:rPr>
                          <w:sz w:val="24"/>
                          <w:szCs w:val="24"/>
                          <w:u w:val="single"/>
                        </w:rPr>
                        <w:t xml:space="preserve">                            </w:t>
                      </w:r>
                    </w:p>
                    <w:p w14:paraId="628F1BBB">
                      <w:pPr>
                        <w:snapToGrid w:val="0"/>
                        <w:spacing w:line="480" w:lineRule="atLeast"/>
                        <w:ind w:hanging="105"/>
                        <w:rPr>
                          <w:sz w:val="24"/>
                          <w:szCs w:val="24"/>
                          <w:u w:val="single"/>
                        </w:rPr>
                      </w:pPr>
                      <w:r>
                        <w:rPr>
                          <w:rFonts w:hint="eastAsia" w:cs="宋体"/>
                          <w:sz w:val="24"/>
                          <w:szCs w:val="24"/>
                        </w:rPr>
                        <w:t>　　注册号码：</w:t>
                      </w:r>
                      <w:r>
                        <w:rPr>
                          <w:rFonts w:hint="eastAsia" w:cs="宋体"/>
                          <w:sz w:val="24"/>
                          <w:szCs w:val="24"/>
                          <w:u w:val="single"/>
                        </w:rPr>
                        <w:t>　　　　　　　　　</w:t>
                      </w:r>
                      <w:r>
                        <w:rPr>
                          <w:rFonts w:hint="eastAsia" w:cs="宋体"/>
                          <w:sz w:val="24"/>
                          <w:szCs w:val="24"/>
                        </w:rPr>
                        <w:t>企业类型：</w:t>
                      </w:r>
                      <w:r>
                        <w:rPr>
                          <w:sz w:val="24"/>
                          <w:szCs w:val="24"/>
                          <w:u w:val="single"/>
                        </w:rPr>
                        <w:t xml:space="preserve">                               </w:t>
                      </w:r>
                    </w:p>
                    <w:p w14:paraId="299A3CD6">
                      <w:pPr>
                        <w:snapToGrid w:val="0"/>
                        <w:spacing w:line="480" w:lineRule="atLeast"/>
                        <w:ind w:hanging="105"/>
                        <w:rPr>
                          <w:sz w:val="24"/>
                          <w:szCs w:val="24"/>
                          <w:u w:val="single"/>
                        </w:rPr>
                      </w:pPr>
                      <w:r>
                        <w:rPr>
                          <w:rFonts w:hint="eastAsia" w:cs="宋体"/>
                          <w:sz w:val="24"/>
                          <w:szCs w:val="24"/>
                        </w:rPr>
                        <w:t>　　经营范围：</w:t>
                      </w:r>
                      <w:r>
                        <w:rPr>
                          <w:sz w:val="24"/>
                          <w:szCs w:val="24"/>
                          <w:u w:val="single"/>
                        </w:rPr>
                        <w:t xml:space="preserve">                                                           </w:t>
                      </w:r>
                    </w:p>
                    <w:p w14:paraId="3746F83A">
                      <w:pPr>
                        <w:snapToGrid w:val="0"/>
                        <w:spacing w:line="480" w:lineRule="atLeast"/>
                        <w:ind w:hanging="105"/>
                        <w:rPr>
                          <w:sz w:val="24"/>
                          <w:szCs w:val="24"/>
                        </w:rPr>
                      </w:pPr>
                      <w:r>
                        <w:rPr>
                          <w:rFonts w:hint="eastAsia" w:cs="宋体"/>
                          <w:sz w:val="24"/>
                          <w:szCs w:val="24"/>
                        </w:rPr>
                        <w:t>　　法定代表人（负责人）：</w:t>
                      </w:r>
                      <w:r>
                        <w:rPr>
                          <w:rFonts w:hint="eastAsia" w:cs="宋体"/>
                          <w:sz w:val="24"/>
                          <w:szCs w:val="24"/>
                          <w:u w:val="single"/>
                        </w:rPr>
                        <w:t>　　　</w:t>
                      </w:r>
                      <w:r>
                        <w:rPr>
                          <w:sz w:val="24"/>
                          <w:szCs w:val="24"/>
                          <w:u w:val="single"/>
                        </w:rPr>
                        <w:t xml:space="preserve">          </w:t>
                      </w:r>
                      <w:r>
                        <w:rPr>
                          <w:rFonts w:hint="eastAsia" w:cs="宋体"/>
                          <w:sz w:val="24"/>
                          <w:szCs w:val="24"/>
                        </w:rPr>
                        <w:t>（签名）</w:t>
                      </w:r>
                    </w:p>
                    <w:p w14:paraId="6F49CAA6">
                      <w:pPr>
                        <w:snapToGrid w:val="0"/>
                        <w:spacing w:line="480" w:lineRule="atLeast"/>
                        <w:ind w:hanging="105"/>
                        <w:rPr>
                          <w:sz w:val="24"/>
                          <w:szCs w:val="24"/>
                        </w:rPr>
                      </w:pPr>
                      <w:r>
                        <w:rPr>
                          <w:rFonts w:hint="eastAsia" w:cs="宋体"/>
                          <w:sz w:val="24"/>
                          <w:szCs w:val="24"/>
                        </w:rPr>
                        <w:t>　　授权单位：（盖章）</w:t>
                      </w:r>
                      <w:r>
                        <w:rPr>
                          <w:sz w:val="24"/>
                          <w:szCs w:val="24"/>
                          <w:u w:val="single"/>
                        </w:rPr>
                        <w:t xml:space="preserve">                     </w:t>
                      </w:r>
                      <w:r>
                        <w:rPr>
                          <w:rFonts w:hint="eastAsia" w:cs="宋体"/>
                          <w:sz w:val="24"/>
                          <w:szCs w:val="24"/>
                        </w:rPr>
                        <w:t>　</w:t>
                      </w:r>
                    </w:p>
                    <w:p w14:paraId="7B267C0C">
                      <w:pPr>
                        <w:snapToGrid w:val="0"/>
                        <w:spacing w:line="480" w:lineRule="atLeast"/>
                        <w:ind w:firstLine="570"/>
                        <w:rPr>
                          <w:sz w:val="24"/>
                          <w:szCs w:val="24"/>
                        </w:rPr>
                      </w:pPr>
                      <w:r>
                        <w:rPr>
                          <w:rFonts w:hint="eastAsia" w:cs="宋体"/>
                          <w:sz w:val="24"/>
                          <w:szCs w:val="24"/>
                        </w:rPr>
                        <w:t>　　　　　　　　　　　　　　　　　　　　　</w:t>
                      </w:r>
                      <w:r>
                        <w:rPr>
                          <w:sz w:val="24"/>
                          <w:szCs w:val="24"/>
                        </w:rPr>
                        <w:t xml:space="preserve">      </w:t>
                      </w:r>
                      <w:r>
                        <w:rPr>
                          <w:rFonts w:hint="eastAsia" w:cs="宋体"/>
                          <w:sz w:val="24"/>
                          <w:szCs w:val="24"/>
                        </w:rPr>
                        <w:t>年　</w:t>
                      </w:r>
                      <w:r>
                        <w:rPr>
                          <w:sz w:val="24"/>
                          <w:szCs w:val="24"/>
                        </w:rPr>
                        <w:t xml:space="preserve"> </w:t>
                      </w:r>
                      <w:r>
                        <w:rPr>
                          <w:rFonts w:hint="eastAsia" w:cs="宋体"/>
                          <w:sz w:val="24"/>
                          <w:szCs w:val="24"/>
                        </w:rPr>
                        <w:t>月　</w:t>
                      </w:r>
                      <w:r>
                        <w:rPr>
                          <w:sz w:val="24"/>
                          <w:szCs w:val="24"/>
                        </w:rPr>
                        <w:t xml:space="preserve"> </w:t>
                      </w:r>
                      <w:r>
                        <w:rPr>
                          <w:rFonts w:hint="eastAsia" w:cs="宋体"/>
                          <w:sz w:val="24"/>
                          <w:szCs w:val="24"/>
                        </w:rPr>
                        <w:t>日</w:t>
                      </w:r>
                    </w:p>
                  </w:txbxContent>
                </v:textbox>
                <w10:wrap type="none"/>
                <w10:anchorlock/>
              </v:shape>
            </w:pict>
          </mc:Fallback>
        </mc:AlternateContent>
      </w:r>
    </w:p>
    <w:p w14:paraId="10859D98">
      <w:pP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注：按提供的该表格格式填写，或使用工商管理（市场监督）部门的格式填写。</w:t>
      </w:r>
    </w:p>
    <w:p w14:paraId="54DDB600">
      <w:pPr>
        <w:pStyle w:val="4"/>
        <w:jc w:val="center"/>
        <w:rPr>
          <w:color w:val="auto"/>
          <w:highlight w:val="none"/>
        </w:rPr>
      </w:pPr>
      <w:r>
        <w:rPr>
          <w:color w:val="auto"/>
          <w:highlight w:val="none"/>
        </w:rPr>
        <w:br w:type="page"/>
      </w:r>
      <w:bookmarkStart w:id="167" w:name="_Toc118553998"/>
      <w:bookmarkStart w:id="168" w:name="_Toc533334223"/>
      <w:r>
        <w:rPr>
          <w:rFonts w:hint="eastAsia"/>
          <w:color w:val="auto"/>
          <w:highlight w:val="none"/>
        </w:rPr>
        <w:t>三、</w:t>
      </w:r>
      <w:bookmarkStart w:id="169" w:name="_Toc13469"/>
      <w:bookmarkStart w:id="170" w:name="_Toc352691666"/>
      <w:bookmarkStart w:id="171" w:name="_Toc144974861"/>
      <w:bookmarkStart w:id="172" w:name="_Toc247514284"/>
      <w:bookmarkStart w:id="173" w:name="_Toc247527832"/>
      <w:bookmarkStart w:id="174" w:name="_Toc152045792"/>
      <w:bookmarkStart w:id="175" w:name="_Toc369531702"/>
      <w:bookmarkStart w:id="176" w:name="_Toc384308381"/>
      <w:bookmarkStart w:id="177" w:name="_Toc361508757"/>
      <w:bookmarkStart w:id="178" w:name="_Toc152042581"/>
      <w:bookmarkStart w:id="179" w:name="_Toc300835214"/>
      <w:r>
        <w:rPr>
          <w:rFonts w:hint="eastAsia"/>
          <w:color w:val="auto"/>
          <w:highlight w:val="none"/>
        </w:rPr>
        <w:t>投标保证金</w:t>
      </w:r>
      <w:bookmarkEnd w:id="167"/>
    </w:p>
    <w:bookmarkEnd w:id="168"/>
    <w:bookmarkEnd w:id="169"/>
    <w:bookmarkEnd w:id="170"/>
    <w:bookmarkEnd w:id="171"/>
    <w:bookmarkEnd w:id="172"/>
    <w:bookmarkEnd w:id="173"/>
    <w:bookmarkEnd w:id="174"/>
    <w:bookmarkEnd w:id="175"/>
    <w:bookmarkEnd w:id="176"/>
    <w:bookmarkEnd w:id="177"/>
    <w:bookmarkEnd w:id="178"/>
    <w:bookmarkEnd w:id="179"/>
    <w:p w14:paraId="5B3EAC4D">
      <w:pPr>
        <w:spacing w:line="360" w:lineRule="auto"/>
        <w:ind w:firstLine="420" w:firstLineChars="200"/>
        <w:rPr>
          <w:rFonts w:ascii="宋体" w:hAnsi="宋体"/>
          <w:color w:val="auto"/>
          <w:highlight w:val="none"/>
        </w:rPr>
      </w:pPr>
      <w:r>
        <w:rPr>
          <w:rFonts w:hint="eastAsia" w:ascii="宋体" w:hAnsi="宋体"/>
          <w:color w:val="auto"/>
          <w:highlight w:val="none"/>
        </w:rPr>
        <w:t>注：如采用现金或者支票方式提交的，由</w:t>
      </w:r>
      <w:r>
        <w:rPr>
          <w:rFonts w:hint="eastAsia" w:ascii="宋体" w:hAnsi="宋体"/>
          <w:color w:val="auto"/>
          <w:highlight w:val="none"/>
          <w:lang w:eastAsia="zh-CN"/>
        </w:rPr>
        <w:t>广州交易集团有限公司（广州公共资源交易中心）</w:t>
      </w:r>
      <w:r>
        <w:rPr>
          <w:rFonts w:hint="eastAsia" w:ascii="宋体" w:hAnsi="宋体"/>
          <w:color w:val="auto"/>
          <w:highlight w:val="none"/>
        </w:rPr>
        <w:t>代收。保证金从投标人基本账户转账至</w:t>
      </w:r>
      <w:r>
        <w:rPr>
          <w:rFonts w:hint="eastAsia" w:ascii="宋体" w:hAnsi="宋体"/>
          <w:color w:val="auto"/>
          <w:highlight w:val="none"/>
          <w:lang w:eastAsia="zh-CN"/>
        </w:rPr>
        <w:t>广州交易集团有限公司（广州公共资源交易中心）</w:t>
      </w:r>
      <w:r>
        <w:rPr>
          <w:rFonts w:hint="eastAsia" w:ascii="宋体" w:hAnsi="宋体"/>
          <w:color w:val="auto"/>
          <w:highlight w:val="none"/>
        </w:rPr>
        <w:t>。其缴纳情况以开标时</w:t>
      </w:r>
      <w:r>
        <w:rPr>
          <w:rFonts w:hint="eastAsia" w:ascii="宋体" w:hAnsi="宋体"/>
          <w:color w:val="auto"/>
          <w:highlight w:val="none"/>
          <w:lang w:eastAsia="zh-CN"/>
        </w:rPr>
        <w:t>广州交易集团有限公司（广州公共资源交易中心）</w:t>
      </w:r>
      <w:r>
        <w:rPr>
          <w:rFonts w:hint="eastAsia" w:ascii="宋体" w:hAnsi="宋体"/>
          <w:color w:val="auto"/>
          <w:highlight w:val="none"/>
        </w:rPr>
        <w:t>数据库查询信息为准。缴纳时间：递交投标文件开始时至递交投标文件截止时间前。具体操作步骤参见</w:t>
      </w:r>
      <w:r>
        <w:rPr>
          <w:rFonts w:hint="eastAsia" w:ascii="宋体" w:hAnsi="宋体"/>
          <w:color w:val="auto"/>
          <w:highlight w:val="none"/>
          <w:lang w:eastAsia="zh-CN"/>
        </w:rPr>
        <w:t>广州交易集团有限公司（广州公共资源交易中心）</w:t>
      </w:r>
      <w:r>
        <w:rPr>
          <w:rFonts w:hint="eastAsia" w:ascii="宋体" w:hAnsi="宋体"/>
          <w:color w:val="auto"/>
          <w:highlight w:val="none"/>
        </w:rPr>
        <w:t>最新的投标保证金缴纳操作流程。</w:t>
      </w:r>
    </w:p>
    <w:p w14:paraId="5953CD22">
      <w:pPr>
        <w:spacing w:line="360" w:lineRule="auto"/>
        <w:ind w:firstLine="420" w:firstLineChars="200"/>
        <w:rPr>
          <w:rFonts w:ascii="宋体" w:hAnsi="宋体"/>
          <w:color w:val="auto"/>
          <w:highlight w:val="none"/>
        </w:rPr>
      </w:pPr>
      <w:r>
        <w:rPr>
          <w:rFonts w:hint="eastAsia" w:ascii="宋体" w:hAnsi="宋体"/>
          <w:color w:val="auto"/>
          <w:highlight w:val="none"/>
        </w:rPr>
        <w:t>如采用投标保函或投标保证保险的方式提交的，投标保函需开具给招标人；保证保险需开具给招标人（受益人也必须是招标人）。在开标前不需要提交纸质原件，投标人应在投标文件中提交投标保函或投标保险等的扫描件并加盖投标人电子印章。完成评标后，由中标候选人在中标候选人公示前提交纸质原件给招标代理单位，纸质原件将在网上公示。若以交易系统支持的电子保函或电子投标保证保险递交的，到账情况以开标时</w:t>
      </w:r>
      <w:r>
        <w:rPr>
          <w:rFonts w:hint="eastAsia" w:ascii="宋体" w:hAnsi="宋体"/>
          <w:color w:val="auto"/>
          <w:highlight w:val="none"/>
          <w:lang w:eastAsia="zh-CN"/>
        </w:rPr>
        <w:t>广州交易集团有限公司（广州公共资源交易中心）</w:t>
      </w:r>
      <w:r>
        <w:rPr>
          <w:rFonts w:hint="eastAsia" w:ascii="宋体" w:hAnsi="宋体"/>
          <w:color w:val="auto"/>
          <w:highlight w:val="none"/>
        </w:rPr>
        <w:t>数据库查询信息为准。具体操作步骤参见</w:t>
      </w:r>
      <w:r>
        <w:rPr>
          <w:rFonts w:hint="eastAsia" w:ascii="宋体" w:hAnsi="宋体"/>
          <w:color w:val="auto"/>
          <w:highlight w:val="none"/>
          <w:lang w:eastAsia="zh-CN"/>
        </w:rPr>
        <w:t>广州交易集团有限公司（广州公共资源交易中心）</w:t>
      </w:r>
      <w:r>
        <w:rPr>
          <w:rFonts w:hint="eastAsia" w:ascii="宋体" w:hAnsi="宋体"/>
          <w:color w:val="auto"/>
          <w:highlight w:val="none"/>
        </w:rPr>
        <w:t>最新的建设工程电子投标保函操作指引。</w:t>
      </w:r>
    </w:p>
    <w:p w14:paraId="6988CC4A">
      <w:pPr>
        <w:spacing w:line="360" w:lineRule="auto"/>
        <w:rPr>
          <w:rFonts w:ascii="宋体" w:hAnsi="宋体"/>
          <w:color w:val="auto"/>
          <w:highlight w:val="none"/>
        </w:rPr>
      </w:pPr>
      <w:r>
        <w:rPr>
          <w:rFonts w:hint="eastAsia" w:ascii="宋体" w:hAnsi="宋体"/>
          <w:color w:val="auto"/>
          <w:highlight w:val="none"/>
        </w:rPr>
        <w:t xml:space="preserve">   </w:t>
      </w:r>
    </w:p>
    <w:p w14:paraId="5416157F">
      <w:pPr>
        <w:pStyle w:val="3"/>
        <w:rPr>
          <w:color w:val="auto"/>
          <w:highlight w:val="none"/>
        </w:rPr>
      </w:pPr>
    </w:p>
    <w:p w14:paraId="24C39AD8">
      <w:pPr>
        <w:spacing w:line="360" w:lineRule="auto"/>
        <w:rPr>
          <w:rFonts w:ascii="宋体" w:hAnsi="宋体"/>
          <w:color w:val="auto"/>
          <w:highlight w:val="none"/>
        </w:rPr>
      </w:pPr>
    </w:p>
    <w:p w14:paraId="034871B0">
      <w:pPr>
        <w:pStyle w:val="4"/>
        <w:jc w:val="center"/>
        <w:rPr>
          <w:color w:val="auto"/>
          <w:highlight w:val="none"/>
        </w:rPr>
      </w:pPr>
      <w:r>
        <w:rPr>
          <w:color w:val="auto"/>
          <w:highlight w:val="none"/>
        </w:rPr>
        <w:br w:type="page"/>
      </w:r>
      <w:bookmarkStart w:id="180" w:name="_Toc374536214"/>
      <w:bookmarkStart w:id="181" w:name="_Toc390704766"/>
      <w:bookmarkStart w:id="182" w:name="_Toc11199"/>
      <w:bookmarkStart w:id="183" w:name="_Toc533357333"/>
      <w:bookmarkStart w:id="184" w:name="_Toc118553999"/>
      <w:r>
        <w:rPr>
          <w:rFonts w:hint="eastAsia"/>
          <w:color w:val="auto"/>
          <w:szCs w:val="32"/>
          <w:highlight w:val="none"/>
        </w:rPr>
        <w:t>四</w:t>
      </w:r>
      <w:bookmarkEnd w:id="180"/>
      <w:bookmarkEnd w:id="181"/>
      <w:r>
        <w:rPr>
          <w:rFonts w:hint="eastAsia"/>
          <w:color w:val="auto"/>
          <w:szCs w:val="32"/>
          <w:highlight w:val="none"/>
        </w:rPr>
        <w:t>、</w:t>
      </w:r>
      <w:r>
        <w:rPr>
          <w:rFonts w:hint="eastAsia"/>
          <w:color w:val="auto"/>
          <w:highlight w:val="none"/>
        </w:rPr>
        <w:t>投</w:t>
      </w:r>
      <w:r>
        <w:rPr>
          <w:rFonts w:hint="eastAsia"/>
          <w:color w:val="auto"/>
          <w:szCs w:val="22"/>
          <w:highlight w:val="none"/>
        </w:rPr>
        <w:t>标</w:t>
      </w:r>
      <w:r>
        <w:rPr>
          <w:rFonts w:hint="eastAsia"/>
          <w:color w:val="auto"/>
          <w:highlight w:val="none"/>
        </w:rPr>
        <w:t>报价书</w:t>
      </w:r>
      <w:bookmarkEnd w:id="182"/>
      <w:bookmarkEnd w:id="183"/>
      <w:bookmarkEnd w:id="184"/>
    </w:p>
    <w:p w14:paraId="6D253AE7">
      <w:pPr>
        <w:spacing w:line="500" w:lineRule="exact"/>
        <w:jc w:val="center"/>
        <w:rPr>
          <w:rFonts w:ascii="宋体" w:hAnsi="宋体"/>
          <w:b/>
          <w:bCs/>
          <w:color w:val="auto"/>
          <w:sz w:val="30"/>
          <w:highlight w:val="none"/>
        </w:rPr>
      </w:pPr>
      <w:r>
        <w:rPr>
          <w:rFonts w:hint="eastAsia" w:ascii="宋体" w:hAnsi="宋体"/>
          <w:b/>
          <w:bCs/>
          <w:color w:val="auto"/>
          <w:sz w:val="30"/>
          <w:highlight w:val="none"/>
        </w:rPr>
        <w:t xml:space="preserve"> </w:t>
      </w:r>
    </w:p>
    <w:p w14:paraId="2BD8BD42">
      <w:pPr>
        <w:spacing w:line="500" w:lineRule="exact"/>
        <w:jc w:val="center"/>
        <w:rPr>
          <w:rFonts w:ascii="宋体" w:hAnsi="宋体"/>
          <w:b/>
          <w:bCs/>
          <w:color w:val="auto"/>
          <w:sz w:val="30"/>
          <w:highlight w:val="none"/>
        </w:rPr>
      </w:pPr>
      <w:r>
        <w:rPr>
          <w:rFonts w:hint="eastAsia" w:ascii="宋体" w:hAnsi="宋体"/>
          <w:b/>
          <w:bCs/>
          <w:color w:val="auto"/>
          <w:sz w:val="30"/>
          <w:highlight w:val="none"/>
        </w:rPr>
        <w:t xml:space="preserve"> </w:t>
      </w:r>
      <w:r>
        <w:rPr>
          <w:rFonts w:hint="eastAsia" w:ascii="宋体" w:hAnsi="宋体"/>
          <w:b/>
          <w:bCs/>
          <w:color w:val="auto"/>
          <w:sz w:val="30"/>
          <w:highlight w:val="none"/>
          <w:lang w:eastAsia="zh-CN"/>
        </w:rPr>
        <w:t>广州市黄埔区龙湖街旺村城中村改造项目北地块（北AZ-03地块）检测监测服务</w:t>
      </w:r>
    </w:p>
    <w:p w14:paraId="700E65E2">
      <w:pPr>
        <w:pStyle w:val="33"/>
        <w:rPr>
          <w:rFonts w:ascii="宋体" w:hAnsi="宋体"/>
          <w:bCs/>
          <w:color w:val="auto"/>
          <w:sz w:val="30"/>
          <w:highlight w:val="none"/>
        </w:rPr>
      </w:pPr>
    </w:p>
    <w:p w14:paraId="17EF06E2">
      <w:pPr>
        <w:pStyle w:val="33"/>
        <w:rPr>
          <w:rFonts w:ascii="宋体" w:hAnsi="宋体"/>
          <w:bCs/>
          <w:color w:val="auto"/>
          <w:sz w:val="30"/>
          <w:highlight w:val="none"/>
        </w:rPr>
      </w:pPr>
    </w:p>
    <w:p w14:paraId="5724D82E">
      <w:pPr>
        <w:pStyle w:val="33"/>
        <w:rPr>
          <w:rFonts w:ascii="宋体" w:hAnsi="宋体"/>
          <w:bCs/>
          <w:color w:val="auto"/>
          <w:sz w:val="30"/>
          <w:highlight w:val="none"/>
        </w:rPr>
      </w:pPr>
    </w:p>
    <w:p w14:paraId="61E25D0B">
      <w:pPr>
        <w:spacing w:line="500" w:lineRule="exact"/>
        <w:jc w:val="center"/>
        <w:rPr>
          <w:rFonts w:ascii="宋体" w:hAnsi="宋体"/>
          <w:b/>
          <w:bCs/>
          <w:color w:val="auto"/>
          <w:sz w:val="30"/>
          <w:highlight w:val="none"/>
        </w:rPr>
      </w:pPr>
    </w:p>
    <w:p w14:paraId="18BA84E0">
      <w:pPr>
        <w:spacing w:line="600" w:lineRule="exact"/>
        <w:jc w:val="center"/>
        <w:rPr>
          <w:rFonts w:ascii="宋体" w:hAnsi="宋体"/>
          <w:b/>
          <w:bCs/>
          <w:color w:val="auto"/>
          <w:sz w:val="52"/>
          <w:highlight w:val="none"/>
        </w:rPr>
      </w:pPr>
      <w:r>
        <w:rPr>
          <w:rFonts w:hint="eastAsia" w:ascii="宋体" w:hAnsi="宋体"/>
          <w:b/>
          <w:bCs/>
          <w:color w:val="auto"/>
          <w:sz w:val="52"/>
          <w:highlight w:val="none"/>
        </w:rPr>
        <w:t>投标报价书</w:t>
      </w:r>
    </w:p>
    <w:p w14:paraId="232FDB0C">
      <w:pPr>
        <w:spacing w:line="500" w:lineRule="exact"/>
        <w:jc w:val="center"/>
        <w:rPr>
          <w:rFonts w:ascii="宋体" w:hAnsi="宋体"/>
          <w:b/>
          <w:bCs/>
          <w:color w:val="auto"/>
          <w:sz w:val="30"/>
          <w:highlight w:val="none"/>
        </w:rPr>
      </w:pPr>
    </w:p>
    <w:p w14:paraId="4259AA90">
      <w:pPr>
        <w:spacing w:line="500" w:lineRule="exact"/>
        <w:jc w:val="center"/>
        <w:rPr>
          <w:rFonts w:ascii="宋体" w:hAnsi="宋体"/>
          <w:b/>
          <w:bCs/>
          <w:color w:val="auto"/>
          <w:sz w:val="30"/>
          <w:highlight w:val="none"/>
        </w:rPr>
      </w:pPr>
    </w:p>
    <w:p w14:paraId="7A3B02F3">
      <w:pPr>
        <w:spacing w:line="500" w:lineRule="exact"/>
        <w:jc w:val="center"/>
        <w:rPr>
          <w:rFonts w:ascii="宋体" w:hAnsi="宋体"/>
          <w:b/>
          <w:bCs/>
          <w:color w:val="auto"/>
          <w:sz w:val="30"/>
          <w:highlight w:val="none"/>
        </w:rPr>
      </w:pPr>
    </w:p>
    <w:p w14:paraId="57BB4F60">
      <w:pPr>
        <w:spacing w:line="500" w:lineRule="exact"/>
        <w:jc w:val="center"/>
        <w:rPr>
          <w:rFonts w:ascii="宋体" w:hAnsi="宋体"/>
          <w:b/>
          <w:bCs/>
          <w:color w:val="auto"/>
          <w:sz w:val="30"/>
          <w:highlight w:val="none"/>
        </w:rPr>
      </w:pPr>
    </w:p>
    <w:p w14:paraId="6A68AE44">
      <w:pPr>
        <w:spacing w:line="500" w:lineRule="exact"/>
        <w:jc w:val="center"/>
        <w:rPr>
          <w:rFonts w:ascii="宋体" w:hAnsi="宋体"/>
          <w:b/>
          <w:bCs/>
          <w:color w:val="auto"/>
          <w:sz w:val="30"/>
          <w:highlight w:val="none"/>
        </w:rPr>
      </w:pPr>
    </w:p>
    <w:p w14:paraId="55B77217">
      <w:pPr>
        <w:spacing w:line="500" w:lineRule="exact"/>
        <w:jc w:val="center"/>
        <w:rPr>
          <w:rFonts w:ascii="宋体" w:hAnsi="宋体"/>
          <w:b/>
          <w:bCs/>
          <w:color w:val="auto"/>
          <w:sz w:val="30"/>
          <w:highlight w:val="none"/>
        </w:rPr>
      </w:pPr>
    </w:p>
    <w:p w14:paraId="15978210">
      <w:pPr>
        <w:spacing w:line="500" w:lineRule="exact"/>
        <w:rPr>
          <w:rFonts w:ascii="宋体" w:hAnsi="宋体"/>
          <w:b/>
          <w:bCs/>
          <w:color w:val="auto"/>
          <w:sz w:val="30"/>
          <w:highlight w:val="none"/>
        </w:rPr>
      </w:pPr>
    </w:p>
    <w:p w14:paraId="4AACE0B5">
      <w:pPr>
        <w:spacing w:line="500" w:lineRule="exact"/>
        <w:ind w:firstLine="2125" w:firstLineChars="756"/>
        <w:rPr>
          <w:rFonts w:ascii="宋体" w:hAnsi="宋体"/>
          <w:b/>
          <w:bCs/>
          <w:color w:val="auto"/>
          <w:sz w:val="28"/>
          <w:highlight w:val="none"/>
        </w:rPr>
      </w:pPr>
      <w:r>
        <w:rPr>
          <w:rFonts w:hint="eastAsia" w:ascii="宋体" w:hAnsi="宋体"/>
          <w:b/>
          <w:bCs/>
          <w:color w:val="auto"/>
          <w:sz w:val="28"/>
          <w:highlight w:val="none"/>
        </w:rPr>
        <w:t>投标人：（公章）</w:t>
      </w:r>
      <w:r>
        <w:rPr>
          <w:rFonts w:ascii="宋体" w:hAnsi="宋体"/>
          <w:b/>
          <w:bCs/>
          <w:color w:val="auto"/>
          <w:sz w:val="28"/>
          <w:highlight w:val="none"/>
        </w:rPr>
        <w:t xml:space="preserve"> </w:t>
      </w:r>
    </w:p>
    <w:p w14:paraId="49AD3060">
      <w:pPr>
        <w:spacing w:line="500" w:lineRule="exact"/>
        <w:ind w:firstLine="2125" w:firstLineChars="756"/>
        <w:jc w:val="left"/>
        <w:rPr>
          <w:rFonts w:ascii="宋体" w:hAnsi="宋体"/>
          <w:b/>
          <w:bCs/>
          <w:color w:val="auto"/>
          <w:sz w:val="28"/>
          <w:highlight w:val="none"/>
        </w:rPr>
      </w:pPr>
      <w:r>
        <w:rPr>
          <w:rFonts w:hint="eastAsia" w:ascii="宋体" w:hAnsi="宋体"/>
          <w:b/>
          <w:bCs/>
          <w:color w:val="auto"/>
          <w:sz w:val="28"/>
          <w:highlight w:val="none"/>
        </w:rPr>
        <w:t>法定代表人(签字或盖章)：</w:t>
      </w:r>
    </w:p>
    <w:p w14:paraId="08C9C287">
      <w:pPr>
        <w:spacing w:line="500" w:lineRule="exact"/>
        <w:jc w:val="center"/>
        <w:rPr>
          <w:rFonts w:ascii="宋体" w:hAnsi="宋体"/>
          <w:b/>
          <w:bCs/>
          <w:color w:val="auto"/>
          <w:sz w:val="28"/>
          <w:highlight w:val="none"/>
        </w:rPr>
      </w:pPr>
      <w:r>
        <w:rPr>
          <w:rFonts w:hint="eastAsia" w:ascii="宋体" w:hAnsi="宋体"/>
          <w:b/>
          <w:bCs/>
          <w:color w:val="auto"/>
          <w:sz w:val="28"/>
          <w:highlight w:val="none"/>
        </w:rPr>
        <w:t>年</w:t>
      </w:r>
      <w:r>
        <w:rPr>
          <w:rFonts w:ascii="宋体" w:hAnsi="宋体"/>
          <w:b/>
          <w:bCs/>
          <w:color w:val="auto"/>
          <w:sz w:val="28"/>
          <w:highlight w:val="none"/>
        </w:rPr>
        <w:t xml:space="preserve">   </w:t>
      </w:r>
      <w:r>
        <w:rPr>
          <w:rFonts w:hint="eastAsia" w:ascii="宋体" w:hAnsi="宋体"/>
          <w:b/>
          <w:bCs/>
          <w:color w:val="auto"/>
          <w:sz w:val="28"/>
          <w:highlight w:val="none"/>
        </w:rPr>
        <w:t>月</w:t>
      </w:r>
      <w:r>
        <w:rPr>
          <w:rFonts w:ascii="宋体" w:hAnsi="宋体"/>
          <w:b/>
          <w:bCs/>
          <w:color w:val="auto"/>
          <w:sz w:val="28"/>
          <w:highlight w:val="none"/>
        </w:rPr>
        <w:t xml:space="preserve">   </w:t>
      </w:r>
      <w:r>
        <w:rPr>
          <w:rFonts w:hint="eastAsia" w:ascii="宋体" w:hAnsi="宋体"/>
          <w:b/>
          <w:bCs/>
          <w:color w:val="auto"/>
          <w:sz w:val="28"/>
          <w:highlight w:val="none"/>
        </w:rPr>
        <w:t>日</w:t>
      </w:r>
    </w:p>
    <w:p w14:paraId="782E7AD1">
      <w:pPr>
        <w:spacing w:line="500" w:lineRule="exact"/>
        <w:jc w:val="center"/>
        <w:rPr>
          <w:rFonts w:ascii="宋体" w:hAnsi="宋体"/>
          <w:b/>
          <w:bCs/>
          <w:color w:val="auto"/>
          <w:sz w:val="30"/>
          <w:highlight w:val="none"/>
        </w:rPr>
      </w:pPr>
    </w:p>
    <w:p w14:paraId="7A3345B2">
      <w:pPr>
        <w:spacing w:line="500" w:lineRule="exact"/>
        <w:jc w:val="center"/>
        <w:rPr>
          <w:rFonts w:ascii="宋体" w:hAnsi="宋体"/>
          <w:b/>
          <w:bCs/>
          <w:color w:val="auto"/>
          <w:sz w:val="30"/>
          <w:highlight w:val="none"/>
        </w:rPr>
      </w:pPr>
    </w:p>
    <w:p w14:paraId="16EADE2D">
      <w:pPr>
        <w:spacing w:line="500" w:lineRule="exact"/>
        <w:rPr>
          <w:rFonts w:ascii="宋体" w:hAnsi="宋体"/>
          <w:color w:val="auto"/>
          <w:szCs w:val="21"/>
          <w:highlight w:val="none"/>
        </w:rPr>
        <w:sectPr>
          <w:headerReference r:id="rId5" w:type="default"/>
          <w:footerReference r:id="rId6" w:type="default"/>
          <w:pgSz w:w="11906" w:h="16838"/>
          <w:pgMar w:top="1440" w:right="1080" w:bottom="1440" w:left="1080" w:header="851" w:footer="1021" w:gutter="0"/>
          <w:pgBorders w:offsetFrom="page">
            <w:top w:val="single" w:color="FFFFFF" w:themeColor="background1" w:sz="4" w:space="24"/>
            <w:left w:val="single" w:color="FFFFFF" w:themeColor="background1" w:sz="4" w:space="24"/>
            <w:bottom w:val="single" w:color="FFFFFF" w:themeColor="background1" w:sz="4" w:space="24"/>
            <w:right w:val="single" w:color="FFFFFF" w:themeColor="background1" w:sz="4" w:space="24"/>
          </w:pgBorders>
          <w:cols w:space="720" w:num="1"/>
          <w:docGrid w:type="lines" w:linePitch="312" w:charSpace="0"/>
        </w:sectPr>
      </w:pPr>
    </w:p>
    <w:p w14:paraId="5544F971">
      <w:pPr>
        <w:tabs>
          <w:tab w:val="left" w:pos="5560"/>
          <w:tab w:val="left" w:pos="6940"/>
        </w:tabs>
        <w:spacing w:line="480" w:lineRule="auto"/>
        <w:ind w:right="85" w:firstLine="3213" w:firstLineChars="1000"/>
        <w:jc w:val="left"/>
        <w:rPr>
          <w:rFonts w:ascii="宋体" w:hAnsi="宋体"/>
          <w:b/>
          <w:color w:val="auto"/>
          <w:sz w:val="32"/>
          <w:szCs w:val="28"/>
          <w:highlight w:val="none"/>
        </w:rPr>
      </w:pPr>
      <w:bookmarkStart w:id="185" w:name="_Toc333829923"/>
      <w:bookmarkStart w:id="186" w:name="_Toc374610687"/>
      <w:bookmarkStart w:id="187" w:name="_Toc390704770"/>
      <w:bookmarkStart w:id="188" w:name="_Toc266373531"/>
      <w:bookmarkStart w:id="189" w:name="_Toc31556"/>
      <w:bookmarkStart w:id="190" w:name="_Toc374536218"/>
      <w:r>
        <w:rPr>
          <w:rFonts w:hint="eastAsia" w:ascii="宋体" w:hAnsi="宋体"/>
          <w:b/>
          <w:color w:val="auto"/>
          <w:sz w:val="32"/>
          <w:szCs w:val="28"/>
          <w:highlight w:val="none"/>
        </w:rPr>
        <w:t>投标报价汇总表</w:t>
      </w:r>
    </w:p>
    <w:p w14:paraId="22208690">
      <w:pPr>
        <w:pStyle w:val="26"/>
        <w:rPr>
          <w:rFonts w:ascii="Calibri" w:hAnsi="Calibri"/>
          <w:color w:val="auto"/>
          <w:highlight w:val="none"/>
        </w:rPr>
      </w:pPr>
    </w:p>
    <w:tbl>
      <w:tblPr>
        <w:tblStyle w:val="27"/>
        <w:tblpPr w:leftFromText="180" w:rightFromText="180" w:vertAnchor="text" w:horzAnchor="page" w:tblpX="1192" w:tblpY="668"/>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26"/>
        <w:gridCol w:w="2573"/>
        <w:gridCol w:w="2191"/>
        <w:gridCol w:w="1729"/>
      </w:tblGrid>
      <w:tr w14:paraId="1AF9BB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trPr>
        <w:tc>
          <w:tcPr>
            <w:tcW w:w="3026" w:type="dxa"/>
            <w:vAlign w:val="center"/>
          </w:tcPr>
          <w:p w14:paraId="43A90D99">
            <w:pPr>
              <w:jc w:val="center"/>
              <w:rPr>
                <w:rFonts w:ascii="宋体" w:hAnsi="宋体" w:cs="华文楷体"/>
                <w:b/>
                <w:color w:val="auto"/>
                <w:kern w:val="0"/>
                <w:sz w:val="24"/>
                <w:szCs w:val="24"/>
                <w:highlight w:val="none"/>
                <w:lang w:bidi="ar"/>
              </w:rPr>
            </w:pPr>
            <w:r>
              <w:rPr>
                <w:rFonts w:hint="eastAsia" w:ascii="宋体" w:hAnsi="宋体" w:cs="华文楷体"/>
                <w:b/>
                <w:color w:val="auto"/>
                <w:kern w:val="0"/>
                <w:sz w:val="24"/>
                <w:szCs w:val="24"/>
                <w:highlight w:val="none"/>
                <w:lang w:val="en-US" w:eastAsia="zh-CN" w:bidi="ar"/>
              </w:rPr>
              <w:t>项目</w:t>
            </w:r>
            <w:r>
              <w:rPr>
                <w:rFonts w:hint="eastAsia" w:ascii="宋体" w:hAnsi="宋体" w:cs="华文楷体"/>
                <w:b/>
                <w:color w:val="auto"/>
                <w:kern w:val="0"/>
                <w:sz w:val="24"/>
                <w:szCs w:val="24"/>
                <w:highlight w:val="none"/>
                <w:lang w:bidi="ar"/>
              </w:rPr>
              <w:t>名称</w:t>
            </w:r>
          </w:p>
        </w:tc>
        <w:tc>
          <w:tcPr>
            <w:tcW w:w="2573" w:type="dxa"/>
          </w:tcPr>
          <w:p w14:paraId="5F3C8969">
            <w:pPr>
              <w:jc w:val="center"/>
              <w:rPr>
                <w:rFonts w:ascii="宋体" w:hAnsi="宋体" w:cs="华文楷体"/>
                <w:b/>
                <w:color w:val="auto"/>
                <w:kern w:val="0"/>
                <w:sz w:val="24"/>
                <w:szCs w:val="24"/>
                <w:highlight w:val="none"/>
                <w:lang w:bidi="ar"/>
              </w:rPr>
            </w:pPr>
            <w:r>
              <w:rPr>
                <w:rFonts w:hint="eastAsia" w:ascii="宋体" w:hAnsi="宋体" w:cs="华文楷体"/>
                <w:b/>
                <w:color w:val="auto"/>
                <w:kern w:val="0"/>
                <w:sz w:val="24"/>
                <w:szCs w:val="24"/>
                <w:highlight w:val="none"/>
                <w:lang w:val="en-US" w:eastAsia="zh-CN" w:bidi="ar"/>
              </w:rPr>
              <w:t>最高投标限价</w:t>
            </w:r>
            <w:r>
              <w:rPr>
                <w:rFonts w:hint="eastAsia" w:ascii="宋体" w:hAnsi="宋体" w:cs="华文楷体"/>
                <w:b/>
                <w:color w:val="auto"/>
                <w:kern w:val="0"/>
                <w:sz w:val="24"/>
                <w:szCs w:val="24"/>
                <w:highlight w:val="none"/>
                <w:lang w:bidi="ar"/>
              </w:rPr>
              <w:t>（含税）</w:t>
            </w:r>
          </w:p>
          <w:p w14:paraId="0725E5D1">
            <w:pPr>
              <w:jc w:val="center"/>
              <w:rPr>
                <w:rFonts w:ascii="宋体" w:hAnsi="宋体" w:cs="华文楷体"/>
                <w:bCs/>
                <w:color w:val="auto"/>
                <w:kern w:val="0"/>
                <w:sz w:val="24"/>
                <w:szCs w:val="24"/>
                <w:highlight w:val="none"/>
                <w:lang w:bidi="ar"/>
              </w:rPr>
            </w:pPr>
            <w:r>
              <w:rPr>
                <w:rFonts w:hint="eastAsia" w:ascii="宋体" w:hAnsi="宋体" w:cs="华文楷体"/>
                <w:b/>
                <w:color w:val="auto"/>
                <w:kern w:val="0"/>
                <w:sz w:val="24"/>
                <w:szCs w:val="24"/>
                <w:highlight w:val="none"/>
                <w:lang w:bidi="ar"/>
              </w:rPr>
              <w:t>（元）</w:t>
            </w:r>
          </w:p>
        </w:tc>
        <w:tc>
          <w:tcPr>
            <w:tcW w:w="2191" w:type="dxa"/>
          </w:tcPr>
          <w:p w14:paraId="0C35AF6E">
            <w:pPr>
              <w:jc w:val="center"/>
              <w:rPr>
                <w:rFonts w:ascii="宋体" w:hAnsi="宋体" w:cs="华文楷体"/>
                <w:b/>
                <w:color w:val="auto"/>
                <w:kern w:val="0"/>
                <w:sz w:val="24"/>
                <w:szCs w:val="24"/>
                <w:highlight w:val="none"/>
                <w:lang w:bidi="ar"/>
              </w:rPr>
            </w:pPr>
            <w:r>
              <w:rPr>
                <w:rFonts w:hint="eastAsia" w:ascii="宋体" w:hAnsi="宋体" w:cs="华文楷体"/>
                <w:b/>
                <w:color w:val="auto"/>
                <w:kern w:val="0"/>
                <w:sz w:val="24"/>
                <w:szCs w:val="24"/>
                <w:highlight w:val="none"/>
                <w:lang w:bidi="ar"/>
              </w:rPr>
              <w:t>投标报价（含税）</w:t>
            </w:r>
          </w:p>
          <w:p w14:paraId="5E6BD323">
            <w:pPr>
              <w:jc w:val="center"/>
              <w:rPr>
                <w:rFonts w:hint="eastAsia" w:ascii="宋体" w:hAnsi="宋体" w:cs="华文楷体"/>
                <w:b/>
                <w:color w:val="auto"/>
                <w:kern w:val="0"/>
                <w:sz w:val="24"/>
                <w:szCs w:val="24"/>
                <w:highlight w:val="none"/>
                <w:lang w:bidi="ar"/>
              </w:rPr>
            </w:pPr>
            <w:r>
              <w:rPr>
                <w:rFonts w:hint="eastAsia" w:ascii="宋体" w:hAnsi="宋体" w:cs="华文楷体"/>
                <w:b/>
                <w:color w:val="auto"/>
                <w:kern w:val="0"/>
                <w:sz w:val="24"/>
                <w:szCs w:val="24"/>
                <w:highlight w:val="none"/>
                <w:lang w:bidi="ar"/>
              </w:rPr>
              <w:t>（元）</w:t>
            </w:r>
          </w:p>
        </w:tc>
        <w:tc>
          <w:tcPr>
            <w:tcW w:w="1729" w:type="dxa"/>
            <w:vAlign w:val="center"/>
          </w:tcPr>
          <w:p w14:paraId="371DC4F3">
            <w:pPr>
              <w:jc w:val="center"/>
              <w:rPr>
                <w:rFonts w:ascii="宋体" w:hAnsi="宋体" w:cs="华文楷体"/>
                <w:b/>
                <w:color w:val="auto"/>
                <w:kern w:val="0"/>
                <w:sz w:val="24"/>
                <w:szCs w:val="24"/>
                <w:highlight w:val="none"/>
                <w:lang w:bidi="ar"/>
              </w:rPr>
            </w:pPr>
            <w:r>
              <w:rPr>
                <w:rFonts w:hint="eastAsia" w:ascii="宋体" w:hAnsi="宋体" w:cs="华文楷体"/>
                <w:b/>
                <w:color w:val="auto"/>
                <w:kern w:val="0"/>
                <w:sz w:val="24"/>
                <w:szCs w:val="24"/>
                <w:highlight w:val="none"/>
                <w:lang w:bidi="ar"/>
              </w:rPr>
              <w:t>投标下浮率</w:t>
            </w:r>
          </w:p>
          <w:p w14:paraId="6519553C">
            <w:pPr>
              <w:jc w:val="center"/>
              <w:rPr>
                <w:rFonts w:ascii="宋体" w:hAnsi="宋体" w:cs="华文楷体"/>
                <w:b/>
                <w:color w:val="auto"/>
                <w:kern w:val="0"/>
                <w:sz w:val="24"/>
                <w:szCs w:val="24"/>
                <w:highlight w:val="none"/>
                <w:lang w:bidi="ar"/>
              </w:rPr>
            </w:pPr>
            <w:r>
              <w:rPr>
                <w:rFonts w:hint="eastAsia" w:ascii="宋体" w:hAnsi="宋体" w:cs="华文楷体"/>
                <w:b/>
                <w:color w:val="auto"/>
                <w:kern w:val="0"/>
                <w:sz w:val="24"/>
                <w:szCs w:val="24"/>
                <w:highlight w:val="none"/>
                <w:lang w:bidi="ar"/>
              </w:rPr>
              <w:t>（%）</w:t>
            </w:r>
          </w:p>
        </w:tc>
      </w:tr>
      <w:tr w14:paraId="762236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7" w:hRule="atLeast"/>
        </w:trPr>
        <w:tc>
          <w:tcPr>
            <w:tcW w:w="3026" w:type="dxa"/>
            <w:vAlign w:val="center"/>
          </w:tcPr>
          <w:p w14:paraId="608DA345">
            <w:pPr>
              <w:jc w:val="center"/>
              <w:rPr>
                <w:rFonts w:ascii="宋体" w:hAnsi="宋体" w:cs="华文楷体"/>
                <w:bCs/>
                <w:color w:val="auto"/>
                <w:kern w:val="0"/>
                <w:sz w:val="24"/>
                <w:szCs w:val="24"/>
                <w:highlight w:val="none"/>
                <w:lang w:bidi="ar"/>
              </w:rPr>
            </w:pPr>
            <w:r>
              <w:rPr>
                <w:rFonts w:hint="eastAsia" w:ascii="宋体" w:hAnsi="宋体" w:cs="华文楷体"/>
                <w:bCs/>
                <w:color w:val="auto"/>
                <w:kern w:val="0"/>
                <w:sz w:val="24"/>
                <w:szCs w:val="24"/>
                <w:highlight w:val="none"/>
                <w:lang w:eastAsia="zh-CN" w:bidi="ar"/>
              </w:rPr>
              <w:t>广州市黄埔区龙湖街旺村城中村改造项目北地块（北AZ-03地块）检测监测服务</w:t>
            </w:r>
          </w:p>
        </w:tc>
        <w:tc>
          <w:tcPr>
            <w:tcW w:w="2573" w:type="dxa"/>
            <w:vAlign w:val="center"/>
          </w:tcPr>
          <w:p w14:paraId="01C425BC">
            <w:pPr>
              <w:jc w:val="center"/>
              <w:rPr>
                <w:rFonts w:hint="default" w:ascii="宋体" w:hAnsi="宋体" w:eastAsia="宋体" w:cs="华文楷体"/>
                <w:b/>
                <w:color w:val="auto"/>
                <w:kern w:val="0"/>
                <w:sz w:val="24"/>
                <w:szCs w:val="24"/>
                <w:highlight w:val="none"/>
                <w:u w:val="none"/>
                <w:lang w:val="en-US" w:eastAsia="zh-CN" w:bidi="ar"/>
              </w:rPr>
            </w:pPr>
            <w:r>
              <w:rPr>
                <w:rFonts w:hint="eastAsia" w:ascii="宋体" w:hAnsi="宋体"/>
                <w:color w:val="auto"/>
                <w:szCs w:val="21"/>
                <w:highlight w:val="none"/>
                <w:u w:val="single"/>
                <w:lang w:val="en-US" w:eastAsia="zh-CN"/>
              </w:rPr>
              <w:t>13,753,390.50</w:t>
            </w:r>
            <w:r>
              <w:rPr>
                <w:rFonts w:hint="eastAsia" w:ascii="宋体" w:hAnsi="宋体" w:cs="华文楷体"/>
                <w:bCs/>
                <w:color w:val="auto"/>
                <w:kern w:val="0"/>
                <w:sz w:val="24"/>
                <w:szCs w:val="24"/>
                <w:highlight w:val="none"/>
                <w:lang w:val="en-US" w:eastAsia="zh-CN" w:bidi="ar"/>
              </w:rPr>
              <w:t xml:space="preserve"> </w:t>
            </w:r>
          </w:p>
        </w:tc>
        <w:tc>
          <w:tcPr>
            <w:tcW w:w="2191" w:type="dxa"/>
            <w:vAlign w:val="center"/>
          </w:tcPr>
          <w:p w14:paraId="0C4F6361">
            <w:pPr>
              <w:jc w:val="center"/>
              <w:textAlignment w:val="center"/>
              <w:rPr>
                <w:rFonts w:ascii="宋体" w:hAnsi="宋体" w:cs="华文楷体"/>
                <w:b/>
                <w:color w:val="auto"/>
                <w:kern w:val="0"/>
                <w:sz w:val="24"/>
                <w:szCs w:val="24"/>
                <w:highlight w:val="none"/>
                <w:u w:val="none"/>
                <w:lang w:bidi="ar"/>
              </w:rPr>
            </w:pPr>
          </w:p>
        </w:tc>
        <w:tc>
          <w:tcPr>
            <w:tcW w:w="1729" w:type="dxa"/>
            <w:vAlign w:val="center"/>
          </w:tcPr>
          <w:p w14:paraId="1ABBBF5F">
            <w:pPr>
              <w:jc w:val="center"/>
              <w:rPr>
                <w:rFonts w:ascii="宋体" w:hAnsi="宋体" w:cs="华文楷体"/>
                <w:b/>
                <w:color w:val="auto"/>
                <w:kern w:val="0"/>
                <w:sz w:val="24"/>
                <w:szCs w:val="24"/>
                <w:highlight w:val="none"/>
                <w:u w:val="none"/>
                <w:lang w:bidi="ar"/>
              </w:rPr>
            </w:pPr>
          </w:p>
        </w:tc>
      </w:tr>
    </w:tbl>
    <w:p w14:paraId="45404582">
      <w:pPr>
        <w:rPr>
          <w:rFonts w:ascii="宋体" w:hAnsi="宋体"/>
          <w:color w:val="auto"/>
          <w:highlight w:val="none"/>
        </w:rPr>
      </w:pPr>
    </w:p>
    <w:p w14:paraId="0BF5C03E">
      <w:pPr>
        <w:pStyle w:val="26"/>
        <w:ind w:firstLine="422"/>
        <w:rPr>
          <w:rFonts w:ascii="Calibri" w:hAnsi="Calibri"/>
          <w:b/>
          <w:color w:val="auto"/>
          <w:highlight w:val="none"/>
          <w:u w:val="single"/>
        </w:rPr>
      </w:pPr>
      <w:r>
        <w:rPr>
          <w:rFonts w:hint="eastAsia" w:ascii="Calibri" w:hAnsi="Calibri"/>
          <w:b/>
          <w:color w:val="auto"/>
          <w:highlight w:val="none"/>
          <w:u w:val="single"/>
        </w:rPr>
        <w:t>注：</w:t>
      </w:r>
    </w:p>
    <w:p w14:paraId="4BFECEE2">
      <w:pPr>
        <w:pStyle w:val="26"/>
        <w:numPr>
          <w:ilvl w:val="0"/>
          <w:numId w:val="4"/>
        </w:numPr>
        <w:ind w:firstLine="422"/>
        <w:rPr>
          <w:rFonts w:hint="eastAsia" w:ascii="Calibri" w:hAnsi="Calibri"/>
          <w:b w:val="0"/>
          <w:bCs/>
          <w:color w:val="auto"/>
          <w:highlight w:val="none"/>
          <w:u w:val="single"/>
          <w:lang w:val="en-US" w:eastAsia="zh-CN"/>
        </w:rPr>
      </w:pPr>
      <w:r>
        <w:rPr>
          <w:rFonts w:hint="eastAsia" w:ascii="Calibri" w:hAnsi="Calibri"/>
          <w:b w:val="0"/>
          <w:bCs/>
          <w:color w:val="auto"/>
          <w:highlight w:val="none"/>
          <w:u w:val="single"/>
          <w:lang w:val="en-US" w:eastAsia="zh-CN"/>
        </w:rPr>
        <w:t>投标基准价为本项目检测监测清单根据相关计费文件计取，即</w:t>
      </w:r>
      <w:r>
        <w:rPr>
          <w:rFonts w:hint="eastAsia" w:ascii="宋体" w:hAnsi="宋体"/>
          <w:color w:val="auto"/>
          <w:szCs w:val="21"/>
          <w:highlight w:val="none"/>
          <w:u w:val="single"/>
          <w:lang w:val="en-US" w:eastAsia="zh-CN"/>
        </w:rPr>
        <w:t xml:space="preserve">18,337,854.00 </w:t>
      </w:r>
      <w:r>
        <w:rPr>
          <w:rFonts w:hint="eastAsia" w:ascii="Calibri" w:hAnsi="Calibri"/>
          <w:b w:val="0"/>
          <w:bCs/>
          <w:color w:val="auto"/>
          <w:highlight w:val="none"/>
          <w:u w:val="single"/>
          <w:lang w:val="en-US" w:eastAsia="zh-CN"/>
        </w:rPr>
        <w:t>元；最高投标限价计取为投标基准价下浮25%，即</w:t>
      </w:r>
      <w:r>
        <w:rPr>
          <w:rFonts w:hint="eastAsia" w:ascii="宋体" w:hAnsi="宋体"/>
          <w:color w:val="auto"/>
          <w:szCs w:val="21"/>
          <w:highlight w:val="none"/>
          <w:u w:val="single"/>
          <w:lang w:val="en-US" w:eastAsia="zh-CN"/>
        </w:rPr>
        <w:t>13,753,390.50</w:t>
      </w:r>
      <w:r>
        <w:rPr>
          <w:rFonts w:hint="eastAsia" w:ascii="Calibri" w:hAnsi="Calibri"/>
          <w:b w:val="0"/>
          <w:bCs/>
          <w:color w:val="auto"/>
          <w:highlight w:val="none"/>
          <w:u w:val="single"/>
          <w:lang w:val="en-US" w:eastAsia="zh-CN"/>
        </w:rPr>
        <w:t>元。</w:t>
      </w:r>
    </w:p>
    <w:p w14:paraId="7363E394">
      <w:pPr>
        <w:pStyle w:val="26"/>
        <w:ind w:firstLine="422"/>
        <w:rPr>
          <w:rFonts w:hint="eastAsia" w:ascii="Times New Roman" w:hAnsi="宋体" w:cs="宋体"/>
          <w:b w:val="0"/>
          <w:bCs/>
          <w:color w:val="auto"/>
          <w:szCs w:val="21"/>
          <w:highlight w:val="none"/>
          <w:u w:val="single"/>
        </w:rPr>
      </w:pPr>
      <w:r>
        <w:rPr>
          <w:rFonts w:hint="eastAsia" w:ascii="Calibri" w:hAnsi="Calibri"/>
          <w:b w:val="0"/>
          <w:bCs/>
          <w:color w:val="auto"/>
          <w:highlight w:val="none"/>
          <w:u w:val="single"/>
          <w:lang w:val="en-US" w:eastAsia="zh-CN"/>
        </w:rPr>
        <w:t>2</w:t>
      </w:r>
      <w:r>
        <w:rPr>
          <w:rFonts w:hint="eastAsia" w:ascii="Calibri" w:hAnsi="Calibri"/>
          <w:b w:val="0"/>
          <w:bCs/>
          <w:color w:val="auto"/>
          <w:highlight w:val="none"/>
          <w:u w:val="single"/>
        </w:rPr>
        <w:t>、</w:t>
      </w:r>
      <w:r>
        <w:rPr>
          <w:rFonts w:hint="eastAsia" w:ascii="Calibri" w:hAnsi="Calibri"/>
          <w:bCs/>
          <w:color w:val="auto"/>
          <w:highlight w:val="none"/>
          <w:u w:val="single"/>
        </w:rPr>
        <w:t>投标下浮率以</w:t>
      </w:r>
      <w:r>
        <w:rPr>
          <w:rFonts w:hint="eastAsia" w:ascii="Calibri" w:hAnsi="Calibri"/>
          <w:bCs/>
          <w:color w:val="auto"/>
          <w:highlight w:val="none"/>
          <w:u w:val="single"/>
          <w:lang w:val="en-US" w:eastAsia="zh-CN"/>
        </w:rPr>
        <w:t>投标基准价</w:t>
      </w:r>
      <w:r>
        <w:rPr>
          <w:rFonts w:hint="eastAsia" w:ascii="Calibri" w:hAnsi="Calibri"/>
          <w:bCs/>
          <w:color w:val="auto"/>
          <w:highlight w:val="none"/>
          <w:u w:val="single"/>
        </w:rPr>
        <w:t>为下浮基数。投标报价=</w:t>
      </w:r>
      <w:r>
        <w:rPr>
          <w:rFonts w:hint="eastAsia" w:ascii="Calibri" w:hAnsi="Calibri"/>
          <w:b w:val="0"/>
          <w:bCs/>
          <w:color w:val="auto"/>
          <w:highlight w:val="none"/>
          <w:u w:val="single"/>
          <w:lang w:val="en-US" w:eastAsia="zh-CN"/>
        </w:rPr>
        <w:t>投标基准价</w:t>
      </w:r>
      <w:r>
        <w:rPr>
          <w:rFonts w:hint="eastAsia" w:ascii="Calibri" w:hAnsi="Calibri"/>
          <w:bCs/>
          <w:color w:val="auto"/>
          <w:highlight w:val="none"/>
          <w:u w:val="single"/>
        </w:rPr>
        <w:t>*（1-投标下浮率）。</w:t>
      </w:r>
      <w:r>
        <w:rPr>
          <w:rFonts w:hint="eastAsia" w:ascii="Calibri" w:hAnsi="Calibri"/>
          <w:bCs/>
          <w:color w:val="auto"/>
          <w:highlight w:val="none"/>
          <w:u w:val="single"/>
          <w:lang w:val="en-US" w:eastAsia="zh-CN"/>
        </w:rPr>
        <w:t>投标</w:t>
      </w:r>
      <w:r>
        <w:rPr>
          <w:rFonts w:hint="eastAsia" w:ascii="宋体" w:hAnsi="宋体" w:cs="宋体"/>
          <w:bCs/>
          <w:color w:val="auto"/>
          <w:szCs w:val="21"/>
          <w:highlight w:val="none"/>
          <w:u w:val="single"/>
          <w:lang w:val="zh-CN"/>
        </w:rPr>
        <w:t>下浮率=【1-（投标报价/</w:t>
      </w:r>
      <w:r>
        <w:rPr>
          <w:rFonts w:hint="eastAsia" w:ascii="Calibri" w:hAnsi="Calibri"/>
          <w:b w:val="0"/>
          <w:bCs/>
          <w:color w:val="auto"/>
          <w:highlight w:val="none"/>
          <w:u w:val="single"/>
          <w:lang w:val="en-US" w:eastAsia="zh-CN"/>
        </w:rPr>
        <w:t>投标基准价</w:t>
      </w:r>
      <w:r>
        <w:rPr>
          <w:rFonts w:hint="eastAsia" w:ascii="宋体" w:hAnsi="宋体" w:cs="宋体"/>
          <w:bCs/>
          <w:color w:val="auto"/>
          <w:szCs w:val="21"/>
          <w:highlight w:val="none"/>
          <w:u w:val="single"/>
          <w:lang w:val="zh-CN"/>
        </w:rPr>
        <w:t>）】×100%，</w:t>
      </w:r>
      <w:r>
        <w:rPr>
          <w:rFonts w:hint="eastAsia" w:ascii="宋体" w:hAnsi="宋体"/>
          <w:bCs/>
          <w:color w:val="auto"/>
          <w:highlight w:val="none"/>
          <w:u w:val="single"/>
        </w:rPr>
        <w:t>（1-投标下浮率）</w:t>
      </w:r>
      <w:r>
        <w:rPr>
          <w:rFonts w:hint="eastAsia" w:hAnsi="宋体" w:cs="宋体"/>
          <w:bCs/>
          <w:color w:val="auto"/>
          <w:szCs w:val="21"/>
          <w:highlight w:val="none"/>
          <w:u w:val="single"/>
        </w:rPr>
        <w:t>与</w:t>
      </w:r>
      <w:r>
        <w:rPr>
          <w:rFonts w:hint="eastAsia" w:ascii="Calibri" w:hAnsi="Calibri"/>
          <w:b w:val="0"/>
          <w:bCs/>
          <w:color w:val="auto"/>
          <w:highlight w:val="none"/>
          <w:u w:val="single"/>
          <w:lang w:val="en-US" w:eastAsia="zh-CN"/>
        </w:rPr>
        <w:t>投标基准价</w:t>
      </w:r>
      <w:r>
        <w:rPr>
          <w:rFonts w:hint="eastAsia" w:hAnsi="宋体" w:cs="宋体"/>
          <w:bCs/>
          <w:color w:val="auto"/>
          <w:szCs w:val="21"/>
          <w:highlight w:val="none"/>
          <w:u w:val="single"/>
        </w:rPr>
        <w:t>乘积不等于投标报价的，</w:t>
      </w:r>
      <w:r>
        <w:rPr>
          <w:rFonts w:hint="eastAsia" w:ascii="宋体" w:hAnsi="宋体"/>
          <w:bCs/>
          <w:color w:val="auto"/>
          <w:highlight w:val="none"/>
          <w:u w:val="single"/>
        </w:rPr>
        <w:t>按</w:t>
      </w:r>
      <w:r>
        <w:rPr>
          <w:rFonts w:hint="eastAsia" w:ascii="Calibri" w:hAnsi="Calibri"/>
          <w:b w:val="0"/>
          <w:bCs/>
          <w:color w:val="auto"/>
          <w:highlight w:val="none"/>
          <w:u w:val="single"/>
          <w:lang w:val="en-US" w:eastAsia="zh-CN"/>
        </w:rPr>
        <w:t>投标基准价</w:t>
      </w:r>
      <w:r>
        <w:rPr>
          <w:rFonts w:hint="eastAsia" w:ascii="宋体" w:hAnsi="宋体"/>
          <w:bCs/>
          <w:color w:val="auto"/>
          <w:highlight w:val="none"/>
          <w:u w:val="single"/>
        </w:rPr>
        <w:t>*（1-投标下浮率）修正投标报价。</w:t>
      </w:r>
      <w:r>
        <w:rPr>
          <w:rFonts w:hint="eastAsia" w:ascii="宋体" w:hAnsi="宋体"/>
          <w:bCs/>
          <w:color w:val="auto"/>
          <w:highlight w:val="none"/>
          <w:u w:val="single"/>
          <w:lang w:val="en-US" w:eastAsia="zh-CN"/>
        </w:rPr>
        <w:t>投标总价及</w:t>
      </w:r>
      <w:r>
        <w:rPr>
          <w:rFonts w:hint="eastAsia" w:ascii="Times New Roman" w:hAnsi="宋体" w:eastAsia="宋体" w:cs="宋体"/>
          <w:bCs/>
          <w:color w:val="auto"/>
          <w:sz w:val="21"/>
          <w:szCs w:val="21"/>
          <w:highlight w:val="none"/>
          <w:u w:val="single"/>
        </w:rPr>
        <w:t>各项综合单价</w:t>
      </w:r>
      <w:r>
        <w:rPr>
          <w:rFonts w:hint="eastAsia" w:hAnsi="宋体" w:cs="宋体"/>
          <w:bCs/>
          <w:color w:val="auto"/>
          <w:szCs w:val="21"/>
          <w:highlight w:val="none"/>
          <w:u w:val="single"/>
          <w:lang w:val="en-US" w:eastAsia="zh-CN"/>
        </w:rPr>
        <w:t>均按同等</w:t>
      </w:r>
      <w:r>
        <w:rPr>
          <w:rFonts w:hint="eastAsia" w:ascii="Calibri" w:hAnsi="Calibri"/>
          <w:bCs/>
          <w:color w:val="auto"/>
          <w:highlight w:val="none"/>
          <w:u w:val="single"/>
        </w:rPr>
        <w:t>投标</w:t>
      </w:r>
      <w:r>
        <w:rPr>
          <w:rFonts w:hint="eastAsia" w:hAnsi="宋体" w:cs="宋体"/>
          <w:bCs/>
          <w:color w:val="auto"/>
          <w:szCs w:val="21"/>
          <w:highlight w:val="none"/>
          <w:u w:val="single"/>
          <w:lang w:val="en-US" w:eastAsia="zh-CN"/>
        </w:rPr>
        <w:t>下浮率执行，</w:t>
      </w:r>
      <w:r>
        <w:rPr>
          <w:rFonts w:hint="eastAsia" w:hAnsi="宋体" w:cs="宋体"/>
          <w:bCs/>
          <w:color w:val="auto"/>
          <w:szCs w:val="21"/>
          <w:highlight w:val="none"/>
          <w:u w:val="single"/>
        </w:rPr>
        <w:t>投标报价（含下浮率）精确到小数点后两位。</w:t>
      </w:r>
    </w:p>
    <w:p w14:paraId="3B19E3A5">
      <w:pPr>
        <w:pStyle w:val="26"/>
        <w:ind w:firstLine="422"/>
        <w:rPr>
          <w:rFonts w:hint="eastAsia" w:ascii="Times New Roman" w:hAnsi="宋体" w:eastAsia="宋体" w:cs="宋体"/>
          <w:bCs/>
          <w:color w:val="auto"/>
          <w:szCs w:val="21"/>
          <w:highlight w:val="none"/>
          <w:u w:val="single"/>
          <w:lang w:val="en-US" w:eastAsia="zh-CN"/>
        </w:rPr>
      </w:pPr>
      <w:r>
        <w:rPr>
          <w:rFonts w:hint="eastAsia" w:hAnsi="宋体" w:cs="宋体"/>
          <w:bCs/>
          <w:color w:val="auto"/>
          <w:szCs w:val="21"/>
          <w:highlight w:val="none"/>
          <w:u w:val="single"/>
          <w:lang w:val="en-US" w:eastAsia="zh-CN"/>
        </w:rPr>
        <w:t>3</w:t>
      </w:r>
      <w:r>
        <w:rPr>
          <w:rFonts w:hint="eastAsia" w:ascii="Times New Roman" w:hAnsi="宋体" w:cs="宋体"/>
          <w:bCs/>
          <w:color w:val="auto"/>
          <w:szCs w:val="21"/>
          <w:highlight w:val="none"/>
          <w:u w:val="single"/>
          <w:lang w:val="en-US" w:eastAsia="zh-CN"/>
        </w:rPr>
        <w:t>、</w:t>
      </w:r>
      <w:r>
        <w:rPr>
          <w:rFonts w:hint="eastAsia" w:ascii="Times New Roman" w:hAnsi="宋体" w:eastAsia="宋体" w:cs="宋体"/>
          <w:bCs/>
          <w:color w:val="auto"/>
          <w:sz w:val="21"/>
          <w:szCs w:val="21"/>
          <w:highlight w:val="none"/>
          <w:u w:val="single"/>
        </w:rPr>
        <w:t>各项综合单价包括但不限于人工费、材料费、设备使用费、设备进出场费（综合考虑按现场实际可能存在多次进出场情况）、措施费、基准点及观测点埋设和损坏修复费（并且包括在建筑物全过程中观测频率不得少于设计文件和规范要求所规定的频率）、检（监）测试验费、报告编写费、各项管理费及所有因工程质量检（监）测应交纳的政府规费、利润、税金等，包括完成对应检（监）测项目所需发生的全部费用以及本合同明示或暗示的所有风险而进一步产生的费用，结算时综合单价不作调整。本合同工程量为暂定数量，不作为结算的依据, 以经甲方确认的实际工程量为结算依据。</w:t>
      </w:r>
    </w:p>
    <w:p w14:paraId="26DABFA5">
      <w:pPr>
        <w:pStyle w:val="26"/>
        <w:rPr>
          <w:rFonts w:ascii="Calibri" w:hAnsi="Calibri"/>
          <w:color w:val="auto"/>
          <w:highlight w:val="none"/>
        </w:rPr>
      </w:pPr>
    </w:p>
    <w:p w14:paraId="434E8268">
      <w:pPr>
        <w:pStyle w:val="26"/>
        <w:rPr>
          <w:rFonts w:ascii="Calibri" w:hAnsi="Calibri"/>
          <w:color w:val="auto"/>
          <w:highlight w:val="none"/>
        </w:rPr>
      </w:pPr>
    </w:p>
    <w:p w14:paraId="4F84CF36">
      <w:pPr>
        <w:pStyle w:val="12"/>
        <w:tabs>
          <w:tab w:val="left" w:pos="7321"/>
        </w:tabs>
        <w:spacing w:before="36"/>
        <w:ind w:left="2701"/>
        <w:jc w:val="right"/>
        <w:rPr>
          <w:rFonts w:ascii="宋体" w:hAnsi="宋体"/>
          <w:color w:val="auto"/>
          <w:highlight w:val="none"/>
        </w:rPr>
      </w:pPr>
      <w:r>
        <w:rPr>
          <w:rFonts w:hint="eastAsia" w:ascii="宋体" w:hAnsi="宋体"/>
          <w:color w:val="auto"/>
          <w:highlight w:val="none"/>
        </w:rPr>
        <w:t>投标人：</w:t>
      </w:r>
      <w:r>
        <w:rPr>
          <w:rFonts w:ascii="宋体" w:hAnsi="宋体"/>
          <w:color w:val="auto"/>
          <w:highlight w:val="none"/>
          <w:u w:val="single" w:color="000000"/>
        </w:rPr>
        <w:tab/>
      </w:r>
      <w:r>
        <w:rPr>
          <w:rFonts w:hint="eastAsia" w:ascii="宋体" w:hAnsi="宋体"/>
          <w:color w:val="auto"/>
          <w:highlight w:val="none"/>
        </w:rPr>
        <w:t>（盖单位章）</w:t>
      </w:r>
    </w:p>
    <w:p w14:paraId="2530E9CB">
      <w:pPr>
        <w:spacing w:before="13"/>
        <w:jc w:val="right"/>
        <w:rPr>
          <w:rFonts w:ascii="宋体" w:hAnsi="宋体" w:cs="宋体"/>
          <w:color w:val="auto"/>
          <w:sz w:val="9"/>
          <w:szCs w:val="9"/>
          <w:highlight w:val="none"/>
        </w:rPr>
      </w:pPr>
    </w:p>
    <w:p w14:paraId="5617FED4">
      <w:pPr>
        <w:pStyle w:val="12"/>
        <w:tabs>
          <w:tab w:val="left" w:pos="6481"/>
        </w:tabs>
        <w:spacing w:before="36"/>
        <w:ind w:left="2701"/>
        <w:jc w:val="right"/>
        <w:rPr>
          <w:rFonts w:ascii="宋体" w:hAnsi="宋体"/>
          <w:color w:val="auto"/>
          <w:highlight w:val="none"/>
        </w:rPr>
      </w:pPr>
      <w:r>
        <w:rPr>
          <w:rFonts w:hint="eastAsia" w:ascii="宋体" w:hAnsi="宋体"/>
          <w:color w:val="auto"/>
          <w:spacing w:val="-2"/>
          <w:highlight w:val="none"/>
        </w:rPr>
        <w:t>法定代表人或其委托代理人：</w:t>
      </w:r>
      <w:r>
        <w:rPr>
          <w:rFonts w:ascii="宋体" w:hAnsi="宋体"/>
          <w:color w:val="auto"/>
          <w:spacing w:val="-2"/>
          <w:highlight w:val="none"/>
          <w:u w:val="single" w:color="000000"/>
        </w:rPr>
        <w:tab/>
      </w:r>
      <w:r>
        <w:rPr>
          <w:rFonts w:hint="eastAsia" w:ascii="宋体" w:hAnsi="宋体"/>
          <w:color w:val="auto"/>
          <w:spacing w:val="-1"/>
          <w:highlight w:val="none"/>
        </w:rPr>
        <w:t>（签字或盖章）</w:t>
      </w:r>
    </w:p>
    <w:p w14:paraId="439D79E9">
      <w:pPr>
        <w:spacing w:before="10"/>
        <w:jc w:val="right"/>
        <w:rPr>
          <w:rFonts w:ascii="宋体" w:hAnsi="宋体" w:cs="宋体"/>
          <w:color w:val="auto"/>
          <w:sz w:val="9"/>
          <w:szCs w:val="9"/>
          <w:highlight w:val="none"/>
        </w:rPr>
      </w:pPr>
    </w:p>
    <w:p w14:paraId="2BD32AEA">
      <w:pPr>
        <w:pStyle w:val="26"/>
        <w:jc w:val="right"/>
        <w:rPr>
          <w:rFonts w:ascii="Calibri" w:hAnsi="Calibri"/>
          <w:color w:val="auto"/>
          <w:highlight w:val="none"/>
        </w:rPr>
      </w:pPr>
      <w:r>
        <w:rPr>
          <w:rFonts w:ascii="宋体" w:hAnsi="宋体"/>
          <w:color w:val="auto"/>
          <w:highlight w:val="none"/>
          <w:u w:val="single" w:color="000000"/>
        </w:rPr>
        <w:tab/>
      </w:r>
      <w:r>
        <w:rPr>
          <w:rFonts w:hint="eastAsia" w:ascii="宋体" w:hAnsi="宋体"/>
          <w:color w:val="auto"/>
          <w:highlight w:val="none"/>
        </w:rPr>
        <w:t>年</w:t>
      </w:r>
      <w:r>
        <w:rPr>
          <w:rFonts w:ascii="宋体" w:hAnsi="宋体"/>
          <w:color w:val="auto"/>
          <w:highlight w:val="none"/>
          <w:u w:val="single" w:color="000000"/>
        </w:rPr>
        <w:tab/>
      </w:r>
      <w:r>
        <w:rPr>
          <w:rFonts w:ascii="宋体" w:hAnsi="宋体"/>
          <w:color w:val="auto"/>
          <w:highlight w:val="none"/>
          <w:u w:val="single" w:color="000000"/>
        </w:rPr>
        <w:t xml:space="preserve"> </w:t>
      </w:r>
      <w:r>
        <w:rPr>
          <w:rFonts w:hint="eastAsia" w:ascii="宋体" w:hAnsi="宋体"/>
          <w:color w:val="auto"/>
          <w:highlight w:val="none"/>
        </w:rPr>
        <w:t>月</w:t>
      </w:r>
      <w:r>
        <w:rPr>
          <w:rFonts w:ascii="宋体" w:hAnsi="宋体"/>
          <w:color w:val="auto"/>
          <w:highlight w:val="none"/>
          <w:u w:val="single" w:color="000000"/>
        </w:rPr>
        <w:tab/>
      </w:r>
      <w:r>
        <w:rPr>
          <w:rFonts w:ascii="宋体" w:hAnsi="宋体"/>
          <w:color w:val="auto"/>
          <w:highlight w:val="none"/>
          <w:u w:val="single" w:color="000000"/>
        </w:rPr>
        <w:t xml:space="preserve">  </w:t>
      </w:r>
      <w:r>
        <w:rPr>
          <w:rFonts w:hint="eastAsia" w:ascii="宋体" w:hAnsi="宋体"/>
          <w:color w:val="auto"/>
          <w:highlight w:val="none"/>
        </w:rPr>
        <w:t>日</w:t>
      </w:r>
    </w:p>
    <w:p w14:paraId="28586E18">
      <w:pPr>
        <w:widowControl/>
        <w:jc w:val="left"/>
        <w:rPr>
          <w:rFonts w:ascii="宋体" w:hAnsi="宋体"/>
          <w:color w:val="auto"/>
          <w:szCs w:val="24"/>
          <w:highlight w:val="none"/>
        </w:rPr>
      </w:pPr>
      <w:r>
        <w:rPr>
          <w:rFonts w:ascii="宋体" w:hAnsi="宋体"/>
          <w:color w:val="auto"/>
          <w:highlight w:val="none"/>
        </w:rPr>
        <w:br w:type="page"/>
      </w:r>
    </w:p>
    <w:bookmarkEnd w:id="185"/>
    <w:bookmarkEnd w:id="186"/>
    <w:bookmarkEnd w:id="187"/>
    <w:bookmarkEnd w:id="188"/>
    <w:bookmarkEnd w:id="189"/>
    <w:bookmarkEnd w:id="190"/>
    <w:p w14:paraId="7B519A3C">
      <w:pPr>
        <w:pStyle w:val="4"/>
        <w:jc w:val="center"/>
        <w:rPr>
          <w:color w:val="auto"/>
          <w:highlight w:val="none"/>
        </w:rPr>
      </w:pPr>
      <w:bookmarkStart w:id="191" w:name="_Toc118554000"/>
      <w:r>
        <w:rPr>
          <w:rFonts w:hint="eastAsia"/>
          <w:color w:val="auto"/>
          <w:highlight w:val="none"/>
        </w:rPr>
        <w:t>五、资格审查资料</w:t>
      </w:r>
      <w:bookmarkEnd w:id="191"/>
    </w:p>
    <w:p w14:paraId="625AE283">
      <w:pPr>
        <w:widowControl/>
        <w:jc w:val="center"/>
        <w:rPr>
          <w:rFonts w:ascii="宋体" w:hAnsi="宋体" w:cs="宋体"/>
          <w:b/>
          <w:bCs/>
          <w:color w:val="auto"/>
          <w:kern w:val="0"/>
          <w:sz w:val="28"/>
          <w:szCs w:val="28"/>
          <w:highlight w:val="none"/>
        </w:rPr>
      </w:pPr>
      <w:r>
        <w:rPr>
          <w:rFonts w:hint="eastAsia" w:ascii="宋体" w:hAnsi="宋体" w:cs="宋体"/>
          <w:b/>
          <w:bCs/>
          <w:color w:val="auto"/>
          <w:kern w:val="0"/>
          <w:sz w:val="28"/>
          <w:szCs w:val="28"/>
          <w:highlight w:val="none"/>
        </w:rPr>
        <w:t>（一）投标人基本情况表</w:t>
      </w:r>
    </w:p>
    <w:tbl>
      <w:tblPr>
        <w:tblStyle w:val="27"/>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046"/>
        <w:gridCol w:w="898"/>
        <w:gridCol w:w="1026"/>
        <w:gridCol w:w="1287"/>
        <w:gridCol w:w="414"/>
        <w:gridCol w:w="873"/>
        <w:gridCol w:w="828"/>
        <w:gridCol w:w="284"/>
        <w:gridCol w:w="1230"/>
      </w:tblGrid>
      <w:tr w14:paraId="045F71A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046" w:type="dxa"/>
            <w:tcBorders>
              <w:top w:val="single" w:color="auto" w:sz="4" w:space="0"/>
              <w:bottom w:val="single" w:color="auto" w:sz="4" w:space="0"/>
              <w:right w:val="single" w:color="auto" w:sz="4" w:space="0"/>
            </w:tcBorders>
            <w:vAlign w:val="center"/>
          </w:tcPr>
          <w:p w14:paraId="1503EEDE">
            <w:pPr>
              <w:topLinePunct/>
              <w:spacing w:line="440" w:lineRule="exact"/>
              <w:jc w:val="center"/>
              <w:rPr>
                <w:rFonts w:ascii="宋体" w:hAnsi="宋体"/>
                <w:color w:val="auto"/>
                <w:highlight w:val="none"/>
              </w:rPr>
            </w:pPr>
            <w:r>
              <w:rPr>
                <w:rFonts w:hint="eastAsia" w:ascii="宋体" w:hAnsi="宋体"/>
                <w:color w:val="auto"/>
                <w:highlight w:val="none"/>
              </w:rPr>
              <w:t>投标人名称</w:t>
            </w:r>
          </w:p>
        </w:tc>
        <w:tc>
          <w:tcPr>
            <w:tcW w:w="6840" w:type="dxa"/>
            <w:gridSpan w:val="8"/>
            <w:tcBorders>
              <w:top w:val="single" w:color="auto" w:sz="4" w:space="0"/>
              <w:left w:val="single" w:color="auto" w:sz="4" w:space="0"/>
              <w:bottom w:val="single" w:color="auto" w:sz="4" w:space="0"/>
            </w:tcBorders>
            <w:vAlign w:val="center"/>
          </w:tcPr>
          <w:p w14:paraId="4EB77D01">
            <w:pPr>
              <w:topLinePunct/>
              <w:spacing w:line="440" w:lineRule="exact"/>
              <w:jc w:val="center"/>
              <w:rPr>
                <w:rFonts w:ascii="宋体" w:hAnsi="宋体"/>
                <w:color w:val="auto"/>
                <w:highlight w:val="none"/>
              </w:rPr>
            </w:pPr>
          </w:p>
        </w:tc>
      </w:tr>
      <w:tr w14:paraId="1A1F2D7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046" w:type="dxa"/>
            <w:tcBorders>
              <w:top w:val="single" w:color="auto" w:sz="4" w:space="0"/>
              <w:bottom w:val="single" w:color="auto" w:sz="4" w:space="0"/>
              <w:right w:val="single" w:color="auto" w:sz="4" w:space="0"/>
            </w:tcBorders>
            <w:vAlign w:val="center"/>
          </w:tcPr>
          <w:p w14:paraId="6FCA2201">
            <w:pPr>
              <w:topLinePunct/>
              <w:spacing w:line="440" w:lineRule="exact"/>
              <w:jc w:val="center"/>
              <w:rPr>
                <w:rFonts w:ascii="宋体" w:hAnsi="宋体"/>
                <w:color w:val="auto"/>
                <w:highlight w:val="none"/>
              </w:rPr>
            </w:pPr>
            <w:r>
              <w:rPr>
                <w:rFonts w:hint="eastAsia" w:ascii="宋体" w:hAnsi="宋体"/>
                <w:color w:val="auto"/>
                <w:highlight w:val="none"/>
              </w:rPr>
              <w:t>注册地址</w:t>
            </w:r>
          </w:p>
        </w:tc>
        <w:tc>
          <w:tcPr>
            <w:tcW w:w="3211" w:type="dxa"/>
            <w:gridSpan w:val="3"/>
            <w:tcBorders>
              <w:top w:val="single" w:color="auto" w:sz="4" w:space="0"/>
              <w:left w:val="single" w:color="auto" w:sz="4" w:space="0"/>
              <w:bottom w:val="single" w:color="auto" w:sz="4" w:space="0"/>
              <w:right w:val="single" w:color="auto" w:sz="4" w:space="0"/>
            </w:tcBorders>
            <w:vAlign w:val="center"/>
          </w:tcPr>
          <w:p w14:paraId="28450A5A">
            <w:pPr>
              <w:topLinePunct/>
              <w:spacing w:line="440" w:lineRule="exact"/>
              <w:jc w:val="center"/>
              <w:rPr>
                <w:rFonts w:ascii="宋体" w:hAnsi="宋体"/>
                <w:color w:val="auto"/>
                <w:highlight w:val="none"/>
              </w:rPr>
            </w:pPr>
          </w:p>
        </w:tc>
        <w:tc>
          <w:tcPr>
            <w:tcW w:w="1287" w:type="dxa"/>
            <w:gridSpan w:val="2"/>
            <w:tcBorders>
              <w:top w:val="single" w:color="auto" w:sz="4" w:space="0"/>
              <w:left w:val="single" w:color="auto" w:sz="4" w:space="0"/>
              <w:bottom w:val="single" w:color="auto" w:sz="4" w:space="0"/>
              <w:right w:val="single" w:color="auto" w:sz="4" w:space="0"/>
            </w:tcBorders>
            <w:vAlign w:val="center"/>
          </w:tcPr>
          <w:p w14:paraId="5C760EF1">
            <w:pPr>
              <w:topLinePunct/>
              <w:spacing w:before="100" w:beforeAutospacing="1" w:after="100" w:afterAutospacing="1" w:line="440" w:lineRule="exact"/>
              <w:jc w:val="center"/>
              <w:rPr>
                <w:rFonts w:ascii="宋体" w:hAnsi="宋体"/>
                <w:color w:val="auto"/>
                <w:highlight w:val="none"/>
              </w:rPr>
            </w:pPr>
            <w:r>
              <w:rPr>
                <w:rFonts w:hint="eastAsia" w:ascii="宋体" w:hAnsi="宋体"/>
                <w:color w:val="auto"/>
                <w:highlight w:val="none"/>
              </w:rPr>
              <w:t>邮政编码</w:t>
            </w:r>
          </w:p>
        </w:tc>
        <w:tc>
          <w:tcPr>
            <w:tcW w:w="2342" w:type="dxa"/>
            <w:gridSpan w:val="3"/>
            <w:tcBorders>
              <w:top w:val="single" w:color="auto" w:sz="4" w:space="0"/>
              <w:left w:val="single" w:color="auto" w:sz="4" w:space="0"/>
              <w:bottom w:val="single" w:color="auto" w:sz="4" w:space="0"/>
            </w:tcBorders>
            <w:vAlign w:val="center"/>
          </w:tcPr>
          <w:p w14:paraId="0E501B00">
            <w:pPr>
              <w:topLinePunct/>
              <w:spacing w:line="440" w:lineRule="exact"/>
              <w:jc w:val="center"/>
              <w:rPr>
                <w:rFonts w:ascii="宋体" w:hAnsi="宋体"/>
                <w:color w:val="auto"/>
                <w:highlight w:val="none"/>
              </w:rPr>
            </w:pPr>
          </w:p>
        </w:tc>
      </w:tr>
      <w:tr w14:paraId="5C6E0B1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046" w:type="dxa"/>
            <w:vMerge w:val="restart"/>
            <w:tcBorders>
              <w:top w:val="single" w:color="auto" w:sz="4" w:space="0"/>
              <w:bottom w:val="single" w:color="auto" w:sz="4" w:space="0"/>
              <w:right w:val="single" w:color="auto" w:sz="4" w:space="0"/>
            </w:tcBorders>
            <w:vAlign w:val="center"/>
          </w:tcPr>
          <w:p w14:paraId="2CB8DD14">
            <w:pPr>
              <w:topLinePunct/>
              <w:spacing w:line="440" w:lineRule="exact"/>
              <w:jc w:val="center"/>
              <w:rPr>
                <w:rFonts w:ascii="宋体" w:hAnsi="宋体"/>
                <w:color w:val="auto"/>
                <w:highlight w:val="none"/>
              </w:rPr>
            </w:pPr>
            <w:r>
              <w:rPr>
                <w:rFonts w:hint="eastAsia" w:ascii="宋体" w:hAnsi="宋体"/>
                <w:color w:val="auto"/>
                <w:highlight w:val="none"/>
              </w:rPr>
              <w:t>联系方式</w:t>
            </w:r>
          </w:p>
        </w:tc>
        <w:tc>
          <w:tcPr>
            <w:tcW w:w="898" w:type="dxa"/>
            <w:tcBorders>
              <w:top w:val="single" w:color="auto" w:sz="4" w:space="0"/>
              <w:left w:val="single" w:color="auto" w:sz="4" w:space="0"/>
              <w:bottom w:val="single" w:color="auto" w:sz="4" w:space="0"/>
              <w:right w:val="single" w:color="auto" w:sz="4" w:space="0"/>
            </w:tcBorders>
            <w:vAlign w:val="center"/>
          </w:tcPr>
          <w:p w14:paraId="7A617DFB">
            <w:pPr>
              <w:topLinePunct/>
              <w:spacing w:before="100" w:beforeAutospacing="1" w:after="100" w:afterAutospacing="1" w:line="440" w:lineRule="exact"/>
              <w:jc w:val="center"/>
              <w:rPr>
                <w:rFonts w:ascii="宋体" w:hAnsi="宋体"/>
                <w:color w:val="auto"/>
                <w:highlight w:val="none"/>
              </w:rPr>
            </w:pPr>
            <w:r>
              <w:rPr>
                <w:rFonts w:hint="eastAsia" w:ascii="宋体" w:hAnsi="宋体"/>
                <w:color w:val="auto"/>
                <w:highlight w:val="none"/>
              </w:rPr>
              <w:t>联系人</w:t>
            </w:r>
          </w:p>
        </w:tc>
        <w:tc>
          <w:tcPr>
            <w:tcW w:w="2313" w:type="dxa"/>
            <w:gridSpan w:val="2"/>
            <w:tcBorders>
              <w:top w:val="single" w:color="auto" w:sz="4" w:space="0"/>
              <w:left w:val="single" w:color="auto" w:sz="4" w:space="0"/>
              <w:bottom w:val="single" w:color="auto" w:sz="4" w:space="0"/>
              <w:right w:val="single" w:color="auto" w:sz="4" w:space="0"/>
            </w:tcBorders>
            <w:vAlign w:val="center"/>
          </w:tcPr>
          <w:p w14:paraId="2E250E33">
            <w:pPr>
              <w:topLinePunct/>
              <w:spacing w:line="440" w:lineRule="exact"/>
              <w:jc w:val="center"/>
              <w:rPr>
                <w:rFonts w:ascii="宋体" w:hAnsi="宋体"/>
                <w:color w:val="auto"/>
                <w:highlight w:val="none"/>
              </w:rPr>
            </w:pPr>
          </w:p>
        </w:tc>
        <w:tc>
          <w:tcPr>
            <w:tcW w:w="1287" w:type="dxa"/>
            <w:gridSpan w:val="2"/>
            <w:tcBorders>
              <w:top w:val="single" w:color="auto" w:sz="4" w:space="0"/>
              <w:left w:val="single" w:color="auto" w:sz="4" w:space="0"/>
              <w:bottom w:val="single" w:color="auto" w:sz="4" w:space="0"/>
              <w:right w:val="single" w:color="auto" w:sz="4" w:space="0"/>
            </w:tcBorders>
            <w:vAlign w:val="center"/>
          </w:tcPr>
          <w:p w14:paraId="6E9271B1">
            <w:pPr>
              <w:topLinePunct/>
              <w:spacing w:before="100" w:beforeAutospacing="1" w:after="100" w:afterAutospacing="1" w:line="440" w:lineRule="exact"/>
              <w:jc w:val="center"/>
              <w:rPr>
                <w:rFonts w:ascii="宋体" w:hAnsi="宋体"/>
                <w:color w:val="auto"/>
                <w:highlight w:val="none"/>
              </w:rPr>
            </w:pPr>
            <w:r>
              <w:rPr>
                <w:rFonts w:hint="eastAsia" w:ascii="宋体" w:hAnsi="宋体"/>
                <w:color w:val="auto"/>
                <w:highlight w:val="none"/>
              </w:rPr>
              <w:t>电话</w:t>
            </w:r>
          </w:p>
        </w:tc>
        <w:tc>
          <w:tcPr>
            <w:tcW w:w="2342" w:type="dxa"/>
            <w:gridSpan w:val="3"/>
            <w:tcBorders>
              <w:top w:val="single" w:color="auto" w:sz="4" w:space="0"/>
              <w:left w:val="single" w:color="auto" w:sz="4" w:space="0"/>
              <w:bottom w:val="single" w:color="auto" w:sz="4" w:space="0"/>
            </w:tcBorders>
            <w:vAlign w:val="center"/>
          </w:tcPr>
          <w:p w14:paraId="2169E574">
            <w:pPr>
              <w:topLinePunct/>
              <w:spacing w:line="440" w:lineRule="exact"/>
              <w:jc w:val="center"/>
              <w:rPr>
                <w:rFonts w:ascii="宋体" w:hAnsi="宋体"/>
                <w:color w:val="auto"/>
                <w:highlight w:val="none"/>
              </w:rPr>
            </w:pPr>
          </w:p>
        </w:tc>
      </w:tr>
      <w:tr w14:paraId="7039106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046" w:type="dxa"/>
            <w:vMerge w:val="continue"/>
            <w:tcBorders>
              <w:top w:val="single" w:color="auto" w:sz="4" w:space="0"/>
              <w:bottom w:val="single" w:color="auto" w:sz="4" w:space="0"/>
              <w:right w:val="single" w:color="auto" w:sz="4" w:space="0"/>
            </w:tcBorders>
            <w:vAlign w:val="center"/>
          </w:tcPr>
          <w:p w14:paraId="49363DBC">
            <w:pPr>
              <w:jc w:val="center"/>
              <w:rPr>
                <w:rFonts w:ascii="宋体" w:hAnsi="宋体"/>
                <w:color w:val="auto"/>
                <w:highlight w:val="none"/>
              </w:rPr>
            </w:pPr>
          </w:p>
        </w:tc>
        <w:tc>
          <w:tcPr>
            <w:tcW w:w="898" w:type="dxa"/>
            <w:tcBorders>
              <w:top w:val="single" w:color="auto" w:sz="4" w:space="0"/>
              <w:left w:val="single" w:color="auto" w:sz="4" w:space="0"/>
              <w:bottom w:val="single" w:color="auto" w:sz="4" w:space="0"/>
              <w:right w:val="single" w:color="auto" w:sz="4" w:space="0"/>
            </w:tcBorders>
            <w:vAlign w:val="center"/>
          </w:tcPr>
          <w:p w14:paraId="5C772991">
            <w:pPr>
              <w:topLinePunct/>
              <w:spacing w:before="100" w:beforeAutospacing="1" w:after="100" w:afterAutospacing="1" w:line="440" w:lineRule="exact"/>
              <w:jc w:val="center"/>
              <w:rPr>
                <w:rFonts w:ascii="宋体" w:hAnsi="宋体"/>
                <w:color w:val="auto"/>
                <w:highlight w:val="none"/>
              </w:rPr>
            </w:pPr>
            <w:r>
              <w:rPr>
                <w:rFonts w:hint="eastAsia" w:ascii="宋体" w:hAnsi="宋体"/>
                <w:color w:val="auto"/>
                <w:highlight w:val="none"/>
              </w:rPr>
              <w:t>传真</w:t>
            </w:r>
          </w:p>
        </w:tc>
        <w:tc>
          <w:tcPr>
            <w:tcW w:w="2313" w:type="dxa"/>
            <w:gridSpan w:val="2"/>
            <w:tcBorders>
              <w:top w:val="single" w:color="auto" w:sz="4" w:space="0"/>
              <w:left w:val="single" w:color="auto" w:sz="4" w:space="0"/>
              <w:bottom w:val="single" w:color="auto" w:sz="4" w:space="0"/>
              <w:right w:val="single" w:color="auto" w:sz="4" w:space="0"/>
            </w:tcBorders>
            <w:vAlign w:val="center"/>
          </w:tcPr>
          <w:p w14:paraId="774AFFB4">
            <w:pPr>
              <w:topLinePunct/>
              <w:spacing w:line="440" w:lineRule="exact"/>
              <w:jc w:val="center"/>
              <w:rPr>
                <w:rFonts w:ascii="宋体" w:hAnsi="宋体"/>
                <w:color w:val="auto"/>
                <w:highlight w:val="none"/>
              </w:rPr>
            </w:pPr>
          </w:p>
        </w:tc>
        <w:tc>
          <w:tcPr>
            <w:tcW w:w="1287" w:type="dxa"/>
            <w:gridSpan w:val="2"/>
            <w:tcBorders>
              <w:top w:val="single" w:color="auto" w:sz="4" w:space="0"/>
              <w:left w:val="single" w:color="auto" w:sz="4" w:space="0"/>
              <w:bottom w:val="single" w:color="auto" w:sz="4" w:space="0"/>
              <w:right w:val="single" w:color="auto" w:sz="4" w:space="0"/>
            </w:tcBorders>
            <w:vAlign w:val="center"/>
          </w:tcPr>
          <w:p w14:paraId="47852B65">
            <w:pPr>
              <w:topLinePunct/>
              <w:spacing w:before="100" w:beforeAutospacing="1" w:after="100" w:afterAutospacing="1" w:line="440" w:lineRule="exact"/>
              <w:jc w:val="center"/>
              <w:rPr>
                <w:rFonts w:ascii="宋体" w:hAnsi="宋体"/>
                <w:color w:val="auto"/>
                <w:highlight w:val="none"/>
              </w:rPr>
            </w:pPr>
            <w:r>
              <w:rPr>
                <w:rFonts w:hint="eastAsia" w:ascii="宋体" w:hAnsi="宋体"/>
                <w:color w:val="auto"/>
                <w:highlight w:val="none"/>
              </w:rPr>
              <w:t>网址</w:t>
            </w:r>
          </w:p>
        </w:tc>
        <w:tc>
          <w:tcPr>
            <w:tcW w:w="2342" w:type="dxa"/>
            <w:gridSpan w:val="3"/>
            <w:tcBorders>
              <w:top w:val="single" w:color="auto" w:sz="4" w:space="0"/>
              <w:left w:val="single" w:color="auto" w:sz="4" w:space="0"/>
              <w:bottom w:val="single" w:color="auto" w:sz="4" w:space="0"/>
            </w:tcBorders>
            <w:vAlign w:val="center"/>
          </w:tcPr>
          <w:p w14:paraId="143BB981">
            <w:pPr>
              <w:topLinePunct/>
              <w:spacing w:line="440" w:lineRule="exact"/>
              <w:jc w:val="center"/>
              <w:rPr>
                <w:rFonts w:ascii="宋体" w:hAnsi="宋体"/>
                <w:color w:val="auto"/>
                <w:highlight w:val="none"/>
              </w:rPr>
            </w:pPr>
          </w:p>
        </w:tc>
      </w:tr>
      <w:tr w14:paraId="3B8A51E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046" w:type="dxa"/>
            <w:tcBorders>
              <w:top w:val="single" w:color="auto" w:sz="4" w:space="0"/>
              <w:bottom w:val="single" w:color="auto" w:sz="4" w:space="0"/>
              <w:right w:val="single" w:color="auto" w:sz="4" w:space="0"/>
            </w:tcBorders>
            <w:vAlign w:val="center"/>
          </w:tcPr>
          <w:p w14:paraId="2B417E91">
            <w:pPr>
              <w:topLinePunct/>
              <w:spacing w:before="100" w:beforeAutospacing="1" w:after="100" w:afterAutospacing="1" w:line="440" w:lineRule="exact"/>
              <w:jc w:val="center"/>
              <w:rPr>
                <w:rFonts w:ascii="宋体" w:hAnsi="宋体"/>
                <w:color w:val="auto"/>
                <w:highlight w:val="none"/>
              </w:rPr>
            </w:pPr>
            <w:r>
              <w:rPr>
                <w:rFonts w:hint="eastAsia" w:ascii="宋体" w:hAnsi="宋体"/>
                <w:color w:val="auto"/>
                <w:highlight w:val="none"/>
              </w:rPr>
              <w:t>法定代表人</w:t>
            </w:r>
          </w:p>
        </w:tc>
        <w:tc>
          <w:tcPr>
            <w:tcW w:w="898" w:type="dxa"/>
            <w:tcBorders>
              <w:top w:val="single" w:color="auto" w:sz="4" w:space="0"/>
              <w:left w:val="single" w:color="auto" w:sz="4" w:space="0"/>
              <w:bottom w:val="single" w:color="auto" w:sz="4" w:space="0"/>
              <w:right w:val="single" w:color="auto" w:sz="4" w:space="0"/>
            </w:tcBorders>
            <w:vAlign w:val="center"/>
          </w:tcPr>
          <w:p w14:paraId="27453903">
            <w:pPr>
              <w:topLinePunct/>
              <w:spacing w:before="100" w:beforeAutospacing="1" w:after="100" w:afterAutospacing="1" w:line="440" w:lineRule="exact"/>
              <w:jc w:val="center"/>
              <w:rPr>
                <w:rFonts w:ascii="宋体" w:hAnsi="宋体"/>
                <w:color w:val="auto"/>
                <w:highlight w:val="none"/>
              </w:rPr>
            </w:pPr>
            <w:r>
              <w:rPr>
                <w:rFonts w:hint="eastAsia" w:ascii="宋体" w:hAnsi="宋体"/>
                <w:color w:val="auto"/>
                <w:highlight w:val="none"/>
              </w:rPr>
              <w:t>姓名</w:t>
            </w:r>
          </w:p>
        </w:tc>
        <w:tc>
          <w:tcPr>
            <w:tcW w:w="1026" w:type="dxa"/>
            <w:tcBorders>
              <w:top w:val="single" w:color="auto" w:sz="4" w:space="0"/>
              <w:left w:val="single" w:color="auto" w:sz="4" w:space="0"/>
              <w:bottom w:val="single" w:color="auto" w:sz="4" w:space="0"/>
              <w:right w:val="single" w:color="auto" w:sz="4" w:space="0"/>
            </w:tcBorders>
            <w:vAlign w:val="center"/>
          </w:tcPr>
          <w:p w14:paraId="55724B9D">
            <w:pPr>
              <w:topLinePunct/>
              <w:spacing w:line="440" w:lineRule="exact"/>
              <w:jc w:val="center"/>
              <w:rPr>
                <w:rFonts w:ascii="宋体" w:hAnsi="宋体"/>
                <w:color w:val="auto"/>
                <w:highlight w:val="none"/>
              </w:rPr>
            </w:pPr>
          </w:p>
        </w:tc>
        <w:tc>
          <w:tcPr>
            <w:tcW w:w="1287" w:type="dxa"/>
            <w:tcBorders>
              <w:top w:val="single" w:color="auto" w:sz="4" w:space="0"/>
              <w:left w:val="single" w:color="auto" w:sz="4" w:space="0"/>
              <w:bottom w:val="single" w:color="auto" w:sz="4" w:space="0"/>
              <w:right w:val="single" w:color="auto" w:sz="4" w:space="0"/>
            </w:tcBorders>
            <w:vAlign w:val="center"/>
          </w:tcPr>
          <w:p w14:paraId="35074F50">
            <w:pPr>
              <w:topLinePunct/>
              <w:spacing w:before="100" w:beforeAutospacing="1" w:after="100" w:afterAutospacing="1" w:line="440" w:lineRule="exact"/>
              <w:jc w:val="center"/>
              <w:rPr>
                <w:rFonts w:ascii="宋体" w:hAnsi="宋体"/>
                <w:color w:val="auto"/>
                <w:highlight w:val="none"/>
              </w:rPr>
            </w:pPr>
            <w:r>
              <w:rPr>
                <w:rFonts w:hint="eastAsia" w:ascii="宋体" w:hAnsi="宋体"/>
                <w:color w:val="auto"/>
                <w:highlight w:val="none"/>
              </w:rPr>
              <w:t>技术职称</w:t>
            </w:r>
          </w:p>
        </w:tc>
        <w:tc>
          <w:tcPr>
            <w:tcW w:w="1287" w:type="dxa"/>
            <w:gridSpan w:val="2"/>
            <w:tcBorders>
              <w:top w:val="single" w:color="auto" w:sz="4" w:space="0"/>
              <w:left w:val="single" w:color="auto" w:sz="4" w:space="0"/>
              <w:bottom w:val="single" w:color="auto" w:sz="4" w:space="0"/>
              <w:right w:val="single" w:color="auto" w:sz="4" w:space="0"/>
            </w:tcBorders>
            <w:vAlign w:val="center"/>
          </w:tcPr>
          <w:p w14:paraId="3F7472D2">
            <w:pPr>
              <w:topLinePunct/>
              <w:spacing w:line="440" w:lineRule="exact"/>
              <w:jc w:val="center"/>
              <w:rPr>
                <w:rFonts w:ascii="宋体" w:hAnsi="宋体"/>
                <w:color w:val="auto"/>
                <w:highlight w:val="none"/>
              </w:rPr>
            </w:pPr>
          </w:p>
        </w:tc>
        <w:tc>
          <w:tcPr>
            <w:tcW w:w="1112" w:type="dxa"/>
            <w:gridSpan w:val="2"/>
            <w:tcBorders>
              <w:top w:val="single" w:color="auto" w:sz="4" w:space="0"/>
              <w:left w:val="single" w:color="auto" w:sz="4" w:space="0"/>
              <w:bottom w:val="single" w:color="auto" w:sz="4" w:space="0"/>
              <w:right w:val="single" w:color="auto" w:sz="4" w:space="0"/>
            </w:tcBorders>
            <w:vAlign w:val="center"/>
          </w:tcPr>
          <w:p w14:paraId="55E66801">
            <w:pPr>
              <w:topLinePunct/>
              <w:spacing w:before="100" w:beforeAutospacing="1" w:after="100" w:afterAutospacing="1" w:line="440" w:lineRule="exact"/>
              <w:jc w:val="center"/>
              <w:rPr>
                <w:rFonts w:ascii="宋体" w:hAnsi="宋体"/>
                <w:color w:val="auto"/>
                <w:highlight w:val="none"/>
              </w:rPr>
            </w:pPr>
            <w:r>
              <w:rPr>
                <w:rFonts w:hint="eastAsia" w:ascii="宋体" w:hAnsi="宋体"/>
                <w:color w:val="auto"/>
                <w:highlight w:val="none"/>
              </w:rPr>
              <w:t>电话</w:t>
            </w:r>
          </w:p>
        </w:tc>
        <w:tc>
          <w:tcPr>
            <w:tcW w:w="1230" w:type="dxa"/>
            <w:tcBorders>
              <w:top w:val="single" w:color="auto" w:sz="4" w:space="0"/>
              <w:left w:val="single" w:color="auto" w:sz="4" w:space="0"/>
              <w:bottom w:val="single" w:color="auto" w:sz="4" w:space="0"/>
            </w:tcBorders>
            <w:vAlign w:val="center"/>
          </w:tcPr>
          <w:p w14:paraId="0F518D8F">
            <w:pPr>
              <w:topLinePunct/>
              <w:spacing w:line="440" w:lineRule="exact"/>
              <w:jc w:val="center"/>
              <w:rPr>
                <w:rFonts w:ascii="宋体" w:hAnsi="宋体"/>
                <w:color w:val="auto"/>
                <w:highlight w:val="none"/>
              </w:rPr>
            </w:pPr>
          </w:p>
        </w:tc>
      </w:tr>
      <w:tr w14:paraId="180B5A8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046" w:type="dxa"/>
            <w:tcBorders>
              <w:top w:val="single" w:color="auto" w:sz="4" w:space="0"/>
              <w:bottom w:val="single" w:color="auto" w:sz="4" w:space="0"/>
              <w:right w:val="single" w:color="auto" w:sz="4" w:space="0"/>
            </w:tcBorders>
            <w:vAlign w:val="center"/>
          </w:tcPr>
          <w:p w14:paraId="3354FE43">
            <w:pPr>
              <w:topLinePunct/>
              <w:spacing w:line="440" w:lineRule="exact"/>
              <w:jc w:val="center"/>
              <w:rPr>
                <w:rFonts w:ascii="宋体" w:hAnsi="宋体"/>
                <w:color w:val="auto"/>
                <w:highlight w:val="none"/>
              </w:rPr>
            </w:pPr>
            <w:r>
              <w:rPr>
                <w:rFonts w:hint="eastAsia" w:ascii="宋体" w:hAnsi="宋体"/>
                <w:color w:val="auto"/>
                <w:szCs w:val="21"/>
                <w:highlight w:val="none"/>
              </w:rPr>
              <w:t>技术负责人</w:t>
            </w:r>
          </w:p>
        </w:tc>
        <w:tc>
          <w:tcPr>
            <w:tcW w:w="898" w:type="dxa"/>
            <w:tcBorders>
              <w:top w:val="single" w:color="auto" w:sz="4" w:space="0"/>
              <w:left w:val="single" w:color="auto" w:sz="4" w:space="0"/>
              <w:bottom w:val="single" w:color="auto" w:sz="4" w:space="0"/>
              <w:right w:val="single" w:color="auto" w:sz="4" w:space="0"/>
            </w:tcBorders>
            <w:vAlign w:val="center"/>
          </w:tcPr>
          <w:p w14:paraId="01B1F4B6">
            <w:pPr>
              <w:topLinePunct/>
              <w:spacing w:before="100" w:beforeAutospacing="1" w:after="100" w:afterAutospacing="1" w:line="440" w:lineRule="exact"/>
              <w:jc w:val="center"/>
              <w:rPr>
                <w:rFonts w:ascii="宋体" w:hAnsi="宋体"/>
                <w:color w:val="auto"/>
                <w:highlight w:val="none"/>
              </w:rPr>
            </w:pPr>
            <w:r>
              <w:rPr>
                <w:rFonts w:hint="eastAsia" w:ascii="宋体" w:hAnsi="宋体"/>
                <w:color w:val="auto"/>
                <w:highlight w:val="none"/>
              </w:rPr>
              <w:t>姓名</w:t>
            </w:r>
          </w:p>
        </w:tc>
        <w:tc>
          <w:tcPr>
            <w:tcW w:w="1026" w:type="dxa"/>
            <w:tcBorders>
              <w:top w:val="single" w:color="auto" w:sz="4" w:space="0"/>
              <w:left w:val="single" w:color="auto" w:sz="4" w:space="0"/>
              <w:bottom w:val="single" w:color="auto" w:sz="4" w:space="0"/>
              <w:right w:val="single" w:color="auto" w:sz="4" w:space="0"/>
            </w:tcBorders>
            <w:vAlign w:val="center"/>
          </w:tcPr>
          <w:p w14:paraId="7A5623A6">
            <w:pPr>
              <w:topLinePunct/>
              <w:spacing w:line="440" w:lineRule="exact"/>
              <w:jc w:val="center"/>
              <w:rPr>
                <w:rFonts w:ascii="宋体" w:hAnsi="宋体"/>
                <w:color w:val="auto"/>
                <w:highlight w:val="none"/>
              </w:rPr>
            </w:pPr>
          </w:p>
        </w:tc>
        <w:tc>
          <w:tcPr>
            <w:tcW w:w="1287" w:type="dxa"/>
            <w:tcBorders>
              <w:top w:val="single" w:color="auto" w:sz="4" w:space="0"/>
              <w:left w:val="single" w:color="auto" w:sz="4" w:space="0"/>
              <w:bottom w:val="single" w:color="auto" w:sz="4" w:space="0"/>
              <w:right w:val="single" w:color="auto" w:sz="4" w:space="0"/>
            </w:tcBorders>
            <w:vAlign w:val="center"/>
          </w:tcPr>
          <w:p w14:paraId="6303E1B2">
            <w:pPr>
              <w:topLinePunct/>
              <w:spacing w:before="100" w:beforeAutospacing="1" w:after="100" w:afterAutospacing="1" w:line="440" w:lineRule="exact"/>
              <w:jc w:val="center"/>
              <w:rPr>
                <w:rFonts w:ascii="宋体" w:hAnsi="宋体"/>
                <w:color w:val="auto"/>
                <w:highlight w:val="none"/>
              </w:rPr>
            </w:pPr>
            <w:r>
              <w:rPr>
                <w:rFonts w:hint="eastAsia" w:ascii="宋体" w:hAnsi="宋体"/>
                <w:color w:val="auto"/>
                <w:highlight w:val="none"/>
              </w:rPr>
              <w:t>技术职称</w:t>
            </w:r>
          </w:p>
        </w:tc>
        <w:tc>
          <w:tcPr>
            <w:tcW w:w="1287" w:type="dxa"/>
            <w:gridSpan w:val="2"/>
            <w:tcBorders>
              <w:top w:val="single" w:color="auto" w:sz="4" w:space="0"/>
              <w:left w:val="single" w:color="auto" w:sz="4" w:space="0"/>
              <w:bottom w:val="single" w:color="auto" w:sz="4" w:space="0"/>
              <w:right w:val="single" w:color="auto" w:sz="4" w:space="0"/>
            </w:tcBorders>
            <w:vAlign w:val="center"/>
          </w:tcPr>
          <w:p w14:paraId="0B4F6D41">
            <w:pPr>
              <w:topLinePunct/>
              <w:spacing w:line="440" w:lineRule="exact"/>
              <w:jc w:val="center"/>
              <w:rPr>
                <w:rFonts w:ascii="宋体" w:hAnsi="宋体"/>
                <w:color w:val="auto"/>
                <w:highlight w:val="none"/>
              </w:rPr>
            </w:pPr>
          </w:p>
        </w:tc>
        <w:tc>
          <w:tcPr>
            <w:tcW w:w="1112" w:type="dxa"/>
            <w:gridSpan w:val="2"/>
            <w:tcBorders>
              <w:top w:val="single" w:color="auto" w:sz="4" w:space="0"/>
              <w:left w:val="single" w:color="auto" w:sz="4" w:space="0"/>
              <w:bottom w:val="single" w:color="auto" w:sz="4" w:space="0"/>
              <w:right w:val="single" w:color="auto" w:sz="4" w:space="0"/>
            </w:tcBorders>
            <w:vAlign w:val="center"/>
          </w:tcPr>
          <w:p w14:paraId="32FB717E">
            <w:pPr>
              <w:topLinePunct/>
              <w:spacing w:before="100" w:beforeAutospacing="1" w:after="100" w:afterAutospacing="1" w:line="440" w:lineRule="exact"/>
              <w:jc w:val="center"/>
              <w:rPr>
                <w:rFonts w:ascii="宋体" w:hAnsi="宋体"/>
                <w:color w:val="auto"/>
                <w:highlight w:val="none"/>
              </w:rPr>
            </w:pPr>
            <w:r>
              <w:rPr>
                <w:rFonts w:hint="eastAsia" w:ascii="宋体" w:hAnsi="宋体"/>
                <w:color w:val="auto"/>
                <w:highlight w:val="none"/>
              </w:rPr>
              <w:t>电话</w:t>
            </w:r>
          </w:p>
        </w:tc>
        <w:tc>
          <w:tcPr>
            <w:tcW w:w="1230" w:type="dxa"/>
            <w:tcBorders>
              <w:top w:val="single" w:color="auto" w:sz="4" w:space="0"/>
              <w:left w:val="single" w:color="auto" w:sz="4" w:space="0"/>
              <w:bottom w:val="single" w:color="auto" w:sz="4" w:space="0"/>
            </w:tcBorders>
            <w:vAlign w:val="center"/>
          </w:tcPr>
          <w:p w14:paraId="40A1F822">
            <w:pPr>
              <w:topLinePunct/>
              <w:spacing w:line="440" w:lineRule="exact"/>
              <w:jc w:val="center"/>
              <w:rPr>
                <w:rFonts w:ascii="宋体" w:hAnsi="宋体"/>
                <w:color w:val="auto"/>
                <w:highlight w:val="none"/>
              </w:rPr>
            </w:pPr>
          </w:p>
        </w:tc>
      </w:tr>
      <w:tr w14:paraId="70EA470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046" w:type="dxa"/>
            <w:tcBorders>
              <w:top w:val="single" w:color="auto" w:sz="4" w:space="0"/>
              <w:bottom w:val="single" w:color="auto" w:sz="4" w:space="0"/>
              <w:right w:val="single" w:color="auto" w:sz="4" w:space="0"/>
            </w:tcBorders>
            <w:vAlign w:val="center"/>
          </w:tcPr>
          <w:p w14:paraId="6FA7FEE7">
            <w:pPr>
              <w:topLinePunct/>
              <w:spacing w:before="100" w:beforeAutospacing="1" w:after="100" w:afterAutospacing="1" w:line="440" w:lineRule="exact"/>
              <w:jc w:val="center"/>
              <w:rPr>
                <w:rFonts w:ascii="宋体" w:hAnsi="宋体"/>
                <w:color w:val="auto"/>
                <w:highlight w:val="none"/>
              </w:rPr>
            </w:pPr>
            <w:r>
              <w:rPr>
                <w:rFonts w:hint="eastAsia" w:ascii="宋体" w:hAnsi="宋体"/>
                <w:color w:val="auto"/>
                <w:highlight w:val="none"/>
              </w:rPr>
              <w:t>企业资质证书</w:t>
            </w:r>
          </w:p>
        </w:tc>
        <w:tc>
          <w:tcPr>
            <w:tcW w:w="6840" w:type="dxa"/>
            <w:gridSpan w:val="8"/>
            <w:tcBorders>
              <w:top w:val="single" w:color="auto" w:sz="4" w:space="0"/>
              <w:left w:val="single" w:color="auto" w:sz="4" w:space="0"/>
              <w:bottom w:val="single" w:color="auto" w:sz="4" w:space="0"/>
            </w:tcBorders>
            <w:vAlign w:val="center"/>
          </w:tcPr>
          <w:p w14:paraId="2949F635">
            <w:pPr>
              <w:topLinePunct/>
              <w:spacing w:before="100" w:beforeAutospacing="1" w:after="100" w:afterAutospacing="1" w:line="440" w:lineRule="exact"/>
              <w:ind w:firstLine="105" w:firstLineChars="50"/>
              <w:jc w:val="center"/>
              <w:rPr>
                <w:rFonts w:ascii="宋体" w:hAnsi="宋体"/>
                <w:color w:val="auto"/>
                <w:highlight w:val="none"/>
              </w:rPr>
            </w:pPr>
            <w:r>
              <w:rPr>
                <w:rFonts w:hint="eastAsia" w:ascii="宋体" w:hAnsi="宋体"/>
                <w:color w:val="auto"/>
                <w:highlight w:val="none"/>
              </w:rPr>
              <w:t>类型：等级：证书号：</w:t>
            </w:r>
          </w:p>
        </w:tc>
      </w:tr>
      <w:tr w14:paraId="2133889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046" w:type="dxa"/>
            <w:tcBorders>
              <w:top w:val="single" w:color="auto" w:sz="4" w:space="0"/>
              <w:bottom w:val="single" w:color="auto" w:sz="4" w:space="0"/>
              <w:right w:val="single" w:color="auto" w:sz="4" w:space="0"/>
            </w:tcBorders>
            <w:vAlign w:val="center"/>
          </w:tcPr>
          <w:p w14:paraId="0227AF69">
            <w:pPr>
              <w:topLinePunct/>
              <w:spacing w:before="100" w:beforeAutospacing="1" w:after="100" w:afterAutospacing="1" w:line="440" w:lineRule="exact"/>
              <w:jc w:val="center"/>
              <w:rPr>
                <w:rFonts w:ascii="宋体" w:hAnsi="宋体"/>
                <w:color w:val="auto"/>
                <w:highlight w:val="none"/>
              </w:rPr>
            </w:pPr>
            <w:r>
              <w:rPr>
                <w:rFonts w:hint="eastAsia" w:ascii="宋体" w:hAnsi="宋体"/>
                <w:color w:val="auto"/>
                <w:highlight w:val="none"/>
              </w:rPr>
              <w:t>质量管理体系证书（如有）</w:t>
            </w:r>
          </w:p>
        </w:tc>
        <w:tc>
          <w:tcPr>
            <w:tcW w:w="6840" w:type="dxa"/>
            <w:gridSpan w:val="8"/>
            <w:tcBorders>
              <w:top w:val="single" w:color="auto" w:sz="4" w:space="0"/>
              <w:left w:val="single" w:color="auto" w:sz="4" w:space="0"/>
              <w:bottom w:val="single" w:color="auto" w:sz="4" w:space="0"/>
            </w:tcBorders>
            <w:vAlign w:val="center"/>
          </w:tcPr>
          <w:p w14:paraId="58F2FECB">
            <w:pPr>
              <w:topLinePunct/>
              <w:spacing w:before="100" w:beforeAutospacing="1" w:after="100" w:afterAutospacing="1" w:line="440" w:lineRule="exact"/>
              <w:ind w:firstLine="105" w:firstLineChars="50"/>
              <w:jc w:val="center"/>
              <w:rPr>
                <w:rFonts w:ascii="宋体" w:hAnsi="宋体"/>
                <w:color w:val="auto"/>
                <w:highlight w:val="none"/>
              </w:rPr>
            </w:pPr>
            <w:r>
              <w:rPr>
                <w:rFonts w:hint="eastAsia" w:ascii="宋体" w:hAnsi="宋体"/>
                <w:color w:val="auto"/>
                <w:highlight w:val="none"/>
              </w:rPr>
              <w:t>类型：等级：证书号：</w:t>
            </w:r>
          </w:p>
        </w:tc>
      </w:tr>
      <w:tr w14:paraId="283F4C4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046" w:type="dxa"/>
            <w:tcBorders>
              <w:top w:val="single" w:color="auto" w:sz="4" w:space="0"/>
              <w:bottom w:val="single" w:color="auto" w:sz="4" w:space="0"/>
              <w:right w:val="single" w:color="auto" w:sz="4" w:space="0"/>
            </w:tcBorders>
            <w:vAlign w:val="center"/>
          </w:tcPr>
          <w:p w14:paraId="65552921">
            <w:pPr>
              <w:topLinePunct/>
              <w:spacing w:before="100" w:beforeAutospacing="1" w:after="100" w:afterAutospacing="1" w:line="440" w:lineRule="exact"/>
              <w:jc w:val="center"/>
              <w:rPr>
                <w:rFonts w:ascii="宋体" w:hAnsi="宋体"/>
                <w:color w:val="auto"/>
                <w:highlight w:val="none"/>
              </w:rPr>
            </w:pPr>
            <w:r>
              <w:rPr>
                <w:rFonts w:hint="eastAsia" w:ascii="宋体" w:hAnsi="宋体"/>
                <w:color w:val="auto"/>
                <w:highlight w:val="none"/>
              </w:rPr>
              <w:t>营业执照号</w:t>
            </w:r>
          </w:p>
        </w:tc>
        <w:tc>
          <w:tcPr>
            <w:tcW w:w="3211" w:type="dxa"/>
            <w:gridSpan w:val="3"/>
            <w:tcBorders>
              <w:top w:val="single" w:color="auto" w:sz="4" w:space="0"/>
              <w:left w:val="single" w:color="auto" w:sz="4" w:space="0"/>
              <w:bottom w:val="single" w:color="auto" w:sz="4" w:space="0"/>
              <w:right w:val="single" w:color="auto" w:sz="4" w:space="0"/>
            </w:tcBorders>
            <w:vAlign w:val="center"/>
          </w:tcPr>
          <w:p w14:paraId="4A1710FB">
            <w:pPr>
              <w:topLinePunct/>
              <w:spacing w:line="440" w:lineRule="exact"/>
              <w:jc w:val="center"/>
              <w:rPr>
                <w:rFonts w:ascii="宋体" w:hAnsi="宋体"/>
                <w:color w:val="auto"/>
                <w:highlight w:val="none"/>
              </w:rPr>
            </w:pPr>
          </w:p>
        </w:tc>
        <w:tc>
          <w:tcPr>
            <w:tcW w:w="3629" w:type="dxa"/>
            <w:gridSpan w:val="5"/>
            <w:tcBorders>
              <w:top w:val="single" w:color="auto" w:sz="4" w:space="0"/>
              <w:left w:val="single" w:color="auto" w:sz="4" w:space="0"/>
              <w:bottom w:val="single" w:color="auto" w:sz="4" w:space="0"/>
            </w:tcBorders>
            <w:vAlign w:val="center"/>
          </w:tcPr>
          <w:p w14:paraId="2801CCDF">
            <w:pPr>
              <w:topLinePunct/>
              <w:spacing w:before="100" w:beforeAutospacing="1" w:after="100" w:afterAutospacing="1" w:line="440" w:lineRule="exact"/>
              <w:jc w:val="center"/>
              <w:rPr>
                <w:rFonts w:ascii="宋体" w:hAnsi="宋体"/>
                <w:color w:val="auto"/>
                <w:highlight w:val="none"/>
              </w:rPr>
            </w:pPr>
            <w:r>
              <w:rPr>
                <w:rFonts w:hint="eastAsia" w:ascii="宋体" w:hAnsi="宋体"/>
                <w:color w:val="auto"/>
                <w:highlight w:val="none"/>
              </w:rPr>
              <w:t>员工总人数：</w:t>
            </w:r>
          </w:p>
        </w:tc>
      </w:tr>
      <w:tr w14:paraId="16310EE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046" w:type="dxa"/>
            <w:tcBorders>
              <w:top w:val="single" w:color="auto" w:sz="4" w:space="0"/>
              <w:bottom w:val="single" w:color="auto" w:sz="4" w:space="0"/>
              <w:right w:val="single" w:color="auto" w:sz="4" w:space="0"/>
            </w:tcBorders>
            <w:vAlign w:val="center"/>
          </w:tcPr>
          <w:p w14:paraId="4A3D36DE">
            <w:pPr>
              <w:topLinePunct/>
              <w:spacing w:before="100" w:beforeAutospacing="1" w:after="100" w:afterAutospacing="1" w:line="440" w:lineRule="exact"/>
              <w:jc w:val="center"/>
              <w:rPr>
                <w:rFonts w:ascii="宋体" w:hAnsi="宋体"/>
                <w:color w:val="auto"/>
                <w:highlight w:val="none"/>
              </w:rPr>
            </w:pPr>
            <w:r>
              <w:rPr>
                <w:rFonts w:hint="eastAsia" w:ascii="宋体" w:hAnsi="宋体"/>
                <w:color w:val="auto"/>
                <w:highlight w:val="none"/>
              </w:rPr>
              <w:t>注册资本</w:t>
            </w:r>
          </w:p>
        </w:tc>
        <w:tc>
          <w:tcPr>
            <w:tcW w:w="3211" w:type="dxa"/>
            <w:gridSpan w:val="3"/>
            <w:tcBorders>
              <w:top w:val="single" w:color="auto" w:sz="4" w:space="0"/>
              <w:left w:val="single" w:color="auto" w:sz="4" w:space="0"/>
              <w:bottom w:val="single" w:color="auto" w:sz="4" w:space="0"/>
              <w:right w:val="single" w:color="auto" w:sz="4" w:space="0"/>
            </w:tcBorders>
            <w:vAlign w:val="center"/>
          </w:tcPr>
          <w:p w14:paraId="7D60F634">
            <w:pPr>
              <w:topLinePunct/>
              <w:spacing w:line="440" w:lineRule="exact"/>
              <w:jc w:val="center"/>
              <w:rPr>
                <w:rFonts w:ascii="宋体" w:hAnsi="宋体"/>
                <w:color w:val="auto"/>
                <w:highlight w:val="none"/>
              </w:rPr>
            </w:pPr>
          </w:p>
        </w:tc>
        <w:tc>
          <w:tcPr>
            <w:tcW w:w="414" w:type="dxa"/>
            <w:vMerge w:val="restart"/>
            <w:tcBorders>
              <w:top w:val="single" w:color="auto" w:sz="4" w:space="0"/>
              <w:left w:val="single" w:color="auto" w:sz="4" w:space="0"/>
              <w:right w:val="single" w:color="auto" w:sz="4" w:space="0"/>
            </w:tcBorders>
            <w:vAlign w:val="center"/>
          </w:tcPr>
          <w:p w14:paraId="0E3F09AC">
            <w:pPr>
              <w:topLinePunct/>
              <w:spacing w:before="100" w:beforeAutospacing="1" w:after="100" w:afterAutospacing="1" w:line="440" w:lineRule="exact"/>
              <w:jc w:val="center"/>
              <w:rPr>
                <w:rFonts w:ascii="宋体" w:hAnsi="宋体"/>
                <w:color w:val="auto"/>
                <w:highlight w:val="none"/>
              </w:rPr>
            </w:pPr>
            <w:r>
              <w:rPr>
                <w:rFonts w:hint="eastAsia" w:ascii="宋体" w:hAnsi="宋体"/>
                <w:color w:val="auto"/>
                <w:highlight w:val="none"/>
              </w:rPr>
              <w:t>其中</w:t>
            </w:r>
          </w:p>
        </w:tc>
        <w:tc>
          <w:tcPr>
            <w:tcW w:w="1701" w:type="dxa"/>
            <w:gridSpan w:val="2"/>
            <w:tcBorders>
              <w:top w:val="single" w:color="auto" w:sz="4" w:space="0"/>
              <w:left w:val="single" w:color="auto" w:sz="4" w:space="0"/>
              <w:bottom w:val="single" w:color="auto" w:sz="4" w:space="0"/>
              <w:right w:val="single" w:color="auto" w:sz="4" w:space="0"/>
            </w:tcBorders>
            <w:vAlign w:val="center"/>
          </w:tcPr>
          <w:p w14:paraId="179C6FFF">
            <w:pPr>
              <w:topLinePunct/>
              <w:spacing w:before="100" w:beforeAutospacing="1" w:after="100" w:afterAutospacing="1" w:line="440" w:lineRule="exact"/>
              <w:jc w:val="center"/>
              <w:rPr>
                <w:rFonts w:ascii="宋体" w:hAnsi="宋体"/>
                <w:color w:val="auto"/>
                <w:highlight w:val="none"/>
              </w:rPr>
            </w:pPr>
            <w:r>
              <w:rPr>
                <w:rFonts w:hint="eastAsia" w:ascii="宋体" w:hAnsi="宋体"/>
                <w:color w:val="auto"/>
                <w:highlight w:val="none"/>
              </w:rPr>
              <w:t>高级职称人员</w:t>
            </w:r>
          </w:p>
        </w:tc>
        <w:tc>
          <w:tcPr>
            <w:tcW w:w="1514" w:type="dxa"/>
            <w:gridSpan w:val="2"/>
            <w:tcBorders>
              <w:top w:val="single" w:color="auto" w:sz="4" w:space="0"/>
              <w:left w:val="single" w:color="auto" w:sz="4" w:space="0"/>
              <w:bottom w:val="single" w:color="auto" w:sz="4" w:space="0"/>
            </w:tcBorders>
            <w:vAlign w:val="center"/>
          </w:tcPr>
          <w:p w14:paraId="4EBE5F21">
            <w:pPr>
              <w:topLinePunct/>
              <w:spacing w:line="440" w:lineRule="exact"/>
              <w:jc w:val="center"/>
              <w:rPr>
                <w:rFonts w:ascii="宋体" w:hAnsi="宋体"/>
                <w:color w:val="auto"/>
                <w:highlight w:val="none"/>
              </w:rPr>
            </w:pPr>
          </w:p>
        </w:tc>
      </w:tr>
      <w:tr w14:paraId="02FA58F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046" w:type="dxa"/>
            <w:tcBorders>
              <w:top w:val="single" w:color="auto" w:sz="4" w:space="0"/>
              <w:bottom w:val="single" w:color="auto" w:sz="4" w:space="0"/>
              <w:right w:val="single" w:color="auto" w:sz="4" w:space="0"/>
            </w:tcBorders>
            <w:vAlign w:val="center"/>
          </w:tcPr>
          <w:p w14:paraId="1C0F177D">
            <w:pPr>
              <w:topLinePunct/>
              <w:spacing w:before="100" w:beforeAutospacing="1" w:after="100" w:afterAutospacing="1" w:line="440" w:lineRule="exact"/>
              <w:jc w:val="center"/>
              <w:rPr>
                <w:rFonts w:ascii="宋体" w:hAnsi="宋体"/>
                <w:color w:val="auto"/>
                <w:highlight w:val="none"/>
              </w:rPr>
            </w:pPr>
            <w:r>
              <w:rPr>
                <w:rFonts w:hint="eastAsia" w:ascii="宋体" w:hAnsi="宋体"/>
                <w:color w:val="auto"/>
                <w:highlight w:val="none"/>
              </w:rPr>
              <w:t>成立日期</w:t>
            </w:r>
          </w:p>
        </w:tc>
        <w:tc>
          <w:tcPr>
            <w:tcW w:w="3211" w:type="dxa"/>
            <w:gridSpan w:val="3"/>
            <w:tcBorders>
              <w:top w:val="single" w:color="auto" w:sz="4" w:space="0"/>
              <w:left w:val="single" w:color="auto" w:sz="4" w:space="0"/>
              <w:bottom w:val="single" w:color="auto" w:sz="4" w:space="0"/>
              <w:right w:val="single" w:color="auto" w:sz="4" w:space="0"/>
            </w:tcBorders>
            <w:vAlign w:val="center"/>
          </w:tcPr>
          <w:p w14:paraId="35E6B65D">
            <w:pPr>
              <w:topLinePunct/>
              <w:spacing w:line="440" w:lineRule="exact"/>
              <w:jc w:val="center"/>
              <w:rPr>
                <w:rFonts w:ascii="宋体" w:hAnsi="宋体"/>
                <w:color w:val="auto"/>
                <w:highlight w:val="none"/>
              </w:rPr>
            </w:pPr>
          </w:p>
        </w:tc>
        <w:tc>
          <w:tcPr>
            <w:tcW w:w="414" w:type="dxa"/>
            <w:vMerge w:val="continue"/>
            <w:tcBorders>
              <w:left w:val="single" w:color="auto" w:sz="4" w:space="0"/>
              <w:right w:val="single" w:color="auto" w:sz="4" w:space="0"/>
            </w:tcBorders>
            <w:vAlign w:val="center"/>
          </w:tcPr>
          <w:p w14:paraId="327E1357">
            <w:pPr>
              <w:jc w:val="center"/>
              <w:rPr>
                <w:rFonts w:ascii="宋体" w:hAnsi="宋体"/>
                <w:color w:val="auto"/>
                <w:highlight w:val="none"/>
              </w:rPr>
            </w:pPr>
          </w:p>
        </w:tc>
        <w:tc>
          <w:tcPr>
            <w:tcW w:w="1701" w:type="dxa"/>
            <w:gridSpan w:val="2"/>
            <w:tcBorders>
              <w:top w:val="single" w:color="auto" w:sz="4" w:space="0"/>
              <w:left w:val="single" w:color="auto" w:sz="4" w:space="0"/>
              <w:bottom w:val="single" w:color="auto" w:sz="4" w:space="0"/>
              <w:right w:val="single" w:color="auto" w:sz="4" w:space="0"/>
            </w:tcBorders>
            <w:vAlign w:val="center"/>
          </w:tcPr>
          <w:p w14:paraId="16633165">
            <w:pPr>
              <w:topLinePunct/>
              <w:spacing w:before="100" w:beforeAutospacing="1" w:after="100" w:afterAutospacing="1" w:line="440" w:lineRule="exact"/>
              <w:jc w:val="center"/>
              <w:rPr>
                <w:rFonts w:ascii="宋体" w:hAnsi="宋体"/>
                <w:color w:val="auto"/>
                <w:highlight w:val="none"/>
              </w:rPr>
            </w:pPr>
            <w:r>
              <w:rPr>
                <w:rFonts w:hint="eastAsia" w:ascii="宋体" w:hAnsi="宋体"/>
                <w:color w:val="auto"/>
                <w:highlight w:val="none"/>
              </w:rPr>
              <w:t>中级职称人员</w:t>
            </w:r>
          </w:p>
        </w:tc>
        <w:tc>
          <w:tcPr>
            <w:tcW w:w="1514" w:type="dxa"/>
            <w:gridSpan w:val="2"/>
            <w:tcBorders>
              <w:top w:val="single" w:color="auto" w:sz="4" w:space="0"/>
              <w:left w:val="single" w:color="auto" w:sz="4" w:space="0"/>
              <w:bottom w:val="single" w:color="auto" w:sz="4" w:space="0"/>
            </w:tcBorders>
            <w:vAlign w:val="center"/>
          </w:tcPr>
          <w:p w14:paraId="470F0BE0">
            <w:pPr>
              <w:topLinePunct/>
              <w:spacing w:line="440" w:lineRule="exact"/>
              <w:jc w:val="center"/>
              <w:rPr>
                <w:rFonts w:ascii="宋体" w:hAnsi="宋体"/>
                <w:color w:val="auto"/>
                <w:highlight w:val="none"/>
              </w:rPr>
            </w:pPr>
          </w:p>
        </w:tc>
      </w:tr>
      <w:tr w14:paraId="6FA3604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046" w:type="dxa"/>
            <w:tcBorders>
              <w:top w:val="single" w:color="auto" w:sz="4" w:space="0"/>
              <w:bottom w:val="single" w:color="auto" w:sz="4" w:space="0"/>
              <w:right w:val="single" w:color="auto" w:sz="4" w:space="0"/>
            </w:tcBorders>
            <w:vAlign w:val="center"/>
          </w:tcPr>
          <w:p w14:paraId="4C0C83A2">
            <w:pPr>
              <w:topLinePunct/>
              <w:spacing w:before="100" w:beforeAutospacing="1" w:after="100" w:afterAutospacing="1" w:line="440" w:lineRule="exact"/>
              <w:jc w:val="center"/>
              <w:rPr>
                <w:rFonts w:ascii="宋体" w:hAnsi="宋体"/>
                <w:color w:val="auto"/>
                <w:highlight w:val="none"/>
              </w:rPr>
            </w:pPr>
            <w:r>
              <w:rPr>
                <w:rFonts w:hint="eastAsia" w:ascii="宋体" w:hAnsi="宋体"/>
                <w:color w:val="auto"/>
                <w:highlight w:val="none"/>
              </w:rPr>
              <w:t>基本账户开户银行</w:t>
            </w:r>
          </w:p>
        </w:tc>
        <w:tc>
          <w:tcPr>
            <w:tcW w:w="3211" w:type="dxa"/>
            <w:gridSpan w:val="3"/>
            <w:tcBorders>
              <w:top w:val="single" w:color="auto" w:sz="4" w:space="0"/>
              <w:left w:val="single" w:color="auto" w:sz="4" w:space="0"/>
              <w:bottom w:val="single" w:color="auto" w:sz="4" w:space="0"/>
              <w:right w:val="single" w:color="auto" w:sz="4" w:space="0"/>
            </w:tcBorders>
            <w:vAlign w:val="center"/>
          </w:tcPr>
          <w:p w14:paraId="467D3119">
            <w:pPr>
              <w:topLinePunct/>
              <w:spacing w:line="440" w:lineRule="exact"/>
              <w:jc w:val="center"/>
              <w:rPr>
                <w:rFonts w:ascii="宋体" w:hAnsi="宋体"/>
                <w:color w:val="auto"/>
                <w:highlight w:val="none"/>
              </w:rPr>
            </w:pPr>
          </w:p>
        </w:tc>
        <w:tc>
          <w:tcPr>
            <w:tcW w:w="414" w:type="dxa"/>
            <w:vMerge w:val="continue"/>
            <w:tcBorders>
              <w:left w:val="single" w:color="auto" w:sz="4" w:space="0"/>
              <w:right w:val="single" w:color="auto" w:sz="4" w:space="0"/>
            </w:tcBorders>
            <w:vAlign w:val="center"/>
          </w:tcPr>
          <w:p w14:paraId="5293055E">
            <w:pPr>
              <w:jc w:val="center"/>
              <w:rPr>
                <w:rFonts w:ascii="宋体" w:hAnsi="宋体"/>
                <w:color w:val="auto"/>
                <w:highlight w:val="none"/>
              </w:rPr>
            </w:pPr>
          </w:p>
        </w:tc>
        <w:tc>
          <w:tcPr>
            <w:tcW w:w="1701" w:type="dxa"/>
            <w:gridSpan w:val="2"/>
            <w:tcBorders>
              <w:top w:val="single" w:color="auto" w:sz="4" w:space="0"/>
              <w:left w:val="single" w:color="auto" w:sz="4" w:space="0"/>
              <w:bottom w:val="single" w:color="auto" w:sz="4" w:space="0"/>
              <w:right w:val="single" w:color="auto" w:sz="4" w:space="0"/>
            </w:tcBorders>
            <w:vAlign w:val="center"/>
          </w:tcPr>
          <w:p w14:paraId="7FFCFCF6">
            <w:pPr>
              <w:topLinePunct/>
              <w:spacing w:before="100" w:beforeAutospacing="1" w:after="100" w:afterAutospacing="1" w:line="440" w:lineRule="exact"/>
              <w:jc w:val="center"/>
              <w:rPr>
                <w:rFonts w:ascii="宋体" w:hAnsi="宋体"/>
                <w:color w:val="auto"/>
                <w:highlight w:val="none"/>
              </w:rPr>
            </w:pPr>
            <w:r>
              <w:rPr>
                <w:rFonts w:hint="eastAsia" w:ascii="宋体" w:hAnsi="宋体"/>
                <w:color w:val="auto"/>
                <w:highlight w:val="none"/>
              </w:rPr>
              <w:t>技术人员数量</w:t>
            </w:r>
          </w:p>
        </w:tc>
        <w:tc>
          <w:tcPr>
            <w:tcW w:w="1514" w:type="dxa"/>
            <w:gridSpan w:val="2"/>
            <w:tcBorders>
              <w:top w:val="single" w:color="auto" w:sz="4" w:space="0"/>
              <w:left w:val="single" w:color="auto" w:sz="4" w:space="0"/>
              <w:bottom w:val="single" w:color="auto" w:sz="4" w:space="0"/>
            </w:tcBorders>
            <w:vAlign w:val="center"/>
          </w:tcPr>
          <w:p w14:paraId="0E508CC9">
            <w:pPr>
              <w:topLinePunct/>
              <w:spacing w:line="440" w:lineRule="exact"/>
              <w:jc w:val="center"/>
              <w:rPr>
                <w:rFonts w:ascii="宋体" w:hAnsi="宋体"/>
                <w:color w:val="auto"/>
                <w:highlight w:val="none"/>
              </w:rPr>
            </w:pPr>
          </w:p>
        </w:tc>
      </w:tr>
      <w:tr w14:paraId="1D33866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046" w:type="dxa"/>
            <w:tcBorders>
              <w:top w:val="single" w:color="auto" w:sz="4" w:space="0"/>
              <w:bottom w:val="single" w:color="auto" w:sz="4" w:space="0"/>
              <w:right w:val="single" w:color="auto" w:sz="4" w:space="0"/>
            </w:tcBorders>
            <w:vAlign w:val="center"/>
          </w:tcPr>
          <w:p w14:paraId="6CD38E54">
            <w:pPr>
              <w:topLinePunct/>
              <w:spacing w:before="100" w:beforeAutospacing="1" w:after="100" w:afterAutospacing="1" w:line="440" w:lineRule="exact"/>
              <w:jc w:val="center"/>
              <w:rPr>
                <w:rFonts w:ascii="宋体" w:hAnsi="宋体"/>
                <w:color w:val="auto"/>
                <w:highlight w:val="none"/>
              </w:rPr>
            </w:pPr>
            <w:r>
              <w:rPr>
                <w:rFonts w:hint="eastAsia" w:ascii="宋体" w:hAnsi="宋体"/>
                <w:color w:val="auto"/>
                <w:highlight w:val="none"/>
              </w:rPr>
              <w:t>基本账户银行账号</w:t>
            </w:r>
          </w:p>
        </w:tc>
        <w:tc>
          <w:tcPr>
            <w:tcW w:w="3211" w:type="dxa"/>
            <w:gridSpan w:val="3"/>
            <w:tcBorders>
              <w:top w:val="single" w:color="auto" w:sz="4" w:space="0"/>
              <w:left w:val="single" w:color="auto" w:sz="4" w:space="0"/>
              <w:bottom w:val="single" w:color="auto" w:sz="4" w:space="0"/>
              <w:right w:val="single" w:color="auto" w:sz="4" w:space="0"/>
            </w:tcBorders>
            <w:vAlign w:val="center"/>
          </w:tcPr>
          <w:p w14:paraId="664BF889">
            <w:pPr>
              <w:topLinePunct/>
              <w:spacing w:line="440" w:lineRule="exact"/>
              <w:jc w:val="center"/>
              <w:rPr>
                <w:rFonts w:ascii="宋体" w:hAnsi="宋体"/>
                <w:color w:val="auto"/>
                <w:highlight w:val="none"/>
              </w:rPr>
            </w:pPr>
          </w:p>
        </w:tc>
        <w:tc>
          <w:tcPr>
            <w:tcW w:w="414" w:type="dxa"/>
            <w:vMerge w:val="continue"/>
            <w:tcBorders>
              <w:left w:val="single" w:color="auto" w:sz="4" w:space="0"/>
              <w:right w:val="single" w:color="auto" w:sz="4" w:space="0"/>
            </w:tcBorders>
            <w:vAlign w:val="center"/>
          </w:tcPr>
          <w:p w14:paraId="0BB81C35">
            <w:pPr>
              <w:jc w:val="center"/>
              <w:rPr>
                <w:rFonts w:ascii="宋体" w:hAnsi="宋体"/>
                <w:color w:val="auto"/>
                <w:highlight w:val="none"/>
              </w:rPr>
            </w:pPr>
          </w:p>
        </w:tc>
        <w:tc>
          <w:tcPr>
            <w:tcW w:w="1701" w:type="dxa"/>
            <w:gridSpan w:val="2"/>
            <w:tcBorders>
              <w:top w:val="single" w:color="auto" w:sz="4" w:space="0"/>
              <w:left w:val="single" w:color="auto" w:sz="4" w:space="0"/>
              <w:bottom w:val="single" w:color="auto" w:sz="4" w:space="0"/>
              <w:right w:val="single" w:color="auto" w:sz="4" w:space="0"/>
            </w:tcBorders>
            <w:vAlign w:val="center"/>
          </w:tcPr>
          <w:p w14:paraId="5D762455">
            <w:pPr>
              <w:topLinePunct/>
              <w:spacing w:before="100" w:beforeAutospacing="1" w:after="100" w:afterAutospacing="1" w:line="440" w:lineRule="exact"/>
              <w:jc w:val="center"/>
              <w:rPr>
                <w:rFonts w:ascii="宋体" w:hAnsi="宋体"/>
                <w:color w:val="auto"/>
                <w:highlight w:val="none"/>
              </w:rPr>
            </w:pPr>
            <w:r>
              <w:rPr>
                <w:rFonts w:hint="eastAsia" w:ascii="宋体" w:hAnsi="宋体"/>
                <w:color w:val="auto"/>
                <w:szCs w:val="21"/>
                <w:highlight w:val="none"/>
              </w:rPr>
              <w:t>各类注册人员</w:t>
            </w:r>
          </w:p>
        </w:tc>
        <w:tc>
          <w:tcPr>
            <w:tcW w:w="1514" w:type="dxa"/>
            <w:gridSpan w:val="2"/>
            <w:tcBorders>
              <w:top w:val="single" w:color="auto" w:sz="4" w:space="0"/>
              <w:left w:val="single" w:color="auto" w:sz="4" w:space="0"/>
              <w:bottom w:val="single" w:color="auto" w:sz="4" w:space="0"/>
            </w:tcBorders>
            <w:vAlign w:val="center"/>
          </w:tcPr>
          <w:p w14:paraId="271208A7">
            <w:pPr>
              <w:topLinePunct/>
              <w:spacing w:line="440" w:lineRule="exact"/>
              <w:jc w:val="center"/>
              <w:rPr>
                <w:rFonts w:ascii="宋体" w:hAnsi="宋体"/>
                <w:color w:val="auto"/>
                <w:highlight w:val="none"/>
              </w:rPr>
            </w:pPr>
          </w:p>
        </w:tc>
      </w:tr>
      <w:tr w14:paraId="4997A70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046" w:type="dxa"/>
            <w:tcBorders>
              <w:top w:val="single" w:color="auto" w:sz="4" w:space="0"/>
              <w:right w:val="single" w:color="auto" w:sz="4" w:space="0"/>
            </w:tcBorders>
            <w:vAlign w:val="center"/>
          </w:tcPr>
          <w:p w14:paraId="072AFDCB">
            <w:pPr>
              <w:topLinePunct/>
              <w:spacing w:before="100" w:beforeAutospacing="1" w:after="100" w:afterAutospacing="1" w:line="440" w:lineRule="exact"/>
              <w:ind w:firstLine="210" w:firstLineChars="100"/>
              <w:jc w:val="center"/>
              <w:rPr>
                <w:rFonts w:ascii="宋体" w:hAnsi="宋体"/>
                <w:color w:val="auto"/>
                <w:highlight w:val="none"/>
              </w:rPr>
            </w:pPr>
            <w:r>
              <w:rPr>
                <w:rFonts w:hint="eastAsia" w:ascii="宋体" w:hAnsi="宋体"/>
                <w:color w:val="auto"/>
                <w:highlight w:val="none"/>
              </w:rPr>
              <w:t>经营范围</w:t>
            </w:r>
          </w:p>
        </w:tc>
        <w:tc>
          <w:tcPr>
            <w:tcW w:w="6840" w:type="dxa"/>
            <w:gridSpan w:val="8"/>
            <w:tcBorders>
              <w:top w:val="single" w:color="auto" w:sz="4" w:space="0"/>
              <w:left w:val="single" w:color="auto" w:sz="4" w:space="0"/>
            </w:tcBorders>
            <w:vAlign w:val="center"/>
          </w:tcPr>
          <w:p w14:paraId="1E6D1384">
            <w:pPr>
              <w:topLinePunct/>
              <w:spacing w:line="440" w:lineRule="exact"/>
              <w:jc w:val="center"/>
              <w:rPr>
                <w:rFonts w:ascii="宋体" w:hAnsi="宋体"/>
                <w:color w:val="auto"/>
                <w:highlight w:val="none"/>
              </w:rPr>
            </w:pPr>
          </w:p>
        </w:tc>
      </w:tr>
      <w:tr w14:paraId="5F1A619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046" w:type="dxa"/>
            <w:tcBorders>
              <w:top w:val="single" w:color="auto" w:sz="4" w:space="0"/>
              <w:right w:val="single" w:color="auto" w:sz="4" w:space="0"/>
            </w:tcBorders>
            <w:vAlign w:val="center"/>
          </w:tcPr>
          <w:p w14:paraId="08E22F2D">
            <w:pPr>
              <w:topLinePunct/>
              <w:spacing w:before="100" w:beforeAutospacing="1" w:after="100" w:afterAutospacing="1" w:line="440" w:lineRule="exact"/>
              <w:jc w:val="center"/>
              <w:rPr>
                <w:rFonts w:ascii="宋体" w:hAnsi="宋体"/>
                <w:color w:val="auto"/>
                <w:highlight w:val="none"/>
              </w:rPr>
            </w:pPr>
            <w:r>
              <w:rPr>
                <w:rFonts w:hint="eastAsia" w:ascii="宋体" w:hAnsi="宋体"/>
                <w:color w:val="auto"/>
                <w:szCs w:val="21"/>
                <w:highlight w:val="none"/>
              </w:rPr>
              <w:t>投标人关联企业情况（包括但不限于与投标人法定代表人为同一人或者存在控股、管理关系的不同单位）</w:t>
            </w:r>
          </w:p>
        </w:tc>
        <w:tc>
          <w:tcPr>
            <w:tcW w:w="6840" w:type="dxa"/>
            <w:gridSpan w:val="8"/>
            <w:tcBorders>
              <w:top w:val="single" w:color="auto" w:sz="4" w:space="0"/>
              <w:left w:val="single" w:color="auto" w:sz="4" w:space="0"/>
            </w:tcBorders>
            <w:vAlign w:val="center"/>
          </w:tcPr>
          <w:p w14:paraId="4BA7C3DE">
            <w:pPr>
              <w:topLinePunct/>
              <w:spacing w:line="440" w:lineRule="exact"/>
              <w:jc w:val="center"/>
              <w:rPr>
                <w:rFonts w:ascii="宋体" w:hAnsi="宋体"/>
                <w:color w:val="auto"/>
                <w:highlight w:val="none"/>
              </w:rPr>
            </w:pPr>
          </w:p>
        </w:tc>
      </w:tr>
      <w:tr w14:paraId="72F10AB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2046" w:type="dxa"/>
            <w:tcBorders>
              <w:top w:val="single" w:color="auto" w:sz="4" w:space="0"/>
              <w:bottom w:val="single" w:color="auto" w:sz="4" w:space="0"/>
              <w:right w:val="single" w:color="auto" w:sz="4" w:space="0"/>
            </w:tcBorders>
            <w:vAlign w:val="center"/>
          </w:tcPr>
          <w:p w14:paraId="19759134">
            <w:pPr>
              <w:topLinePunct/>
              <w:spacing w:before="100" w:beforeAutospacing="1" w:after="100" w:afterAutospacing="1" w:line="440" w:lineRule="exact"/>
              <w:jc w:val="center"/>
              <w:rPr>
                <w:rFonts w:ascii="宋体" w:hAnsi="宋体"/>
                <w:color w:val="auto"/>
                <w:highlight w:val="none"/>
              </w:rPr>
            </w:pPr>
            <w:r>
              <w:rPr>
                <w:rFonts w:hint="eastAsia" w:ascii="宋体" w:hAnsi="宋体"/>
                <w:color w:val="auto"/>
                <w:highlight w:val="none"/>
              </w:rPr>
              <w:t>备注</w:t>
            </w:r>
          </w:p>
        </w:tc>
        <w:tc>
          <w:tcPr>
            <w:tcW w:w="6840" w:type="dxa"/>
            <w:gridSpan w:val="8"/>
            <w:tcBorders>
              <w:top w:val="single" w:color="auto" w:sz="4" w:space="0"/>
              <w:left w:val="single" w:color="auto" w:sz="4" w:space="0"/>
              <w:bottom w:val="single" w:color="auto" w:sz="4" w:space="0"/>
            </w:tcBorders>
            <w:vAlign w:val="center"/>
          </w:tcPr>
          <w:p w14:paraId="146C2BD2">
            <w:pPr>
              <w:topLinePunct/>
              <w:spacing w:line="440" w:lineRule="exact"/>
              <w:jc w:val="center"/>
              <w:rPr>
                <w:rFonts w:ascii="宋体" w:hAnsi="宋体"/>
                <w:color w:val="auto"/>
                <w:highlight w:val="none"/>
              </w:rPr>
            </w:pPr>
          </w:p>
        </w:tc>
      </w:tr>
    </w:tbl>
    <w:p w14:paraId="09D12D98">
      <w:pPr>
        <w:snapToGrid w:val="0"/>
        <w:rPr>
          <w:rFonts w:ascii="宋体" w:hAnsi="宋体"/>
          <w:color w:val="auto"/>
          <w:spacing w:val="-5"/>
          <w:szCs w:val="21"/>
          <w:highlight w:val="none"/>
        </w:rPr>
      </w:pPr>
    </w:p>
    <w:p w14:paraId="15254CE8">
      <w:pPr>
        <w:snapToGrid w:val="0"/>
        <w:rPr>
          <w:rFonts w:ascii="宋体" w:hAnsi="宋体"/>
          <w:color w:val="auto"/>
          <w:spacing w:val="-5"/>
          <w:szCs w:val="21"/>
          <w:highlight w:val="none"/>
        </w:rPr>
      </w:pPr>
      <w:r>
        <w:rPr>
          <w:rFonts w:hint="eastAsia" w:ascii="宋体" w:hAnsi="宋体"/>
          <w:color w:val="auto"/>
          <w:spacing w:val="-5"/>
          <w:szCs w:val="21"/>
          <w:highlight w:val="none"/>
        </w:rPr>
        <w:t>注：</w:t>
      </w:r>
      <w:r>
        <w:rPr>
          <w:rFonts w:ascii="宋体" w:hAnsi="宋体"/>
          <w:color w:val="auto"/>
          <w:spacing w:val="-5"/>
          <w:szCs w:val="21"/>
          <w:highlight w:val="none"/>
        </w:rPr>
        <w:t>1</w:t>
      </w:r>
      <w:r>
        <w:rPr>
          <w:rFonts w:hint="eastAsia" w:ascii="宋体" w:hAnsi="宋体"/>
          <w:color w:val="auto"/>
          <w:spacing w:val="-5"/>
          <w:szCs w:val="21"/>
          <w:highlight w:val="none"/>
        </w:rPr>
        <w:t>、联系人栏应填写两个人的联系方式以便于联系。</w:t>
      </w:r>
    </w:p>
    <w:p w14:paraId="43278399">
      <w:pPr>
        <w:snapToGrid w:val="0"/>
        <w:ind w:firstLine="420" w:firstLineChars="200"/>
        <w:rPr>
          <w:rFonts w:ascii="宋体" w:hAnsi="宋体"/>
          <w:color w:val="auto"/>
          <w:position w:val="-30"/>
          <w:sz w:val="22"/>
          <w:highlight w:val="none"/>
        </w:rPr>
      </w:pPr>
      <w:r>
        <w:rPr>
          <w:rFonts w:ascii="宋体" w:hAnsi="宋体"/>
          <w:color w:val="auto"/>
          <w:position w:val="-30"/>
          <w:szCs w:val="21"/>
          <w:highlight w:val="none"/>
        </w:rPr>
        <w:t>2</w:t>
      </w:r>
      <w:r>
        <w:rPr>
          <w:rFonts w:hint="eastAsia" w:ascii="宋体" w:hAnsi="宋体"/>
          <w:color w:val="auto"/>
          <w:position w:val="-30"/>
          <w:szCs w:val="21"/>
          <w:highlight w:val="none"/>
        </w:rPr>
        <w:t>、本表后附证明材料要求详见招标文件第二章第3.5.1款规定。</w:t>
      </w:r>
    </w:p>
    <w:p w14:paraId="0CCA528E">
      <w:pPr>
        <w:widowControl/>
        <w:jc w:val="center"/>
        <w:rPr>
          <w:rFonts w:ascii="宋体" w:hAnsi="宋体" w:cs="宋体"/>
          <w:b/>
          <w:bCs/>
          <w:color w:val="auto"/>
          <w:kern w:val="0"/>
          <w:sz w:val="28"/>
          <w:szCs w:val="28"/>
          <w:highlight w:val="none"/>
        </w:rPr>
      </w:pPr>
      <w:r>
        <w:rPr>
          <w:rFonts w:ascii="宋体" w:hAnsi="宋体"/>
          <w:color w:val="auto"/>
          <w:position w:val="-30"/>
          <w:sz w:val="22"/>
          <w:highlight w:val="none"/>
        </w:rPr>
        <w:br w:type="page"/>
      </w:r>
      <w:r>
        <w:rPr>
          <w:rFonts w:hint="eastAsia" w:ascii="宋体" w:hAnsi="宋体" w:cs="宋体"/>
          <w:b/>
          <w:bCs/>
          <w:color w:val="auto"/>
          <w:kern w:val="0"/>
          <w:sz w:val="28"/>
          <w:szCs w:val="28"/>
          <w:highlight w:val="none"/>
        </w:rPr>
        <w:t>（二）投标申请人声明</w:t>
      </w:r>
    </w:p>
    <w:p w14:paraId="18810892">
      <w:pPr>
        <w:widowControl/>
        <w:jc w:val="center"/>
        <w:rPr>
          <w:rFonts w:ascii="宋体" w:hAnsi="宋体" w:cs="宋体"/>
          <w:b/>
          <w:bCs/>
          <w:color w:val="auto"/>
          <w:kern w:val="0"/>
          <w:szCs w:val="21"/>
          <w:highlight w:val="none"/>
        </w:rPr>
      </w:pPr>
      <w:r>
        <w:rPr>
          <w:rFonts w:hint="eastAsia"/>
          <w:color w:val="auto"/>
          <w:highlight w:val="none"/>
          <w:lang w:val="en-US" w:eastAsia="zh-CN"/>
        </w:rPr>
        <w:t>格式详见招标公告附件</w:t>
      </w:r>
    </w:p>
    <w:p w14:paraId="733585C9">
      <w:pPr>
        <w:widowControl/>
        <w:jc w:val="center"/>
        <w:rPr>
          <w:rFonts w:ascii="宋体" w:hAnsi="宋体" w:cs="宋体"/>
          <w:b/>
          <w:bCs/>
          <w:color w:val="auto"/>
          <w:kern w:val="0"/>
          <w:szCs w:val="21"/>
          <w:highlight w:val="none"/>
        </w:rPr>
      </w:pPr>
    </w:p>
    <w:p w14:paraId="0D6466ED">
      <w:pPr>
        <w:widowControl/>
        <w:rPr>
          <w:rFonts w:ascii="宋体" w:hAnsi="宋体" w:cs="宋体"/>
          <w:b/>
          <w:bCs/>
          <w:color w:val="auto"/>
          <w:kern w:val="0"/>
          <w:szCs w:val="21"/>
          <w:highlight w:val="none"/>
        </w:rPr>
      </w:pPr>
    </w:p>
    <w:p w14:paraId="7D489DB6">
      <w:pPr>
        <w:widowControl/>
        <w:jc w:val="center"/>
        <w:rPr>
          <w:color w:val="auto"/>
          <w:highlight w:val="none"/>
        </w:rPr>
      </w:pPr>
      <w:r>
        <w:rPr>
          <w:color w:val="auto"/>
          <w:highlight w:val="none"/>
        </w:rPr>
        <w:br w:type="page"/>
      </w:r>
    </w:p>
    <w:p w14:paraId="3647E22C">
      <w:pPr>
        <w:widowControl/>
        <w:jc w:val="center"/>
        <w:rPr>
          <w:rFonts w:ascii="宋体" w:hAnsi="宋体" w:cs="宋体"/>
          <w:b/>
          <w:bCs/>
          <w:color w:val="auto"/>
          <w:kern w:val="0"/>
          <w:sz w:val="28"/>
          <w:szCs w:val="28"/>
          <w:highlight w:val="none"/>
        </w:rPr>
      </w:pPr>
    </w:p>
    <w:p w14:paraId="2B0F2F01">
      <w:pPr>
        <w:widowControl/>
        <w:jc w:val="center"/>
        <w:rPr>
          <w:rFonts w:ascii="宋体" w:hAnsi="宋体" w:cs="宋体"/>
          <w:b/>
          <w:bCs/>
          <w:color w:val="auto"/>
          <w:kern w:val="0"/>
          <w:sz w:val="28"/>
          <w:szCs w:val="28"/>
          <w:highlight w:val="none"/>
        </w:rPr>
      </w:pPr>
      <w:r>
        <w:rPr>
          <w:rFonts w:hint="eastAsia" w:ascii="宋体" w:hAnsi="宋体" w:cs="宋体"/>
          <w:b/>
          <w:bCs/>
          <w:color w:val="auto"/>
          <w:kern w:val="0"/>
          <w:sz w:val="28"/>
          <w:szCs w:val="28"/>
          <w:highlight w:val="none"/>
        </w:rPr>
        <w:t>（三）拟派项目负责人资格证明材料</w:t>
      </w:r>
    </w:p>
    <w:p w14:paraId="047AA8CD">
      <w:pPr>
        <w:widowControl/>
        <w:jc w:val="center"/>
        <w:rPr>
          <w:rFonts w:ascii="宋体" w:hAnsi="宋体"/>
          <w:color w:val="auto"/>
          <w:sz w:val="24"/>
          <w:szCs w:val="24"/>
          <w:highlight w:val="none"/>
        </w:rPr>
      </w:pPr>
    </w:p>
    <w:p w14:paraId="4DB66B5B">
      <w:pPr>
        <w:widowControl/>
        <w:jc w:val="center"/>
        <w:rPr>
          <w:rFonts w:ascii="宋体" w:hAnsi="宋体"/>
          <w:color w:val="auto"/>
          <w:sz w:val="24"/>
          <w:szCs w:val="24"/>
          <w:highlight w:val="none"/>
        </w:rPr>
      </w:pPr>
      <w:r>
        <w:rPr>
          <w:rFonts w:hint="eastAsia" w:ascii="宋体" w:hAnsi="宋体"/>
          <w:color w:val="auto"/>
          <w:sz w:val="24"/>
          <w:szCs w:val="24"/>
          <w:highlight w:val="none"/>
        </w:rPr>
        <w:t>按招标文件第二章第</w:t>
      </w:r>
      <w:r>
        <w:rPr>
          <w:rFonts w:ascii="宋体" w:hAnsi="宋体"/>
          <w:color w:val="auto"/>
          <w:sz w:val="24"/>
          <w:szCs w:val="24"/>
          <w:highlight w:val="none"/>
        </w:rPr>
        <w:t>3.5款规定提交证明材料，格式自定</w:t>
      </w:r>
      <w:r>
        <w:rPr>
          <w:rFonts w:hint="eastAsia" w:ascii="宋体" w:hAnsi="宋体"/>
          <w:color w:val="auto"/>
          <w:sz w:val="24"/>
          <w:szCs w:val="24"/>
          <w:highlight w:val="none"/>
        </w:rPr>
        <w:t>。</w:t>
      </w:r>
    </w:p>
    <w:p w14:paraId="18F118F7">
      <w:pPr>
        <w:widowControl/>
        <w:jc w:val="center"/>
        <w:rPr>
          <w:rFonts w:ascii="宋体" w:hAnsi="宋体" w:cs="宋体"/>
          <w:b/>
          <w:bCs/>
          <w:color w:val="auto"/>
          <w:kern w:val="0"/>
          <w:sz w:val="24"/>
          <w:szCs w:val="24"/>
          <w:highlight w:val="none"/>
        </w:rPr>
      </w:pPr>
    </w:p>
    <w:p w14:paraId="2DBD0FAF">
      <w:pPr>
        <w:widowControl/>
        <w:jc w:val="center"/>
        <w:rPr>
          <w:rFonts w:ascii="宋体" w:hAnsi="宋体" w:cs="宋体"/>
          <w:b/>
          <w:bCs/>
          <w:color w:val="auto"/>
          <w:kern w:val="0"/>
          <w:sz w:val="28"/>
          <w:szCs w:val="28"/>
          <w:highlight w:val="none"/>
        </w:rPr>
      </w:pPr>
    </w:p>
    <w:p w14:paraId="64388448">
      <w:pPr>
        <w:widowControl/>
        <w:jc w:val="center"/>
        <w:rPr>
          <w:rFonts w:ascii="宋体" w:hAnsi="宋体" w:cs="宋体"/>
          <w:b/>
          <w:bCs/>
          <w:color w:val="auto"/>
          <w:kern w:val="0"/>
          <w:sz w:val="28"/>
          <w:szCs w:val="28"/>
          <w:highlight w:val="none"/>
        </w:rPr>
      </w:pPr>
    </w:p>
    <w:p w14:paraId="088A8FAF">
      <w:pPr>
        <w:widowControl/>
        <w:jc w:val="center"/>
        <w:rPr>
          <w:rFonts w:ascii="宋体" w:hAnsi="宋体" w:cs="宋体"/>
          <w:b/>
          <w:bCs/>
          <w:color w:val="auto"/>
          <w:kern w:val="0"/>
          <w:sz w:val="28"/>
          <w:szCs w:val="28"/>
          <w:highlight w:val="none"/>
        </w:rPr>
      </w:pPr>
      <w:r>
        <w:rPr>
          <w:rFonts w:hint="eastAsia" w:ascii="宋体" w:hAnsi="宋体" w:cs="宋体"/>
          <w:b/>
          <w:bCs/>
          <w:color w:val="auto"/>
          <w:kern w:val="0"/>
          <w:sz w:val="28"/>
          <w:szCs w:val="28"/>
          <w:highlight w:val="none"/>
        </w:rPr>
        <w:t>（四）广州市住房和城乡建设局企业信用档案相关网页截图</w:t>
      </w:r>
    </w:p>
    <w:p w14:paraId="6ED3FDCF">
      <w:pPr>
        <w:widowControl/>
        <w:jc w:val="center"/>
        <w:rPr>
          <w:rFonts w:ascii="宋体" w:hAnsi="宋体"/>
          <w:color w:val="auto"/>
          <w:sz w:val="24"/>
          <w:szCs w:val="24"/>
          <w:highlight w:val="none"/>
        </w:rPr>
      </w:pPr>
    </w:p>
    <w:p w14:paraId="0E9FC224">
      <w:pPr>
        <w:widowControl/>
        <w:jc w:val="center"/>
        <w:rPr>
          <w:rFonts w:ascii="宋体" w:hAnsi="宋体" w:cs="宋体"/>
          <w:b/>
          <w:bCs/>
          <w:color w:val="auto"/>
          <w:kern w:val="0"/>
          <w:sz w:val="28"/>
          <w:szCs w:val="28"/>
          <w:highlight w:val="none"/>
        </w:rPr>
      </w:pPr>
      <w:r>
        <w:rPr>
          <w:rFonts w:hint="eastAsia" w:ascii="宋体" w:hAnsi="宋体"/>
          <w:color w:val="auto"/>
          <w:sz w:val="24"/>
          <w:szCs w:val="24"/>
          <w:highlight w:val="none"/>
        </w:rPr>
        <w:t>按招标文件第二章第3.5款规定提交资料。</w:t>
      </w:r>
    </w:p>
    <w:p w14:paraId="13AF14DF">
      <w:pPr>
        <w:widowControl/>
        <w:jc w:val="center"/>
        <w:rPr>
          <w:rFonts w:ascii="宋体" w:hAnsi="宋体" w:cs="宋体"/>
          <w:b/>
          <w:bCs/>
          <w:color w:val="auto"/>
          <w:kern w:val="0"/>
          <w:sz w:val="28"/>
          <w:szCs w:val="28"/>
          <w:highlight w:val="none"/>
        </w:rPr>
      </w:pPr>
    </w:p>
    <w:p w14:paraId="0441F9F1">
      <w:pPr>
        <w:widowControl/>
        <w:jc w:val="center"/>
        <w:rPr>
          <w:color w:val="auto"/>
          <w:highlight w:val="none"/>
        </w:rPr>
      </w:pPr>
    </w:p>
    <w:p w14:paraId="64D1DDB2">
      <w:pPr>
        <w:widowControl/>
        <w:jc w:val="left"/>
        <w:rPr>
          <w:rFonts w:ascii="宋体" w:hAnsi="宋体" w:cs="宋体"/>
          <w:b/>
          <w:bCs/>
          <w:color w:val="auto"/>
          <w:kern w:val="0"/>
          <w:sz w:val="28"/>
          <w:szCs w:val="28"/>
          <w:highlight w:val="none"/>
        </w:rPr>
      </w:pPr>
      <w:r>
        <w:rPr>
          <w:rFonts w:ascii="宋体" w:hAnsi="宋体" w:cs="宋体"/>
          <w:b/>
          <w:bCs/>
          <w:color w:val="auto"/>
          <w:kern w:val="0"/>
          <w:sz w:val="28"/>
          <w:szCs w:val="28"/>
          <w:highlight w:val="none"/>
        </w:rPr>
        <w:br w:type="page"/>
      </w:r>
    </w:p>
    <w:p w14:paraId="4B249128">
      <w:pPr>
        <w:widowControl/>
        <w:jc w:val="center"/>
        <w:rPr>
          <w:rFonts w:ascii="宋体" w:hAnsi="宋体" w:cs="宋体"/>
          <w:b/>
          <w:bCs/>
          <w:color w:val="auto"/>
          <w:kern w:val="0"/>
          <w:sz w:val="28"/>
          <w:szCs w:val="28"/>
          <w:highlight w:val="none"/>
        </w:rPr>
      </w:pPr>
      <w:r>
        <w:rPr>
          <w:rFonts w:hint="eastAsia" w:ascii="宋体" w:hAnsi="宋体" w:cs="宋体"/>
          <w:b/>
          <w:bCs/>
          <w:color w:val="auto"/>
          <w:kern w:val="0"/>
          <w:sz w:val="28"/>
          <w:szCs w:val="28"/>
          <w:highlight w:val="none"/>
        </w:rPr>
        <w:t>（五）联合体协议书</w:t>
      </w:r>
    </w:p>
    <w:p w14:paraId="459C8F3D">
      <w:pPr>
        <w:tabs>
          <w:tab w:val="left" w:pos="2200"/>
          <w:tab w:val="left" w:pos="6000"/>
        </w:tabs>
        <w:spacing w:line="360" w:lineRule="auto"/>
        <w:ind w:firstLine="480" w:firstLineChars="200"/>
        <w:jc w:val="left"/>
        <w:rPr>
          <w:rFonts w:ascii="宋体" w:hAnsi="宋体" w:cs="华文楷体"/>
          <w:color w:val="auto"/>
          <w:sz w:val="24"/>
          <w:szCs w:val="24"/>
          <w:highlight w:val="none"/>
        </w:rPr>
      </w:pPr>
      <w:r>
        <w:rPr>
          <w:rFonts w:hint="eastAsia" w:ascii="宋体" w:hAnsi="宋体" w:cs="华文楷体"/>
          <w:color w:val="auto"/>
          <w:position w:val="-4"/>
          <w:sz w:val="24"/>
          <w:szCs w:val="24"/>
          <w:highlight w:val="none"/>
          <w:u w:val="single"/>
        </w:rPr>
        <w:tab/>
      </w:r>
      <w:r>
        <w:rPr>
          <w:rFonts w:hint="eastAsia" w:ascii="宋体" w:hAnsi="宋体" w:cs="华文楷体"/>
          <w:color w:val="auto"/>
          <w:position w:val="-4"/>
          <w:sz w:val="24"/>
          <w:szCs w:val="24"/>
          <w:highlight w:val="none"/>
        </w:rPr>
        <w:t>（所</w:t>
      </w:r>
      <w:r>
        <w:rPr>
          <w:rFonts w:hint="eastAsia" w:ascii="宋体" w:hAnsi="宋体" w:cs="华文楷体"/>
          <w:color w:val="auto"/>
          <w:spacing w:val="-2"/>
          <w:position w:val="-4"/>
          <w:sz w:val="24"/>
          <w:szCs w:val="24"/>
          <w:highlight w:val="none"/>
        </w:rPr>
        <w:t>有</w:t>
      </w:r>
      <w:r>
        <w:rPr>
          <w:rFonts w:hint="eastAsia" w:ascii="宋体" w:hAnsi="宋体" w:cs="华文楷体"/>
          <w:color w:val="auto"/>
          <w:position w:val="-4"/>
          <w:sz w:val="24"/>
          <w:szCs w:val="24"/>
          <w:highlight w:val="none"/>
        </w:rPr>
        <w:t>成员单位名称）自愿组</w:t>
      </w:r>
      <w:r>
        <w:rPr>
          <w:rFonts w:hint="eastAsia" w:ascii="宋体" w:hAnsi="宋体" w:cs="华文楷体"/>
          <w:color w:val="auto"/>
          <w:spacing w:val="1"/>
          <w:position w:val="-4"/>
          <w:sz w:val="24"/>
          <w:szCs w:val="24"/>
          <w:highlight w:val="none"/>
        </w:rPr>
        <w:t>成</w:t>
      </w:r>
      <w:r>
        <w:rPr>
          <w:rFonts w:hint="eastAsia" w:ascii="宋体" w:hAnsi="宋体" w:cs="华文楷体"/>
          <w:color w:val="auto"/>
          <w:position w:val="-4"/>
          <w:sz w:val="24"/>
          <w:szCs w:val="24"/>
          <w:highlight w:val="none"/>
          <w:u w:val="single"/>
        </w:rPr>
        <w:t xml:space="preserve"> </w:t>
      </w:r>
      <w:r>
        <w:rPr>
          <w:rFonts w:hint="eastAsia" w:ascii="宋体" w:hAnsi="宋体" w:cs="华文楷体"/>
          <w:color w:val="auto"/>
          <w:spacing w:val="1"/>
          <w:position w:val="-4"/>
          <w:sz w:val="24"/>
          <w:szCs w:val="24"/>
          <w:highlight w:val="none"/>
          <w:u w:val="single"/>
        </w:rPr>
        <w:t xml:space="preserve"> </w:t>
      </w:r>
      <w:r>
        <w:rPr>
          <w:rFonts w:hint="eastAsia" w:ascii="宋体" w:hAnsi="宋体" w:cs="华文楷体"/>
          <w:color w:val="auto"/>
          <w:position w:val="-4"/>
          <w:sz w:val="24"/>
          <w:szCs w:val="24"/>
          <w:highlight w:val="none"/>
          <w:u w:val="single"/>
        </w:rPr>
        <w:tab/>
      </w:r>
      <w:r>
        <w:rPr>
          <w:rFonts w:hint="eastAsia" w:ascii="宋体" w:hAnsi="宋体" w:cs="华文楷体"/>
          <w:color w:val="auto"/>
          <w:position w:val="-4"/>
          <w:sz w:val="24"/>
          <w:szCs w:val="24"/>
          <w:highlight w:val="none"/>
        </w:rPr>
        <w:t>（联合体名称）联合体，共同</w:t>
      </w:r>
      <w:r>
        <w:rPr>
          <w:rFonts w:hint="eastAsia" w:ascii="宋体" w:hAnsi="宋体" w:cs="华文楷体"/>
          <w:color w:val="auto"/>
          <w:position w:val="-2"/>
          <w:sz w:val="24"/>
          <w:szCs w:val="24"/>
          <w:highlight w:val="none"/>
        </w:rPr>
        <w:t>参加</w:t>
      </w:r>
      <w:r>
        <w:rPr>
          <w:rFonts w:hint="eastAsia" w:ascii="宋体" w:hAnsi="宋体" w:cs="华文楷体"/>
          <w:color w:val="auto"/>
          <w:position w:val="-2"/>
          <w:sz w:val="24"/>
          <w:szCs w:val="24"/>
          <w:highlight w:val="none"/>
          <w:u w:val="single"/>
        </w:rPr>
        <w:t xml:space="preserve"> </w:t>
      </w:r>
      <w:r>
        <w:rPr>
          <w:rFonts w:hint="eastAsia" w:ascii="宋体" w:hAnsi="宋体" w:cs="华文楷体"/>
          <w:color w:val="auto"/>
          <w:spacing w:val="1"/>
          <w:position w:val="-2"/>
          <w:sz w:val="24"/>
          <w:szCs w:val="24"/>
          <w:highlight w:val="none"/>
          <w:u w:val="single"/>
        </w:rPr>
        <w:t xml:space="preserve"> </w:t>
      </w:r>
      <w:r>
        <w:rPr>
          <w:rFonts w:hint="eastAsia" w:ascii="宋体" w:hAnsi="宋体" w:cs="华文楷体"/>
          <w:color w:val="auto"/>
          <w:position w:val="-2"/>
          <w:sz w:val="24"/>
          <w:szCs w:val="24"/>
          <w:highlight w:val="none"/>
          <w:u w:val="single"/>
        </w:rPr>
        <w:tab/>
      </w:r>
      <w:r>
        <w:rPr>
          <w:rFonts w:hint="eastAsia" w:ascii="宋体" w:hAnsi="宋体" w:cs="华文楷体"/>
          <w:color w:val="auto"/>
          <w:spacing w:val="-2"/>
          <w:position w:val="-2"/>
          <w:sz w:val="24"/>
          <w:szCs w:val="24"/>
          <w:highlight w:val="none"/>
        </w:rPr>
        <w:t>（</w:t>
      </w:r>
      <w:r>
        <w:rPr>
          <w:rFonts w:hint="eastAsia" w:ascii="宋体" w:hAnsi="宋体" w:cs="华文楷体"/>
          <w:color w:val="auto"/>
          <w:position w:val="-2"/>
          <w:sz w:val="24"/>
          <w:szCs w:val="24"/>
          <w:highlight w:val="none"/>
        </w:rPr>
        <w:t>项目</w:t>
      </w:r>
      <w:r>
        <w:rPr>
          <w:rFonts w:hint="eastAsia" w:ascii="宋体" w:hAnsi="宋体" w:cs="华文楷体"/>
          <w:color w:val="auto"/>
          <w:spacing w:val="-2"/>
          <w:position w:val="-2"/>
          <w:sz w:val="24"/>
          <w:szCs w:val="24"/>
          <w:highlight w:val="none"/>
        </w:rPr>
        <w:t>名</w:t>
      </w:r>
      <w:r>
        <w:rPr>
          <w:rFonts w:hint="eastAsia" w:ascii="宋体" w:hAnsi="宋体" w:cs="华文楷体"/>
          <w:color w:val="auto"/>
          <w:position w:val="-2"/>
          <w:sz w:val="24"/>
          <w:szCs w:val="24"/>
          <w:highlight w:val="none"/>
        </w:rPr>
        <w:t>称</w:t>
      </w:r>
      <w:r>
        <w:rPr>
          <w:rFonts w:hint="eastAsia" w:ascii="宋体" w:hAnsi="宋体" w:cs="华文楷体"/>
          <w:color w:val="auto"/>
          <w:spacing w:val="-2"/>
          <w:position w:val="-2"/>
          <w:sz w:val="24"/>
          <w:szCs w:val="24"/>
          <w:highlight w:val="none"/>
        </w:rPr>
        <w:t>）</w:t>
      </w:r>
      <w:r>
        <w:rPr>
          <w:rFonts w:hint="eastAsia" w:ascii="宋体" w:hAnsi="宋体" w:cs="华文楷体"/>
          <w:color w:val="auto"/>
          <w:position w:val="-2"/>
          <w:sz w:val="24"/>
          <w:szCs w:val="24"/>
          <w:highlight w:val="none"/>
        </w:rPr>
        <w:t>招</w:t>
      </w:r>
      <w:r>
        <w:rPr>
          <w:rFonts w:hint="eastAsia" w:ascii="宋体" w:hAnsi="宋体" w:cs="华文楷体"/>
          <w:color w:val="auto"/>
          <w:spacing w:val="-2"/>
          <w:position w:val="-2"/>
          <w:sz w:val="24"/>
          <w:szCs w:val="24"/>
          <w:highlight w:val="none"/>
        </w:rPr>
        <w:t>标</w:t>
      </w:r>
      <w:r>
        <w:rPr>
          <w:rFonts w:hint="eastAsia" w:ascii="宋体" w:hAnsi="宋体" w:cs="华文楷体"/>
          <w:color w:val="auto"/>
          <w:position w:val="-2"/>
          <w:sz w:val="24"/>
          <w:szCs w:val="24"/>
          <w:highlight w:val="none"/>
        </w:rPr>
        <w:t>项</w:t>
      </w:r>
      <w:r>
        <w:rPr>
          <w:rFonts w:hint="eastAsia" w:ascii="宋体" w:hAnsi="宋体" w:cs="华文楷体"/>
          <w:color w:val="auto"/>
          <w:spacing w:val="-2"/>
          <w:position w:val="-2"/>
          <w:sz w:val="24"/>
          <w:szCs w:val="24"/>
          <w:highlight w:val="none"/>
        </w:rPr>
        <w:t>目</w:t>
      </w:r>
      <w:r>
        <w:rPr>
          <w:rFonts w:hint="eastAsia" w:ascii="宋体" w:hAnsi="宋体" w:cs="华文楷体"/>
          <w:color w:val="auto"/>
          <w:position w:val="-2"/>
          <w:sz w:val="24"/>
          <w:szCs w:val="24"/>
          <w:highlight w:val="none"/>
        </w:rPr>
        <w:t>投标</w:t>
      </w:r>
      <w:r>
        <w:rPr>
          <w:rFonts w:hint="eastAsia" w:ascii="宋体" w:hAnsi="宋体" w:cs="华文楷体"/>
          <w:color w:val="auto"/>
          <w:spacing w:val="-2"/>
          <w:position w:val="-2"/>
          <w:sz w:val="24"/>
          <w:szCs w:val="24"/>
          <w:highlight w:val="none"/>
        </w:rPr>
        <w:t>。</w:t>
      </w:r>
      <w:r>
        <w:rPr>
          <w:rFonts w:hint="eastAsia" w:ascii="宋体" w:hAnsi="宋体" w:cs="华文楷体"/>
          <w:color w:val="auto"/>
          <w:position w:val="-2"/>
          <w:sz w:val="24"/>
          <w:szCs w:val="24"/>
          <w:highlight w:val="none"/>
        </w:rPr>
        <w:t>现</w:t>
      </w:r>
      <w:r>
        <w:rPr>
          <w:rFonts w:hint="eastAsia" w:ascii="宋体" w:hAnsi="宋体" w:cs="华文楷体"/>
          <w:color w:val="auto"/>
          <w:spacing w:val="-2"/>
          <w:position w:val="-2"/>
          <w:sz w:val="24"/>
          <w:szCs w:val="24"/>
          <w:highlight w:val="none"/>
        </w:rPr>
        <w:t>就</w:t>
      </w:r>
      <w:r>
        <w:rPr>
          <w:rFonts w:hint="eastAsia" w:ascii="宋体" w:hAnsi="宋体" w:cs="华文楷体"/>
          <w:color w:val="auto"/>
          <w:position w:val="-2"/>
          <w:sz w:val="24"/>
          <w:szCs w:val="24"/>
          <w:highlight w:val="none"/>
        </w:rPr>
        <w:t>联</w:t>
      </w:r>
      <w:r>
        <w:rPr>
          <w:rFonts w:hint="eastAsia" w:ascii="宋体" w:hAnsi="宋体" w:cs="华文楷体"/>
          <w:color w:val="auto"/>
          <w:spacing w:val="-2"/>
          <w:position w:val="-2"/>
          <w:sz w:val="24"/>
          <w:szCs w:val="24"/>
          <w:highlight w:val="none"/>
        </w:rPr>
        <w:t>合</w:t>
      </w:r>
      <w:r>
        <w:rPr>
          <w:rFonts w:hint="eastAsia" w:ascii="宋体" w:hAnsi="宋体" w:cs="华文楷体"/>
          <w:color w:val="auto"/>
          <w:spacing w:val="2"/>
          <w:position w:val="-2"/>
          <w:sz w:val="24"/>
          <w:szCs w:val="24"/>
          <w:highlight w:val="none"/>
        </w:rPr>
        <w:t>体</w:t>
      </w:r>
      <w:r>
        <w:rPr>
          <w:rFonts w:hint="eastAsia" w:ascii="宋体" w:hAnsi="宋体" w:cs="华文楷体"/>
          <w:color w:val="auto"/>
          <w:position w:val="-2"/>
          <w:sz w:val="24"/>
          <w:szCs w:val="24"/>
          <w:highlight w:val="none"/>
        </w:rPr>
        <w:t>投</w:t>
      </w:r>
      <w:r>
        <w:rPr>
          <w:rFonts w:hint="eastAsia" w:ascii="宋体" w:hAnsi="宋体" w:cs="华文楷体"/>
          <w:color w:val="auto"/>
          <w:spacing w:val="2"/>
          <w:position w:val="-2"/>
          <w:sz w:val="24"/>
          <w:szCs w:val="24"/>
          <w:highlight w:val="none"/>
        </w:rPr>
        <w:t>标</w:t>
      </w:r>
      <w:r>
        <w:rPr>
          <w:rFonts w:hint="eastAsia" w:ascii="宋体" w:hAnsi="宋体" w:cs="华文楷体"/>
          <w:color w:val="auto"/>
          <w:position w:val="-2"/>
          <w:sz w:val="24"/>
          <w:szCs w:val="24"/>
          <w:highlight w:val="none"/>
        </w:rPr>
        <w:t>事</w:t>
      </w:r>
      <w:r>
        <w:rPr>
          <w:rFonts w:hint="eastAsia" w:ascii="宋体" w:hAnsi="宋体" w:cs="华文楷体"/>
          <w:color w:val="auto"/>
          <w:spacing w:val="2"/>
          <w:position w:val="-2"/>
          <w:sz w:val="24"/>
          <w:szCs w:val="24"/>
          <w:highlight w:val="none"/>
        </w:rPr>
        <w:t>宜订</w:t>
      </w:r>
      <w:r>
        <w:rPr>
          <w:rFonts w:hint="eastAsia" w:ascii="宋体" w:hAnsi="宋体" w:cs="华文楷体"/>
          <w:color w:val="auto"/>
          <w:position w:val="-2"/>
          <w:sz w:val="24"/>
          <w:szCs w:val="24"/>
          <w:highlight w:val="none"/>
        </w:rPr>
        <w:t>立</w:t>
      </w:r>
      <w:r>
        <w:rPr>
          <w:rFonts w:hint="eastAsia" w:ascii="宋体" w:hAnsi="宋体" w:cs="华文楷体"/>
          <w:color w:val="auto"/>
          <w:spacing w:val="2"/>
          <w:position w:val="-2"/>
          <w:sz w:val="24"/>
          <w:szCs w:val="24"/>
          <w:highlight w:val="none"/>
        </w:rPr>
        <w:t>如</w:t>
      </w:r>
      <w:r>
        <w:rPr>
          <w:rFonts w:hint="eastAsia" w:ascii="宋体" w:hAnsi="宋体" w:cs="华文楷体"/>
          <w:color w:val="auto"/>
          <w:position w:val="-2"/>
          <w:sz w:val="24"/>
          <w:szCs w:val="24"/>
          <w:highlight w:val="none"/>
        </w:rPr>
        <w:t>下</w:t>
      </w:r>
      <w:r>
        <w:rPr>
          <w:rFonts w:hint="eastAsia" w:ascii="宋体" w:hAnsi="宋体" w:cs="华文楷体"/>
          <w:color w:val="auto"/>
          <w:spacing w:val="2"/>
          <w:position w:val="-2"/>
          <w:sz w:val="24"/>
          <w:szCs w:val="24"/>
          <w:highlight w:val="none"/>
        </w:rPr>
        <w:t>协</w:t>
      </w:r>
      <w:r>
        <w:rPr>
          <w:rFonts w:hint="eastAsia" w:ascii="宋体" w:hAnsi="宋体" w:cs="华文楷体"/>
          <w:color w:val="auto"/>
          <w:position w:val="-2"/>
          <w:sz w:val="24"/>
          <w:szCs w:val="24"/>
          <w:highlight w:val="none"/>
        </w:rPr>
        <w:t>议。</w:t>
      </w:r>
    </w:p>
    <w:p w14:paraId="7256B519">
      <w:pPr>
        <w:tabs>
          <w:tab w:val="left" w:pos="2660"/>
          <w:tab w:val="left" w:pos="5600"/>
        </w:tabs>
        <w:spacing w:line="360" w:lineRule="auto"/>
        <w:ind w:right="-23" w:firstLine="480" w:firstLineChars="200"/>
        <w:jc w:val="left"/>
        <w:rPr>
          <w:rFonts w:ascii="宋体" w:hAnsi="宋体" w:cs="华文楷体"/>
          <w:color w:val="auto"/>
          <w:sz w:val="24"/>
          <w:szCs w:val="24"/>
          <w:highlight w:val="none"/>
        </w:rPr>
      </w:pPr>
      <w:r>
        <w:rPr>
          <w:rFonts w:hint="eastAsia" w:ascii="宋体" w:hAnsi="宋体" w:cs="华文楷体"/>
          <w:color w:val="auto"/>
          <w:position w:val="-1"/>
          <w:sz w:val="24"/>
          <w:szCs w:val="24"/>
          <w:highlight w:val="none"/>
        </w:rPr>
        <w:t xml:space="preserve">1. </w:t>
      </w:r>
      <w:r>
        <w:rPr>
          <w:rFonts w:hint="eastAsia" w:ascii="宋体" w:hAnsi="宋体" w:cs="华文楷体"/>
          <w:color w:val="auto"/>
          <w:position w:val="-1"/>
          <w:sz w:val="24"/>
          <w:szCs w:val="24"/>
          <w:highlight w:val="none"/>
          <w:u w:val="single"/>
        </w:rPr>
        <w:t xml:space="preserve"> </w:t>
      </w:r>
      <w:r>
        <w:rPr>
          <w:rFonts w:hint="eastAsia" w:ascii="宋体" w:hAnsi="宋体" w:cs="华文楷体"/>
          <w:color w:val="auto"/>
          <w:position w:val="-1"/>
          <w:sz w:val="24"/>
          <w:szCs w:val="24"/>
          <w:highlight w:val="none"/>
          <w:u w:val="single"/>
        </w:rPr>
        <w:tab/>
      </w:r>
      <w:r>
        <w:rPr>
          <w:rFonts w:hint="eastAsia" w:ascii="宋体" w:hAnsi="宋体" w:cs="华文楷体"/>
          <w:color w:val="auto"/>
          <w:spacing w:val="-2"/>
          <w:position w:val="-1"/>
          <w:sz w:val="24"/>
          <w:szCs w:val="24"/>
          <w:highlight w:val="none"/>
        </w:rPr>
        <w:t>（</w:t>
      </w:r>
      <w:r>
        <w:rPr>
          <w:rFonts w:hint="eastAsia" w:ascii="宋体" w:hAnsi="宋体" w:cs="华文楷体"/>
          <w:color w:val="auto"/>
          <w:position w:val="-1"/>
          <w:sz w:val="24"/>
          <w:szCs w:val="24"/>
          <w:highlight w:val="none"/>
        </w:rPr>
        <w:t>某成</w:t>
      </w:r>
      <w:r>
        <w:rPr>
          <w:rFonts w:hint="eastAsia" w:ascii="宋体" w:hAnsi="宋体" w:cs="华文楷体"/>
          <w:color w:val="auto"/>
          <w:spacing w:val="-2"/>
          <w:position w:val="-1"/>
          <w:sz w:val="24"/>
          <w:szCs w:val="24"/>
          <w:highlight w:val="none"/>
        </w:rPr>
        <w:t>员</w:t>
      </w:r>
      <w:r>
        <w:rPr>
          <w:rFonts w:hint="eastAsia" w:ascii="宋体" w:hAnsi="宋体" w:cs="华文楷体"/>
          <w:color w:val="auto"/>
          <w:position w:val="-1"/>
          <w:sz w:val="24"/>
          <w:szCs w:val="24"/>
          <w:highlight w:val="none"/>
        </w:rPr>
        <w:t>单</w:t>
      </w:r>
      <w:r>
        <w:rPr>
          <w:rFonts w:hint="eastAsia" w:ascii="宋体" w:hAnsi="宋体" w:cs="华文楷体"/>
          <w:color w:val="auto"/>
          <w:spacing w:val="-2"/>
          <w:position w:val="-1"/>
          <w:sz w:val="24"/>
          <w:szCs w:val="24"/>
          <w:highlight w:val="none"/>
        </w:rPr>
        <w:t>位</w:t>
      </w:r>
      <w:r>
        <w:rPr>
          <w:rFonts w:hint="eastAsia" w:ascii="宋体" w:hAnsi="宋体" w:cs="华文楷体"/>
          <w:color w:val="auto"/>
          <w:position w:val="-1"/>
          <w:sz w:val="24"/>
          <w:szCs w:val="24"/>
          <w:highlight w:val="none"/>
        </w:rPr>
        <w:t>名</w:t>
      </w:r>
      <w:r>
        <w:rPr>
          <w:rFonts w:hint="eastAsia" w:ascii="宋体" w:hAnsi="宋体" w:cs="华文楷体"/>
          <w:color w:val="auto"/>
          <w:spacing w:val="-2"/>
          <w:position w:val="-1"/>
          <w:sz w:val="24"/>
          <w:szCs w:val="24"/>
          <w:highlight w:val="none"/>
        </w:rPr>
        <w:t>称</w:t>
      </w:r>
      <w:r>
        <w:rPr>
          <w:rFonts w:hint="eastAsia" w:ascii="宋体" w:hAnsi="宋体" w:cs="华文楷体"/>
          <w:color w:val="auto"/>
          <w:position w:val="-1"/>
          <w:sz w:val="24"/>
          <w:szCs w:val="24"/>
          <w:highlight w:val="none"/>
        </w:rPr>
        <w:t>）</w:t>
      </w:r>
      <w:r>
        <w:rPr>
          <w:rFonts w:hint="eastAsia" w:ascii="宋体" w:hAnsi="宋体" w:cs="华文楷体"/>
          <w:color w:val="auto"/>
          <w:spacing w:val="-3"/>
          <w:position w:val="-1"/>
          <w:sz w:val="24"/>
          <w:szCs w:val="24"/>
          <w:highlight w:val="none"/>
        </w:rPr>
        <w:t>为</w:t>
      </w:r>
      <w:r>
        <w:rPr>
          <w:rFonts w:hint="eastAsia" w:ascii="宋体" w:hAnsi="宋体" w:cs="华文楷体"/>
          <w:color w:val="auto"/>
          <w:position w:val="-1"/>
          <w:sz w:val="24"/>
          <w:szCs w:val="24"/>
          <w:highlight w:val="none"/>
          <w:u w:val="single"/>
        </w:rPr>
        <w:t xml:space="preserve"> </w:t>
      </w:r>
      <w:r>
        <w:rPr>
          <w:rFonts w:hint="eastAsia" w:ascii="宋体" w:hAnsi="宋体" w:cs="华文楷体"/>
          <w:color w:val="auto"/>
          <w:spacing w:val="1"/>
          <w:position w:val="-1"/>
          <w:sz w:val="24"/>
          <w:szCs w:val="24"/>
          <w:highlight w:val="none"/>
          <w:u w:val="single"/>
        </w:rPr>
        <w:t xml:space="preserve"> </w:t>
      </w:r>
      <w:r>
        <w:rPr>
          <w:rFonts w:hint="eastAsia" w:ascii="宋体" w:hAnsi="宋体" w:cs="华文楷体"/>
          <w:color w:val="auto"/>
          <w:position w:val="-1"/>
          <w:sz w:val="24"/>
          <w:szCs w:val="24"/>
          <w:highlight w:val="none"/>
          <w:u w:val="single"/>
        </w:rPr>
        <w:tab/>
      </w:r>
      <w:r>
        <w:rPr>
          <w:rFonts w:hint="eastAsia" w:ascii="宋体" w:hAnsi="宋体" w:cs="华文楷体"/>
          <w:color w:val="auto"/>
          <w:spacing w:val="-2"/>
          <w:position w:val="-1"/>
          <w:sz w:val="24"/>
          <w:szCs w:val="24"/>
          <w:highlight w:val="none"/>
        </w:rPr>
        <w:t>（</w:t>
      </w:r>
      <w:r>
        <w:rPr>
          <w:rFonts w:hint="eastAsia" w:ascii="宋体" w:hAnsi="宋体" w:cs="华文楷体"/>
          <w:color w:val="auto"/>
          <w:position w:val="-1"/>
          <w:sz w:val="24"/>
          <w:szCs w:val="24"/>
          <w:highlight w:val="none"/>
        </w:rPr>
        <w:t>联</w:t>
      </w:r>
      <w:r>
        <w:rPr>
          <w:rFonts w:hint="eastAsia" w:ascii="宋体" w:hAnsi="宋体" w:cs="华文楷体"/>
          <w:color w:val="auto"/>
          <w:spacing w:val="-2"/>
          <w:position w:val="-1"/>
          <w:sz w:val="24"/>
          <w:szCs w:val="24"/>
          <w:highlight w:val="none"/>
        </w:rPr>
        <w:t>合</w:t>
      </w:r>
      <w:r>
        <w:rPr>
          <w:rFonts w:hint="eastAsia" w:ascii="宋体" w:hAnsi="宋体" w:cs="华文楷体"/>
          <w:color w:val="auto"/>
          <w:position w:val="-1"/>
          <w:sz w:val="24"/>
          <w:szCs w:val="24"/>
          <w:highlight w:val="none"/>
        </w:rPr>
        <w:t>体</w:t>
      </w:r>
      <w:r>
        <w:rPr>
          <w:rFonts w:hint="eastAsia" w:ascii="宋体" w:hAnsi="宋体" w:cs="华文楷体"/>
          <w:color w:val="auto"/>
          <w:spacing w:val="-2"/>
          <w:position w:val="-1"/>
          <w:sz w:val="24"/>
          <w:szCs w:val="24"/>
          <w:highlight w:val="none"/>
        </w:rPr>
        <w:t>名</w:t>
      </w:r>
      <w:r>
        <w:rPr>
          <w:rFonts w:hint="eastAsia" w:ascii="宋体" w:hAnsi="宋体" w:cs="华文楷体"/>
          <w:color w:val="auto"/>
          <w:position w:val="-1"/>
          <w:sz w:val="24"/>
          <w:szCs w:val="24"/>
          <w:highlight w:val="none"/>
        </w:rPr>
        <w:t>称</w:t>
      </w:r>
      <w:r>
        <w:rPr>
          <w:rFonts w:hint="eastAsia" w:ascii="宋体" w:hAnsi="宋体" w:cs="华文楷体"/>
          <w:color w:val="auto"/>
          <w:spacing w:val="-2"/>
          <w:position w:val="-1"/>
          <w:sz w:val="24"/>
          <w:szCs w:val="24"/>
          <w:highlight w:val="none"/>
        </w:rPr>
        <w:t>）</w:t>
      </w:r>
      <w:r>
        <w:rPr>
          <w:rFonts w:hint="eastAsia" w:ascii="宋体" w:hAnsi="宋体" w:cs="华文楷体"/>
          <w:color w:val="auto"/>
          <w:position w:val="-1"/>
          <w:sz w:val="24"/>
          <w:szCs w:val="24"/>
          <w:highlight w:val="none"/>
        </w:rPr>
        <w:t>牵</w:t>
      </w:r>
      <w:r>
        <w:rPr>
          <w:rFonts w:hint="eastAsia" w:ascii="宋体" w:hAnsi="宋体" w:cs="华文楷体"/>
          <w:color w:val="auto"/>
          <w:spacing w:val="-2"/>
          <w:position w:val="-1"/>
          <w:sz w:val="24"/>
          <w:szCs w:val="24"/>
          <w:highlight w:val="none"/>
        </w:rPr>
        <w:t>头人</w:t>
      </w:r>
      <w:r>
        <w:rPr>
          <w:rFonts w:hint="eastAsia" w:ascii="宋体" w:hAnsi="宋体" w:cs="华文楷体"/>
          <w:color w:val="auto"/>
          <w:position w:val="-1"/>
          <w:sz w:val="24"/>
          <w:szCs w:val="24"/>
          <w:highlight w:val="none"/>
        </w:rPr>
        <w:t>。</w:t>
      </w:r>
    </w:p>
    <w:p w14:paraId="77A09ED3">
      <w:pPr>
        <w:spacing w:before="78" w:line="360" w:lineRule="auto"/>
        <w:ind w:firstLine="480" w:firstLineChars="200"/>
        <w:jc w:val="left"/>
        <w:rPr>
          <w:rFonts w:ascii="宋体" w:hAnsi="宋体" w:cs="华文楷体"/>
          <w:color w:val="auto"/>
          <w:sz w:val="24"/>
          <w:szCs w:val="24"/>
          <w:highlight w:val="none"/>
        </w:rPr>
      </w:pPr>
      <w:r>
        <w:rPr>
          <w:rFonts w:hint="eastAsia" w:ascii="宋体" w:hAnsi="宋体" w:cs="华文楷体"/>
          <w:color w:val="auto"/>
          <w:sz w:val="24"/>
          <w:szCs w:val="24"/>
          <w:highlight w:val="none"/>
        </w:rPr>
        <w:t xml:space="preserve">2. </w:t>
      </w:r>
      <w:r>
        <w:rPr>
          <w:rFonts w:hint="eastAsia" w:ascii="宋体" w:hAnsi="宋体" w:cs="华文楷体"/>
          <w:color w:val="auto"/>
          <w:spacing w:val="-2"/>
          <w:sz w:val="24"/>
          <w:szCs w:val="24"/>
          <w:highlight w:val="none"/>
        </w:rPr>
        <w:t>联</w:t>
      </w:r>
      <w:r>
        <w:rPr>
          <w:rFonts w:hint="eastAsia" w:ascii="宋体" w:hAnsi="宋体" w:cs="华文楷体"/>
          <w:color w:val="auto"/>
          <w:sz w:val="24"/>
          <w:szCs w:val="24"/>
          <w:highlight w:val="none"/>
        </w:rPr>
        <w:t>合</w:t>
      </w:r>
      <w:r>
        <w:rPr>
          <w:rFonts w:hint="eastAsia" w:ascii="宋体" w:hAnsi="宋体" w:cs="华文楷体"/>
          <w:color w:val="auto"/>
          <w:spacing w:val="-2"/>
          <w:sz w:val="24"/>
          <w:szCs w:val="24"/>
          <w:highlight w:val="none"/>
        </w:rPr>
        <w:t>体</w:t>
      </w:r>
      <w:r>
        <w:rPr>
          <w:rFonts w:hint="eastAsia" w:ascii="宋体" w:hAnsi="宋体" w:cs="华文楷体"/>
          <w:color w:val="auto"/>
          <w:sz w:val="24"/>
          <w:szCs w:val="24"/>
          <w:highlight w:val="none"/>
        </w:rPr>
        <w:t>各</w:t>
      </w:r>
      <w:r>
        <w:rPr>
          <w:rFonts w:hint="eastAsia" w:ascii="宋体" w:hAnsi="宋体" w:cs="华文楷体"/>
          <w:color w:val="auto"/>
          <w:spacing w:val="-2"/>
          <w:sz w:val="24"/>
          <w:szCs w:val="24"/>
          <w:highlight w:val="none"/>
        </w:rPr>
        <w:t>成</w:t>
      </w:r>
      <w:r>
        <w:rPr>
          <w:rFonts w:hint="eastAsia" w:ascii="宋体" w:hAnsi="宋体" w:cs="华文楷体"/>
          <w:color w:val="auto"/>
          <w:sz w:val="24"/>
          <w:szCs w:val="24"/>
          <w:highlight w:val="none"/>
        </w:rPr>
        <w:t>员</w:t>
      </w:r>
      <w:r>
        <w:rPr>
          <w:rFonts w:hint="eastAsia" w:ascii="宋体" w:hAnsi="宋体" w:cs="华文楷体"/>
          <w:color w:val="auto"/>
          <w:spacing w:val="-2"/>
          <w:sz w:val="24"/>
          <w:szCs w:val="24"/>
          <w:highlight w:val="none"/>
        </w:rPr>
        <w:t>授</w:t>
      </w:r>
      <w:r>
        <w:rPr>
          <w:rFonts w:hint="eastAsia" w:ascii="宋体" w:hAnsi="宋体" w:cs="华文楷体"/>
          <w:color w:val="auto"/>
          <w:sz w:val="24"/>
          <w:szCs w:val="24"/>
          <w:highlight w:val="none"/>
        </w:rPr>
        <w:t>权</w:t>
      </w:r>
      <w:r>
        <w:rPr>
          <w:rFonts w:hint="eastAsia" w:ascii="宋体" w:hAnsi="宋体" w:cs="华文楷体"/>
          <w:color w:val="auto"/>
          <w:spacing w:val="-2"/>
          <w:sz w:val="24"/>
          <w:szCs w:val="24"/>
          <w:highlight w:val="none"/>
        </w:rPr>
        <w:t>牵头</w:t>
      </w:r>
      <w:r>
        <w:rPr>
          <w:rFonts w:hint="eastAsia" w:ascii="宋体" w:hAnsi="宋体" w:cs="华文楷体"/>
          <w:color w:val="auto"/>
          <w:sz w:val="24"/>
          <w:szCs w:val="24"/>
          <w:highlight w:val="none"/>
        </w:rPr>
        <w:t>人（即主办方）代</w:t>
      </w:r>
      <w:r>
        <w:rPr>
          <w:rFonts w:hint="eastAsia" w:ascii="宋体" w:hAnsi="宋体" w:cs="华文楷体"/>
          <w:color w:val="auto"/>
          <w:spacing w:val="-2"/>
          <w:sz w:val="24"/>
          <w:szCs w:val="24"/>
          <w:highlight w:val="none"/>
        </w:rPr>
        <w:t>表</w:t>
      </w:r>
      <w:r>
        <w:rPr>
          <w:rFonts w:hint="eastAsia" w:ascii="宋体" w:hAnsi="宋体" w:cs="华文楷体"/>
          <w:color w:val="auto"/>
          <w:sz w:val="24"/>
          <w:szCs w:val="24"/>
          <w:highlight w:val="none"/>
        </w:rPr>
        <w:t>联</w:t>
      </w:r>
      <w:r>
        <w:rPr>
          <w:rFonts w:hint="eastAsia" w:ascii="宋体" w:hAnsi="宋体" w:cs="华文楷体"/>
          <w:color w:val="auto"/>
          <w:spacing w:val="-2"/>
          <w:sz w:val="24"/>
          <w:szCs w:val="24"/>
          <w:highlight w:val="none"/>
        </w:rPr>
        <w:t>合</w:t>
      </w:r>
      <w:r>
        <w:rPr>
          <w:rFonts w:hint="eastAsia" w:ascii="宋体" w:hAnsi="宋体" w:cs="华文楷体"/>
          <w:color w:val="auto"/>
          <w:sz w:val="24"/>
          <w:szCs w:val="24"/>
          <w:highlight w:val="none"/>
        </w:rPr>
        <w:t>体</w:t>
      </w:r>
      <w:r>
        <w:rPr>
          <w:rFonts w:hint="eastAsia" w:ascii="宋体" w:hAnsi="宋体" w:cs="华文楷体"/>
          <w:color w:val="auto"/>
          <w:spacing w:val="-2"/>
          <w:sz w:val="24"/>
          <w:szCs w:val="24"/>
          <w:highlight w:val="none"/>
        </w:rPr>
        <w:t>参</w:t>
      </w:r>
      <w:r>
        <w:rPr>
          <w:rFonts w:hint="eastAsia" w:ascii="宋体" w:hAnsi="宋体" w:cs="华文楷体"/>
          <w:color w:val="auto"/>
          <w:sz w:val="24"/>
          <w:szCs w:val="24"/>
          <w:highlight w:val="none"/>
        </w:rPr>
        <w:t>加</w:t>
      </w:r>
      <w:r>
        <w:rPr>
          <w:rFonts w:hint="eastAsia" w:ascii="宋体" w:hAnsi="宋体" w:cs="华文楷体"/>
          <w:color w:val="auto"/>
          <w:spacing w:val="-2"/>
          <w:sz w:val="24"/>
          <w:szCs w:val="24"/>
          <w:highlight w:val="none"/>
        </w:rPr>
        <w:t>投</w:t>
      </w:r>
      <w:r>
        <w:rPr>
          <w:rFonts w:hint="eastAsia" w:ascii="宋体" w:hAnsi="宋体" w:cs="华文楷体"/>
          <w:color w:val="auto"/>
          <w:sz w:val="24"/>
          <w:szCs w:val="24"/>
          <w:highlight w:val="none"/>
        </w:rPr>
        <w:t>标</w:t>
      </w:r>
      <w:r>
        <w:rPr>
          <w:rFonts w:hint="eastAsia" w:ascii="宋体" w:hAnsi="宋体" w:cs="华文楷体"/>
          <w:color w:val="auto"/>
          <w:spacing w:val="-2"/>
          <w:sz w:val="24"/>
          <w:szCs w:val="24"/>
          <w:highlight w:val="none"/>
        </w:rPr>
        <w:t>活</w:t>
      </w:r>
      <w:r>
        <w:rPr>
          <w:rFonts w:hint="eastAsia" w:ascii="宋体" w:hAnsi="宋体" w:cs="华文楷体"/>
          <w:color w:val="auto"/>
          <w:sz w:val="24"/>
          <w:szCs w:val="24"/>
          <w:highlight w:val="none"/>
        </w:rPr>
        <w:t>动</w:t>
      </w:r>
      <w:r>
        <w:rPr>
          <w:rFonts w:hint="eastAsia" w:ascii="宋体" w:hAnsi="宋体" w:cs="华文楷体"/>
          <w:color w:val="auto"/>
          <w:spacing w:val="-65"/>
          <w:sz w:val="24"/>
          <w:szCs w:val="24"/>
          <w:highlight w:val="none"/>
        </w:rPr>
        <w:t>，</w:t>
      </w:r>
      <w:r>
        <w:rPr>
          <w:rFonts w:hint="eastAsia" w:ascii="宋体" w:hAnsi="宋体" w:cs="华文楷体"/>
          <w:color w:val="auto"/>
          <w:spacing w:val="-2"/>
          <w:sz w:val="24"/>
          <w:szCs w:val="24"/>
          <w:highlight w:val="none"/>
        </w:rPr>
        <w:t>签</w:t>
      </w:r>
      <w:r>
        <w:rPr>
          <w:rFonts w:hint="eastAsia" w:ascii="宋体" w:hAnsi="宋体" w:cs="华文楷体"/>
          <w:color w:val="auto"/>
          <w:sz w:val="24"/>
          <w:szCs w:val="24"/>
          <w:highlight w:val="none"/>
        </w:rPr>
        <w:t>署</w:t>
      </w:r>
      <w:r>
        <w:rPr>
          <w:rFonts w:hint="eastAsia" w:ascii="宋体" w:hAnsi="宋体" w:cs="华文楷体"/>
          <w:color w:val="auto"/>
          <w:spacing w:val="-2"/>
          <w:sz w:val="24"/>
          <w:szCs w:val="24"/>
          <w:highlight w:val="none"/>
        </w:rPr>
        <w:t>文</w:t>
      </w:r>
      <w:r>
        <w:rPr>
          <w:rFonts w:hint="eastAsia" w:ascii="宋体" w:hAnsi="宋体" w:cs="华文楷体"/>
          <w:color w:val="auto"/>
          <w:sz w:val="24"/>
          <w:szCs w:val="24"/>
          <w:highlight w:val="none"/>
        </w:rPr>
        <w:t>件</w:t>
      </w:r>
      <w:r>
        <w:rPr>
          <w:rFonts w:hint="eastAsia" w:ascii="宋体" w:hAnsi="宋体" w:cs="华文楷体"/>
          <w:color w:val="auto"/>
          <w:spacing w:val="-65"/>
          <w:sz w:val="24"/>
          <w:szCs w:val="24"/>
          <w:highlight w:val="none"/>
        </w:rPr>
        <w:t>，</w:t>
      </w:r>
      <w:r>
        <w:rPr>
          <w:rFonts w:hint="eastAsia" w:ascii="宋体" w:hAnsi="宋体" w:cs="华文楷体"/>
          <w:color w:val="auto"/>
          <w:spacing w:val="-2"/>
          <w:sz w:val="24"/>
          <w:szCs w:val="24"/>
          <w:highlight w:val="none"/>
        </w:rPr>
        <w:t>提</w:t>
      </w:r>
      <w:r>
        <w:rPr>
          <w:rFonts w:hint="eastAsia" w:ascii="宋体" w:hAnsi="宋体" w:cs="华文楷体"/>
          <w:color w:val="auto"/>
          <w:sz w:val="24"/>
          <w:szCs w:val="24"/>
          <w:highlight w:val="none"/>
        </w:rPr>
        <w:t>交</w:t>
      </w:r>
      <w:r>
        <w:rPr>
          <w:rFonts w:hint="eastAsia" w:ascii="宋体" w:hAnsi="宋体" w:cs="华文楷体"/>
          <w:color w:val="auto"/>
          <w:spacing w:val="-2"/>
          <w:sz w:val="24"/>
          <w:szCs w:val="24"/>
          <w:highlight w:val="none"/>
        </w:rPr>
        <w:t>和</w:t>
      </w:r>
      <w:r>
        <w:rPr>
          <w:rFonts w:hint="eastAsia" w:ascii="宋体" w:hAnsi="宋体" w:cs="华文楷体"/>
          <w:color w:val="auto"/>
          <w:sz w:val="24"/>
          <w:szCs w:val="24"/>
          <w:highlight w:val="none"/>
        </w:rPr>
        <w:t>接</w:t>
      </w:r>
      <w:r>
        <w:rPr>
          <w:rFonts w:hint="eastAsia" w:ascii="宋体" w:hAnsi="宋体" w:cs="华文楷体"/>
          <w:color w:val="auto"/>
          <w:spacing w:val="-2"/>
          <w:sz w:val="24"/>
          <w:szCs w:val="24"/>
          <w:highlight w:val="none"/>
        </w:rPr>
        <w:t>收</w:t>
      </w:r>
      <w:r>
        <w:rPr>
          <w:rFonts w:hint="eastAsia" w:ascii="宋体" w:hAnsi="宋体" w:cs="华文楷体"/>
          <w:color w:val="auto"/>
          <w:sz w:val="24"/>
          <w:szCs w:val="24"/>
          <w:highlight w:val="none"/>
        </w:rPr>
        <w:t>相关</w:t>
      </w:r>
      <w:r>
        <w:rPr>
          <w:rFonts w:hint="eastAsia" w:ascii="宋体" w:hAnsi="宋体" w:cs="华文楷体"/>
          <w:color w:val="auto"/>
          <w:spacing w:val="-2"/>
          <w:sz w:val="24"/>
          <w:szCs w:val="24"/>
          <w:highlight w:val="none"/>
        </w:rPr>
        <w:t>的</w:t>
      </w:r>
      <w:r>
        <w:rPr>
          <w:rFonts w:hint="eastAsia" w:ascii="宋体" w:hAnsi="宋体" w:cs="华文楷体"/>
          <w:color w:val="auto"/>
          <w:sz w:val="24"/>
          <w:szCs w:val="24"/>
          <w:highlight w:val="none"/>
        </w:rPr>
        <w:t>资</w:t>
      </w:r>
      <w:r>
        <w:rPr>
          <w:rFonts w:hint="eastAsia" w:ascii="宋体" w:hAnsi="宋体" w:cs="华文楷体"/>
          <w:color w:val="auto"/>
          <w:spacing w:val="-2"/>
          <w:sz w:val="24"/>
          <w:szCs w:val="24"/>
          <w:highlight w:val="none"/>
        </w:rPr>
        <w:t>料</w:t>
      </w:r>
      <w:r>
        <w:rPr>
          <w:rFonts w:hint="eastAsia" w:ascii="宋体" w:hAnsi="宋体" w:cs="华文楷体"/>
          <w:color w:val="auto"/>
          <w:sz w:val="24"/>
          <w:szCs w:val="24"/>
          <w:highlight w:val="none"/>
        </w:rPr>
        <w:t>、信息及指示，进</w:t>
      </w:r>
      <w:r>
        <w:rPr>
          <w:rFonts w:hint="eastAsia" w:ascii="宋体" w:hAnsi="宋体" w:cs="华文楷体"/>
          <w:color w:val="auto"/>
          <w:spacing w:val="-2"/>
          <w:sz w:val="24"/>
          <w:szCs w:val="24"/>
          <w:highlight w:val="none"/>
        </w:rPr>
        <w:t>行</w:t>
      </w:r>
      <w:r>
        <w:rPr>
          <w:rFonts w:hint="eastAsia" w:ascii="宋体" w:hAnsi="宋体" w:cs="华文楷体"/>
          <w:color w:val="auto"/>
          <w:sz w:val="24"/>
          <w:szCs w:val="24"/>
          <w:highlight w:val="none"/>
        </w:rPr>
        <w:t>合同</w:t>
      </w:r>
      <w:r>
        <w:rPr>
          <w:rFonts w:hint="eastAsia" w:ascii="宋体" w:hAnsi="宋体" w:cs="华文楷体"/>
          <w:color w:val="auto"/>
          <w:spacing w:val="-2"/>
          <w:sz w:val="24"/>
          <w:szCs w:val="24"/>
          <w:highlight w:val="none"/>
        </w:rPr>
        <w:t>谈</w:t>
      </w:r>
      <w:r>
        <w:rPr>
          <w:rFonts w:hint="eastAsia" w:ascii="宋体" w:hAnsi="宋体" w:cs="华文楷体"/>
          <w:color w:val="auto"/>
          <w:sz w:val="24"/>
          <w:szCs w:val="24"/>
          <w:highlight w:val="none"/>
        </w:rPr>
        <w:t>判活动，负责合</w:t>
      </w:r>
      <w:r>
        <w:rPr>
          <w:rFonts w:hint="eastAsia" w:ascii="宋体" w:hAnsi="宋体" w:cs="华文楷体"/>
          <w:color w:val="auto"/>
          <w:spacing w:val="-2"/>
          <w:sz w:val="24"/>
          <w:szCs w:val="24"/>
          <w:highlight w:val="none"/>
        </w:rPr>
        <w:t>同</w:t>
      </w:r>
      <w:r>
        <w:rPr>
          <w:rFonts w:hint="eastAsia" w:ascii="宋体" w:hAnsi="宋体" w:cs="华文楷体"/>
          <w:color w:val="auto"/>
          <w:sz w:val="24"/>
          <w:szCs w:val="24"/>
          <w:highlight w:val="none"/>
        </w:rPr>
        <w:t>实施</w:t>
      </w:r>
      <w:r>
        <w:rPr>
          <w:rFonts w:hint="eastAsia" w:ascii="宋体" w:hAnsi="宋体" w:cs="华文楷体"/>
          <w:color w:val="auto"/>
          <w:spacing w:val="-2"/>
          <w:sz w:val="24"/>
          <w:szCs w:val="24"/>
          <w:highlight w:val="none"/>
        </w:rPr>
        <w:t>阶</w:t>
      </w:r>
      <w:r>
        <w:rPr>
          <w:rFonts w:hint="eastAsia" w:ascii="宋体" w:hAnsi="宋体" w:cs="华文楷体"/>
          <w:color w:val="auto"/>
          <w:sz w:val="24"/>
          <w:szCs w:val="24"/>
          <w:highlight w:val="none"/>
        </w:rPr>
        <w:t>段的组织和协调</w:t>
      </w:r>
      <w:r>
        <w:rPr>
          <w:rFonts w:hint="eastAsia" w:ascii="宋体" w:hAnsi="宋体" w:cs="华文楷体"/>
          <w:color w:val="auto"/>
          <w:spacing w:val="-2"/>
          <w:sz w:val="24"/>
          <w:szCs w:val="24"/>
          <w:highlight w:val="none"/>
        </w:rPr>
        <w:t>工</w:t>
      </w:r>
      <w:r>
        <w:rPr>
          <w:rFonts w:hint="eastAsia" w:ascii="宋体" w:hAnsi="宋体" w:cs="华文楷体"/>
          <w:color w:val="auto"/>
          <w:sz w:val="24"/>
          <w:szCs w:val="24"/>
          <w:highlight w:val="none"/>
        </w:rPr>
        <w:t>作，</w:t>
      </w:r>
      <w:r>
        <w:rPr>
          <w:rFonts w:hint="eastAsia" w:ascii="宋体" w:hAnsi="宋体" w:cs="华文楷体"/>
          <w:color w:val="auto"/>
          <w:spacing w:val="-2"/>
          <w:sz w:val="24"/>
          <w:szCs w:val="24"/>
          <w:highlight w:val="none"/>
        </w:rPr>
        <w:t>以</w:t>
      </w:r>
      <w:r>
        <w:rPr>
          <w:rFonts w:hint="eastAsia" w:ascii="宋体" w:hAnsi="宋体" w:cs="华文楷体"/>
          <w:color w:val="auto"/>
          <w:sz w:val="24"/>
          <w:szCs w:val="24"/>
          <w:highlight w:val="none"/>
        </w:rPr>
        <w:t>及处理与本招</w:t>
      </w:r>
      <w:r>
        <w:rPr>
          <w:rFonts w:hint="eastAsia" w:ascii="宋体" w:hAnsi="宋体" w:cs="华文楷体"/>
          <w:color w:val="auto"/>
          <w:spacing w:val="-2"/>
          <w:sz w:val="24"/>
          <w:szCs w:val="24"/>
          <w:highlight w:val="none"/>
        </w:rPr>
        <w:t>标</w:t>
      </w:r>
      <w:r>
        <w:rPr>
          <w:rFonts w:hint="eastAsia" w:ascii="宋体" w:hAnsi="宋体" w:cs="华文楷体"/>
          <w:color w:val="auto"/>
          <w:sz w:val="24"/>
          <w:szCs w:val="24"/>
          <w:highlight w:val="none"/>
        </w:rPr>
        <w:t>项目有</w:t>
      </w:r>
      <w:r>
        <w:rPr>
          <w:rFonts w:hint="eastAsia" w:ascii="宋体" w:hAnsi="宋体" w:cs="华文楷体"/>
          <w:color w:val="auto"/>
          <w:spacing w:val="-2"/>
          <w:sz w:val="24"/>
          <w:szCs w:val="24"/>
          <w:highlight w:val="none"/>
        </w:rPr>
        <w:t>关</w:t>
      </w:r>
      <w:r>
        <w:rPr>
          <w:rFonts w:hint="eastAsia" w:ascii="宋体" w:hAnsi="宋体" w:cs="华文楷体"/>
          <w:color w:val="auto"/>
          <w:sz w:val="24"/>
          <w:szCs w:val="24"/>
          <w:highlight w:val="none"/>
        </w:rPr>
        <w:t>的</w:t>
      </w:r>
      <w:r>
        <w:rPr>
          <w:rFonts w:hint="eastAsia" w:ascii="宋体" w:hAnsi="宋体" w:cs="华文楷体"/>
          <w:color w:val="auto"/>
          <w:spacing w:val="-2"/>
          <w:sz w:val="24"/>
          <w:szCs w:val="24"/>
          <w:highlight w:val="none"/>
        </w:rPr>
        <w:t>一</w:t>
      </w:r>
      <w:r>
        <w:rPr>
          <w:rFonts w:hint="eastAsia" w:ascii="宋体" w:hAnsi="宋体" w:cs="华文楷体"/>
          <w:color w:val="auto"/>
          <w:sz w:val="24"/>
          <w:szCs w:val="24"/>
          <w:highlight w:val="none"/>
        </w:rPr>
        <w:t>切</w:t>
      </w:r>
      <w:r>
        <w:rPr>
          <w:rFonts w:hint="eastAsia" w:ascii="宋体" w:hAnsi="宋体" w:cs="华文楷体"/>
          <w:color w:val="auto"/>
          <w:spacing w:val="-2"/>
          <w:sz w:val="24"/>
          <w:szCs w:val="24"/>
          <w:highlight w:val="none"/>
        </w:rPr>
        <w:t>事</w:t>
      </w:r>
      <w:r>
        <w:rPr>
          <w:rFonts w:hint="eastAsia" w:ascii="宋体" w:hAnsi="宋体" w:cs="华文楷体"/>
          <w:color w:val="auto"/>
          <w:sz w:val="24"/>
          <w:szCs w:val="24"/>
          <w:highlight w:val="none"/>
        </w:rPr>
        <w:t>宜。</w:t>
      </w:r>
    </w:p>
    <w:p w14:paraId="0B87178F">
      <w:pPr>
        <w:spacing w:before="16" w:line="360" w:lineRule="auto"/>
        <w:ind w:firstLine="480" w:firstLineChars="200"/>
        <w:jc w:val="left"/>
        <w:rPr>
          <w:rFonts w:ascii="宋体" w:hAnsi="宋体" w:cs="华文楷体"/>
          <w:color w:val="auto"/>
          <w:sz w:val="24"/>
          <w:szCs w:val="24"/>
          <w:highlight w:val="none"/>
        </w:rPr>
      </w:pPr>
      <w:r>
        <w:rPr>
          <w:rFonts w:hint="eastAsia" w:ascii="宋体" w:hAnsi="宋体" w:cs="华文楷体"/>
          <w:color w:val="auto"/>
          <w:sz w:val="24"/>
          <w:szCs w:val="24"/>
          <w:highlight w:val="none"/>
        </w:rPr>
        <w:t xml:space="preserve">3. </w:t>
      </w:r>
      <w:r>
        <w:rPr>
          <w:rFonts w:hint="eastAsia" w:ascii="宋体" w:hAnsi="宋体" w:cs="华文楷体"/>
          <w:color w:val="auto"/>
          <w:spacing w:val="-2"/>
          <w:sz w:val="24"/>
          <w:szCs w:val="24"/>
          <w:highlight w:val="none"/>
        </w:rPr>
        <w:t>联</w:t>
      </w:r>
      <w:r>
        <w:rPr>
          <w:rFonts w:hint="eastAsia" w:ascii="宋体" w:hAnsi="宋体" w:cs="华文楷体"/>
          <w:color w:val="auto"/>
          <w:sz w:val="24"/>
          <w:szCs w:val="24"/>
          <w:highlight w:val="none"/>
        </w:rPr>
        <w:t>合</w:t>
      </w:r>
      <w:r>
        <w:rPr>
          <w:rFonts w:hint="eastAsia" w:ascii="宋体" w:hAnsi="宋体" w:cs="华文楷体"/>
          <w:color w:val="auto"/>
          <w:spacing w:val="-2"/>
          <w:sz w:val="24"/>
          <w:szCs w:val="24"/>
          <w:highlight w:val="none"/>
        </w:rPr>
        <w:t>体</w:t>
      </w:r>
      <w:r>
        <w:rPr>
          <w:rFonts w:hint="eastAsia" w:ascii="宋体" w:hAnsi="宋体" w:cs="华文楷体"/>
          <w:color w:val="auto"/>
          <w:sz w:val="24"/>
          <w:szCs w:val="24"/>
          <w:highlight w:val="none"/>
        </w:rPr>
        <w:t>牵</w:t>
      </w:r>
      <w:r>
        <w:rPr>
          <w:rFonts w:hint="eastAsia" w:ascii="宋体" w:hAnsi="宋体" w:cs="华文楷体"/>
          <w:color w:val="auto"/>
          <w:spacing w:val="-2"/>
          <w:sz w:val="24"/>
          <w:szCs w:val="24"/>
          <w:highlight w:val="none"/>
        </w:rPr>
        <w:t>头</w:t>
      </w:r>
      <w:r>
        <w:rPr>
          <w:rFonts w:hint="eastAsia" w:ascii="宋体" w:hAnsi="宋体" w:cs="华文楷体"/>
          <w:color w:val="auto"/>
          <w:sz w:val="24"/>
          <w:szCs w:val="24"/>
          <w:highlight w:val="none"/>
        </w:rPr>
        <w:t>人</w:t>
      </w:r>
      <w:r>
        <w:rPr>
          <w:rFonts w:hint="eastAsia" w:ascii="宋体" w:hAnsi="宋体" w:cs="华文楷体"/>
          <w:color w:val="auto"/>
          <w:spacing w:val="-2"/>
          <w:sz w:val="24"/>
          <w:szCs w:val="24"/>
          <w:highlight w:val="none"/>
        </w:rPr>
        <w:t>在</w:t>
      </w:r>
      <w:r>
        <w:rPr>
          <w:rFonts w:hint="eastAsia" w:ascii="宋体" w:hAnsi="宋体" w:cs="华文楷体"/>
          <w:color w:val="auto"/>
          <w:sz w:val="24"/>
          <w:szCs w:val="24"/>
          <w:highlight w:val="none"/>
        </w:rPr>
        <w:t>本</w:t>
      </w:r>
      <w:r>
        <w:rPr>
          <w:rFonts w:hint="eastAsia" w:ascii="宋体" w:hAnsi="宋体" w:cs="华文楷体"/>
          <w:color w:val="auto"/>
          <w:spacing w:val="-2"/>
          <w:sz w:val="24"/>
          <w:szCs w:val="24"/>
          <w:highlight w:val="none"/>
        </w:rPr>
        <w:t>项目</w:t>
      </w:r>
      <w:r>
        <w:rPr>
          <w:rFonts w:hint="eastAsia" w:ascii="宋体" w:hAnsi="宋体" w:cs="华文楷体"/>
          <w:color w:val="auto"/>
          <w:sz w:val="24"/>
          <w:szCs w:val="24"/>
          <w:highlight w:val="none"/>
        </w:rPr>
        <w:t>中签</w:t>
      </w:r>
      <w:r>
        <w:rPr>
          <w:rFonts w:hint="eastAsia" w:ascii="宋体" w:hAnsi="宋体" w:cs="华文楷体"/>
          <w:color w:val="auto"/>
          <w:spacing w:val="-2"/>
          <w:sz w:val="24"/>
          <w:szCs w:val="24"/>
          <w:highlight w:val="none"/>
        </w:rPr>
        <w:t>署</w:t>
      </w:r>
      <w:r>
        <w:rPr>
          <w:rFonts w:hint="eastAsia" w:ascii="宋体" w:hAnsi="宋体" w:cs="华文楷体"/>
          <w:color w:val="auto"/>
          <w:sz w:val="24"/>
          <w:szCs w:val="24"/>
          <w:highlight w:val="none"/>
        </w:rPr>
        <w:t>的</w:t>
      </w:r>
      <w:r>
        <w:rPr>
          <w:rFonts w:hint="eastAsia" w:ascii="宋体" w:hAnsi="宋体" w:cs="华文楷体"/>
          <w:color w:val="auto"/>
          <w:spacing w:val="-2"/>
          <w:sz w:val="24"/>
          <w:szCs w:val="24"/>
          <w:highlight w:val="none"/>
        </w:rPr>
        <w:t>一</w:t>
      </w:r>
      <w:r>
        <w:rPr>
          <w:rFonts w:hint="eastAsia" w:ascii="宋体" w:hAnsi="宋体" w:cs="华文楷体"/>
          <w:color w:val="auto"/>
          <w:sz w:val="24"/>
          <w:szCs w:val="24"/>
          <w:highlight w:val="none"/>
        </w:rPr>
        <w:t>切</w:t>
      </w:r>
      <w:r>
        <w:rPr>
          <w:rFonts w:hint="eastAsia" w:ascii="宋体" w:hAnsi="宋体" w:cs="华文楷体"/>
          <w:color w:val="auto"/>
          <w:spacing w:val="-2"/>
          <w:sz w:val="24"/>
          <w:szCs w:val="24"/>
          <w:highlight w:val="none"/>
        </w:rPr>
        <w:t>文</w:t>
      </w:r>
      <w:r>
        <w:rPr>
          <w:rFonts w:hint="eastAsia" w:ascii="宋体" w:hAnsi="宋体" w:cs="华文楷体"/>
          <w:color w:val="auto"/>
          <w:sz w:val="24"/>
          <w:szCs w:val="24"/>
          <w:highlight w:val="none"/>
        </w:rPr>
        <w:t>件</w:t>
      </w:r>
      <w:r>
        <w:rPr>
          <w:rFonts w:hint="eastAsia" w:ascii="宋体" w:hAnsi="宋体" w:cs="华文楷体"/>
          <w:color w:val="auto"/>
          <w:spacing w:val="-2"/>
          <w:sz w:val="24"/>
          <w:szCs w:val="24"/>
          <w:highlight w:val="none"/>
        </w:rPr>
        <w:t>和</w:t>
      </w:r>
      <w:r>
        <w:rPr>
          <w:rFonts w:hint="eastAsia" w:ascii="宋体" w:hAnsi="宋体" w:cs="华文楷体"/>
          <w:color w:val="auto"/>
          <w:sz w:val="24"/>
          <w:szCs w:val="24"/>
          <w:highlight w:val="none"/>
        </w:rPr>
        <w:t>处</w:t>
      </w:r>
      <w:r>
        <w:rPr>
          <w:rFonts w:hint="eastAsia" w:ascii="宋体" w:hAnsi="宋体" w:cs="华文楷体"/>
          <w:color w:val="auto"/>
          <w:spacing w:val="-2"/>
          <w:sz w:val="24"/>
          <w:szCs w:val="24"/>
          <w:highlight w:val="none"/>
        </w:rPr>
        <w:t>理</w:t>
      </w:r>
      <w:r>
        <w:rPr>
          <w:rFonts w:hint="eastAsia" w:ascii="宋体" w:hAnsi="宋体" w:cs="华文楷体"/>
          <w:color w:val="auto"/>
          <w:sz w:val="24"/>
          <w:szCs w:val="24"/>
          <w:highlight w:val="none"/>
        </w:rPr>
        <w:t>的一</w:t>
      </w:r>
      <w:r>
        <w:rPr>
          <w:rFonts w:hint="eastAsia" w:ascii="宋体" w:hAnsi="宋体" w:cs="华文楷体"/>
          <w:color w:val="auto"/>
          <w:spacing w:val="-2"/>
          <w:sz w:val="24"/>
          <w:szCs w:val="24"/>
          <w:highlight w:val="none"/>
        </w:rPr>
        <w:t>切</w:t>
      </w:r>
      <w:r>
        <w:rPr>
          <w:rFonts w:hint="eastAsia" w:ascii="宋体" w:hAnsi="宋体" w:cs="华文楷体"/>
          <w:color w:val="auto"/>
          <w:sz w:val="24"/>
          <w:szCs w:val="24"/>
          <w:highlight w:val="none"/>
        </w:rPr>
        <w:t>事</w:t>
      </w:r>
      <w:r>
        <w:rPr>
          <w:rFonts w:hint="eastAsia" w:ascii="宋体" w:hAnsi="宋体" w:cs="华文楷体"/>
          <w:color w:val="auto"/>
          <w:spacing w:val="-2"/>
          <w:sz w:val="24"/>
          <w:szCs w:val="24"/>
          <w:highlight w:val="none"/>
        </w:rPr>
        <w:t>宜</w:t>
      </w:r>
      <w:r>
        <w:rPr>
          <w:rFonts w:hint="eastAsia" w:ascii="宋体" w:hAnsi="宋体" w:cs="华文楷体"/>
          <w:color w:val="auto"/>
          <w:spacing w:val="-24"/>
          <w:sz w:val="24"/>
          <w:szCs w:val="24"/>
          <w:highlight w:val="none"/>
        </w:rPr>
        <w:t>，</w:t>
      </w:r>
      <w:r>
        <w:rPr>
          <w:rFonts w:hint="eastAsia" w:ascii="宋体" w:hAnsi="宋体" w:cs="华文楷体"/>
          <w:color w:val="auto"/>
          <w:sz w:val="24"/>
          <w:szCs w:val="24"/>
          <w:highlight w:val="none"/>
        </w:rPr>
        <w:t>联</w:t>
      </w:r>
      <w:r>
        <w:rPr>
          <w:rFonts w:hint="eastAsia" w:ascii="宋体" w:hAnsi="宋体" w:cs="华文楷体"/>
          <w:color w:val="auto"/>
          <w:spacing w:val="-2"/>
          <w:sz w:val="24"/>
          <w:szCs w:val="24"/>
          <w:highlight w:val="none"/>
        </w:rPr>
        <w:t>合</w:t>
      </w:r>
      <w:r>
        <w:rPr>
          <w:rFonts w:hint="eastAsia" w:ascii="宋体" w:hAnsi="宋体" w:cs="华文楷体"/>
          <w:color w:val="auto"/>
          <w:sz w:val="24"/>
          <w:szCs w:val="24"/>
          <w:highlight w:val="none"/>
        </w:rPr>
        <w:t>体</w:t>
      </w:r>
      <w:r>
        <w:rPr>
          <w:rFonts w:hint="eastAsia" w:ascii="宋体" w:hAnsi="宋体" w:cs="华文楷体"/>
          <w:color w:val="auto"/>
          <w:spacing w:val="-2"/>
          <w:sz w:val="24"/>
          <w:szCs w:val="24"/>
          <w:highlight w:val="none"/>
        </w:rPr>
        <w:t>各成</w:t>
      </w:r>
      <w:r>
        <w:rPr>
          <w:rFonts w:hint="eastAsia" w:ascii="宋体" w:hAnsi="宋体" w:cs="华文楷体"/>
          <w:color w:val="auto"/>
          <w:sz w:val="24"/>
          <w:szCs w:val="24"/>
          <w:highlight w:val="none"/>
        </w:rPr>
        <w:t>员均</w:t>
      </w:r>
      <w:r>
        <w:rPr>
          <w:rFonts w:hint="eastAsia" w:ascii="宋体" w:hAnsi="宋体" w:cs="华文楷体"/>
          <w:color w:val="auto"/>
          <w:spacing w:val="-2"/>
          <w:sz w:val="24"/>
          <w:szCs w:val="24"/>
          <w:highlight w:val="none"/>
        </w:rPr>
        <w:t>予</w:t>
      </w:r>
      <w:r>
        <w:rPr>
          <w:rFonts w:hint="eastAsia" w:ascii="宋体" w:hAnsi="宋体" w:cs="华文楷体"/>
          <w:color w:val="auto"/>
          <w:sz w:val="24"/>
          <w:szCs w:val="24"/>
          <w:highlight w:val="none"/>
        </w:rPr>
        <w:t>以</w:t>
      </w:r>
      <w:r>
        <w:rPr>
          <w:rFonts w:hint="eastAsia" w:ascii="宋体" w:hAnsi="宋体" w:cs="华文楷体"/>
          <w:color w:val="auto"/>
          <w:spacing w:val="-2"/>
          <w:sz w:val="24"/>
          <w:szCs w:val="24"/>
          <w:highlight w:val="none"/>
        </w:rPr>
        <w:t>承</w:t>
      </w:r>
      <w:r>
        <w:rPr>
          <w:rFonts w:hint="eastAsia" w:ascii="宋体" w:hAnsi="宋体" w:cs="华文楷体"/>
          <w:color w:val="auto"/>
          <w:sz w:val="24"/>
          <w:szCs w:val="24"/>
          <w:highlight w:val="none"/>
        </w:rPr>
        <w:t>认。 联合体各成员将</w:t>
      </w:r>
      <w:r>
        <w:rPr>
          <w:rFonts w:hint="eastAsia" w:ascii="宋体" w:hAnsi="宋体" w:cs="华文楷体"/>
          <w:color w:val="auto"/>
          <w:spacing w:val="-2"/>
          <w:sz w:val="24"/>
          <w:szCs w:val="24"/>
          <w:highlight w:val="none"/>
        </w:rPr>
        <w:t>严</w:t>
      </w:r>
      <w:r>
        <w:rPr>
          <w:rFonts w:hint="eastAsia" w:ascii="宋体" w:hAnsi="宋体" w:cs="华文楷体"/>
          <w:color w:val="auto"/>
          <w:sz w:val="24"/>
          <w:szCs w:val="24"/>
          <w:highlight w:val="none"/>
        </w:rPr>
        <w:t>格按</w:t>
      </w:r>
      <w:r>
        <w:rPr>
          <w:rFonts w:hint="eastAsia" w:ascii="宋体" w:hAnsi="宋体" w:cs="华文楷体"/>
          <w:color w:val="auto"/>
          <w:spacing w:val="-2"/>
          <w:sz w:val="24"/>
          <w:szCs w:val="24"/>
          <w:highlight w:val="none"/>
        </w:rPr>
        <w:t>照</w:t>
      </w:r>
      <w:r>
        <w:rPr>
          <w:rFonts w:hint="eastAsia" w:ascii="宋体" w:hAnsi="宋体" w:cs="华文楷体"/>
          <w:color w:val="auto"/>
          <w:sz w:val="24"/>
          <w:szCs w:val="24"/>
          <w:highlight w:val="none"/>
        </w:rPr>
        <w:t>招标文件、投标</w:t>
      </w:r>
      <w:r>
        <w:rPr>
          <w:rFonts w:hint="eastAsia" w:ascii="宋体" w:hAnsi="宋体" w:cs="华文楷体"/>
          <w:color w:val="auto"/>
          <w:spacing w:val="-2"/>
          <w:sz w:val="24"/>
          <w:szCs w:val="24"/>
          <w:highlight w:val="none"/>
        </w:rPr>
        <w:t>文</w:t>
      </w:r>
      <w:r>
        <w:rPr>
          <w:rFonts w:hint="eastAsia" w:ascii="宋体" w:hAnsi="宋体" w:cs="华文楷体"/>
          <w:color w:val="auto"/>
          <w:sz w:val="24"/>
          <w:szCs w:val="24"/>
          <w:highlight w:val="none"/>
        </w:rPr>
        <w:t>件和</w:t>
      </w:r>
      <w:r>
        <w:rPr>
          <w:rFonts w:hint="eastAsia" w:ascii="宋体" w:hAnsi="宋体" w:cs="华文楷体"/>
          <w:color w:val="auto"/>
          <w:spacing w:val="-2"/>
          <w:sz w:val="24"/>
          <w:szCs w:val="24"/>
          <w:highlight w:val="none"/>
        </w:rPr>
        <w:t>合</w:t>
      </w:r>
      <w:r>
        <w:rPr>
          <w:rFonts w:hint="eastAsia" w:ascii="宋体" w:hAnsi="宋体" w:cs="华文楷体"/>
          <w:color w:val="auto"/>
          <w:sz w:val="24"/>
          <w:szCs w:val="24"/>
          <w:highlight w:val="none"/>
        </w:rPr>
        <w:t>同的要求全面履</w:t>
      </w:r>
      <w:r>
        <w:rPr>
          <w:rFonts w:hint="eastAsia" w:ascii="宋体" w:hAnsi="宋体" w:cs="华文楷体"/>
          <w:color w:val="auto"/>
          <w:spacing w:val="-2"/>
          <w:sz w:val="24"/>
          <w:szCs w:val="24"/>
          <w:highlight w:val="none"/>
        </w:rPr>
        <w:t>行</w:t>
      </w:r>
      <w:r>
        <w:rPr>
          <w:rFonts w:hint="eastAsia" w:ascii="宋体" w:hAnsi="宋体" w:cs="华文楷体"/>
          <w:color w:val="auto"/>
          <w:sz w:val="24"/>
          <w:szCs w:val="24"/>
          <w:highlight w:val="none"/>
        </w:rPr>
        <w:t>义务</w:t>
      </w:r>
      <w:r>
        <w:rPr>
          <w:rFonts w:hint="eastAsia" w:ascii="宋体" w:hAnsi="宋体" w:cs="华文楷体"/>
          <w:color w:val="auto"/>
          <w:spacing w:val="-2"/>
          <w:sz w:val="24"/>
          <w:szCs w:val="24"/>
          <w:highlight w:val="none"/>
        </w:rPr>
        <w:t>，</w:t>
      </w:r>
      <w:r>
        <w:rPr>
          <w:rFonts w:hint="eastAsia" w:ascii="宋体" w:hAnsi="宋体" w:cs="华文楷体"/>
          <w:color w:val="auto"/>
          <w:sz w:val="24"/>
          <w:szCs w:val="24"/>
          <w:highlight w:val="none"/>
        </w:rPr>
        <w:t>并向招标人承</w:t>
      </w:r>
      <w:r>
        <w:rPr>
          <w:rFonts w:hint="eastAsia" w:ascii="宋体" w:hAnsi="宋体" w:cs="华文楷体"/>
          <w:color w:val="auto"/>
          <w:spacing w:val="-2"/>
          <w:sz w:val="24"/>
          <w:szCs w:val="24"/>
          <w:highlight w:val="none"/>
        </w:rPr>
        <w:t>担</w:t>
      </w:r>
      <w:r>
        <w:rPr>
          <w:rFonts w:hint="eastAsia" w:ascii="宋体" w:hAnsi="宋体" w:cs="华文楷体"/>
          <w:color w:val="auto"/>
          <w:sz w:val="24"/>
          <w:szCs w:val="24"/>
          <w:highlight w:val="none"/>
        </w:rPr>
        <w:t>连带责</w:t>
      </w:r>
      <w:r>
        <w:rPr>
          <w:rFonts w:hint="eastAsia" w:ascii="宋体" w:hAnsi="宋体" w:cs="华文楷体"/>
          <w:color w:val="auto"/>
          <w:spacing w:val="-2"/>
          <w:sz w:val="24"/>
          <w:szCs w:val="24"/>
          <w:highlight w:val="none"/>
        </w:rPr>
        <w:t>任</w:t>
      </w:r>
      <w:r>
        <w:rPr>
          <w:rFonts w:hint="eastAsia" w:ascii="宋体" w:hAnsi="宋体" w:cs="华文楷体"/>
          <w:color w:val="auto"/>
          <w:sz w:val="24"/>
          <w:szCs w:val="24"/>
          <w:highlight w:val="none"/>
        </w:rPr>
        <w:t>。</w:t>
      </w:r>
    </w:p>
    <w:p w14:paraId="6A8217F4">
      <w:pPr>
        <w:tabs>
          <w:tab w:val="left" w:pos="8740"/>
        </w:tabs>
        <w:spacing w:before="17" w:line="360" w:lineRule="auto"/>
        <w:ind w:firstLine="480" w:firstLineChars="200"/>
        <w:jc w:val="left"/>
        <w:rPr>
          <w:rFonts w:ascii="宋体" w:hAnsi="宋体" w:cs="华文楷体"/>
          <w:color w:val="auto"/>
          <w:sz w:val="24"/>
          <w:szCs w:val="24"/>
          <w:highlight w:val="none"/>
        </w:rPr>
      </w:pPr>
      <w:r>
        <w:rPr>
          <w:rFonts w:hint="eastAsia" w:ascii="宋体" w:hAnsi="宋体" w:cs="华文楷体"/>
          <w:color w:val="auto"/>
          <w:sz w:val="24"/>
          <w:szCs w:val="24"/>
          <w:highlight w:val="none"/>
        </w:rPr>
        <w:t xml:space="preserve">4. </w:t>
      </w:r>
      <w:r>
        <w:rPr>
          <w:rFonts w:hint="eastAsia" w:ascii="宋体" w:hAnsi="宋体" w:cs="华文楷体"/>
          <w:color w:val="auto"/>
          <w:spacing w:val="-2"/>
          <w:sz w:val="24"/>
          <w:szCs w:val="24"/>
          <w:highlight w:val="none"/>
        </w:rPr>
        <w:t>联</w:t>
      </w:r>
      <w:r>
        <w:rPr>
          <w:rFonts w:hint="eastAsia" w:ascii="宋体" w:hAnsi="宋体" w:cs="华文楷体"/>
          <w:color w:val="auto"/>
          <w:sz w:val="24"/>
          <w:szCs w:val="24"/>
          <w:highlight w:val="none"/>
        </w:rPr>
        <w:t>合</w:t>
      </w:r>
      <w:r>
        <w:rPr>
          <w:rFonts w:hint="eastAsia" w:ascii="宋体" w:hAnsi="宋体" w:cs="华文楷体"/>
          <w:color w:val="auto"/>
          <w:spacing w:val="-2"/>
          <w:sz w:val="24"/>
          <w:szCs w:val="24"/>
          <w:highlight w:val="none"/>
        </w:rPr>
        <w:t>体</w:t>
      </w:r>
      <w:r>
        <w:rPr>
          <w:rFonts w:hint="eastAsia" w:ascii="宋体" w:hAnsi="宋体" w:cs="华文楷体"/>
          <w:color w:val="auto"/>
          <w:sz w:val="24"/>
          <w:szCs w:val="24"/>
          <w:highlight w:val="none"/>
        </w:rPr>
        <w:t>各</w:t>
      </w:r>
      <w:r>
        <w:rPr>
          <w:rFonts w:hint="eastAsia" w:ascii="宋体" w:hAnsi="宋体" w:cs="华文楷体"/>
          <w:color w:val="auto"/>
          <w:spacing w:val="-2"/>
          <w:sz w:val="24"/>
          <w:szCs w:val="24"/>
          <w:highlight w:val="none"/>
        </w:rPr>
        <w:t>成</w:t>
      </w:r>
      <w:r>
        <w:rPr>
          <w:rFonts w:hint="eastAsia" w:ascii="宋体" w:hAnsi="宋体" w:cs="华文楷体"/>
          <w:color w:val="auto"/>
          <w:sz w:val="24"/>
          <w:szCs w:val="24"/>
          <w:highlight w:val="none"/>
        </w:rPr>
        <w:t>员</w:t>
      </w:r>
      <w:r>
        <w:rPr>
          <w:rFonts w:hint="eastAsia" w:ascii="宋体" w:hAnsi="宋体" w:cs="华文楷体"/>
          <w:color w:val="auto"/>
          <w:spacing w:val="-2"/>
          <w:sz w:val="24"/>
          <w:szCs w:val="24"/>
          <w:highlight w:val="none"/>
        </w:rPr>
        <w:t>单</w:t>
      </w:r>
      <w:r>
        <w:rPr>
          <w:rFonts w:hint="eastAsia" w:ascii="宋体" w:hAnsi="宋体" w:cs="华文楷体"/>
          <w:color w:val="auto"/>
          <w:sz w:val="24"/>
          <w:szCs w:val="24"/>
          <w:highlight w:val="none"/>
        </w:rPr>
        <w:t>位</w:t>
      </w:r>
      <w:r>
        <w:rPr>
          <w:rFonts w:hint="eastAsia" w:ascii="宋体" w:hAnsi="宋体" w:cs="华文楷体"/>
          <w:color w:val="auto"/>
          <w:spacing w:val="-2"/>
          <w:sz w:val="24"/>
          <w:szCs w:val="24"/>
          <w:highlight w:val="none"/>
        </w:rPr>
        <w:t>内部</w:t>
      </w:r>
      <w:r>
        <w:rPr>
          <w:rFonts w:hint="eastAsia" w:ascii="宋体" w:hAnsi="宋体" w:cs="华文楷体"/>
          <w:color w:val="auto"/>
          <w:sz w:val="24"/>
          <w:szCs w:val="24"/>
          <w:highlight w:val="none"/>
        </w:rPr>
        <w:t>的职</w:t>
      </w:r>
      <w:r>
        <w:rPr>
          <w:rFonts w:hint="eastAsia" w:ascii="宋体" w:hAnsi="宋体" w:cs="华文楷体"/>
          <w:color w:val="auto"/>
          <w:spacing w:val="-2"/>
          <w:sz w:val="24"/>
          <w:szCs w:val="24"/>
          <w:highlight w:val="none"/>
        </w:rPr>
        <w:t>责</w:t>
      </w:r>
      <w:r>
        <w:rPr>
          <w:rFonts w:hint="eastAsia" w:ascii="宋体" w:hAnsi="宋体" w:cs="华文楷体"/>
          <w:color w:val="auto"/>
          <w:sz w:val="24"/>
          <w:szCs w:val="24"/>
          <w:highlight w:val="none"/>
        </w:rPr>
        <w:t>分</w:t>
      </w:r>
      <w:r>
        <w:rPr>
          <w:rFonts w:hint="eastAsia" w:ascii="宋体" w:hAnsi="宋体" w:cs="华文楷体"/>
          <w:color w:val="auto"/>
          <w:spacing w:val="-2"/>
          <w:sz w:val="24"/>
          <w:szCs w:val="24"/>
          <w:highlight w:val="none"/>
        </w:rPr>
        <w:t>工</w:t>
      </w:r>
      <w:r>
        <w:rPr>
          <w:rFonts w:hint="eastAsia" w:ascii="宋体" w:hAnsi="宋体" w:cs="华文楷体"/>
          <w:color w:val="auto"/>
          <w:spacing w:val="-2"/>
          <w:sz w:val="24"/>
          <w:szCs w:val="24"/>
          <w:highlight w:val="none"/>
          <w:lang w:val="en-US" w:eastAsia="zh-CN"/>
        </w:rPr>
        <w:t>内容及责任</w:t>
      </w:r>
      <w:r>
        <w:rPr>
          <w:rFonts w:hint="eastAsia" w:ascii="宋体" w:hAnsi="宋体" w:cs="华文楷体"/>
          <w:color w:val="auto"/>
          <w:sz w:val="24"/>
          <w:szCs w:val="24"/>
          <w:highlight w:val="none"/>
        </w:rPr>
        <w:t>如</w:t>
      </w:r>
      <w:r>
        <w:rPr>
          <w:rFonts w:hint="eastAsia" w:ascii="宋体" w:hAnsi="宋体" w:cs="华文楷体"/>
          <w:color w:val="auto"/>
          <w:spacing w:val="-2"/>
          <w:sz w:val="24"/>
          <w:szCs w:val="24"/>
          <w:highlight w:val="none"/>
        </w:rPr>
        <w:t>下</w:t>
      </w:r>
      <w:r>
        <w:rPr>
          <w:rFonts w:hint="eastAsia" w:ascii="宋体" w:hAnsi="宋体" w:cs="华文楷体"/>
          <w:color w:val="auto"/>
          <w:spacing w:val="-24"/>
          <w:sz w:val="24"/>
          <w:szCs w:val="24"/>
          <w:highlight w:val="none"/>
        </w:rPr>
        <w:t>：</w:t>
      </w:r>
      <w:r>
        <w:rPr>
          <w:rFonts w:hint="eastAsia" w:ascii="宋体" w:hAnsi="宋体" w:cs="华文楷体"/>
          <w:color w:val="auto"/>
          <w:sz w:val="24"/>
          <w:szCs w:val="24"/>
          <w:highlight w:val="none"/>
          <w:u w:val="single"/>
        </w:rPr>
        <w:t xml:space="preserve"> </w:t>
      </w:r>
      <w:r>
        <w:rPr>
          <w:rFonts w:hint="eastAsia" w:ascii="宋体" w:hAnsi="宋体" w:cs="华文楷体"/>
          <w:color w:val="auto"/>
          <w:spacing w:val="1"/>
          <w:sz w:val="24"/>
          <w:szCs w:val="24"/>
          <w:highlight w:val="none"/>
          <w:u w:val="single"/>
        </w:rPr>
        <w:t xml:space="preserve"> </w:t>
      </w:r>
      <w:r>
        <w:rPr>
          <w:rFonts w:hint="eastAsia" w:ascii="宋体" w:hAnsi="宋体" w:cs="华文楷体"/>
          <w:color w:val="auto"/>
          <w:sz w:val="24"/>
          <w:szCs w:val="24"/>
          <w:highlight w:val="none"/>
          <w:u w:val="single"/>
        </w:rPr>
        <w:tab/>
      </w:r>
      <w:r>
        <w:rPr>
          <w:rFonts w:hint="eastAsia" w:ascii="宋体" w:hAnsi="宋体" w:cs="华文楷体"/>
          <w:color w:val="auto"/>
          <w:sz w:val="24"/>
          <w:szCs w:val="24"/>
          <w:highlight w:val="none"/>
        </w:rPr>
        <w:t>。</w:t>
      </w:r>
    </w:p>
    <w:p w14:paraId="660BE2E5">
      <w:pPr>
        <w:spacing w:before="80" w:line="360" w:lineRule="auto"/>
        <w:ind w:firstLine="480" w:firstLineChars="200"/>
        <w:jc w:val="left"/>
        <w:rPr>
          <w:rFonts w:ascii="宋体" w:hAnsi="宋体" w:cs="华文楷体"/>
          <w:color w:val="auto"/>
          <w:sz w:val="24"/>
          <w:szCs w:val="24"/>
          <w:highlight w:val="none"/>
        </w:rPr>
      </w:pPr>
      <w:r>
        <w:rPr>
          <w:rFonts w:hint="eastAsia" w:ascii="宋体" w:hAnsi="宋体" w:cs="华文楷体"/>
          <w:color w:val="auto"/>
          <w:sz w:val="24"/>
          <w:szCs w:val="24"/>
          <w:highlight w:val="none"/>
        </w:rPr>
        <w:t xml:space="preserve">5. </w:t>
      </w:r>
      <w:r>
        <w:rPr>
          <w:rFonts w:hint="eastAsia" w:ascii="宋体" w:hAnsi="宋体" w:cs="华文楷体"/>
          <w:color w:val="auto"/>
          <w:spacing w:val="-2"/>
          <w:sz w:val="24"/>
          <w:szCs w:val="24"/>
          <w:highlight w:val="none"/>
        </w:rPr>
        <w:t>本</w:t>
      </w:r>
      <w:r>
        <w:rPr>
          <w:rFonts w:hint="eastAsia" w:ascii="宋体" w:hAnsi="宋体" w:cs="华文楷体"/>
          <w:color w:val="auto"/>
          <w:sz w:val="24"/>
          <w:szCs w:val="24"/>
          <w:highlight w:val="none"/>
        </w:rPr>
        <w:t>协</w:t>
      </w:r>
      <w:r>
        <w:rPr>
          <w:rFonts w:hint="eastAsia" w:ascii="宋体" w:hAnsi="宋体" w:cs="华文楷体"/>
          <w:color w:val="auto"/>
          <w:spacing w:val="-2"/>
          <w:sz w:val="24"/>
          <w:szCs w:val="24"/>
          <w:highlight w:val="none"/>
        </w:rPr>
        <w:t>议</w:t>
      </w:r>
      <w:r>
        <w:rPr>
          <w:rFonts w:hint="eastAsia" w:ascii="宋体" w:hAnsi="宋体" w:cs="华文楷体"/>
          <w:color w:val="auto"/>
          <w:sz w:val="24"/>
          <w:szCs w:val="24"/>
          <w:highlight w:val="none"/>
        </w:rPr>
        <w:t>书</w:t>
      </w:r>
      <w:r>
        <w:rPr>
          <w:rFonts w:hint="eastAsia" w:ascii="宋体" w:hAnsi="宋体" w:cs="华文楷体"/>
          <w:color w:val="auto"/>
          <w:spacing w:val="-2"/>
          <w:sz w:val="24"/>
          <w:szCs w:val="24"/>
          <w:highlight w:val="none"/>
        </w:rPr>
        <w:t>自</w:t>
      </w:r>
      <w:r>
        <w:rPr>
          <w:rFonts w:hint="eastAsia" w:ascii="宋体" w:hAnsi="宋体" w:cs="华文楷体"/>
          <w:color w:val="auto"/>
          <w:sz w:val="24"/>
          <w:szCs w:val="24"/>
          <w:highlight w:val="none"/>
        </w:rPr>
        <w:t>所</w:t>
      </w:r>
      <w:r>
        <w:rPr>
          <w:rFonts w:hint="eastAsia" w:ascii="宋体" w:hAnsi="宋体" w:cs="华文楷体"/>
          <w:color w:val="auto"/>
          <w:spacing w:val="-2"/>
          <w:sz w:val="24"/>
          <w:szCs w:val="24"/>
          <w:highlight w:val="none"/>
        </w:rPr>
        <w:t>有</w:t>
      </w:r>
      <w:r>
        <w:rPr>
          <w:rFonts w:hint="eastAsia" w:ascii="宋体" w:hAnsi="宋体" w:cs="华文楷体"/>
          <w:color w:val="auto"/>
          <w:sz w:val="24"/>
          <w:szCs w:val="24"/>
          <w:highlight w:val="none"/>
        </w:rPr>
        <w:t>成</w:t>
      </w:r>
      <w:r>
        <w:rPr>
          <w:rFonts w:hint="eastAsia" w:ascii="宋体" w:hAnsi="宋体" w:cs="华文楷体"/>
          <w:color w:val="auto"/>
          <w:spacing w:val="-2"/>
          <w:sz w:val="24"/>
          <w:szCs w:val="24"/>
          <w:highlight w:val="none"/>
        </w:rPr>
        <w:t>员单</w:t>
      </w:r>
      <w:r>
        <w:rPr>
          <w:rFonts w:hint="eastAsia" w:ascii="宋体" w:hAnsi="宋体" w:cs="华文楷体"/>
          <w:color w:val="auto"/>
          <w:sz w:val="24"/>
          <w:szCs w:val="24"/>
          <w:highlight w:val="none"/>
        </w:rPr>
        <w:t>位法</w:t>
      </w:r>
      <w:r>
        <w:rPr>
          <w:rFonts w:hint="eastAsia" w:ascii="宋体" w:hAnsi="宋体" w:cs="华文楷体"/>
          <w:color w:val="auto"/>
          <w:spacing w:val="-2"/>
          <w:sz w:val="24"/>
          <w:szCs w:val="24"/>
          <w:highlight w:val="none"/>
        </w:rPr>
        <w:t>定</w:t>
      </w:r>
      <w:r>
        <w:rPr>
          <w:rFonts w:hint="eastAsia" w:ascii="宋体" w:hAnsi="宋体" w:cs="华文楷体"/>
          <w:color w:val="auto"/>
          <w:sz w:val="24"/>
          <w:szCs w:val="24"/>
          <w:highlight w:val="none"/>
        </w:rPr>
        <w:t>代</w:t>
      </w:r>
      <w:r>
        <w:rPr>
          <w:rFonts w:hint="eastAsia" w:ascii="宋体" w:hAnsi="宋体" w:cs="华文楷体"/>
          <w:color w:val="auto"/>
          <w:spacing w:val="-2"/>
          <w:sz w:val="24"/>
          <w:szCs w:val="24"/>
          <w:highlight w:val="none"/>
        </w:rPr>
        <w:t>表</w:t>
      </w:r>
      <w:r>
        <w:rPr>
          <w:rFonts w:hint="eastAsia" w:ascii="宋体" w:hAnsi="宋体" w:cs="华文楷体"/>
          <w:color w:val="auto"/>
          <w:sz w:val="24"/>
          <w:szCs w:val="24"/>
          <w:highlight w:val="none"/>
        </w:rPr>
        <w:t>人</w:t>
      </w:r>
      <w:r>
        <w:rPr>
          <w:rFonts w:hint="eastAsia" w:ascii="宋体" w:hAnsi="宋体" w:cs="华文楷体"/>
          <w:color w:val="auto"/>
          <w:spacing w:val="-2"/>
          <w:sz w:val="24"/>
          <w:szCs w:val="24"/>
          <w:highlight w:val="none"/>
        </w:rPr>
        <w:t>或</w:t>
      </w:r>
      <w:r>
        <w:rPr>
          <w:rFonts w:hint="eastAsia" w:ascii="宋体" w:hAnsi="宋体" w:cs="华文楷体"/>
          <w:color w:val="auto"/>
          <w:sz w:val="24"/>
          <w:szCs w:val="24"/>
          <w:highlight w:val="none"/>
        </w:rPr>
        <w:t>其</w:t>
      </w:r>
      <w:r>
        <w:rPr>
          <w:rFonts w:hint="eastAsia" w:ascii="宋体" w:hAnsi="宋体" w:cs="华文楷体"/>
          <w:color w:val="auto"/>
          <w:spacing w:val="-2"/>
          <w:sz w:val="24"/>
          <w:szCs w:val="24"/>
          <w:highlight w:val="none"/>
        </w:rPr>
        <w:t>委</w:t>
      </w:r>
      <w:r>
        <w:rPr>
          <w:rFonts w:hint="eastAsia" w:ascii="宋体" w:hAnsi="宋体" w:cs="华文楷体"/>
          <w:color w:val="auto"/>
          <w:sz w:val="24"/>
          <w:szCs w:val="24"/>
          <w:highlight w:val="none"/>
        </w:rPr>
        <w:t>托</w:t>
      </w:r>
      <w:r>
        <w:rPr>
          <w:rFonts w:hint="eastAsia" w:ascii="宋体" w:hAnsi="宋体" w:cs="华文楷体"/>
          <w:color w:val="auto"/>
          <w:spacing w:val="-2"/>
          <w:sz w:val="24"/>
          <w:szCs w:val="24"/>
          <w:highlight w:val="none"/>
        </w:rPr>
        <w:t>代</w:t>
      </w:r>
      <w:r>
        <w:rPr>
          <w:rFonts w:hint="eastAsia" w:ascii="宋体" w:hAnsi="宋体" w:cs="华文楷体"/>
          <w:color w:val="auto"/>
          <w:sz w:val="24"/>
          <w:szCs w:val="24"/>
          <w:highlight w:val="none"/>
        </w:rPr>
        <w:t>理人</w:t>
      </w:r>
      <w:r>
        <w:rPr>
          <w:rFonts w:hint="eastAsia" w:ascii="宋体" w:hAnsi="宋体" w:cs="华文楷体"/>
          <w:color w:val="auto"/>
          <w:spacing w:val="-2"/>
          <w:sz w:val="24"/>
          <w:szCs w:val="24"/>
          <w:highlight w:val="none"/>
        </w:rPr>
        <w:t>签</w:t>
      </w:r>
      <w:r>
        <w:rPr>
          <w:rFonts w:hint="eastAsia" w:ascii="宋体" w:hAnsi="宋体" w:cs="华文楷体"/>
          <w:color w:val="auto"/>
          <w:sz w:val="24"/>
          <w:szCs w:val="24"/>
          <w:highlight w:val="none"/>
        </w:rPr>
        <w:t>字</w:t>
      </w:r>
      <w:r>
        <w:rPr>
          <w:rFonts w:hint="eastAsia" w:ascii="宋体" w:hAnsi="宋体" w:cs="华文楷体"/>
          <w:color w:val="auto"/>
          <w:spacing w:val="-2"/>
          <w:sz w:val="24"/>
          <w:szCs w:val="24"/>
          <w:highlight w:val="none"/>
        </w:rPr>
        <w:t>或</w:t>
      </w:r>
      <w:r>
        <w:rPr>
          <w:rFonts w:hint="eastAsia" w:ascii="宋体" w:hAnsi="宋体" w:cs="华文楷体"/>
          <w:color w:val="auto"/>
          <w:sz w:val="24"/>
          <w:szCs w:val="24"/>
          <w:highlight w:val="none"/>
        </w:rPr>
        <w:t>盖</w:t>
      </w:r>
      <w:r>
        <w:rPr>
          <w:rFonts w:hint="eastAsia" w:ascii="宋体" w:hAnsi="宋体" w:cs="华文楷体"/>
          <w:color w:val="auto"/>
          <w:spacing w:val="-2"/>
          <w:sz w:val="24"/>
          <w:szCs w:val="24"/>
          <w:highlight w:val="none"/>
        </w:rPr>
        <w:t>单</w:t>
      </w:r>
      <w:r>
        <w:rPr>
          <w:rFonts w:hint="eastAsia" w:ascii="宋体" w:hAnsi="宋体" w:cs="华文楷体"/>
          <w:color w:val="auto"/>
          <w:sz w:val="24"/>
          <w:szCs w:val="24"/>
          <w:highlight w:val="none"/>
        </w:rPr>
        <w:t>位</w:t>
      </w:r>
      <w:r>
        <w:rPr>
          <w:rFonts w:hint="eastAsia" w:ascii="宋体" w:hAnsi="宋体" w:cs="华文楷体"/>
          <w:color w:val="auto"/>
          <w:spacing w:val="-2"/>
          <w:sz w:val="24"/>
          <w:szCs w:val="24"/>
          <w:highlight w:val="none"/>
        </w:rPr>
        <w:t>章</w:t>
      </w:r>
      <w:r>
        <w:rPr>
          <w:rFonts w:hint="eastAsia" w:ascii="宋体" w:hAnsi="宋体" w:cs="华文楷体"/>
          <w:color w:val="auto"/>
          <w:sz w:val="24"/>
          <w:szCs w:val="24"/>
          <w:highlight w:val="none"/>
        </w:rPr>
        <w:t>之</w:t>
      </w:r>
      <w:r>
        <w:rPr>
          <w:rFonts w:hint="eastAsia" w:ascii="宋体" w:hAnsi="宋体" w:cs="华文楷体"/>
          <w:color w:val="auto"/>
          <w:spacing w:val="-2"/>
          <w:sz w:val="24"/>
          <w:szCs w:val="24"/>
          <w:highlight w:val="none"/>
        </w:rPr>
        <w:t>日</w:t>
      </w:r>
      <w:r>
        <w:rPr>
          <w:rFonts w:hint="eastAsia" w:ascii="宋体" w:hAnsi="宋体" w:cs="华文楷体"/>
          <w:color w:val="auto"/>
          <w:sz w:val="24"/>
          <w:szCs w:val="24"/>
          <w:highlight w:val="none"/>
        </w:rPr>
        <w:t>起生</w:t>
      </w:r>
      <w:r>
        <w:rPr>
          <w:rFonts w:hint="eastAsia" w:ascii="宋体" w:hAnsi="宋体" w:cs="华文楷体"/>
          <w:color w:val="auto"/>
          <w:spacing w:val="-2"/>
          <w:sz w:val="24"/>
          <w:szCs w:val="24"/>
          <w:highlight w:val="none"/>
        </w:rPr>
        <w:t>效</w:t>
      </w:r>
      <w:r>
        <w:rPr>
          <w:rFonts w:hint="eastAsia" w:ascii="宋体" w:hAnsi="宋体" w:cs="华文楷体"/>
          <w:color w:val="auto"/>
          <w:spacing w:val="-24"/>
          <w:sz w:val="24"/>
          <w:szCs w:val="24"/>
          <w:highlight w:val="none"/>
        </w:rPr>
        <w:t>，</w:t>
      </w:r>
      <w:r>
        <w:rPr>
          <w:rFonts w:hint="eastAsia" w:ascii="宋体" w:hAnsi="宋体" w:cs="华文楷体"/>
          <w:color w:val="auto"/>
          <w:sz w:val="24"/>
          <w:szCs w:val="24"/>
          <w:highlight w:val="none"/>
        </w:rPr>
        <w:t>合同 履行</w:t>
      </w:r>
      <w:r>
        <w:rPr>
          <w:rFonts w:hint="eastAsia" w:ascii="宋体" w:hAnsi="宋体" w:cs="华文楷体"/>
          <w:color w:val="auto"/>
          <w:spacing w:val="-2"/>
          <w:sz w:val="24"/>
          <w:szCs w:val="24"/>
          <w:highlight w:val="none"/>
        </w:rPr>
        <w:t>完</w:t>
      </w:r>
      <w:r>
        <w:rPr>
          <w:rFonts w:hint="eastAsia" w:ascii="宋体" w:hAnsi="宋体" w:cs="华文楷体"/>
          <w:color w:val="auto"/>
          <w:sz w:val="24"/>
          <w:szCs w:val="24"/>
          <w:highlight w:val="none"/>
        </w:rPr>
        <w:t>毕</w:t>
      </w:r>
      <w:r>
        <w:rPr>
          <w:rFonts w:hint="eastAsia" w:ascii="宋体" w:hAnsi="宋体" w:cs="华文楷体"/>
          <w:color w:val="auto"/>
          <w:spacing w:val="-2"/>
          <w:sz w:val="24"/>
          <w:szCs w:val="24"/>
          <w:highlight w:val="none"/>
        </w:rPr>
        <w:t>后</w:t>
      </w:r>
      <w:r>
        <w:rPr>
          <w:rFonts w:hint="eastAsia" w:ascii="宋体" w:hAnsi="宋体" w:cs="华文楷体"/>
          <w:color w:val="auto"/>
          <w:sz w:val="24"/>
          <w:szCs w:val="24"/>
          <w:highlight w:val="none"/>
        </w:rPr>
        <w:t>自</w:t>
      </w:r>
      <w:r>
        <w:rPr>
          <w:rFonts w:hint="eastAsia" w:ascii="宋体" w:hAnsi="宋体" w:cs="华文楷体"/>
          <w:color w:val="auto"/>
          <w:spacing w:val="-2"/>
          <w:sz w:val="24"/>
          <w:szCs w:val="24"/>
          <w:highlight w:val="none"/>
        </w:rPr>
        <w:t>动</w:t>
      </w:r>
      <w:r>
        <w:rPr>
          <w:rFonts w:hint="eastAsia" w:ascii="宋体" w:hAnsi="宋体" w:cs="华文楷体"/>
          <w:color w:val="auto"/>
          <w:sz w:val="24"/>
          <w:szCs w:val="24"/>
          <w:highlight w:val="none"/>
        </w:rPr>
        <w:t>失</w:t>
      </w:r>
      <w:r>
        <w:rPr>
          <w:rFonts w:hint="eastAsia" w:ascii="宋体" w:hAnsi="宋体" w:cs="华文楷体"/>
          <w:color w:val="auto"/>
          <w:spacing w:val="-3"/>
          <w:sz w:val="24"/>
          <w:szCs w:val="24"/>
          <w:highlight w:val="none"/>
        </w:rPr>
        <w:t>效</w:t>
      </w:r>
      <w:r>
        <w:rPr>
          <w:rFonts w:hint="eastAsia" w:ascii="宋体" w:hAnsi="宋体" w:cs="华文楷体"/>
          <w:color w:val="auto"/>
          <w:sz w:val="24"/>
          <w:szCs w:val="24"/>
          <w:highlight w:val="none"/>
        </w:rPr>
        <w:t>。</w:t>
      </w:r>
    </w:p>
    <w:p w14:paraId="1CF56AA5">
      <w:pPr>
        <w:spacing w:line="360" w:lineRule="auto"/>
        <w:ind w:firstLine="480" w:firstLineChars="200"/>
        <w:jc w:val="left"/>
        <w:rPr>
          <w:rFonts w:ascii="宋体" w:hAnsi="宋体" w:cs="华文楷体"/>
          <w:color w:val="auto"/>
          <w:sz w:val="24"/>
          <w:szCs w:val="24"/>
          <w:highlight w:val="none"/>
        </w:rPr>
      </w:pPr>
      <w:r>
        <w:rPr>
          <w:rFonts w:hint="eastAsia" w:ascii="宋体" w:hAnsi="宋体" w:cs="华文楷体"/>
          <w:color w:val="auto"/>
          <w:position w:val="-1"/>
          <w:sz w:val="24"/>
          <w:szCs w:val="24"/>
          <w:highlight w:val="none"/>
        </w:rPr>
        <w:t>注：本协议书由法</w:t>
      </w:r>
      <w:r>
        <w:rPr>
          <w:rFonts w:hint="eastAsia" w:ascii="宋体" w:hAnsi="宋体" w:cs="华文楷体"/>
          <w:color w:val="auto"/>
          <w:spacing w:val="-2"/>
          <w:position w:val="-1"/>
          <w:sz w:val="24"/>
          <w:szCs w:val="24"/>
          <w:highlight w:val="none"/>
        </w:rPr>
        <w:t>定</w:t>
      </w:r>
      <w:r>
        <w:rPr>
          <w:rFonts w:hint="eastAsia" w:ascii="宋体" w:hAnsi="宋体" w:cs="华文楷体"/>
          <w:color w:val="auto"/>
          <w:position w:val="-1"/>
          <w:sz w:val="24"/>
          <w:szCs w:val="24"/>
          <w:highlight w:val="none"/>
        </w:rPr>
        <w:t>代</w:t>
      </w:r>
      <w:r>
        <w:rPr>
          <w:rFonts w:hint="eastAsia" w:ascii="宋体" w:hAnsi="宋体" w:cs="华文楷体"/>
          <w:color w:val="auto"/>
          <w:spacing w:val="-2"/>
          <w:position w:val="-1"/>
          <w:sz w:val="24"/>
          <w:szCs w:val="24"/>
          <w:highlight w:val="none"/>
        </w:rPr>
        <w:t>表</w:t>
      </w:r>
      <w:r>
        <w:rPr>
          <w:rFonts w:hint="eastAsia" w:ascii="宋体" w:hAnsi="宋体" w:cs="华文楷体"/>
          <w:color w:val="auto"/>
          <w:position w:val="-1"/>
          <w:sz w:val="24"/>
          <w:szCs w:val="24"/>
          <w:highlight w:val="none"/>
        </w:rPr>
        <w:t>人签字的，应附法</w:t>
      </w:r>
      <w:r>
        <w:rPr>
          <w:rFonts w:hint="eastAsia" w:ascii="宋体" w:hAnsi="宋体" w:cs="华文楷体"/>
          <w:color w:val="auto"/>
          <w:spacing w:val="-2"/>
          <w:position w:val="-1"/>
          <w:sz w:val="24"/>
          <w:szCs w:val="24"/>
          <w:highlight w:val="none"/>
        </w:rPr>
        <w:t>定</w:t>
      </w:r>
      <w:r>
        <w:rPr>
          <w:rFonts w:hint="eastAsia" w:ascii="宋体" w:hAnsi="宋体" w:cs="华文楷体"/>
          <w:color w:val="auto"/>
          <w:position w:val="-1"/>
          <w:sz w:val="24"/>
          <w:szCs w:val="24"/>
          <w:highlight w:val="none"/>
        </w:rPr>
        <w:t>代</w:t>
      </w:r>
      <w:r>
        <w:rPr>
          <w:rFonts w:hint="eastAsia" w:ascii="宋体" w:hAnsi="宋体" w:cs="华文楷体"/>
          <w:color w:val="auto"/>
          <w:spacing w:val="-2"/>
          <w:position w:val="-1"/>
          <w:sz w:val="24"/>
          <w:szCs w:val="24"/>
          <w:highlight w:val="none"/>
        </w:rPr>
        <w:t>表</w:t>
      </w:r>
      <w:r>
        <w:rPr>
          <w:rFonts w:hint="eastAsia" w:ascii="宋体" w:hAnsi="宋体" w:cs="华文楷体"/>
          <w:color w:val="auto"/>
          <w:position w:val="-1"/>
          <w:sz w:val="24"/>
          <w:szCs w:val="24"/>
          <w:highlight w:val="none"/>
        </w:rPr>
        <w:t>人身份证明；由委</w:t>
      </w:r>
      <w:r>
        <w:rPr>
          <w:rFonts w:hint="eastAsia" w:ascii="宋体" w:hAnsi="宋体" w:cs="华文楷体"/>
          <w:color w:val="auto"/>
          <w:spacing w:val="-2"/>
          <w:position w:val="-1"/>
          <w:sz w:val="24"/>
          <w:szCs w:val="24"/>
          <w:highlight w:val="none"/>
        </w:rPr>
        <w:t>托</w:t>
      </w:r>
      <w:r>
        <w:rPr>
          <w:rFonts w:hint="eastAsia" w:ascii="宋体" w:hAnsi="宋体" w:cs="华文楷体"/>
          <w:color w:val="auto"/>
          <w:position w:val="-1"/>
          <w:sz w:val="24"/>
          <w:szCs w:val="24"/>
          <w:highlight w:val="none"/>
        </w:rPr>
        <w:t>代</w:t>
      </w:r>
      <w:r>
        <w:rPr>
          <w:rFonts w:hint="eastAsia" w:ascii="宋体" w:hAnsi="宋体" w:cs="华文楷体"/>
          <w:color w:val="auto"/>
          <w:spacing w:val="-2"/>
          <w:position w:val="-1"/>
          <w:sz w:val="24"/>
          <w:szCs w:val="24"/>
          <w:highlight w:val="none"/>
        </w:rPr>
        <w:t>理</w:t>
      </w:r>
      <w:r>
        <w:rPr>
          <w:rFonts w:hint="eastAsia" w:ascii="宋体" w:hAnsi="宋体" w:cs="华文楷体"/>
          <w:color w:val="auto"/>
          <w:position w:val="-1"/>
          <w:sz w:val="24"/>
          <w:szCs w:val="24"/>
          <w:highlight w:val="none"/>
        </w:rPr>
        <w:t>人签字的，应</w:t>
      </w:r>
      <w:r>
        <w:rPr>
          <w:rFonts w:hint="eastAsia" w:ascii="宋体" w:hAnsi="宋体" w:cs="华文楷体"/>
          <w:color w:val="auto"/>
          <w:sz w:val="24"/>
          <w:szCs w:val="24"/>
          <w:highlight w:val="none"/>
        </w:rPr>
        <w:t>附授</w:t>
      </w:r>
      <w:r>
        <w:rPr>
          <w:rFonts w:hint="eastAsia" w:ascii="宋体" w:hAnsi="宋体" w:cs="华文楷体"/>
          <w:color w:val="auto"/>
          <w:spacing w:val="-2"/>
          <w:sz w:val="24"/>
          <w:szCs w:val="24"/>
          <w:highlight w:val="none"/>
        </w:rPr>
        <w:t>权</w:t>
      </w:r>
      <w:r>
        <w:rPr>
          <w:rFonts w:hint="eastAsia" w:ascii="宋体" w:hAnsi="宋体" w:cs="华文楷体"/>
          <w:color w:val="auto"/>
          <w:sz w:val="24"/>
          <w:szCs w:val="24"/>
          <w:highlight w:val="none"/>
        </w:rPr>
        <w:t>委</w:t>
      </w:r>
      <w:r>
        <w:rPr>
          <w:rFonts w:hint="eastAsia" w:ascii="宋体" w:hAnsi="宋体" w:cs="华文楷体"/>
          <w:color w:val="auto"/>
          <w:spacing w:val="-2"/>
          <w:sz w:val="24"/>
          <w:szCs w:val="24"/>
          <w:highlight w:val="none"/>
        </w:rPr>
        <w:t>托</w:t>
      </w:r>
      <w:r>
        <w:rPr>
          <w:rFonts w:hint="eastAsia" w:ascii="宋体" w:hAnsi="宋体" w:cs="华文楷体"/>
          <w:color w:val="auto"/>
          <w:sz w:val="24"/>
          <w:szCs w:val="24"/>
          <w:highlight w:val="none"/>
        </w:rPr>
        <w:t>书。</w:t>
      </w:r>
    </w:p>
    <w:p w14:paraId="3627318B">
      <w:pPr>
        <w:tabs>
          <w:tab w:val="left" w:pos="7240"/>
        </w:tabs>
        <w:spacing w:line="360" w:lineRule="auto"/>
        <w:ind w:left="2511" w:right="-20"/>
        <w:jc w:val="left"/>
        <w:rPr>
          <w:rFonts w:ascii="宋体" w:hAnsi="宋体" w:cs="华文楷体"/>
          <w:color w:val="auto"/>
          <w:sz w:val="24"/>
          <w:szCs w:val="24"/>
          <w:highlight w:val="none"/>
        </w:rPr>
      </w:pPr>
      <w:r>
        <w:rPr>
          <w:rFonts w:hint="eastAsia" w:ascii="宋体" w:hAnsi="宋体" w:cs="华文楷体"/>
          <w:color w:val="auto"/>
          <w:position w:val="-4"/>
          <w:sz w:val="24"/>
          <w:szCs w:val="24"/>
          <w:highlight w:val="none"/>
        </w:rPr>
        <w:t>联合</w:t>
      </w:r>
      <w:r>
        <w:rPr>
          <w:rFonts w:hint="eastAsia" w:ascii="宋体" w:hAnsi="宋体" w:cs="华文楷体"/>
          <w:color w:val="auto"/>
          <w:spacing w:val="-2"/>
          <w:position w:val="-4"/>
          <w:sz w:val="24"/>
          <w:szCs w:val="24"/>
          <w:highlight w:val="none"/>
        </w:rPr>
        <w:t>体</w:t>
      </w:r>
      <w:r>
        <w:rPr>
          <w:rFonts w:hint="eastAsia" w:ascii="宋体" w:hAnsi="宋体" w:cs="华文楷体"/>
          <w:color w:val="auto"/>
          <w:position w:val="-4"/>
          <w:sz w:val="24"/>
          <w:szCs w:val="24"/>
          <w:highlight w:val="none"/>
        </w:rPr>
        <w:t>牵</w:t>
      </w:r>
      <w:r>
        <w:rPr>
          <w:rFonts w:hint="eastAsia" w:ascii="宋体" w:hAnsi="宋体" w:cs="华文楷体"/>
          <w:color w:val="auto"/>
          <w:spacing w:val="-2"/>
          <w:position w:val="-4"/>
          <w:sz w:val="24"/>
          <w:szCs w:val="24"/>
          <w:highlight w:val="none"/>
        </w:rPr>
        <w:t>头</w:t>
      </w:r>
      <w:r>
        <w:rPr>
          <w:rFonts w:hint="eastAsia" w:ascii="宋体" w:hAnsi="宋体" w:cs="华文楷体"/>
          <w:color w:val="auto"/>
          <w:position w:val="-4"/>
          <w:sz w:val="24"/>
          <w:szCs w:val="24"/>
          <w:highlight w:val="none"/>
        </w:rPr>
        <w:t>人</w:t>
      </w:r>
      <w:r>
        <w:rPr>
          <w:rFonts w:hint="eastAsia" w:ascii="宋体" w:hAnsi="宋体" w:cs="华文楷体"/>
          <w:color w:val="auto"/>
          <w:spacing w:val="-2"/>
          <w:position w:val="-4"/>
          <w:sz w:val="24"/>
          <w:szCs w:val="24"/>
          <w:highlight w:val="none"/>
        </w:rPr>
        <w:t>名</w:t>
      </w:r>
      <w:r>
        <w:rPr>
          <w:rFonts w:hint="eastAsia" w:ascii="宋体" w:hAnsi="宋体" w:cs="华文楷体"/>
          <w:color w:val="auto"/>
          <w:position w:val="-4"/>
          <w:sz w:val="24"/>
          <w:szCs w:val="24"/>
          <w:highlight w:val="none"/>
        </w:rPr>
        <w:t>称</w:t>
      </w:r>
      <w:r>
        <w:rPr>
          <w:rFonts w:hint="eastAsia" w:ascii="宋体" w:hAnsi="宋体" w:cs="华文楷体"/>
          <w:color w:val="auto"/>
          <w:spacing w:val="-3"/>
          <w:position w:val="-4"/>
          <w:sz w:val="24"/>
          <w:szCs w:val="24"/>
          <w:highlight w:val="none"/>
        </w:rPr>
        <w:t>：</w:t>
      </w:r>
      <w:r>
        <w:rPr>
          <w:rFonts w:hint="eastAsia" w:ascii="宋体" w:hAnsi="宋体" w:cs="华文楷体"/>
          <w:color w:val="auto"/>
          <w:position w:val="-4"/>
          <w:sz w:val="24"/>
          <w:szCs w:val="24"/>
          <w:highlight w:val="none"/>
          <w:u w:val="single"/>
        </w:rPr>
        <w:t xml:space="preserve"> </w:t>
      </w:r>
      <w:r>
        <w:rPr>
          <w:rFonts w:hint="eastAsia" w:ascii="宋体" w:hAnsi="宋体" w:cs="华文楷体"/>
          <w:color w:val="auto"/>
          <w:spacing w:val="1"/>
          <w:position w:val="-4"/>
          <w:sz w:val="24"/>
          <w:szCs w:val="24"/>
          <w:highlight w:val="none"/>
          <w:u w:val="single"/>
        </w:rPr>
        <w:t xml:space="preserve"> </w:t>
      </w:r>
      <w:r>
        <w:rPr>
          <w:rFonts w:hint="eastAsia" w:ascii="宋体" w:hAnsi="宋体" w:cs="华文楷体"/>
          <w:color w:val="auto"/>
          <w:position w:val="-4"/>
          <w:sz w:val="24"/>
          <w:szCs w:val="24"/>
          <w:highlight w:val="none"/>
          <w:u w:val="single"/>
        </w:rPr>
        <w:tab/>
      </w:r>
      <w:r>
        <w:rPr>
          <w:rFonts w:hint="eastAsia" w:ascii="宋体" w:hAnsi="宋体" w:cs="华文楷体"/>
          <w:color w:val="auto"/>
          <w:position w:val="-4"/>
          <w:sz w:val="24"/>
          <w:szCs w:val="24"/>
          <w:highlight w:val="none"/>
        </w:rPr>
        <w:t>（盖</w:t>
      </w:r>
      <w:r>
        <w:rPr>
          <w:rFonts w:hint="eastAsia" w:ascii="宋体" w:hAnsi="宋体" w:cs="华文楷体"/>
          <w:color w:val="auto"/>
          <w:spacing w:val="-2"/>
          <w:position w:val="-4"/>
          <w:sz w:val="24"/>
          <w:szCs w:val="24"/>
          <w:highlight w:val="none"/>
        </w:rPr>
        <w:t>单</w:t>
      </w:r>
      <w:r>
        <w:rPr>
          <w:rFonts w:hint="eastAsia" w:ascii="宋体" w:hAnsi="宋体" w:cs="华文楷体"/>
          <w:color w:val="auto"/>
          <w:position w:val="-4"/>
          <w:sz w:val="24"/>
          <w:szCs w:val="24"/>
          <w:highlight w:val="none"/>
        </w:rPr>
        <w:t>位</w:t>
      </w:r>
      <w:r>
        <w:rPr>
          <w:rFonts w:hint="eastAsia" w:ascii="宋体" w:hAnsi="宋体" w:cs="华文楷体"/>
          <w:color w:val="auto"/>
          <w:spacing w:val="-2"/>
          <w:position w:val="-4"/>
          <w:sz w:val="24"/>
          <w:szCs w:val="24"/>
          <w:highlight w:val="none"/>
        </w:rPr>
        <w:t>章</w:t>
      </w:r>
      <w:r>
        <w:rPr>
          <w:rFonts w:hint="eastAsia" w:ascii="宋体" w:hAnsi="宋体" w:cs="华文楷体"/>
          <w:color w:val="auto"/>
          <w:position w:val="-4"/>
          <w:sz w:val="24"/>
          <w:szCs w:val="24"/>
          <w:highlight w:val="none"/>
        </w:rPr>
        <w:t>）</w:t>
      </w:r>
    </w:p>
    <w:p w14:paraId="279196F3">
      <w:pPr>
        <w:tabs>
          <w:tab w:val="left" w:pos="6645"/>
        </w:tabs>
        <w:spacing w:line="360" w:lineRule="auto"/>
        <w:ind w:left="2511" w:right="-20"/>
        <w:jc w:val="left"/>
        <w:rPr>
          <w:rFonts w:ascii="宋体" w:hAnsi="宋体" w:cs="华文楷体"/>
          <w:color w:val="auto"/>
          <w:sz w:val="24"/>
          <w:szCs w:val="24"/>
          <w:highlight w:val="none"/>
        </w:rPr>
      </w:pPr>
      <w:r>
        <w:rPr>
          <w:rFonts w:hint="eastAsia" w:ascii="宋体" w:hAnsi="宋体" w:cs="华文楷体"/>
          <w:color w:val="auto"/>
          <w:position w:val="-2"/>
          <w:sz w:val="24"/>
          <w:szCs w:val="24"/>
          <w:highlight w:val="none"/>
        </w:rPr>
        <w:t>法定</w:t>
      </w:r>
      <w:r>
        <w:rPr>
          <w:rFonts w:hint="eastAsia" w:ascii="宋体" w:hAnsi="宋体" w:cs="华文楷体"/>
          <w:color w:val="auto"/>
          <w:spacing w:val="-2"/>
          <w:position w:val="-2"/>
          <w:sz w:val="24"/>
          <w:szCs w:val="24"/>
          <w:highlight w:val="none"/>
        </w:rPr>
        <w:t>代</w:t>
      </w:r>
      <w:r>
        <w:rPr>
          <w:rFonts w:hint="eastAsia" w:ascii="宋体" w:hAnsi="宋体" w:cs="华文楷体"/>
          <w:color w:val="auto"/>
          <w:position w:val="-2"/>
          <w:sz w:val="24"/>
          <w:szCs w:val="24"/>
          <w:highlight w:val="none"/>
        </w:rPr>
        <w:t>表</w:t>
      </w:r>
      <w:r>
        <w:rPr>
          <w:rFonts w:hint="eastAsia" w:ascii="宋体" w:hAnsi="宋体" w:cs="华文楷体"/>
          <w:color w:val="auto"/>
          <w:spacing w:val="-2"/>
          <w:position w:val="-2"/>
          <w:sz w:val="24"/>
          <w:szCs w:val="24"/>
          <w:highlight w:val="none"/>
        </w:rPr>
        <w:t>人</w:t>
      </w:r>
      <w:r>
        <w:rPr>
          <w:rFonts w:hint="eastAsia" w:ascii="宋体" w:hAnsi="宋体" w:cs="华文楷体"/>
          <w:color w:val="auto"/>
          <w:position w:val="-2"/>
          <w:sz w:val="24"/>
          <w:szCs w:val="24"/>
          <w:highlight w:val="none"/>
        </w:rPr>
        <w:t>或</w:t>
      </w:r>
      <w:r>
        <w:rPr>
          <w:rFonts w:hint="eastAsia" w:ascii="宋体" w:hAnsi="宋体" w:cs="华文楷体"/>
          <w:color w:val="auto"/>
          <w:spacing w:val="-2"/>
          <w:position w:val="-2"/>
          <w:sz w:val="24"/>
          <w:szCs w:val="24"/>
          <w:highlight w:val="none"/>
        </w:rPr>
        <w:t>其</w:t>
      </w:r>
      <w:r>
        <w:rPr>
          <w:rFonts w:hint="eastAsia" w:ascii="宋体" w:hAnsi="宋体" w:cs="华文楷体"/>
          <w:color w:val="auto"/>
          <w:position w:val="-2"/>
          <w:sz w:val="24"/>
          <w:szCs w:val="24"/>
          <w:highlight w:val="none"/>
        </w:rPr>
        <w:t>委</w:t>
      </w:r>
      <w:r>
        <w:rPr>
          <w:rFonts w:hint="eastAsia" w:ascii="宋体" w:hAnsi="宋体" w:cs="华文楷体"/>
          <w:color w:val="auto"/>
          <w:spacing w:val="-2"/>
          <w:position w:val="-2"/>
          <w:sz w:val="24"/>
          <w:szCs w:val="24"/>
          <w:highlight w:val="none"/>
        </w:rPr>
        <w:t>托</w:t>
      </w:r>
      <w:r>
        <w:rPr>
          <w:rFonts w:hint="eastAsia" w:ascii="宋体" w:hAnsi="宋体" w:cs="华文楷体"/>
          <w:color w:val="auto"/>
          <w:position w:val="-2"/>
          <w:sz w:val="24"/>
          <w:szCs w:val="24"/>
          <w:highlight w:val="none"/>
        </w:rPr>
        <w:t>代</w:t>
      </w:r>
      <w:r>
        <w:rPr>
          <w:rFonts w:hint="eastAsia" w:ascii="宋体" w:hAnsi="宋体" w:cs="华文楷体"/>
          <w:color w:val="auto"/>
          <w:spacing w:val="-2"/>
          <w:position w:val="-2"/>
          <w:sz w:val="24"/>
          <w:szCs w:val="24"/>
          <w:highlight w:val="none"/>
        </w:rPr>
        <w:t>理</w:t>
      </w:r>
      <w:r>
        <w:rPr>
          <w:rFonts w:hint="eastAsia" w:ascii="宋体" w:hAnsi="宋体" w:cs="华文楷体"/>
          <w:color w:val="auto"/>
          <w:position w:val="-2"/>
          <w:sz w:val="24"/>
          <w:szCs w:val="24"/>
          <w:highlight w:val="none"/>
        </w:rPr>
        <w:t>人：</w:t>
      </w:r>
      <w:r>
        <w:rPr>
          <w:rFonts w:hint="eastAsia" w:ascii="宋体" w:hAnsi="宋体" w:cs="华文楷体"/>
          <w:color w:val="auto"/>
          <w:position w:val="-2"/>
          <w:sz w:val="24"/>
          <w:szCs w:val="24"/>
          <w:highlight w:val="none"/>
          <w:u w:val="single"/>
        </w:rPr>
        <w:t xml:space="preserve"> </w:t>
      </w:r>
      <w:r>
        <w:rPr>
          <w:rFonts w:hint="eastAsia" w:ascii="宋体" w:hAnsi="宋体" w:cs="华文楷体"/>
          <w:color w:val="auto"/>
          <w:spacing w:val="1"/>
          <w:position w:val="-2"/>
          <w:sz w:val="24"/>
          <w:szCs w:val="24"/>
          <w:highlight w:val="none"/>
          <w:u w:val="single"/>
        </w:rPr>
        <w:t xml:space="preserve"> </w:t>
      </w:r>
      <w:r>
        <w:rPr>
          <w:rFonts w:hint="eastAsia" w:ascii="宋体" w:hAnsi="宋体" w:cs="华文楷体"/>
          <w:color w:val="auto"/>
          <w:position w:val="-2"/>
          <w:sz w:val="24"/>
          <w:szCs w:val="24"/>
          <w:highlight w:val="none"/>
          <w:u w:val="single"/>
        </w:rPr>
        <w:tab/>
      </w:r>
      <w:r>
        <w:rPr>
          <w:rFonts w:hint="eastAsia" w:ascii="宋体" w:hAnsi="宋体" w:cs="华文楷体"/>
          <w:color w:val="auto"/>
          <w:position w:val="-2"/>
          <w:sz w:val="24"/>
          <w:szCs w:val="24"/>
          <w:highlight w:val="none"/>
        </w:rPr>
        <w:t>（签</w:t>
      </w:r>
      <w:r>
        <w:rPr>
          <w:rFonts w:hint="eastAsia" w:ascii="宋体" w:hAnsi="宋体" w:cs="华文楷体"/>
          <w:color w:val="auto"/>
          <w:spacing w:val="-2"/>
          <w:position w:val="-2"/>
          <w:sz w:val="24"/>
          <w:szCs w:val="24"/>
          <w:highlight w:val="none"/>
        </w:rPr>
        <w:t>字或盖章</w:t>
      </w:r>
      <w:r>
        <w:rPr>
          <w:rFonts w:hint="eastAsia" w:ascii="宋体" w:hAnsi="宋体" w:cs="华文楷体"/>
          <w:color w:val="auto"/>
          <w:position w:val="-2"/>
          <w:sz w:val="24"/>
          <w:szCs w:val="24"/>
          <w:highlight w:val="none"/>
        </w:rPr>
        <w:t>）</w:t>
      </w:r>
    </w:p>
    <w:p w14:paraId="1A813FAE">
      <w:pPr>
        <w:tabs>
          <w:tab w:val="left" w:pos="7240"/>
        </w:tabs>
        <w:spacing w:line="360" w:lineRule="auto"/>
        <w:ind w:left="2511" w:right="-20"/>
        <w:jc w:val="left"/>
        <w:rPr>
          <w:rFonts w:ascii="宋体" w:hAnsi="宋体" w:cs="华文楷体"/>
          <w:color w:val="auto"/>
          <w:sz w:val="24"/>
          <w:szCs w:val="24"/>
          <w:highlight w:val="none"/>
        </w:rPr>
      </w:pPr>
      <w:r>
        <w:rPr>
          <w:rFonts w:hint="eastAsia" w:ascii="宋体" w:hAnsi="宋体" w:cs="华文楷体"/>
          <w:color w:val="auto"/>
          <w:position w:val="-2"/>
          <w:sz w:val="24"/>
          <w:szCs w:val="24"/>
          <w:highlight w:val="none"/>
        </w:rPr>
        <w:t>联合</w:t>
      </w:r>
      <w:r>
        <w:rPr>
          <w:rFonts w:hint="eastAsia" w:ascii="宋体" w:hAnsi="宋体" w:cs="华文楷体"/>
          <w:color w:val="auto"/>
          <w:spacing w:val="-2"/>
          <w:position w:val="-2"/>
          <w:sz w:val="24"/>
          <w:szCs w:val="24"/>
          <w:highlight w:val="none"/>
        </w:rPr>
        <w:t>体</w:t>
      </w:r>
      <w:r>
        <w:rPr>
          <w:rFonts w:hint="eastAsia" w:ascii="宋体" w:hAnsi="宋体" w:cs="华文楷体"/>
          <w:color w:val="auto"/>
          <w:position w:val="-2"/>
          <w:sz w:val="24"/>
          <w:szCs w:val="24"/>
          <w:highlight w:val="none"/>
        </w:rPr>
        <w:t>成</w:t>
      </w:r>
      <w:r>
        <w:rPr>
          <w:rFonts w:hint="eastAsia" w:ascii="宋体" w:hAnsi="宋体" w:cs="华文楷体"/>
          <w:color w:val="auto"/>
          <w:spacing w:val="-2"/>
          <w:position w:val="-2"/>
          <w:sz w:val="24"/>
          <w:szCs w:val="24"/>
          <w:highlight w:val="none"/>
        </w:rPr>
        <w:t>员</w:t>
      </w:r>
      <w:r>
        <w:rPr>
          <w:rFonts w:hint="eastAsia" w:ascii="宋体" w:hAnsi="宋体" w:cs="华文楷体"/>
          <w:color w:val="auto"/>
          <w:position w:val="-2"/>
          <w:sz w:val="24"/>
          <w:szCs w:val="24"/>
          <w:highlight w:val="none"/>
        </w:rPr>
        <w:t>名</w:t>
      </w:r>
      <w:r>
        <w:rPr>
          <w:rFonts w:hint="eastAsia" w:ascii="宋体" w:hAnsi="宋体" w:cs="华文楷体"/>
          <w:color w:val="auto"/>
          <w:spacing w:val="-2"/>
          <w:position w:val="-2"/>
          <w:sz w:val="24"/>
          <w:szCs w:val="24"/>
          <w:highlight w:val="none"/>
        </w:rPr>
        <w:t>称</w:t>
      </w:r>
      <w:r>
        <w:rPr>
          <w:rFonts w:hint="eastAsia" w:ascii="宋体" w:hAnsi="宋体" w:cs="华文楷体"/>
          <w:color w:val="auto"/>
          <w:position w:val="-2"/>
          <w:sz w:val="24"/>
          <w:szCs w:val="24"/>
          <w:highlight w:val="none"/>
        </w:rPr>
        <w:t>：</w:t>
      </w:r>
      <w:r>
        <w:rPr>
          <w:rFonts w:hint="eastAsia" w:ascii="宋体" w:hAnsi="宋体" w:cs="华文楷体"/>
          <w:color w:val="auto"/>
          <w:position w:val="-2"/>
          <w:sz w:val="24"/>
          <w:szCs w:val="24"/>
          <w:highlight w:val="none"/>
          <w:u w:val="single"/>
        </w:rPr>
        <w:t xml:space="preserve"> </w:t>
      </w:r>
      <w:r>
        <w:rPr>
          <w:rFonts w:hint="eastAsia" w:ascii="宋体" w:hAnsi="宋体" w:cs="华文楷体"/>
          <w:color w:val="auto"/>
          <w:spacing w:val="1"/>
          <w:position w:val="-2"/>
          <w:sz w:val="24"/>
          <w:szCs w:val="24"/>
          <w:highlight w:val="none"/>
          <w:u w:val="single"/>
        </w:rPr>
        <w:t xml:space="preserve"> </w:t>
      </w:r>
      <w:r>
        <w:rPr>
          <w:rFonts w:hint="eastAsia" w:ascii="宋体" w:hAnsi="宋体" w:cs="华文楷体"/>
          <w:color w:val="auto"/>
          <w:position w:val="-2"/>
          <w:sz w:val="24"/>
          <w:szCs w:val="24"/>
          <w:highlight w:val="none"/>
          <w:u w:val="single"/>
        </w:rPr>
        <w:tab/>
      </w:r>
      <w:r>
        <w:rPr>
          <w:rFonts w:hint="eastAsia" w:ascii="宋体" w:hAnsi="宋体" w:cs="华文楷体"/>
          <w:color w:val="auto"/>
          <w:position w:val="-2"/>
          <w:sz w:val="24"/>
          <w:szCs w:val="24"/>
          <w:highlight w:val="none"/>
        </w:rPr>
        <w:t>（盖</w:t>
      </w:r>
      <w:r>
        <w:rPr>
          <w:rFonts w:hint="eastAsia" w:ascii="宋体" w:hAnsi="宋体" w:cs="华文楷体"/>
          <w:color w:val="auto"/>
          <w:spacing w:val="-2"/>
          <w:position w:val="-2"/>
          <w:sz w:val="24"/>
          <w:szCs w:val="24"/>
          <w:highlight w:val="none"/>
        </w:rPr>
        <w:t>单</w:t>
      </w:r>
      <w:r>
        <w:rPr>
          <w:rFonts w:hint="eastAsia" w:ascii="宋体" w:hAnsi="宋体" w:cs="华文楷体"/>
          <w:color w:val="auto"/>
          <w:position w:val="-2"/>
          <w:sz w:val="24"/>
          <w:szCs w:val="24"/>
          <w:highlight w:val="none"/>
        </w:rPr>
        <w:t>位</w:t>
      </w:r>
      <w:r>
        <w:rPr>
          <w:rFonts w:hint="eastAsia" w:ascii="宋体" w:hAnsi="宋体" w:cs="华文楷体"/>
          <w:color w:val="auto"/>
          <w:spacing w:val="-2"/>
          <w:position w:val="-2"/>
          <w:sz w:val="24"/>
          <w:szCs w:val="24"/>
          <w:highlight w:val="none"/>
        </w:rPr>
        <w:t>章</w:t>
      </w:r>
      <w:r>
        <w:rPr>
          <w:rFonts w:hint="eastAsia" w:ascii="宋体" w:hAnsi="宋体" w:cs="华文楷体"/>
          <w:color w:val="auto"/>
          <w:position w:val="-2"/>
          <w:sz w:val="24"/>
          <w:szCs w:val="24"/>
          <w:highlight w:val="none"/>
        </w:rPr>
        <w:t>）</w:t>
      </w:r>
    </w:p>
    <w:p w14:paraId="7BDBCF41">
      <w:pPr>
        <w:tabs>
          <w:tab w:val="left" w:pos="6180"/>
        </w:tabs>
        <w:spacing w:line="360" w:lineRule="auto"/>
        <w:ind w:left="2511" w:right="-20"/>
        <w:jc w:val="left"/>
        <w:rPr>
          <w:rFonts w:ascii="宋体" w:hAnsi="宋体" w:cs="华文楷体"/>
          <w:color w:val="auto"/>
          <w:position w:val="-2"/>
          <w:sz w:val="24"/>
          <w:szCs w:val="24"/>
          <w:highlight w:val="none"/>
        </w:rPr>
      </w:pPr>
      <w:r>
        <w:rPr>
          <w:rFonts w:hint="eastAsia" w:ascii="宋体" w:hAnsi="宋体" w:cs="华文楷体"/>
          <w:color w:val="auto"/>
          <w:position w:val="-2"/>
          <w:sz w:val="24"/>
          <w:szCs w:val="24"/>
          <w:highlight w:val="none"/>
        </w:rPr>
        <w:t>法定</w:t>
      </w:r>
      <w:r>
        <w:rPr>
          <w:rFonts w:hint="eastAsia" w:ascii="宋体" w:hAnsi="宋体" w:cs="华文楷体"/>
          <w:color w:val="auto"/>
          <w:spacing w:val="-2"/>
          <w:position w:val="-2"/>
          <w:sz w:val="24"/>
          <w:szCs w:val="24"/>
          <w:highlight w:val="none"/>
        </w:rPr>
        <w:t>代</w:t>
      </w:r>
      <w:r>
        <w:rPr>
          <w:rFonts w:hint="eastAsia" w:ascii="宋体" w:hAnsi="宋体" w:cs="华文楷体"/>
          <w:color w:val="auto"/>
          <w:position w:val="-2"/>
          <w:sz w:val="24"/>
          <w:szCs w:val="24"/>
          <w:highlight w:val="none"/>
        </w:rPr>
        <w:t>表</w:t>
      </w:r>
      <w:r>
        <w:rPr>
          <w:rFonts w:hint="eastAsia" w:ascii="宋体" w:hAnsi="宋体" w:cs="华文楷体"/>
          <w:color w:val="auto"/>
          <w:spacing w:val="-2"/>
          <w:position w:val="-2"/>
          <w:sz w:val="24"/>
          <w:szCs w:val="24"/>
          <w:highlight w:val="none"/>
        </w:rPr>
        <w:t>人</w:t>
      </w:r>
      <w:r>
        <w:rPr>
          <w:rFonts w:hint="eastAsia" w:ascii="宋体" w:hAnsi="宋体" w:cs="华文楷体"/>
          <w:color w:val="auto"/>
          <w:position w:val="-2"/>
          <w:sz w:val="24"/>
          <w:szCs w:val="24"/>
          <w:highlight w:val="none"/>
        </w:rPr>
        <w:t>或</w:t>
      </w:r>
      <w:r>
        <w:rPr>
          <w:rFonts w:hint="eastAsia" w:ascii="宋体" w:hAnsi="宋体" w:cs="华文楷体"/>
          <w:color w:val="auto"/>
          <w:spacing w:val="-2"/>
          <w:position w:val="-2"/>
          <w:sz w:val="24"/>
          <w:szCs w:val="24"/>
          <w:highlight w:val="none"/>
        </w:rPr>
        <w:t>其</w:t>
      </w:r>
      <w:r>
        <w:rPr>
          <w:rFonts w:hint="eastAsia" w:ascii="宋体" w:hAnsi="宋体" w:cs="华文楷体"/>
          <w:color w:val="auto"/>
          <w:position w:val="-2"/>
          <w:sz w:val="24"/>
          <w:szCs w:val="24"/>
          <w:highlight w:val="none"/>
        </w:rPr>
        <w:t>委</w:t>
      </w:r>
      <w:r>
        <w:rPr>
          <w:rFonts w:hint="eastAsia" w:ascii="宋体" w:hAnsi="宋体" w:cs="华文楷体"/>
          <w:color w:val="auto"/>
          <w:spacing w:val="-2"/>
          <w:position w:val="-2"/>
          <w:sz w:val="24"/>
          <w:szCs w:val="24"/>
          <w:highlight w:val="none"/>
        </w:rPr>
        <w:t>托</w:t>
      </w:r>
      <w:r>
        <w:rPr>
          <w:rFonts w:hint="eastAsia" w:ascii="宋体" w:hAnsi="宋体" w:cs="华文楷体"/>
          <w:color w:val="auto"/>
          <w:position w:val="-2"/>
          <w:sz w:val="24"/>
          <w:szCs w:val="24"/>
          <w:highlight w:val="none"/>
        </w:rPr>
        <w:t>代</w:t>
      </w:r>
      <w:r>
        <w:rPr>
          <w:rFonts w:hint="eastAsia" w:ascii="宋体" w:hAnsi="宋体" w:cs="华文楷体"/>
          <w:color w:val="auto"/>
          <w:spacing w:val="-2"/>
          <w:position w:val="-2"/>
          <w:sz w:val="24"/>
          <w:szCs w:val="24"/>
          <w:highlight w:val="none"/>
        </w:rPr>
        <w:t>理</w:t>
      </w:r>
      <w:r>
        <w:rPr>
          <w:rFonts w:hint="eastAsia" w:ascii="宋体" w:hAnsi="宋体" w:cs="华文楷体"/>
          <w:color w:val="auto"/>
          <w:position w:val="-2"/>
          <w:sz w:val="24"/>
          <w:szCs w:val="24"/>
          <w:highlight w:val="none"/>
        </w:rPr>
        <w:t>人：</w:t>
      </w:r>
      <w:r>
        <w:rPr>
          <w:rFonts w:hint="eastAsia" w:ascii="宋体" w:hAnsi="宋体" w:cs="华文楷体"/>
          <w:color w:val="auto"/>
          <w:position w:val="-2"/>
          <w:sz w:val="24"/>
          <w:szCs w:val="24"/>
          <w:highlight w:val="none"/>
          <w:u w:val="single"/>
        </w:rPr>
        <w:t xml:space="preserve"> </w:t>
      </w:r>
      <w:r>
        <w:rPr>
          <w:rFonts w:hint="eastAsia" w:ascii="宋体" w:hAnsi="宋体" w:cs="华文楷体"/>
          <w:color w:val="auto"/>
          <w:spacing w:val="1"/>
          <w:position w:val="-2"/>
          <w:sz w:val="24"/>
          <w:szCs w:val="24"/>
          <w:highlight w:val="none"/>
          <w:u w:val="single"/>
        </w:rPr>
        <w:t xml:space="preserve">     </w:t>
      </w:r>
      <w:r>
        <w:rPr>
          <w:rFonts w:hint="eastAsia" w:ascii="宋体" w:hAnsi="宋体" w:cs="华文楷体"/>
          <w:color w:val="auto"/>
          <w:position w:val="-2"/>
          <w:sz w:val="24"/>
          <w:szCs w:val="24"/>
          <w:highlight w:val="none"/>
          <w:u w:val="single"/>
        </w:rPr>
        <w:tab/>
      </w:r>
      <w:r>
        <w:rPr>
          <w:rFonts w:hint="eastAsia" w:ascii="宋体" w:hAnsi="宋体" w:cs="华文楷体"/>
          <w:color w:val="auto"/>
          <w:position w:val="-2"/>
          <w:sz w:val="24"/>
          <w:szCs w:val="24"/>
          <w:highlight w:val="none"/>
        </w:rPr>
        <w:t>（</w:t>
      </w:r>
      <w:r>
        <w:rPr>
          <w:rFonts w:hint="eastAsia" w:ascii="宋体" w:hAnsi="宋体" w:cs="华文楷体"/>
          <w:color w:val="auto"/>
          <w:spacing w:val="-2"/>
          <w:position w:val="-2"/>
          <w:sz w:val="24"/>
          <w:szCs w:val="24"/>
          <w:highlight w:val="none"/>
        </w:rPr>
        <w:t>签</w:t>
      </w:r>
      <w:r>
        <w:rPr>
          <w:rFonts w:hint="eastAsia" w:ascii="宋体" w:hAnsi="宋体" w:cs="华文楷体"/>
          <w:color w:val="auto"/>
          <w:position w:val="-2"/>
          <w:sz w:val="24"/>
          <w:szCs w:val="24"/>
          <w:highlight w:val="none"/>
        </w:rPr>
        <w:t>字或盖章）</w:t>
      </w:r>
    </w:p>
    <w:p w14:paraId="04AF1BFE">
      <w:pPr>
        <w:pStyle w:val="25"/>
        <w:spacing w:line="360" w:lineRule="auto"/>
        <w:ind w:firstLine="3600" w:firstLineChars="1500"/>
        <w:rPr>
          <w:rFonts w:ascii="宋体" w:hAnsi="宋体" w:cs="华文楷体"/>
          <w:color w:val="auto"/>
          <w:sz w:val="24"/>
          <w:highlight w:val="none"/>
        </w:rPr>
      </w:pPr>
      <w:r>
        <w:rPr>
          <w:rFonts w:hint="eastAsia" w:ascii="宋体" w:hAnsi="宋体" w:cs="华文楷体"/>
          <w:color w:val="auto"/>
          <w:kern w:val="44"/>
          <w:sz w:val="24"/>
          <w:highlight w:val="none"/>
        </w:rPr>
        <w:t>……（如有，投标人自行添加）</w:t>
      </w:r>
    </w:p>
    <w:p w14:paraId="7C60C72D">
      <w:pPr>
        <w:widowControl/>
        <w:spacing w:line="360" w:lineRule="auto"/>
        <w:jc w:val="center"/>
        <w:rPr>
          <w:rFonts w:ascii="宋体" w:hAnsi="宋体" w:cs="华文楷体"/>
          <w:color w:val="auto"/>
          <w:sz w:val="24"/>
          <w:szCs w:val="24"/>
          <w:highlight w:val="none"/>
        </w:rPr>
      </w:pPr>
      <w:r>
        <w:rPr>
          <w:rFonts w:hint="eastAsia" w:ascii="宋体" w:hAnsi="宋体" w:cs="华文楷体"/>
          <w:color w:val="auto"/>
          <w:sz w:val="24"/>
          <w:szCs w:val="24"/>
          <w:highlight w:val="none"/>
        </w:rPr>
        <w:tab/>
      </w:r>
      <w:r>
        <w:rPr>
          <w:rFonts w:hint="eastAsia" w:ascii="宋体" w:hAnsi="宋体" w:cs="华文楷体"/>
          <w:color w:val="auto"/>
          <w:sz w:val="24"/>
          <w:szCs w:val="24"/>
          <w:highlight w:val="none"/>
        </w:rPr>
        <w:t>日期：</w:t>
      </w:r>
      <w:r>
        <w:rPr>
          <w:rFonts w:hint="eastAsia" w:ascii="宋体" w:hAnsi="宋体" w:cs="华文楷体"/>
          <w:color w:val="auto"/>
          <w:sz w:val="24"/>
          <w:szCs w:val="24"/>
          <w:highlight w:val="none"/>
          <w:u w:val="single"/>
        </w:rPr>
        <w:t xml:space="preserve">    </w:t>
      </w:r>
      <w:r>
        <w:rPr>
          <w:rFonts w:hint="eastAsia" w:ascii="宋体" w:hAnsi="宋体" w:cs="华文楷体"/>
          <w:color w:val="auto"/>
          <w:sz w:val="24"/>
          <w:szCs w:val="24"/>
          <w:highlight w:val="none"/>
        </w:rPr>
        <w:t>年</w:t>
      </w:r>
      <w:r>
        <w:rPr>
          <w:rFonts w:hint="eastAsia" w:ascii="宋体" w:hAnsi="宋体" w:cs="华文楷体"/>
          <w:color w:val="auto"/>
          <w:sz w:val="24"/>
          <w:szCs w:val="24"/>
          <w:highlight w:val="none"/>
          <w:u w:val="single"/>
        </w:rPr>
        <w:t xml:space="preserve">    </w:t>
      </w:r>
      <w:r>
        <w:rPr>
          <w:rFonts w:hint="eastAsia" w:ascii="宋体" w:hAnsi="宋体" w:cs="华文楷体"/>
          <w:color w:val="auto"/>
          <w:sz w:val="24"/>
          <w:szCs w:val="24"/>
          <w:highlight w:val="none"/>
        </w:rPr>
        <w:t>月</w:t>
      </w:r>
      <w:r>
        <w:rPr>
          <w:rFonts w:hint="eastAsia" w:ascii="宋体" w:hAnsi="宋体" w:cs="华文楷体"/>
          <w:color w:val="auto"/>
          <w:sz w:val="24"/>
          <w:szCs w:val="24"/>
          <w:highlight w:val="none"/>
          <w:u w:val="single"/>
        </w:rPr>
        <w:t xml:space="preserve">    </w:t>
      </w:r>
      <w:r>
        <w:rPr>
          <w:rFonts w:hint="eastAsia" w:ascii="宋体" w:hAnsi="宋体" w:cs="华文楷体"/>
          <w:color w:val="auto"/>
          <w:sz w:val="24"/>
          <w:szCs w:val="24"/>
          <w:highlight w:val="none"/>
        </w:rPr>
        <w:t>日</w:t>
      </w:r>
    </w:p>
    <w:p w14:paraId="149F452B">
      <w:pPr>
        <w:rPr>
          <w:color w:val="auto"/>
          <w:highlight w:val="none"/>
        </w:rPr>
      </w:pPr>
    </w:p>
    <w:p w14:paraId="07E78D92">
      <w:pPr>
        <w:widowControl/>
        <w:spacing w:line="360" w:lineRule="auto"/>
        <w:jc w:val="center"/>
        <w:rPr>
          <w:rFonts w:ascii="宋体" w:hAnsi="宋体" w:cs="宋体"/>
          <w:b/>
          <w:bCs/>
          <w:color w:val="auto"/>
          <w:kern w:val="0"/>
          <w:sz w:val="28"/>
          <w:szCs w:val="28"/>
          <w:highlight w:val="none"/>
        </w:rPr>
      </w:pPr>
      <w:r>
        <w:rPr>
          <w:rFonts w:hint="eastAsia" w:ascii="宋体" w:hAnsi="宋体" w:cs="宋体"/>
          <w:b/>
          <w:bCs/>
          <w:color w:val="auto"/>
          <w:kern w:val="0"/>
          <w:sz w:val="28"/>
          <w:szCs w:val="28"/>
          <w:highlight w:val="none"/>
        </w:rPr>
        <w:br w:type="page"/>
      </w:r>
      <w:r>
        <w:rPr>
          <w:rFonts w:hint="eastAsia" w:ascii="宋体" w:hAnsi="宋体" w:cs="宋体"/>
          <w:b/>
          <w:bCs/>
          <w:color w:val="auto"/>
          <w:kern w:val="0"/>
          <w:sz w:val="28"/>
          <w:szCs w:val="28"/>
          <w:highlight w:val="none"/>
        </w:rPr>
        <w:t>（六）投标人认为应该提供的其他资审资料</w:t>
      </w:r>
    </w:p>
    <w:p w14:paraId="1A49676D">
      <w:pPr>
        <w:pStyle w:val="26"/>
        <w:ind w:left="0" w:leftChars="0" w:firstLine="0" w:firstLineChars="0"/>
        <w:jc w:val="center"/>
        <w:rPr>
          <w:rFonts w:ascii="宋体" w:hAnsi="宋体" w:cs="宋体"/>
          <w:b/>
          <w:bCs/>
          <w:color w:val="auto"/>
          <w:kern w:val="0"/>
          <w:szCs w:val="21"/>
          <w:highlight w:val="none"/>
        </w:rPr>
      </w:pPr>
    </w:p>
    <w:p w14:paraId="689FAC25">
      <w:pPr>
        <w:pStyle w:val="26"/>
        <w:ind w:left="0" w:leftChars="0" w:firstLine="0" w:firstLineChars="0"/>
        <w:jc w:val="center"/>
        <w:rPr>
          <w:rFonts w:ascii="宋体" w:hAnsi="宋体" w:cs="宋体"/>
          <w:b/>
          <w:bCs/>
          <w:color w:val="auto"/>
          <w:kern w:val="0"/>
          <w:szCs w:val="21"/>
          <w:highlight w:val="none"/>
        </w:rPr>
      </w:pPr>
    </w:p>
    <w:p w14:paraId="69E5B106">
      <w:pPr>
        <w:pStyle w:val="26"/>
        <w:ind w:left="0" w:leftChars="0" w:firstLine="0" w:firstLineChars="0"/>
        <w:jc w:val="center"/>
        <w:rPr>
          <w:rFonts w:ascii="宋体" w:hAnsi="宋体" w:cs="宋体"/>
          <w:b/>
          <w:bCs/>
          <w:color w:val="auto"/>
          <w:kern w:val="0"/>
          <w:szCs w:val="21"/>
          <w:highlight w:val="none"/>
        </w:rPr>
      </w:pPr>
    </w:p>
    <w:p w14:paraId="62252A33">
      <w:pPr>
        <w:pStyle w:val="4"/>
        <w:jc w:val="center"/>
        <w:rPr>
          <w:color w:val="auto"/>
          <w:highlight w:val="none"/>
        </w:rPr>
      </w:pPr>
      <w:r>
        <w:rPr>
          <w:color w:val="auto"/>
          <w:highlight w:val="none"/>
        </w:rPr>
        <w:br w:type="page"/>
      </w:r>
      <w:bookmarkStart w:id="192" w:name="_Toc118554001"/>
      <w:bookmarkStart w:id="193" w:name="_Toc533357334"/>
      <w:bookmarkStart w:id="194" w:name="_Toc20625"/>
      <w:r>
        <w:rPr>
          <w:rFonts w:hint="eastAsia"/>
          <w:color w:val="auto"/>
          <w:highlight w:val="none"/>
        </w:rPr>
        <w:t>六、类似项目业绩表</w:t>
      </w:r>
      <w:bookmarkEnd w:id="192"/>
    </w:p>
    <w:p w14:paraId="63B42AE4">
      <w:pPr>
        <w:jc w:val="center"/>
        <w:rPr>
          <w:color w:val="auto"/>
          <w:highlight w:val="none"/>
        </w:rPr>
      </w:pPr>
      <w:r>
        <w:rPr>
          <w:rFonts w:hint="eastAsia"/>
          <w:b/>
          <w:color w:val="auto"/>
          <w:sz w:val="28"/>
          <w:szCs w:val="28"/>
          <w:highlight w:val="none"/>
        </w:rPr>
        <w:t>类似项目业绩表</w:t>
      </w:r>
    </w:p>
    <w:tbl>
      <w:tblPr>
        <w:tblStyle w:val="2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2492"/>
        <w:gridCol w:w="1054"/>
        <w:gridCol w:w="1356"/>
        <w:gridCol w:w="932"/>
        <w:gridCol w:w="1827"/>
        <w:gridCol w:w="1201"/>
      </w:tblGrid>
      <w:tr w14:paraId="086A4F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1" w:hRule="atLeast"/>
          <w:jc w:val="center"/>
        </w:trPr>
        <w:tc>
          <w:tcPr>
            <w:tcW w:w="709" w:type="dxa"/>
            <w:vAlign w:val="center"/>
          </w:tcPr>
          <w:p w14:paraId="41F98D07">
            <w:pPr>
              <w:snapToGrid w:val="0"/>
              <w:spacing w:line="240" w:lineRule="atLeast"/>
              <w:jc w:val="center"/>
              <w:rPr>
                <w:rFonts w:ascii="宋体" w:hAnsi="宋体"/>
                <w:color w:val="auto"/>
                <w:sz w:val="24"/>
                <w:highlight w:val="none"/>
              </w:rPr>
            </w:pPr>
            <w:r>
              <w:rPr>
                <w:rFonts w:hint="eastAsia" w:ascii="宋体" w:hAnsi="宋体"/>
                <w:color w:val="auto"/>
                <w:sz w:val="24"/>
                <w:highlight w:val="none"/>
              </w:rPr>
              <w:t>序号</w:t>
            </w:r>
          </w:p>
        </w:tc>
        <w:tc>
          <w:tcPr>
            <w:tcW w:w="2492" w:type="dxa"/>
            <w:vAlign w:val="center"/>
          </w:tcPr>
          <w:p w14:paraId="1579B3AB">
            <w:pPr>
              <w:snapToGrid w:val="0"/>
              <w:spacing w:line="240" w:lineRule="atLeast"/>
              <w:jc w:val="center"/>
              <w:rPr>
                <w:rFonts w:ascii="宋体" w:hAnsi="宋体"/>
                <w:color w:val="auto"/>
                <w:sz w:val="24"/>
                <w:highlight w:val="none"/>
              </w:rPr>
            </w:pPr>
            <w:r>
              <w:rPr>
                <w:rFonts w:hint="eastAsia" w:ascii="宋体" w:hAnsi="宋体"/>
                <w:color w:val="auto"/>
                <w:sz w:val="24"/>
                <w:highlight w:val="none"/>
              </w:rPr>
              <w:t>工程名称</w:t>
            </w:r>
          </w:p>
        </w:tc>
        <w:tc>
          <w:tcPr>
            <w:tcW w:w="1054" w:type="dxa"/>
            <w:vAlign w:val="center"/>
          </w:tcPr>
          <w:p w14:paraId="267E8BC6">
            <w:pPr>
              <w:snapToGrid w:val="0"/>
              <w:spacing w:line="240" w:lineRule="atLeast"/>
              <w:jc w:val="center"/>
              <w:rPr>
                <w:rFonts w:ascii="宋体" w:hAnsi="宋体"/>
                <w:color w:val="auto"/>
                <w:sz w:val="24"/>
                <w:highlight w:val="none"/>
              </w:rPr>
            </w:pPr>
            <w:r>
              <w:rPr>
                <w:rFonts w:hint="eastAsia" w:ascii="宋体" w:hAnsi="宋体"/>
                <w:color w:val="auto"/>
                <w:sz w:val="24"/>
                <w:highlight w:val="none"/>
              </w:rPr>
              <w:t>建设单位</w:t>
            </w:r>
          </w:p>
        </w:tc>
        <w:tc>
          <w:tcPr>
            <w:tcW w:w="1356" w:type="dxa"/>
            <w:vAlign w:val="center"/>
          </w:tcPr>
          <w:p w14:paraId="62CE78A2">
            <w:pPr>
              <w:snapToGrid w:val="0"/>
              <w:spacing w:line="240" w:lineRule="atLeast"/>
              <w:jc w:val="center"/>
              <w:rPr>
                <w:rFonts w:ascii="宋体" w:hAnsi="宋体"/>
                <w:color w:val="auto"/>
                <w:sz w:val="24"/>
                <w:highlight w:val="none"/>
              </w:rPr>
            </w:pPr>
            <w:r>
              <w:rPr>
                <w:rFonts w:hint="eastAsia" w:ascii="宋体" w:hAnsi="宋体"/>
                <w:color w:val="auto"/>
                <w:sz w:val="24"/>
                <w:highlight w:val="none"/>
              </w:rPr>
              <w:t>合同价（万元）</w:t>
            </w:r>
          </w:p>
        </w:tc>
        <w:tc>
          <w:tcPr>
            <w:tcW w:w="932" w:type="dxa"/>
            <w:vAlign w:val="center"/>
          </w:tcPr>
          <w:p w14:paraId="382484D3">
            <w:pPr>
              <w:snapToGrid w:val="0"/>
              <w:spacing w:line="240" w:lineRule="atLeast"/>
              <w:jc w:val="center"/>
              <w:rPr>
                <w:rFonts w:ascii="宋体" w:hAnsi="宋体"/>
                <w:color w:val="auto"/>
                <w:sz w:val="24"/>
                <w:highlight w:val="none"/>
              </w:rPr>
            </w:pPr>
            <w:r>
              <w:rPr>
                <w:rFonts w:hint="eastAsia" w:ascii="宋体" w:hAnsi="宋体"/>
                <w:color w:val="auto"/>
                <w:sz w:val="24"/>
                <w:highlight w:val="none"/>
              </w:rPr>
              <w:t>起止时间</w:t>
            </w:r>
          </w:p>
        </w:tc>
        <w:tc>
          <w:tcPr>
            <w:tcW w:w="1827" w:type="dxa"/>
            <w:vAlign w:val="center"/>
          </w:tcPr>
          <w:p w14:paraId="632468CC">
            <w:pPr>
              <w:snapToGrid w:val="0"/>
              <w:spacing w:line="240" w:lineRule="atLeast"/>
              <w:jc w:val="center"/>
              <w:rPr>
                <w:rFonts w:ascii="宋体" w:hAnsi="宋体"/>
                <w:color w:val="auto"/>
                <w:sz w:val="24"/>
                <w:highlight w:val="none"/>
              </w:rPr>
            </w:pPr>
            <w:r>
              <w:rPr>
                <w:rFonts w:hint="eastAsia" w:ascii="宋体" w:hAnsi="宋体"/>
                <w:color w:val="auto"/>
                <w:sz w:val="24"/>
                <w:highlight w:val="none"/>
              </w:rPr>
              <w:t>工程所在地址</w:t>
            </w:r>
          </w:p>
        </w:tc>
        <w:tc>
          <w:tcPr>
            <w:tcW w:w="1201" w:type="dxa"/>
            <w:vAlign w:val="center"/>
          </w:tcPr>
          <w:p w14:paraId="7B3A4F7B">
            <w:pPr>
              <w:snapToGrid w:val="0"/>
              <w:spacing w:line="240" w:lineRule="atLeast"/>
              <w:jc w:val="center"/>
              <w:rPr>
                <w:rFonts w:ascii="宋体" w:hAnsi="宋体"/>
                <w:color w:val="auto"/>
                <w:sz w:val="24"/>
                <w:highlight w:val="none"/>
              </w:rPr>
            </w:pPr>
            <w:r>
              <w:rPr>
                <w:rFonts w:hint="eastAsia" w:ascii="宋体" w:hAnsi="宋体"/>
                <w:color w:val="auto"/>
                <w:sz w:val="24"/>
                <w:highlight w:val="none"/>
              </w:rPr>
              <w:t>备注</w:t>
            </w:r>
          </w:p>
        </w:tc>
      </w:tr>
      <w:tr w14:paraId="19DEF2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5" w:hRule="atLeast"/>
          <w:jc w:val="center"/>
        </w:trPr>
        <w:tc>
          <w:tcPr>
            <w:tcW w:w="709" w:type="dxa"/>
            <w:vAlign w:val="center"/>
          </w:tcPr>
          <w:p w14:paraId="3702B9BA">
            <w:pPr>
              <w:spacing w:line="240" w:lineRule="atLeast"/>
              <w:jc w:val="center"/>
              <w:rPr>
                <w:rFonts w:ascii="宋体" w:hAnsi="宋体"/>
                <w:color w:val="auto"/>
                <w:sz w:val="24"/>
                <w:highlight w:val="none"/>
              </w:rPr>
            </w:pPr>
          </w:p>
        </w:tc>
        <w:tc>
          <w:tcPr>
            <w:tcW w:w="2492" w:type="dxa"/>
            <w:vAlign w:val="center"/>
          </w:tcPr>
          <w:p w14:paraId="43448972">
            <w:pPr>
              <w:spacing w:line="240" w:lineRule="atLeast"/>
              <w:jc w:val="center"/>
              <w:rPr>
                <w:rFonts w:ascii="宋体" w:hAnsi="宋体"/>
                <w:color w:val="auto"/>
                <w:sz w:val="24"/>
                <w:highlight w:val="none"/>
              </w:rPr>
            </w:pPr>
          </w:p>
        </w:tc>
        <w:tc>
          <w:tcPr>
            <w:tcW w:w="1054" w:type="dxa"/>
            <w:vAlign w:val="center"/>
          </w:tcPr>
          <w:p w14:paraId="74CF8F5E">
            <w:pPr>
              <w:spacing w:line="240" w:lineRule="atLeast"/>
              <w:jc w:val="center"/>
              <w:rPr>
                <w:rFonts w:ascii="宋体" w:hAnsi="宋体"/>
                <w:color w:val="auto"/>
                <w:sz w:val="24"/>
                <w:highlight w:val="none"/>
              </w:rPr>
            </w:pPr>
          </w:p>
        </w:tc>
        <w:tc>
          <w:tcPr>
            <w:tcW w:w="1356" w:type="dxa"/>
            <w:vAlign w:val="center"/>
          </w:tcPr>
          <w:p w14:paraId="1D55B704">
            <w:pPr>
              <w:spacing w:line="240" w:lineRule="atLeast"/>
              <w:jc w:val="center"/>
              <w:rPr>
                <w:rFonts w:ascii="宋体" w:hAnsi="宋体"/>
                <w:color w:val="auto"/>
                <w:sz w:val="24"/>
                <w:highlight w:val="none"/>
              </w:rPr>
            </w:pPr>
          </w:p>
        </w:tc>
        <w:tc>
          <w:tcPr>
            <w:tcW w:w="932" w:type="dxa"/>
            <w:vAlign w:val="center"/>
          </w:tcPr>
          <w:p w14:paraId="3E7461BC">
            <w:pPr>
              <w:spacing w:line="240" w:lineRule="atLeast"/>
              <w:jc w:val="center"/>
              <w:rPr>
                <w:rFonts w:ascii="宋体" w:hAnsi="宋体"/>
                <w:color w:val="auto"/>
                <w:sz w:val="24"/>
                <w:highlight w:val="none"/>
              </w:rPr>
            </w:pPr>
          </w:p>
        </w:tc>
        <w:tc>
          <w:tcPr>
            <w:tcW w:w="1827" w:type="dxa"/>
            <w:vAlign w:val="center"/>
          </w:tcPr>
          <w:p w14:paraId="43D725C9">
            <w:pPr>
              <w:spacing w:line="240" w:lineRule="atLeast"/>
              <w:jc w:val="center"/>
              <w:rPr>
                <w:rFonts w:ascii="宋体" w:hAnsi="宋体"/>
                <w:color w:val="auto"/>
                <w:sz w:val="24"/>
                <w:highlight w:val="none"/>
              </w:rPr>
            </w:pPr>
          </w:p>
        </w:tc>
        <w:tc>
          <w:tcPr>
            <w:tcW w:w="1201" w:type="dxa"/>
            <w:vAlign w:val="center"/>
          </w:tcPr>
          <w:p w14:paraId="318EA207">
            <w:pPr>
              <w:spacing w:line="240" w:lineRule="atLeast"/>
              <w:jc w:val="center"/>
              <w:rPr>
                <w:rFonts w:ascii="宋体" w:hAnsi="宋体"/>
                <w:color w:val="auto"/>
                <w:sz w:val="24"/>
                <w:highlight w:val="none"/>
              </w:rPr>
            </w:pPr>
          </w:p>
        </w:tc>
      </w:tr>
      <w:tr w14:paraId="013B71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5" w:hRule="atLeast"/>
          <w:jc w:val="center"/>
        </w:trPr>
        <w:tc>
          <w:tcPr>
            <w:tcW w:w="709" w:type="dxa"/>
            <w:vAlign w:val="center"/>
          </w:tcPr>
          <w:p w14:paraId="65077BCF">
            <w:pPr>
              <w:spacing w:line="240" w:lineRule="atLeast"/>
              <w:jc w:val="center"/>
              <w:rPr>
                <w:rFonts w:ascii="宋体" w:hAnsi="宋体"/>
                <w:color w:val="auto"/>
                <w:sz w:val="24"/>
                <w:highlight w:val="none"/>
              </w:rPr>
            </w:pPr>
          </w:p>
        </w:tc>
        <w:tc>
          <w:tcPr>
            <w:tcW w:w="2492" w:type="dxa"/>
            <w:vAlign w:val="center"/>
          </w:tcPr>
          <w:p w14:paraId="32AF8CA1">
            <w:pPr>
              <w:spacing w:line="240" w:lineRule="atLeast"/>
              <w:jc w:val="center"/>
              <w:rPr>
                <w:rFonts w:ascii="宋体" w:hAnsi="宋体"/>
                <w:color w:val="auto"/>
                <w:sz w:val="24"/>
                <w:highlight w:val="none"/>
              </w:rPr>
            </w:pPr>
          </w:p>
        </w:tc>
        <w:tc>
          <w:tcPr>
            <w:tcW w:w="1054" w:type="dxa"/>
            <w:vAlign w:val="center"/>
          </w:tcPr>
          <w:p w14:paraId="1BFC910F">
            <w:pPr>
              <w:spacing w:line="240" w:lineRule="atLeast"/>
              <w:jc w:val="center"/>
              <w:rPr>
                <w:rFonts w:ascii="宋体" w:hAnsi="宋体"/>
                <w:color w:val="auto"/>
                <w:sz w:val="24"/>
                <w:highlight w:val="none"/>
              </w:rPr>
            </w:pPr>
          </w:p>
        </w:tc>
        <w:tc>
          <w:tcPr>
            <w:tcW w:w="1356" w:type="dxa"/>
            <w:vAlign w:val="center"/>
          </w:tcPr>
          <w:p w14:paraId="0B0F0CF7">
            <w:pPr>
              <w:spacing w:line="240" w:lineRule="atLeast"/>
              <w:jc w:val="center"/>
              <w:rPr>
                <w:rFonts w:ascii="宋体" w:hAnsi="宋体"/>
                <w:color w:val="auto"/>
                <w:sz w:val="24"/>
                <w:highlight w:val="none"/>
              </w:rPr>
            </w:pPr>
          </w:p>
        </w:tc>
        <w:tc>
          <w:tcPr>
            <w:tcW w:w="932" w:type="dxa"/>
            <w:vAlign w:val="center"/>
          </w:tcPr>
          <w:p w14:paraId="168BA06A">
            <w:pPr>
              <w:spacing w:line="240" w:lineRule="atLeast"/>
              <w:jc w:val="center"/>
              <w:rPr>
                <w:rFonts w:ascii="宋体" w:hAnsi="宋体"/>
                <w:color w:val="auto"/>
                <w:sz w:val="24"/>
                <w:highlight w:val="none"/>
              </w:rPr>
            </w:pPr>
          </w:p>
        </w:tc>
        <w:tc>
          <w:tcPr>
            <w:tcW w:w="1827" w:type="dxa"/>
            <w:vAlign w:val="center"/>
          </w:tcPr>
          <w:p w14:paraId="0548E9E4">
            <w:pPr>
              <w:spacing w:line="240" w:lineRule="atLeast"/>
              <w:jc w:val="center"/>
              <w:rPr>
                <w:rFonts w:ascii="宋体" w:hAnsi="宋体"/>
                <w:color w:val="auto"/>
                <w:sz w:val="24"/>
                <w:highlight w:val="none"/>
              </w:rPr>
            </w:pPr>
          </w:p>
        </w:tc>
        <w:tc>
          <w:tcPr>
            <w:tcW w:w="1201" w:type="dxa"/>
            <w:vAlign w:val="center"/>
          </w:tcPr>
          <w:p w14:paraId="48159062">
            <w:pPr>
              <w:spacing w:line="240" w:lineRule="atLeast"/>
              <w:jc w:val="center"/>
              <w:rPr>
                <w:rFonts w:ascii="宋体" w:hAnsi="宋体"/>
                <w:color w:val="auto"/>
                <w:sz w:val="24"/>
                <w:highlight w:val="none"/>
              </w:rPr>
            </w:pPr>
          </w:p>
        </w:tc>
      </w:tr>
      <w:tr w14:paraId="40B086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5" w:hRule="atLeast"/>
          <w:jc w:val="center"/>
        </w:trPr>
        <w:tc>
          <w:tcPr>
            <w:tcW w:w="709" w:type="dxa"/>
            <w:vAlign w:val="center"/>
          </w:tcPr>
          <w:p w14:paraId="0C9002BC">
            <w:pPr>
              <w:spacing w:line="240" w:lineRule="atLeast"/>
              <w:jc w:val="center"/>
              <w:rPr>
                <w:rFonts w:ascii="宋体" w:hAnsi="宋体"/>
                <w:color w:val="auto"/>
                <w:sz w:val="24"/>
                <w:highlight w:val="none"/>
              </w:rPr>
            </w:pPr>
          </w:p>
        </w:tc>
        <w:tc>
          <w:tcPr>
            <w:tcW w:w="2492" w:type="dxa"/>
            <w:vAlign w:val="center"/>
          </w:tcPr>
          <w:p w14:paraId="1961F784">
            <w:pPr>
              <w:spacing w:line="240" w:lineRule="atLeast"/>
              <w:jc w:val="center"/>
              <w:rPr>
                <w:rFonts w:ascii="宋体" w:hAnsi="宋体"/>
                <w:color w:val="auto"/>
                <w:sz w:val="24"/>
                <w:highlight w:val="none"/>
              </w:rPr>
            </w:pPr>
          </w:p>
        </w:tc>
        <w:tc>
          <w:tcPr>
            <w:tcW w:w="1054" w:type="dxa"/>
            <w:vAlign w:val="center"/>
          </w:tcPr>
          <w:p w14:paraId="058F8481">
            <w:pPr>
              <w:spacing w:line="240" w:lineRule="atLeast"/>
              <w:jc w:val="center"/>
              <w:rPr>
                <w:rFonts w:ascii="宋体" w:hAnsi="宋体"/>
                <w:color w:val="auto"/>
                <w:sz w:val="24"/>
                <w:highlight w:val="none"/>
              </w:rPr>
            </w:pPr>
          </w:p>
        </w:tc>
        <w:tc>
          <w:tcPr>
            <w:tcW w:w="1356" w:type="dxa"/>
            <w:vAlign w:val="center"/>
          </w:tcPr>
          <w:p w14:paraId="3611A457">
            <w:pPr>
              <w:spacing w:line="240" w:lineRule="atLeast"/>
              <w:jc w:val="center"/>
              <w:rPr>
                <w:rFonts w:ascii="宋体" w:hAnsi="宋体"/>
                <w:color w:val="auto"/>
                <w:sz w:val="24"/>
                <w:highlight w:val="none"/>
              </w:rPr>
            </w:pPr>
          </w:p>
        </w:tc>
        <w:tc>
          <w:tcPr>
            <w:tcW w:w="932" w:type="dxa"/>
            <w:vAlign w:val="center"/>
          </w:tcPr>
          <w:p w14:paraId="00F9168B">
            <w:pPr>
              <w:spacing w:line="240" w:lineRule="atLeast"/>
              <w:jc w:val="center"/>
              <w:rPr>
                <w:rFonts w:ascii="宋体" w:hAnsi="宋体"/>
                <w:color w:val="auto"/>
                <w:sz w:val="24"/>
                <w:highlight w:val="none"/>
              </w:rPr>
            </w:pPr>
          </w:p>
        </w:tc>
        <w:tc>
          <w:tcPr>
            <w:tcW w:w="1827" w:type="dxa"/>
            <w:vAlign w:val="center"/>
          </w:tcPr>
          <w:p w14:paraId="34C91FDE">
            <w:pPr>
              <w:spacing w:line="240" w:lineRule="atLeast"/>
              <w:jc w:val="center"/>
              <w:rPr>
                <w:rFonts w:ascii="宋体" w:hAnsi="宋体"/>
                <w:color w:val="auto"/>
                <w:sz w:val="24"/>
                <w:highlight w:val="none"/>
              </w:rPr>
            </w:pPr>
          </w:p>
        </w:tc>
        <w:tc>
          <w:tcPr>
            <w:tcW w:w="1201" w:type="dxa"/>
            <w:vAlign w:val="center"/>
          </w:tcPr>
          <w:p w14:paraId="2CFA95A0">
            <w:pPr>
              <w:spacing w:line="240" w:lineRule="atLeast"/>
              <w:jc w:val="center"/>
              <w:rPr>
                <w:rFonts w:ascii="宋体" w:hAnsi="宋体"/>
                <w:color w:val="auto"/>
                <w:sz w:val="24"/>
                <w:highlight w:val="none"/>
              </w:rPr>
            </w:pPr>
          </w:p>
        </w:tc>
      </w:tr>
      <w:tr w14:paraId="5FBC64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5" w:hRule="atLeast"/>
          <w:jc w:val="center"/>
        </w:trPr>
        <w:tc>
          <w:tcPr>
            <w:tcW w:w="709" w:type="dxa"/>
            <w:vAlign w:val="center"/>
          </w:tcPr>
          <w:p w14:paraId="7E2F073C">
            <w:pPr>
              <w:spacing w:line="240" w:lineRule="atLeast"/>
              <w:jc w:val="center"/>
              <w:rPr>
                <w:rFonts w:ascii="宋体" w:hAnsi="宋体"/>
                <w:color w:val="auto"/>
                <w:sz w:val="24"/>
                <w:highlight w:val="none"/>
              </w:rPr>
            </w:pPr>
          </w:p>
        </w:tc>
        <w:tc>
          <w:tcPr>
            <w:tcW w:w="2492" w:type="dxa"/>
            <w:vAlign w:val="center"/>
          </w:tcPr>
          <w:p w14:paraId="0A0A2556">
            <w:pPr>
              <w:spacing w:line="240" w:lineRule="atLeast"/>
              <w:jc w:val="center"/>
              <w:rPr>
                <w:rFonts w:ascii="宋体" w:hAnsi="宋体"/>
                <w:color w:val="auto"/>
                <w:sz w:val="24"/>
                <w:highlight w:val="none"/>
              </w:rPr>
            </w:pPr>
          </w:p>
        </w:tc>
        <w:tc>
          <w:tcPr>
            <w:tcW w:w="1054" w:type="dxa"/>
            <w:vAlign w:val="center"/>
          </w:tcPr>
          <w:p w14:paraId="495E3F85">
            <w:pPr>
              <w:spacing w:line="240" w:lineRule="atLeast"/>
              <w:jc w:val="center"/>
              <w:rPr>
                <w:rFonts w:ascii="宋体" w:hAnsi="宋体"/>
                <w:color w:val="auto"/>
                <w:sz w:val="24"/>
                <w:highlight w:val="none"/>
              </w:rPr>
            </w:pPr>
          </w:p>
        </w:tc>
        <w:tc>
          <w:tcPr>
            <w:tcW w:w="1356" w:type="dxa"/>
            <w:vAlign w:val="center"/>
          </w:tcPr>
          <w:p w14:paraId="744E5ABF">
            <w:pPr>
              <w:spacing w:line="240" w:lineRule="atLeast"/>
              <w:jc w:val="center"/>
              <w:rPr>
                <w:rFonts w:ascii="宋体" w:hAnsi="宋体"/>
                <w:color w:val="auto"/>
                <w:sz w:val="24"/>
                <w:highlight w:val="none"/>
              </w:rPr>
            </w:pPr>
          </w:p>
        </w:tc>
        <w:tc>
          <w:tcPr>
            <w:tcW w:w="932" w:type="dxa"/>
            <w:vAlign w:val="center"/>
          </w:tcPr>
          <w:p w14:paraId="7A44A187">
            <w:pPr>
              <w:spacing w:line="240" w:lineRule="atLeast"/>
              <w:jc w:val="center"/>
              <w:rPr>
                <w:rFonts w:ascii="宋体" w:hAnsi="宋体"/>
                <w:color w:val="auto"/>
                <w:sz w:val="24"/>
                <w:highlight w:val="none"/>
              </w:rPr>
            </w:pPr>
          </w:p>
        </w:tc>
        <w:tc>
          <w:tcPr>
            <w:tcW w:w="1827" w:type="dxa"/>
            <w:vAlign w:val="center"/>
          </w:tcPr>
          <w:p w14:paraId="74A764BC">
            <w:pPr>
              <w:spacing w:line="240" w:lineRule="atLeast"/>
              <w:jc w:val="center"/>
              <w:rPr>
                <w:rFonts w:ascii="宋体" w:hAnsi="宋体"/>
                <w:color w:val="auto"/>
                <w:sz w:val="24"/>
                <w:highlight w:val="none"/>
              </w:rPr>
            </w:pPr>
          </w:p>
        </w:tc>
        <w:tc>
          <w:tcPr>
            <w:tcW w:w="1201" w:type="dxa"/>
            <w:vAlign w:val="center"/>
          </w:tcPr>
          <w:p w14:paraId="48181145">
            <w:pPr>
              <w:spacing w:line="240" w:lineRule="atLeast"/>
              <w:jc w:val="center"/>
              <w:rPr>
                <w:rFonts w:ascii="宋体" w:hAnsi="宋体"/>
                <w:color w:val="auto"/>
                <w:sz w:val="24"/>
                <w:highlight w:val="none"/>
              </w:rPr>
            </w:pPr>
          </w:p>
        </w:tc>
      </w:tr>
      <w:tr w14:paraId="70EC84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5" w:hRule="atLeast"/>
          <w:jc w:val="center"/>
        </w:trPr>
        <w:tc>
          <w:tcPr>
            <w:tcW w:w="709" w:type="dxa"/>
            <w:vAlign w:val="center"/>
          </w:tcPr>
          <w:p w14:paraId="1C5F5B71">
            <w:pPr>
              <w:spacing w:line="240" w:lineRule="atLeast"/>
              <w:jc w:val="center"/>
              <w:rPr>
                <w:rFonts w:ascii="宋体" w:hAnsi="宋体"/>
                <w:color w:val="auto"/>
                <w:sz w:val="24"/>
                <w:highlight w:val="none"/>
              </w:rPr>
            </w:pPr>
          </w:p>
        </w:tc>
        <w:tc>
          <w:tcPr>
            <w:tcW w:w="2492" w:type="dxa"/>
            <w:vAlign w:val="center"/>
          </w:tcPr>
          <w:p w14:paraId="10132211">
            <w:pPr>
              <w:spacing w:line="240" w:lineRule="atLeast"/>
              <w:jc w:val="center"/>
              <w:rPr>
                <w:rFonts w:ascii="宋体" w:hAnsi="宋体"/>
                <w:color w:val="auto"/>
                <w:sz w:val="24"/>
                <w:highlight w:val="none"/>
              </w:rPr>
            </w:pPr>
          </w:p>
        </w:tc>
        <w:tc>
          <w:tcPr>
            <w:tcW w:w="1054" w:type="dxa"/>
            <w:vAlign w:val="center"/>
          </w:tcPr>
          <w:p w14:paraId="3344A996">
            <w:pPr>
              <w:spacing w:line="240" w:lineRule="atLeast"/>
              <w:jc w:val="center"/>
              <w:rPr>
                <w:rFonts w:ascii="宋体" w:hAnsi="宋体"/>
                <w:color w:val="auto"/>
                <w:sz w:val="24"/>
                <w:highlight w:val="none"/>
              </w:rPr>
            </w:pPr>
          </w:p>
        </w:tc>
        <w:tc>
          <w:tcPr>
            <w:tcW w:w="1356" w:type="dxa"/>
            <w:vAlign w:val="center"/>
          </w:tcPr>
          <w:p w14:paraId="38794EF0">
            <w:pPr>
              <w:spacing w:line="240" w:lineRule="atLeast"/>
              <w:jc w:val="center"/>
              <w:rPr>
                <w:rFonts w:ascii="宋体" w:hAnsi="宋体"/>
                <w:color w:val="auto"/>
                <w:sz w:val="24"/>
                <w:highlight w:val="none"/>
              </w:rPr>
            </w:pPr>
          </w:p>
        </w:tc>
        <w:tc>
          <w:tcPr>
            <w:tcW w:w="932" w:type="dxa"/>
            <w:vAlign w:val="center"/>
          </w:tcPr>
          <w:p w14:paraId="363183FE">
            <w:pPr>
              <w:spacing w:line="240" w:lineRule="atLeast"/>
              <w:jc w:val="center"/>
              <w:rPr>
                <w:rFonts w:ascii="宋体" w:hAnsi="宋体"/>
                <w:color w:val="auto"/>
                <w:sz w:val="24"/>
                <w:highlight w:val="none"/>
              </w:rPr>
            </w:pPr>
          </w:p>
        </w:tc>
        <w:tc>
          <w:tcPr>
            <w:tcW w:w="1827" w:type="dxa"/>
            <w:vAlign w:val="center"/>
          </w:tcPr>
          <w:p w14:paraId="330133B7">
            <w:pPr>
              <w:spacing w:line="240" w:lineRule="atLeast"/>
              <w:jc w:val="center"/>
              <w:rPr>
                <w:rFonts w:ascii="宋体" w:hAnsi="宋体"/>
                <w:color w:val="auto"/>
                <w:sz w:val="24"/>
                <w:highlight w:val="none"/>
              </w:rPr>
            </w:pPr>
          </w:p>
        </w:tc>
        <w:tc>
          <w:tcPr>
            <w:tcW w:w="1201" w:type="dxa"/>
            <w:vAlign w:val="center"/>
          </w:tcPr>
          <w:p w14:paraId="5793BD4A">
            <w:pPr>
              <w:spacing w:line="240" w:lineRule="atLeast"/>
              <w:jc w:val="center"/>
              <w:rPr>
                <w:rFonts w:ascii="宋体" w:hAnsi="宋体"/>
                <w:color w:val="auto"/>
                <w:sz w:val="24"/>
                <w:highlight w:val="none"/>
              </w:rPr>
            </w:pPr>
          </w:p>
        </w:tc>
      </w:tr>
      <w:tr w14:paraId="54C11E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5" w:hRule="atLeast"/>
          <w:jc w:val="center"/>
        </w:trPr>
        <w:tc>
          <w:tcPr>
            <w:tcW w:w="709" w:type="dxa"/>
            <w:vAlign w:val="center"/>
          </w:tcPr>
          <w:p w14:paraId="62C347E3">
            <w:pPr>
              <w:spacing w:line="240" w:lineRule="atLeast"/>
              <w:jc w:val="center"/>
              <w:rPr>
                <w:rFonts w:ascii="宋体" w:hAnsi="宋体"/>
                <w:color w:val="auto"/>
                <w:sz w:val="24"/>
                <w:highlight w:val="none"/>
              </w:rPr>
            </w:pPr>
          </w:p>
        </w:tc>
        <w:tc>
          <w:tcPr>
            <w:tcW w:w="2492" w:type="dxa"/>
            <w:vAlign w:val="center"/>
          </w:tcPr>
          <w:p w14:paraId="4A7EDC9C">
            <w:pPr>
              <w:spacing w:line="240" w:lineRule="atLeast"/>
              <w:jc w:val="center"/>
              <w:rPr>
                <w:rFonts w:ascii="宋体" w:hAnsi="宋体"/>
                <w:color w:val="auto"/>
                <w:sz w:val="24"/>
                <w:highlight w:val="none"/>
              </w:rPr>
            </w:pPr>
          </w:p>
        </w:tc>
        <w:tc>
          <w:tcPr>
            <w:tcW w:w="1054" w:type="dxa"/>
            <w:vAlign w:val="center"/>
          </w:tcPr>
          <w:p w14:paraId="5CD9923A">
            <w:pPr>
              <w:spacing w:line="240" w:lineRule="atLeast"/>
              <w:jc w:val="center"/>
              <w:rPr>
                <w:rFonts w:ascii="宋体" w:hAnsi="宋体"/>
                <w:color w:val="auto"/>
                <w:sz w:val="24"/>
                <w:highlight w:val="none"/>
              </w:rPr>
            </w:pPr>
          </w:p>
        </w:tc>
        <w:tc>
          <w:tcPr>
            <w:tcW w:w="1356" w:type="dxa"/>
            <w:vAlign w:val="center"/>
          </w:tcPr>
          <w:p w14:paraId="26F4CC59">
            <w:pPr>
              <w:spacing w:line="240" w:lineRule="atLeast"/>
              <w:jc w:val="center"/>
              <w:rPr>
                <w:rFonts w:ascii="宋体" w:hAnsi="宋体"/>
                <w:color w:val="auto"/>
                <w:sz w:val="24"/>
                <w:highlight w:val="none"/>
              </w:rPr>
            </w:pPr>
          </w:p>
        </w:tc>
        <w:tc>
          <w:tcPr>
            <w:tcW w:w="932" w:type="dxa"/>
            <w:vAlign w:val="center"/>
          </w:tcPr>
          <w:p w14:paraId="66571229">
            <w:pPr>
              <w:spacing w:line="240" w:lineRule="atLeast"/>
              <w:jc w:val="center"/>
              <w:rPr>
                <w:rFonts w:ascii="宋体" w:hAnsi="宋体"/>
                <w:color w:val="auto"/>
                <w:sz w:val="24"/>
                <w:highlight w:val="none"/>
              </w:rPr>
            </w:pPr>
          </w:p>
        </w:tc>
        <w:tc>
          <w:tcPr>
            <w:tcW w:w="1827" w:type="dxa"/>
            <w:vAlign w:val="center"/>
          </w:tcPr>
          <w:p w14:paraId="72F57505">
            <w:pPr>
              <w:spacing w:line="240" w:lineRule="atLeast"/>
              <w:jc w:val="center"/>
              <w:rPr>
                <w:rFonts w:ascii="宋体" w:hAnsi="宋体"/>
                <w:color w:val="auto"/>
                <w:sz w:val="24"/>
                <w:highlight w:val="none"/>
              </w:rPr>
            </w:pPr>
          </w:p>
        </w:tc>
        <w:tc>
          <w:tcPr>
            <w:tcW w:w="1201" w:type="dxa"/>
            <w:vAlign w:val="center"/>
          </w:tcPr>
          <w:p w14:paraId="483C6E68">
            <w:pPr>
              <w:spacing w:line="240" w:lineRule="atLeast"/>
              <w:jc w:val="center"/>
              <w:rPr>
                <w:rFonts w:ascii="宋体" w:hAnsi="宋体"/>
                <w:color w:val="auto"/>
                <w:sz w:val="24"/>
                <w:highlight w:val="none"/>
              </w:rPr>
            </w:pPr>
          </w:p>
        </w:tc>
      </w:tr>
      <w:tr w14:paraId="186D43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5" w:hRule="atLeast"/>
          <w:jc w:val="center"/>
        </w:trPr>
        <w:tc>
          <w:tcPr>
            <w:tcW w:w="709" w:type="dxa"/>
            <w:vAlign w:val="center"/>
          </w:tcPr>
          <w:p w14:paraId="6FC41922">
            <w:pPr>
              <w:spacing w:line="240" w:lineRule="atLeast"/>
              <w:jc w:val="center"/>
              <w:rPr>
                <w:rFonts w:ascii="宋体" w:hAnsi="宋体"/>
                <w:color w:val="auto"/>
                <w:sz w:val="24"/>
                <w:highlight w:val="none"/>
              </w:rPr>
            </w:pPr>
          </w:p>
        </w:tc>
        <w:tc>
          <w:tcPr>
            <w:tcW w:w="2492" w:type="dxa"/>
            <w:vAlign w:val="center"/>
          </w:tcPr>
          <w:p w14:paraId="0C29598D">
            <w:pPr>
              <w:spacing w:line="240" w:lineRule="atLeast"/>
              <w:jc w:val="center"/>
              <w:rPr>
                <w:rFonts w:ascii="宋体" w:hAnsi="宋体"/>
                <w:color w:val="auto"/>
                <w:sz w:val="24"/>
                <w:highlight w:val="none"/>
              </w:rPr>
            </w:pPr>
          </w:p>
        </w:tc>
        <w:tc>
          <w:tcPr>
            <w:tcW w:w="1054" w:type="dxa"/>
            <w:vAlign w:val="center"/>
          </w:tcPr>
          <w:p w14:paraId="27F68557">
            <w:pPr>
              <w:spacing w:line="240" w:lineRule="atLeast"/>
              <w:jc w:val="center"/>
              <w:rPr>
                <w:rFonts w:ascii="宋体" w:hAnsi="宋体"/>
                <w:color w:val="auto"/>
                <w:sz w:val="24"/>
                <w:highlight w:val="none"/>
              </w:rPr>
            </w:pPr>
          </w:p>
        </w:tc>
        <w:tc>
          <w:tcPr>
            <w:tcW w:w="1356" w:type="dxa"/>
            <w:vAlign w:val="center"/>
          </w:tcPr>
          <w:p w14:paraId="5684C087">
            <w:pPr>
              <w:spacing w:line="240" w:lineRule="atLeast"/>
              <w:jc w:val="center"/>
              <w:rPr>
                <w:rFonts w:ascii="宋体" w:hAnsi="宋体"/>
                <w:color w:val="auto"/>
                <w:sz w:val="24"/>
                <w:highlight w:val="none"/>
              </w:rPr>
            </w:pPr>
          </w:p>
        </w:tc>
        <w:tc>
          <w:tcPr>
            <w:tcW w:w="932" w:type="dxa"/>
            <w:vAlign w:val="center"/>
          </w:tcPr>
          <w:p w14:paraId="5FF6FBA2">
            <w:pPr>
              <w:spacing w:line="240" w:lineRule="atLeast"/>
              <w:jc w:val="center"/>
              <w:rPr>
                <w:rFonts w:ascii="宋体" w:hAnsi="宋体"/>
                <w:color w:val="auto"/>
                <w:sz w:val="24"/>
                <w:highlight w:val="none"/>
              </w:rPr>
            </w:pPr>
          </w:p>
        </w:tc>
        <w:tc>
          <w:tcPr>
            <w:tcW w:w="1827" w:type="dxa"/>
            <w:vAlign w:val="center"/>
          </w:tcPr>
          <w:p w14:paraId="0298A1C4">
            <w:pPr>
              <w:spacing w:line="240" w:lineRule="atLeast"/>
              <w:jc w:val="center"/>
              <w:rPr>
                <w:rFonts w:ascii="宋体" w:hAnsi="宋体"/>
                <w:color w:val="auto"/>
                <w:sz w:val="24"/>
                <w:highlight w:val="none"/>
              </w:rPr>
            </w:pPr>
          </w:p>
        </w:tc>
        <w:tc>
          <w:tcPr>
            <w:tcW w:w="1201" w:type="dxa"/>
            <w:vAlign w:val="center"/>
          </w:tcPr>
          <w:p w14:paraId="12869896">
            <w:pPr>
              <w:spacing w:line="240" w:lineRule="atLeast"/>
              <w:jc w:val="center"/>
              <w:rPr>
                <w:rFonts w:ascii="宋体" w:hAnsi="宋体"/>
                <w:color w:val="auto"/>
                <w:sz w:val="24"/>
                <w:highlight w:val="none"/>
              </w:rPr>
            </w:pPr>
          </w:p>
        </w:tc>
      </w:tr>
      <w:tr w14:paraId="6C9E9E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5" w:hRule="atLeast"/>
          <w:jc w:val="center"/>
        </w:trPr>
        <w:tc>
          <w:tcPr>
            <w:tcW w:w="709" w:type="dxa"/>
            <w:vAlign w:val="center"/>
          </w:tcPr>
          <w:p w14:paraId="3D893519">
            <w:pPr>
              <w:spacing w:line="240" w:lineRule="atLeast"/>
              <w:jc w:val="center"/>
              <w:rPr>
                <w:rFonts w:ascii="宋体" w:hAnsi="宋体"/>
                <w:color w:val="auto"/>
                <w:sz w:val="24"/>
                <w:highlight w:val="none"/>
              </w:rPr>
            </w:pPr>
          </w:p>
        </w:tc>
        <w:tc>
          <w:tcPr>
            <w:tcW w:w="2492" w:type="dxa"/>
            <w:vAlign w:val="center"/>
          </w:tcPr>
          <w:p w14:paraId="6A887C47">
            <w:pPr>
              <w:spacing w:line="240" w:lineRule="atLeast"/>
              <w:jc w:val="center"/>
              <w:rPr>
                <w:rFonts w:ascii="宋体" w:hAnsi="宋体"/>
                <w:color w:val="auto"/>
                <w:sz w:val="24"/>
                <w:highlight w:val="none"/>
              </w:rPr>
            </w:pPr>
          </w:p>
        </w:tc>
        <w:tc>
          <w:tcPr>
            <w:tcW w:w="1054" w:type="dxa"/>
            <w:vAlign w:val="center"/>
          </w:tcPr>
          <w:p w14:paraId="779362D7">
            <w:pPr>
              <w:spacing w:line="240" w:lineRule="atLeast"/>
              <w:jc w:val="center"/>
              <w:rPr>
                <w:rFonts w:ascii="宋体" w:hAnsi="宋体"/>
                <w:color w:val="auto"/>
                <w:sz w:val="24"/>
                <w:highlight w:val="none"/>
              </w:rPr>
            </w:pPr>
          </w:p>
        </w:tc>
        <w:tc>
          <w:tcPr>
            <w:tcW w:w="1356" w:type="dxa"/>
            <w:vAlign w:val="center"/>
          </w:tcPr>
          <w:p w14:paraId="37973E8F">
            <w:pPr>
              <w:spacing w:line="240" w:lineRule="atLeast"/>
              <w:jc w:val="center"/>
              <w:rPr>
                <w:rFonts w:ascii="宋体" w:hAnsi="宋体"/>
                <w:color w:val="auto"/>
                <w:sz w:val="24"/>
                <w:highlight w:val="none"/>
              </w:rPr>
            </w:pPr>
          </w:p>
        </w:tc>
        <w:tc>
          <w:tcPr>
            <w:tcW w:w="932" w:type="dxa"/>
            <w:vAlign w:val="center"/>
          </w:tcPr>
          <w:p w14:paraId="7ED0AA7F">
            <w:pPr>
              <w:spacing w:line="240" w:lineRule="atLeast"/>
              <w:jc w:val="center"/>
              <w:rPr>
                <w:rFonts w:ascii="宋体" w:hAnsi="宋体"/>
                <w:color w:val="auto"/>
                <w:sz w:val="24"/>
                <w:highlight w:val="none"/>
              </w:rPr>
            </w:pPr>
          </w:p>
        </w:tc>
        <w:tc>
          <w:tcPr>
            <w:tcW w:w="1827" w:type="dxa"/>
            <w:vAlign w:val="center"/>
          </w:tcPr>
          <w:p w14:paraId="23FAED69">
            <w:pPr>
              <w:spacing w:line="240" w:lineRule="atLeast"/>
              <w:jc w:val="center"/>
              <w:rPr>
                <w:rFonts w:ascii="宋体" w:hAnsi="宋体"/>
                <w:color w:val="auto"/>
                <w:sz w:val="24"/>
                <w:highlight w:val="none"/>
              </w:rPr>
            </w:pPr>
          </w:p>
        </w:tc>
        <w:tc>
          <w:tcPr>
            <w:tcW w:w="1201" w:type="dxa"/>
            <w:vAlign w:val="center"/>
          </w:tcPr>
          <w:p w14:paraId="76F51536">
            <w:pPr>
              <w:spacing w:line="240" w:lineRule="atLeast"/>
              <w:jc w:val="center"/>
              <w:rPr>
                <w:rFonts w:ascii="宋体" w:hAnsi="宋体"/>
                <w:color w:val="auto"/>
                <w:sz w:val="24"/>
                <w:highlight w:val="none"/>
              </w:rPr>
            </w:pPr>
          </w:p>
        </w:tc>
      </w:tr>
      <w:tr w14:paraId="7195D5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5" w:hRule="atLeast"/>
          <w:jc w:val="center"/>
        </w:trPr>
        <w:tc>
          <w:tcPr>
            <w:tcW w:w="709" w:type="dxa"/>
            <w:vAlign w:val="center"/>
          </w:tcPr>
          <w:p w14:paraId="5AC3D22F">
            <w:pPr>
              <w:spacing w:line="240" w:lineRule="atLeast"/>
              <w:jc w:val="center"/>
              <w:rPr>
                <w:rFonts w:ascii="宋体" w:hAnsi="宋体"/>
                <w:color w:val="auto"/>
                <w:sz w:val="24"/>
                <w:highlight w:val="none"/>
              </w:rPr>
            </w:pPr>
          </w:p>
        </w:tc>
        <w:tc>
          <w:tcPr>
            <w:tcW w:w="2492" w:type="dxa"/>
            <w:vAlign w:val="center"/>
          </w:tcPr>
          <w:p w14:paraId="587F723B">
            <w:pPr>
              <w:spacing w:line="240" w:lineRule="atLeast"/>
              <w:jc w:val="center"/>
              <w:rPr>
                <w:rFonts w:ascii="宋体" w:hAnsi="宋体"/>
                <w:color w:val="auto"/>
                <w:sz w:val="24"/>
                <w:highlight w:val="none"/>
              </w:rPr>
            </w:pPr>
          </w:p>
        </w:tc>
        <w:tc>
          <w:tcPr>
            <w:tcW w:w="1054" w:type="dxa"/>
            <w:vAlign w:val="center"/>
          </w:tcPr>
          <w:p w14:paraId="58B11D18">
            <w:pPr>
              <w:spacing w:line="240" w:lineRule="atLeast"/>
              <w:jc w:val="center"/>
              <w:rPr>
                <w:rFonts w:ascii="宋体" w:hAnsi="宋体"/>
                <w:color w:val="auto"/>
                <w:sz w:val="24"/>
                <w:highlight w:val="none"/>
              </w:rPr>
            </w:pPr>
          </w:p>
        </w:tc>
        <w:tc>
          <w:tcPr>
            <w:tcW w:w="1356" w:type="dxa"/>
            <w:vAlign w:val="center"/>
          </w:tcPr>
          <w:p w14:paraId="0B538832">
            <w:pPr>
              <w:spacing w:line="240" w:lineRule="atLeast"/>
              <w:jc w:val="center"/>
              <w:rPr>
                <w:rFonts w:ascii="宋体" w:hAnsi="宋体"/>
                <w:color w:val="auto"/>
                <w:sz w:val="24"/>
                <w:highlight w:val="none"/>
              </w:rPr>
            </w:pPr>
          </w:p>
        </w:tc>
        <w:tc>
          <w:tcPr>
            <w:tcW w:w="932" w:type="dxa"/>
            <w:vAlign w:val="center"/>
          </w:tcPr>
          <w:p w14:paraId="3F4D4320">
            <w:pPr>
              <w:spacing w:line="240" w:lineRule="atLeast"/>
              <w:jc w:val="center"/>
              <w:rPr>
                <w:rFonts w:ascii="宋体" w:hAnsi="宋体"/>
                <w:color w:val="auto"/>
                <w:sz w:val="24"/>
                <w:highlight w:val="none"/>
              </w:rPr>
            </w:pPr>
          </w:p>
        </w:tc>
        <w:tc>
          <w:tcPr>
            <w:tcW w:w="1827" w:type="dxa"/>
            <w:vAlign w:val="center"/>
          </w:tcPr>
          <w:p w14:paraId="3767B207">
            <w:pPr>
              <w:spacing w:line="240" w:lineRule="atLeast"/>
              <w:jc w:val="center"/>
              <w:rPr>
                <w:rFonts w:ascii="宋体" w:hAnsi="宋体"/>
                <w:color w:val="auto"/>
                <w:sz w:val="24"/>
                <w:highlight w:val="none"/>
              </w:rPr>
            </w:pPr>
          </w:p>
        </w:tc>
        <w:tc>
          <w:tcPr>
            <w:tcW w:w="1201" w:type="dxa"/>
            <w:vAlign w:val="center"/>
          </w:tcPr>
          <w:p w14:paraId="3B2BF284">
            <w:pPr>
              <w:spacing w:line="240" w:lineRule="atLeast"/>
              <w:jc w:val="center"/>
              <w:rPr>
                <w:rFonts w:ascii="宋体" w:hAnsi="宋体"/>
                <w:color w:val="auto"/>
                <w:sz w:val="24"/>
                <w:highlight w:val="none"/>
              </w:rPr>
            </w:pPr>
          </w:p>
        </w:tc>
      </w:tr>
    </w:tbl>
    <w:p w14:paraId="2D6592CA">
      <w:pPr>
        <w:widowControl/>
        <w:jc w:val="left"/>
        <w:rPr>
          <w:rFonts w:ascii="宋体" w:hAnsi="宋体" w:cs="宋体"/>
          <w:b/>
          <w:bCs/>
          <w:color w:val="auto"/>
          <w:kern w:val="0"/>
          <w:szCs w:val="21"/>
          <w:highlight w:val="none"/>
        </w:rPr>
      </w:pPr>
      <w:r>
        <w:rPr>
          <w:rFonts w:hint="eastAsia" w:ascii="宋体" w:hAnsi="宋体" w:cs="宋体"/>
          <w:b/>
          <w:bCs/>
          <w:color w:val="auto"/>
          <w:kern w:val="0"/>
          <w:szCs w:val="21"/>
          <w:highlight w:val="none"/>
        </w:rPr>
        <w:t xml:space="preserve"> </w:t>
      </w:r>
    </w:p>
    <w:p w14:paraId="37CF0A3A">
      <w:pPr>
        <w:widowControl/>
        <w:jc w:val="left"/>
        <w:rPr>
          <w:rFonts w:ascii="宋体" w:hAnsi="宋体" w:cs="宋体"/>
          <w:b/>
          <w:bCs/>
          <w:color w:val="auto"/>
          <w:kern w:val="0"/>
          <w:szCs w:val="21"/>
          <w:highlight w:val="none"/>
        </w:rPr>
      </w:pPr>
      <w:r>
        <w:rPr>
          <w:rFonts w:hint="eastAsia" w:ascii="宋体" w:hAnsi="宋体" w:cs="宋体"/>
          <w:b/>
          <w:bCs/>
          <w:color w:val="auto"/>
          <w:kern w:val="0"/>
          <w:szCs w:val="21"/>
          <w:highlight w:val="none"/>
        </w:rPr>
        <w:t>注：要求按照招标文件第三章评标办法附表四《综合评分表》相应评分因素的评分标准的要求及表后说明的规定提供证明材料。</w:t>
      </w:r>
    </w:p>
    <w:p w14:paraId="2C9A980B">
      <w:pPr>
        <w:pStyle w:val="25"/>
        <w:ind w:firstLine="0"/>
        <w:rPr>
          <w:rFonts w:ascii="宋体" w:hAnsi="宋体" w:cs="宋体"/>
          <w:b/>
          <w:bCs/>
          <w:color w:val="auto"/>
          <w:kern w:val="0"/>
          <w:szCs w:val="21"/>
          <w:highlight w:val="none"/>
        </w:rPr>
      </w:pPr>
    </w:p>
    <w:bookmarkEnd w:id="193"/>
    <w:bookmarkEnd w:id="194"/>
    <w:p w14:paraId="31EDA9EC">
      <w:pPr>
        <w:rPr>
          <w:rFonts w:ascii="宋体" w:hAnsi="宋体"/>
          <w:color w:val="auto"/>
          <w:sz w:val="24"/>
          <w:highlight w:val="none"/>
        </w:rPr>
        <w:sectPr>
          <w:headerReference r:id="rId7" w:type="default"/>
          <w:pgSz w:w="11906" w:h="16838"/>
          <w:pgMar w:top="1440" w:right="1080" w:bottom="1440" w:left="1080" w:header="851" w:footer="1021" w:gutter="0"/>
          <w:pgBorders w:offsetFrom="page">
            <w:top w:val="single" w:color="FFFFFF" w:themeColor="background1" w:sz="4" w:space="24"/>
            <w:left w:val="single" w:color="FFFFFF" w:themeColor="background1" w:sz="4" w:space="24"/>
            <w:bottom w:val="single" w:color="FFFFFF" w:themeColor="background1" w:sz="4" w:space="24"/>
            <w:right w:val="single" w:color="FFFFFF" w:themeColor="background1" w:sz="4" w:space="24"/>
          </w:pgBorders>
          <w:cols w:space="720" w:num="1"/>
          <w:docGrid w:type="lines" w:linePitch="312" w:charSpace="0"/>
        </w:sectPr>
      </w:pPr>
    </w:p>
    <w:p w14:paraId="4CD423D3">
      <w:pPr>
        <w:pStyle w:val="4"/>
        <w:jc w:val="center"/>
        <w:rPr>
          <w:color w:val="auto"/>
          <w:highlight w:val="none"/>
        </w:rPr>
      </w:pPr>
      <w:bookmarkStart w:id="195" w:name="_Toc118554002"/>
      <w:r>
        <w:rPr>
          <w:rFonts w:hint="eastAsia"/>
          <w:color w:val="auto"/>
          <w:highlight w:val="none"/>
        </w:rPr>
        <w:t>七、投标人信誉证明材料</w:t>
      </w:r>
      <w:bookmarkEnd w:id="195"/>
    </w:p>
    <w:p w14:paraId="4F0DF034">
      <w:pPr>
        <w:spacing w:line="360" w:lineRule="auto"/>
        <w:ind w:firstLine="480" w:firstLineChars="200"/>
        <w:rPr>
          <w:color w:val="auto"/>
          <w:sz w:val="24"/>
          <w:szCs w:val="24"/>
          <w:highlight w:val="none"/>
        </w:rPr>
      </w:pPr>
    </w:p>
    <w:p w14:paraId="12461898">
      <w:pPr>
        <w:spacing w:line="360" w:lineRule="auto"/>
        <w:ind w:firstLine="480" w:firstLineChars="200"/>
        <w:rPr>
          <w:color w:val="auto"/>
          <w:sz w:val="24"/>
          <w:szCs w:val="24"/>
          <w:highlight w:val="none"/>
        </w:rPr>
      </w:pPr>
      <w:r>
        <w:rPr>
          <w:rFonts w:hint="eastAsia" w:ascii="宋体" w:hAnsi="宋体"/>
          <w:color w:val="auto"/>
          <w:sz w:val="24"/>
          <w:szCs w:val="24"/>
          <w:highlight w:val="none"/>
        </w:rPr>
        <w:t>编制要求：按照招标文件第三章评标办法附表四《综合评分表》相应评分因素的评分标准的要求及表后说明的规定提供证明材料。格式自定。</w:t>
      </w:r>
    </w:p>
    <w:p w14:paraId="357897AC">
      <w:pPr>
        <w:spacing w:line="440" w:lineRule="exact"/>
        <w:rPr>
          <w:rFonts w:ascii="宋体" w:hAnsi="宋体"/>
          <w:color w:val="auto"/>
          <w:highlight w:val="none"/>
        </w:rPr>
      </w:pPr>
    </w:p>
    <w:p w14:paraId="57E638C0">
      <w:pPr>
        <w:spacing w:line="440" w:lineRule="exact"/>
        <w:jc w:val="left"/>
        <w:rPr>
          <w:rFonts w:ascii="宋体" w:hAnsi="宋体"/>
          <w:color w:val="auto"/>
          <w:highlight w:val="none"/>
        </w:rPr>
      </w:pPr>
    </w:p>
    <w:p w14:paraId="298F3618">
      <w:pPr>
        <w:rPr>
          <w:rFonts w:ascii="宋体" w:hAnsi="宋体"/>
          <w:color w:val="auto"/>
          <w:highlight w:val="none"/>
        </w:rPr>
      </w:pPr>
      <w:r>
        <w:rPr>
          <w:rFonts w:ascii="宋体" w:hAnsi="宋体"/>
          <w:color w:val="auto"/>
          <w:sz w:val="24"/>
          <w:highlight w:val="none"/>
        </w:rPr>
        <w:br w:type="page"/>
      </w:r>
    </w:p>
    <w:p w14:paraId="67991188">
      <w:pPr>
        <w:keepNext/>
        <w:keepLines/>
        <w:numPr>
          <w:ilvl w:val="0"/>
          <w:numId w:val="5"/>
        </w:numPr>
        <w:spacing w:line="360" w:lineRule="auto"/>
        <w:jc w:val="center"/>
        <w:outlineLvl w:val="2"/>
        <w:rPr>
          <w:rFonts w:hint="eastAsia" w:ascii="宋体" w:hAnsi="宋体" w:cs="宋体"/>
          <w:b/>
          <w:bCs/>
          <w:color w:val="auto"/>
          <w:sz w:val="32"/>
          <w:szCs w:val="32"/>
          <w:highlight w:val="none"/>
        </w:rPr>
      </w:pPr>
      <w:bookmarkStart w:id="196" w:name="_Toc118554003"/>
      <w:r>
        <w:rPr>
          <w:rFonts w:hint="eastAsia" w:ascii="宋体" w:hAnsi="宋体" w:cs="宋体"/>
          <w:b/>
          <w:bCs/>
          <w:color w:val="auto"/>
          <w:sz w:val="32"/>
          <w:szCs w:val="32"/>
          <w:highlight w:val="none"/>
        </w:rPr>
        <w:t>投标人廉洁承诺书</w:t>
      </w:r>
    </w:p>
    <w:p w14:paraId="36779902">
      <w:pPr>
        <w:keepNext w:val="0"/>
        <w:keepLines w:val="0"/>
        <w:pageBreakBefore w:val="0"/>
        <w:widowControl w:val="0"/>
        <w:kinsoku/>
        <w:wordWrap/>
        <w:overflowPunct/>
        <w:topLinePunct w:val="0"/>
        <w:autoSpaceDE/>
        <w:autoSpaceDN/>
        <w:bidi w:val="0"/>
        <w:adjustRightInd/>
        <w:snapToGrid/>
        <w:spacing w:after="157" w:afterLines="50"/>
        <w:ind w:right="105" w:rightChars="50"/>
        <w:jc w:val="center"/>
        <w:textAlignment w:val="auto"/>
        <w:rPr>
          <w:rFonts w:hint="eastAsia" w:ascii="仿宋_GB2312" w:hAnsi="华文仿宋" w:eastAsia="仿宋_GB2312"/>
          <w:b/>
          <w:bCs/>
          <w:color w:val="auto"/>
          <w:sz w:val="44"/>
          <w:szCs w:val="44"/>
          <w:highlight w:val="none"/>
          <w:lang w:val="en-US" w:eastAsia="zh-CN"/>
        </w:rPr>
      </w:pPr>
    </w:p>
    <w:p w14:paraId="6E4FA159">
      <w:pPr>
        <w:keepNext w:val="0"/>
        <w:keepLines w:val="0"/>
        <w:pageBreakBefore w:val="0"/>
        <w:widowControl w:val="0"/>
        <w:kinsoku/>
        <w:wordWrap/>
        <w:overflowPunct/>
        <w:topLinePunct w:val="0"/>
        <w:autoSpaceDE/>
        <w:autoSpaceDN/>
        <w:bidi w:val="0"/>
        <w:adjustRightInd/>
        <w:snapToGrid/>
        <w:spacing w:after="313" w:afterLines="100"/>
        <w:ind w:right="105" w:rightChars="50"/>
        <w:jc w:val="center"/>
        <w:textAlignment w:val="auto"/>
        <w:rPr>
          <w:rFonts w:hint="default" w:ascii="仿宋_GB2312" w:hAnsi="华文仿宋" w:eastAsia="仿宋_GB2312"/>
          <w:b/>
          <w:bCs/>
          <w:color w:val="auto"/>
          <w:sz w:val="44"/>
          <w:szCs w:val="44"/>
          <w:highlight w:val="none"/>
          <w:lang w:val="en-US" w:eastAsia="zh-CN"/>
        </w:rPr>
      </w:pPr>
      <w:r>
        <w:rPr>
          <w:rFonts w:hint="eastAsia" w:ascii="仿宋_GB2312" w:hAnsi="华文仿宋" w:eastAsia="仿宋_GB2312"/>
          <w:b/>
          <w:bCs/>
          <w:color w:val="auto"/>
          <w:sz w:val="44"/>
          <w:szCs w:val="44"/>
          <w:highlight w:val="none"/>
          <w:lang w:val="en-US" w:eastAsia="zh-CN"/>
        </w:rPr>
        <w:t>投标人</w:t>
      </w:r>
      <w:r>
        <w:rPr>
          <w:rFonts w:hint="eastAsia" w:ascii="仿宋_GB2312" w:hAnsi="华文仿宋" w:eastAsia="仿宋_GB2312"/>
          <w:b/>
          <w:bCs/>
          <w:color w:val="auto"/>
          <w:sz w:val="44"/>
          <w:szCs w:val="44"/>
          <w:highlight w:val="none"/>
        </w:rPr>
        <w:t>廉洁</w:t>
      </w:r>
      <w:r>
        <w:rPr>
          <w:rFonts w:hint="eastAsia" w:ascii="仿宋_GB2312" w:hAnsi="华文仿宋" w:eastAsia="仿宋_GB2312"/>
          <w:b/>
          <w:bCs/>
          <w:color w:val="auto"/>
          <w:sz w:val="44"/>
          <w:szCs w:val="44"/>
          <w:highlight w:val="none"/>
          <w:lang w:val="en-US" w:eastAsia="zh-CN"/>
        </w:rPr>
        <w:t>承诺书</w:t>
      </w:r>
    </w:p>
    <w:p w14:paraId="15C379E1">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广州开城联晟城市开发投资有限公司</w:t>
      </w:r>
      <w:r>
        <w:rPr>
          <w:rFonts w:hint="eastAsia" w:ascii="宋体" w:hAnsi="宋体" w:eastAsia="宋体" w:cs="宋体"/>
          <w:color w:val="auto"/>
          <w:sz w:val="24"/>
          <w:szCs w:val="24"/>
          <w:highlight w:val="none"/>
          <w:lang w:eastAsia="zh-CN"/>
        </w:rPr>
        <w:t>：</w:t>
      </w:r>
    </w:p>
    <w:p w14:paraId="1587AD09">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本公司参加了</w:t>
      </w:r>
      <w:r>
        <w:rPr>
          <w:rFonts w:hint="eastAsia" w:ascii="宋体" w:hAnsi="宋体" w:eastAsia="宋体" w:cs="宋体"/>
          <w:color w:val="auto"/>
          <w:sz w:val="24"/>
          <w:szCs w:val="24"/>
          <w:highlight w:val="none"/>
          <w:u w:val="single"/>
        </w:rPr>
        <w:t xml:space="preserve">   （项目名称）   </w:t>
      </w:r>
      <w:r>
        <w:rPr>
          <w:rFonts w:hint="eastAsia" w:ascii="宋体" w:hAnsi="宋体" w:eastAsia="宋体" w:cs="宋体"/>
          <w:color w:val="auto"/>
          <w:sz w:val="24"/>
          <w:szCs w:val="24"/>
          <w:highlight w:val="none"/>
        </w:rPr>
        <w:t>投标，为确保招标工作的公平、公正、公开、有序进行，我</w:t>
      </w:r>
      <w:r>
        <w:rPr>
          <w:rFonts w:hint="eastAsia" w:ascii="宋体" w:hAnsi="宋体" w:eastAsia="宋体" w:cs="宋体"/>
          <w:color w:val="auto"/>
          <w:sz w:val="24"/>
          <w:szCs w:val="24"/>
          <w:highlight w:val="none"/>
          <w:lang w:val="en-US" w:eastAsia="zh-CN"/>
        </w:rPr>
        <w:t>司</w:t>
      </w:r>
      <w:r>
        <w:rPr>
          <w:rFonts w:hint="eastAsia" w:ascii="宋体" w:hAnsi="宋体" w:eastAsia="宋体" w:cs="宋体"/>
          <w:color w:val="auto"/>
          <w:sz w:val="24"/>
          <w:szCs w:val="24"/>
          <w:highlight w:val="none"/>
        </w:rPr>
        <w:t>保证遵守《中华人民共和国招标投标法》、《中华人民共和国招标投标法实施条例》、《广东省实施&lt;中华人民共和国招标投标法&gt;办法》等法律法规，特承诺如下事项：</w:t>
      </w:r>
    </w:p>
    <w:p w14:paraId="1494F36B">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rPr>
        <w:t>、自觉遵守国家法律法规，不使用不正当手段排挤其它投标单位或串通投标或违法分包。</w:t>
      </w:r>
    </w:p>
    <w:p w14:paraId="5D31D5D3">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rPr>
        <w:t>、按照招标文件规定的方式进行投标，不隐瞒</w:t>
      </w:r>
      <w:r>
        <w:rPr>
          <w:rFonts w:hint="eastAsia" w:ascii="宋体" w:hAnsi="宋体" w:eastAsia="宋体" w:cs="宋体"/>
          <w:color w:val="auto"/>
          <w:sz w:val="24"/>
          <w:szCs w:val="24"/>
          <w:highlight w:val="none"/>
          <w:lang w:val="en-US" w:eastAsia="zh-CN"/>
        </w:rPr>
        <w:t>我司</w:t>
      </w:r>
      <w:r>
        <w:rPr>
          <w:rFonts w:hint="eastAsia" w:ascii="宋体" w:hAnsi="宋体" w:eastAsia="宋体" w:cs="宋体"/>
          <w:color w:val="auto"/>
          <w:sz w:val="24"/>
          <w:szCs w:val="24"/>
          <w:highlight w:val="none"/>
        </w:rPr>
        <w:t xml:space="preserve">投标资质的真实情况，保证不会以他人名义投标或者以其它方式弄虚作假，骗取中标。   </w:t>
      </w:r>
    </w:p>
    <w:p w14:paraId="3918DC2F">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rPr>
        <w:t>、不向</w:t>
      </w:r>
      <w:r>
        <w:rPr>
          <w:rFonts w:hint="eastAsia" w:ascii="宋体" w:hAnsi="宋体" w:eastAsia="宋体" w:cs="宋体"/>
          <w:color w:val="auto"/>
          <w:sz w:val="24"/>
          <w:szCs w:val="24"/>
          <w:highlight w:val="none"/>
          <w:lang w:val="en-US" w:eastAsia="zh-CN"/>
        </w:rPr>
        <w:t>贵</w:t>
      </w:r>
      <w:r>
        <w:rPr>
          <w:rFonts w:hint="eastAsia" w:ascii="宋体" w:hAnsi="宋体" w:eastAsia="宋体" w:cs="宋体"/>
          <w:color w:val="auto"/>
          <w:sz w:val="24"/>
          <w:szCs w:val="24"/>
          <w:highlight w:val="none"/>
        </w:rPr>
        <w:t>司人员支付好处费、介绍费以及报销本应由其个人支付的费用；不向</w:t>
      </w:r>
      <w:r>
        <w:rPr>
          <w:rFonts w:hint="eastAsia" w:ascii="宋体" w:hAnsi="宋体" w:eastAsia="宋体" w:cs="宋体"/>
          <w:color w:val="auto"/>
          <w:sz w:val="24"/>
          <w:szCs w:val="24"/>
          <w:highlight w:val="none"/>
          <w:lang w:val="en-US" w:eastAsia="zh-CN"/>
        </w:rPr>
        <w:t>贵</w:t>
      </w:r>
      <w:r>
        <w:rPr>
          <w:rFonts w:hint="eastAsia" w:ascii="宋体" w:hAnsi="宋体" w:eastAsia="宋体" w:cs="宋体"/>
          <w:color w:val="auto"/>
          <w:sz w:val="24"/>
          <w:szCs w:val="24"/>
          <w:highlight w:val="none"/>
        </w:rPr>
        <w:t>司人员赠送礼品、礼金、各种有价证券及其他支付凭证；不为</w:t>
      </w:r>
      <w:r>
        <w:rPr>
          <w:rFonts w:hint="eastAsia" w:ascii="宋体" w:hAnsi="宋体" w:eastAsia="宋体" w:cs="宋体"/>
          <w:color w:val="auto"/>
          <w:sz w:val="24"/>
          <w:szCs w:val="24"/>
          <w:highlight w:val="none"/>
          <w:lang w:val="en-US" w:eastAsia="zh-CN"/>
        </w:rPr>
        <w:t>贵</w:t>
      </w:r>
      <w:r>
        <w:rPr>
          <w:rFonts w:hint="eastAsia" w:ascii="宋体" w:hAnsi="宋体" w:eastAsia="宋体" w:cs="宋体"/>
          <w:color w:val="auto"/>
          <w:sz w:val="24"/>
          <w:szCs w:val="24"/>
          <w:highlight w:val="none"/>
        </w:rPr>
        <w:t>司人员提供任何方式的高消费娱乐活动；不为</w:t>
      </w:r>
      <w:r>
        <w:rPr>
          <w:rFonts w:hint="eastAsia" w:ascii="宋体" w:hAnsi="宋体" w:eastAsia="宋体" w:cs="宋体"/>
          <w:color w:val="auto"/>
          <w:sz w:val="24"/>
          <w:szCs w:val="24"/>
          <w:highlight w:val="none"/>
          <w:lang w:val="en-US" w:eastAsia="zh-CN"/>
        </w:rPr>
        <w:t>贵</w:t>
      </w:r>
      <w:r>
        <w:rPr>
          <w:rFonts w:hint="eastAsia" w:ascii="宋体" w:hAnsi="宋体" w:eastAsia="宋体" w:cs="宋体"/>
          <w:color w:val="auto"/>
          <w:sz w:val="24"/>
          <w:szCs w:val="24"/>
          <w:highlight w:val="none"/>
        </w:rPr>
        <w:t>司人员在</w:t>
      </w:r>
      <w:r>
        <w:rPr>
          <w:rFonts w:hint="eastAsia" w:ascii="宋体" w:hAnsi="宋体" w:eastAsia="宋体" w:cs="宋体"/>
          <w:color w:val="auto"/>
          <w:sz w:val="24"/>
          <w:szCs w:val="24"/>
          <w:highlight w:val="none"/>
          <w:lang w:val="en-US" w:eastAsia="zh-CN"/>
        </w:rPr>
        <w:t>我司</w:t>
      </w:r>
      <w:r>
        <w:rPr>
          <w:rFonts w:hint="eastAsia" w:ascii="宋体" w:hAnsi="宋体" w:eastAsia="宋体" w:cs="宋体"/>
          <w:color w:val="auto"/>
          <w:sz w:val="24"/>
          <w:szCs w:val="24"/>
          <w:highlight w:val="none"/>
        </w:rPr>
        <w:t>入股、参股、兼职以及为其个人牟利提供便利；</w:t>
      </w:r>
    </w:p>
    <w:p w14:paraId="1C1E5069">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4</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一旦发现招标、评标工作相关人员在招标过程中有违反上述规定的行为或在经营活动中有不廉洁以及不正当的情形发生，</w:t>
      </w:r>
      <w:r>
        <w:rPr>
          <w:rFonts w:hint="eastAsia" w:ascii="宋体" w:hAnsi="宋体" w:eastAsia="宋体" w:cs="宋体"/>
          <w:color w:val="auto"/>
          <w:sz w:val="24"/>
          <w:szCs w:val="24"/>
          <w:highlight w:val="none"/>
          <w:lang w:val="en-US" w:eastAsia="zh-CN"/>
        </w:rPr>
        <w:t>我司会</w:t>
      </w:r>
      <w:r>
        <w:rPr>
          <w:rFonts w:hint="eastAsia" w:ascii="宋体" w:hAnsi="宋体" w:eastAsia="宋体" w:cs="宋体"/>
          <w:color w:val="auto"/>
          <w:sz w:val="24"/>
          <w:szCs w:val="24"/>
          <w:highlight w:val="none"/>
        </w:rPr>
        <w:t>坚决予以抵制，并及时向</w:t>
      </w:r>
      <w:r>
        <w:rPr>
          <w:rFonts w:hint="eastAsia" w:ascii="宋体" w:hAnsi="宋体" w:eastAsia="宋体" w:cs="宋体"/>
          <w:color w:val="auto"/>
          <w:sz w:val="24"/>
          <w:szCs w:val="24"/>
          <w:highlight w:val="none"/>
          <w:lang w:val="en-US" w:eastAsia="zh-CN"/>
        </w:rPr>
        <w:t>贵司</w:t>
      </w:r>
      <w:r>
        <w:rPr>
          <w:rFonts w:hint="eastAsia" w:ascii="宋体" w:hAnsi="宋体" w:eastAsia="宋体" w:cs="宋体"/>
          <w:color w:val="auto"/>
          <w:sz w:val="24"/>
          <w:szCs w:val="24"/>
          <w:highlight w:val="none"/>
        </w:rPr>
        <w:t>纪检部门举报。</w:t>
      </w:r>
    </w:p>
    <w:p w14:paraId="6EB4FCDA">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5</w:t>
      </w:r>
      <w:r>
        <w:rPr>
          <w:rFonts w:hint="eastAsia" w:ascii="宋体" w:hAnsi="宋体" w:eastAsia="宋体" w:cs="宋体"/>
          <w:color w:val="auto"/>
          <w:sz w:val="24"/>
          <w:szCs w:val="24"/>
          <w:highlight w:val="none"/>
        </w:rPr>
        <w:t>、若</w:t>
      </w:r>
      <w:r>
        <w:rPr>
          <w:rFonts w:hint="eastAsia" w:ascii="宋体" w:hAnsi="宋体" w:cs="宋体"/>
          <w:color w:val="auto"/>
          <w:sz w:val="24"/>
          <w:szCs w:val="24"/>
          <w:highlight w:val="none"/>
          <w:lang w:val="en-US" w:eastAsia="zh-CN"/>
        </w:rPr>
        <w:t>我</w:t>
      </w:r>
      <w:r>
        <w:rPr>
          <w:rFonts w:hint="eastAsia" w:ascii="宋体" w:hAnsi="宋体" w:eastAsia="宋体" w:cs="宋体"/>
          <w:color w:val="auto"/>
          <w:sz w:val="24"/>
          <w:szCs w:val="24"/>
          <w:highlight w:val="none"/>
        </w:rPr>
        <w:t>司有违反上述要求的行为，</w:t>
      </w:r>
      <w:r>
        <w:rPr>
          <w:rFonts w:hint="eastAsia" w:ascii="宋体" w:hAnsi="宋体" w:eastAsia="宋体" w:cs="宋体"/>
          <w:color w:val="auto"/>
          <w:sz w:val="24"/>
          <w:szCs w:val="24"/>
          <w:highlight w:val="none"/>
          <w:lang w:val="en-US" w:eastAsia="zh-CN"/>
        </w:rPr>
        <w:t>贵</w:t>
      </w:r>
      <w:r>
        <w:rPr>
          <w:rFonts w:hint="eastAsia" w:ascii="宋体" w:hAnsi="宋体" w:eastAsia="宋体" w:cs="宋体"/>
          <w:color w:val="auto"/>
          <w:sz w:val="24"/>
          <w:szCs w:val="24"/>
          <w:highlight w:val="none"/>
        </w:rPr>
        <w:t>司有权终止或取消与</w:t>
      </w:r>
      <w:r>
        <w:rPr>
          <w:rFonts w:hint="eastAsia" w:ascii="宋体" w:hAnsi="宋体" w:eastAsia="宋体" w:cs="宋体"/>
          <w:color w:val="auto"/>
          <w:sz w:val="24"/>
          <w:szCs w:val="24"/>
          <w:highlight w:val="none"/>
          <w:lang w:val="en-US" w:eastAsia="zh-CN"/>
        </w:rPr>
        <w:t>我司</w:t>
      </w:r>
      <w:r>
        <w:rPr>
          <w:rFonts w:hint="eastAsia" w:ascii="宋体" w:hAnsi="宋体" w:eastAsia="宋体" w:cs="宋体"/>
          <w:color w:val="auto"/>
          <w:sz w:val="24"/>
          <w:szCs w:val="24"/>
          <w:highlight w:val="none"/>
        </w:rPr>
        <w:t>的合作，将</w:t>
      </w:r>
      <w:r>
        <w:rPr>
          <w:rFonts w:hint="eastAsia" w:ascii="宋体" w:hAnsi="宋体" w:eastAsia="宋体" w:cs="宋体"/>
          <w:color w:val="auto"/>
          <w:sz w:val="24"/>
          <w:szCs w:val="24"/>
          <w:highlight w:val="none"/>
          <w:lang w:val="en-US" w:eastAsia="zh-CN"/>
        </w:rPr>
        <w:t>我司</w:t>
      </w:r>
      <w:r>
        <w:rPr>
          <w:rFonts w:hint="eastAsia" w:ascii="宋体" w:hAnsi="宋体" w:eastAsia="宋体" w:cs="宋体"/>
          <w:color w:val="auto"/>
          <w:sz w:val="24"/>
          <w:szCs w:val="24"/>
          <w:highlight w:val="none"/>
        </w:rPr>
        <w:t>加入供应商黑名单，在内部进行通报，并有权限制或禁止关联公司与</w:t>
      </w:r>
      <w:r>
        <w:rPr>
          <w:rFonts w:hint="eastAsia" w:ascii="宋体" w:hAnsi="宋体" w:eastAsia="宋体" w:cs="宋体"/>
          <w:color w:val="auto"/>
          <w:sz w:val="24"/>
          <w:szCs w:val="24"/>
          <w:highlight w:val="none"/>
          <w:lang w:val="en-US" w:eastAsia="zh-CN"/>
        </w:rPr>
        <w:t>我司</w:t>
      </w:r>
      <w:r>
        <w:rPr>
          <w:rFonts w:hint="eastAsia" w:ascii="宋体" w:hAnsi="宋体" w:eastAsia="宋体" w:cs="宋体"/>
          <w:color w:val="auto"/>
          <w:sz w:val="24"/>
          <w:szCs w:val="24"/>
          <w:highlight w:val="none"/>
        </w:rPr>
        <w:t>开展交易等，由此造成的后果由</w:t>
      </w:r>
      <w:r>
        <w:rPr>
          <w:rFonts w:hint="eastAsia" w:ascii="宋体" w:hAnsi="宋体" w:eastAsia="宋体" w:cs="宋体"/>
          <w:color w:val="auto"/>
          <w:sz w:val="24"/>
          <w:szCs w:val="24"/>
          <w:highlight w:val="none"/>
          <w:lang w:val="en-US" w:eastAsia="zh-CN"/>
        </w:rPr>
        <w:t>我司</w:t>
      </w:r>
      <w:r>
        <w:rPr>
          <w:rFonts w:hint="eastAsia" w:ascii="宋体" w:hAnsi="宋体" w:eastAsia="宋体" w:cs="宋体"/>
          <w:color w:val="auto"/>
          <w:sz w:val="24"/>
          <w:szCs w:val="24"/>
          <w:highlight w:val="none"/>
        </w:rPr>
        <w:t>负责。</w:t>
      </w:r>
    </w:p>
    <w:p w14:paraId="52FED222">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特此承诺</w:t>
      </w:r>
    </w:p>
    <w:p w14:paraId="1E41C0C4">
      <w:pPr>
        <w:ind w:firstLine="640" w:firstLineChars="200"/>
        <w:rPr>
          <w:rFonts w:hint="eastAsia" w:ascii="仿宋_GB2312" w:hAnsi="华文仿宋" w:eastAsia="仿宋_GB2312"/>
          <w:color w:val="auto"/>
          <w:sz w:val="32"/>
          <w:szCs w:val="32"/>
          <w:highlight w:val="none"/>
        </w:rPr>
      </w:pPr>
    </w:p>
    <w:p w14:paraId="3305EC36">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color w:val="auto"/>
          <w:sz w:val="24"/>
          <w:szCs w:val="24"/>
          <w:highlight w:val="none"/>
          <w:lang w:val="en-US" w:eastAsia="zh-CN"/>
        </w:rPr>
      </w:pPr>
    </w:p>
    <w:p w14:paraId="35190BA6">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 xml:space="preserve">承诺企业：              (盖公章)  </w:t>
      </w:r>
    </w:p>
    <w:p w14:paraId="263C017D">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法定代表人：             （签字）</w:t>
      </w:r>
    </w:p>
    <w:p w14:paraId="47F75F36">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ascii="仿宋_GB2312" w:hAnsi="华文仿宋" w:eastAsia="仿宋_GB2312"/>
          <w:color w:val="auto"/>
          <w:sz w:val="32"/>
          <w:szCs w:val="32"/>
          <w:highlight w:val="none"/>
        </w:rPr>
      </w:pPr>
      <w:r>
        <w:rPr>
          <w:rFonts w:hint="eastAsia" w:ascii="宋体" w:hAnsi="宋体" w:cs="宋体"/>
          <w:color w:val="auto"/>
          <w:sz w:val="24"/>
          <w:szCs w:val="24"/>
          <w:highlight w:val="none"/>
          <w:lang w:val="en-US" w:eastAsia="zh-CN"/>
        </w:rPr>
        <w:t>日期：    年    月    日</w:t>
      </w:r>
    </w:p>
    <w:p w14:paraId="7FFDDBF0">
      <w:pPr>
        <w:pStyle w:val="4"/>
        <w:jc w:val="center"/>
        <w:rPr>
          <w:rFonts w:hint="eastAsia"/>
          <w:color w:val="auto"/>
          <w:highlight w:val="none"/>
        </w:rPr>
      </w:pPr>
    </w:p>
    <w:p w14:paraId="6E387A6B">
      <w:pPr>
        <w:pStyle w:val="4"/>
        <w:pageBreakBefore/>
        <w:jc w:val="center"/>
        <w:rPr>
          <w:color w:val="auto"/>
          <w:highlight w:val="none"/>
        </w:rPr>
      </w:pPr>
      <w:r>
        <w:rPr>
          <w:rFonts w:hint="eastAsia"/>
          <w:color w:val="auto"/>
          <w:highlight w:val="none"/>
          <w:lang w:val="en-US" w:eastAsia="zh-CN"/>
        </w:rPr>
        <w:t>九</w:t>
      </w:r>
      <w:r>
        <w:rPr>
          <w:rFonts w:hint="eastAsia"/>
          <w:color w:val="auto"/>
          <w:highlight w:val="none"/>
        </w:rPr>
        <w:t>、拟投入本项目的检测、监测人员资格证明材料</w:t>
      </w:r>
      <w:bookmarkEnd w:id="196"/>
    </w:p>
    <w:p w14:paraId="780BA15F">
      <w:pPr>
        <w:jc w:val="center"/>
        <w:rPr>
          <w:color w:val="auto"/>
          <w:highlight w:val="none"/>
        </w:rPr>
      </w:pPr>
      <w:r>
        <w:rPr>
          <w:rFonts w:hint="eastAsia" w:ascii="宋体" w:hAnsi="宋体" w:cs="宋体"/>
          <w:b/>
          <w:bCs/>
          <w:color w:val="auto"/>
          <w:kern w:val="0"/>
          <w:sz w:val="28"/>
          <w:szCs w:val="28"/>
          <w:highlight w:val="none"/>
        </w:rPr>
        <w:t>（一）拟投入本项目的检测、监测人员一览表</w:t>
      </w:r>
    </w:p>
    <w:tbl>
      <w:tblPr>
        <w:tblStyle w:val="2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5"/>
        <w:gridCol w:w="1304"/>
        <w:gridCol w:w="904"/>
        <w:gridCol w:w="1484"/>
        <w:gridCol w:w="1885"/>
        <w:gridCol w:w="883"/>
        <w:gridCol w:w="992"/>
        <w:gridCol w:w="1276"/>
      </w:tblGrid>
      <w:tr w14:paraId="7E0DEC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4" w:hRule="atLeast"/>
          <w:jc w:val="center"/>
        </w:trPr>
        <w:tc>
          <w:tcPr>
            <w:tcW w:w="685" w:type="dxa"/>
            <w:vAlign w:val="center"/>
          </w:tcPr>
          <w:p w14:paraId="69B50988">
            <w:pPr>
              <w:snapToGrid w:val="0"/>
              <w:spacing w:line="240" w:lineRule="atLeast"/>
              <w:jc w:val="center"/>
              <w:rPr>
                <w:rFonts w:ascii="宋体" w:hAnsi="宋体"/>
                <w:color w:val="auto"/>
                <w:sz w:val="24"/>
                <w:highlight w:val="none"/>
              </w:rPr>
            </w:pPr>
            <w:r>
              <w:rPr>
                <w:rFonts w:hint="eastAsia" w:ascii="宋体" w:hAnsi="宋体"/>
                <w:color w:val="auto"/>
                <w:sz w:val="24"/>
                <w:highlight w:val="none"/>
              </w:rPr>
              <w:t>序号</w:t>
            </w:r>
          </w:p>
        </w:tc>
        <w:tc>
          <w:tcPr>
            <w:tcW w:w="1304" w:type="dxa"/>
            <w:vAlign w:val="center"/>
          </w:tcPr>
          <w:p w14:paraId="2FCAA640">
            <w:pPr>
              <w:snapToGrid w:val="0"/>
              <w:spacing w:line="240" w:lineRule="atLeast"/>
              <w:jc w:val="center"/>
              <w:rPr>
                <w:rFonts w:ascii="宋体" w:hAnsi="宋体"/>
                <w:color w:val="auto"/>
                <w:sz w:val="24"/>
                <w:highlight w:val="none"/>
              </w:rPr>
            </w:pPr>
            <w:r>
              <w:rPr>
                <w:rFonts w:hint="eastAsia" w:ascii="宋体" w:hAnsi="宋体"/>
                <w:color w:val="auto"/>
                <w:sz w:val="24"/>
                <w:highlight w:val="none"/>
              </w:rPr>
              <w:t>姓名</w:t>
            </w:r>
          </w:p>
        </w:tc>
        <w:tc>
          <w:tcPr>
            <w:tcW w:w="904" w:type="dxa"/>
            <w:vAlign w:val="center"/>
          </w:tcPr>
          <w:p w14:paraId="0F7C2C7B">
            <w:pPr>
              <w:snapToGrid w:val="0"/>
              <w:spacing w:line="240" w:lineRule="atLeast"/>
              <w:jc w:val="center"/>
              <w:rPr>
                <w:rFonts w:ascii="宋体" w:hAnsi="宋体"/>
                <w:color w:val="auto"/>
                <w:sz w:val="24"/>
                <w:highlight w:val="none"/>
              </w:rPr>
            </w:pPr>
            <w:r>
              <w:rPr>
                <w:rFonts w:hint="eastAsia" w:ascii="宋体" w:hAnsi="宋体"/>
                <w:color w:val="auto"/>
                <w:sz w:val="24"/>
                <w:highlight w:val="none"/>
              </w:rPr>
              <w:t>年龄</w:t>
            </w:r>
          </w:p>
        </w:tc>
        <w:tc>
          <w:tcPr>
            <w:tcW w:w="1484" w:type="dxa"/>
            <w:vAlign w:val="center"/>
          </w:tcPr>
          <w:p w14:paraId="4A02E50D">
            <w:pPr>
              <w:snapToGrid w:val="0"/>
              <w:spacing w:line="240" w:lineRule="atLeast"/>
              <w:jc w:val="center"/>
              <w:rPr>
                <w:rFonts w:ascii="宋体" w:hAnsi="宋体"/>
                <w:color w:val="auto"/>
                <w:sz w:val="24"/>
                <w:highlight w:val="none"/>
              </w:rPr>
            </w:pPr>
            <w:r>
              <w:rPr>
                <w:rFonts w:hint="eastAsia" w:ascii="宋体" w:hAnsi="宋体"/>
                <w:color w:val="auto"/>
                <w:sz w:val="24"/>
                <w:highlight w:val="none"/>
              </w:rPr>
              <w:t>拟在本项目任职职位</w:t>
            </w:r>
          </w:p>
        </w:tc>
        <w:tc>
          <w:tcPr>
            <w:tcW w:w="1885" w:type="dxa"/>
            <w:vAlign w:val="center"/>
          </w:tcPr>
          <w:p w14:paraId="3D3F1E8E">
            <w:pPr>
              <w:snapToGrid w:val="0"/>
              <w:spacing w:line="240" w:lineRule="atLeast"/>
              <w:jc w:val="center"/>
              <w:rPr>
                <w:rFonts w:ascii="宋体" w:hAnsi="宋体"/>
                <w:color w:val="auto"/>
                <w:sz w:val="24"/>
                <w:highlight w:val="none"/>
              </w:rPr>
            </w:pPr>
            <w:r>
              <w:rPr>
                <w:rFonts w:hint="eastAsia" w:ascii="宋体" w:hAnsi="宋体"/>
                <w:color w:val="auto"/>
                <w:sz w:val="24"/>
                <w:highlight w:val="none"/>
              </w:rPr>
              <w:t>毕业学校</w:t>
            </w:r>
            <w:r>
              <w:rPr>
                <w:rFonts w:ascii="宋体" w:hAnsi="宋体"/>
                <w:color w:val="auto"/>
                <w:sz w:val="24"/>
                <w:highlight w:val="none"/>
              </w:rPr>
              <w:t>/</w:t>
            </w:r>
            <w:r>
              <w:rPr>
                <w:rFonts w:hint="eastAsia" w:ascii="宋体" w:hAnsi="宋体"/>
                <w:color w:val="auto"/>
                <w:sz w:val="24"/>
                <w:highlight w:val="none"/>
              </w:rPr>
              <w:t>专业</w:t>
            </w:r>
          </w:p>
        </w:tc>
        <w:tc>
          <w:tcPr>
            <w:tcW w:w="883" w:type="dxa"/>
            <w:vAlign w:val="center"/>
          </w:tcPr>
          <w:p w14:paraId="58540515">
            <w:pPr>
              <w:snapToGrid w:val="0"/>
              <w:spacing w:line="240" w:lineRule="atLeast"/>
              <w:jc w:val="center"/>
              <w:rPr>
                <w:rFonts w:ascii="宋体" w:hAnsi="宋体"/>
                <w:color w:val="auto"/>
                <w:sz w:val="24"/>
                <w:highlight w:val="none"/>
              </w:rPr>
            </w:pPr>
            <w:r>
              <w:rPr>
                <w:rFonts w:hint="eastAsia" w:ascii="宋体" w:hAnsi="宋体"/>
                <w:color w:val="auto"/>
                <w:sz w:val="24"/>
                <w:highlight w:val="none"/>
              </w:rPr>
              <w:t>学历</w:t>
            </w:r>
          </w:p>
        </w:tc>
        <w:tc>
          <w:tcPr>
            <w:tcW w:w="992" w:type="dxa"/>
            <w:vAlign w:val="center"/>
          </w:tcPr>
          <w:p w14:paraId="10C1EB23">
            <w:pPr>
              <w:snapToGrid w:val="0"/>
              <w:spacing w:line="240" w:lineRule="atLeast"/>
              <w:jc w:val="center"/>
              <w:rPr>
                <w:rFonts w:ascii="宋体" w:hAnsi="宋体"/>
                <w:color w:val="auto"/>
                <w:sz w:val="24"/>
                <w:highlight w:val="none"/>
              </w:rPr>
            </w:pPr>
            <w:r>
              <w:rPr>
                <w:rFonts w:hint="eastAsia" w:ascii="宋体" w:hAnsi="宋体"/>
                <w:color w:val="auto"/>
                <w:sz w:val="24"/>
                <w:highlight w:val="none"/>
              </w:rPr>
              <w:t>职称及专业</w:t>
            </w:r>
          </w:p>
        </w:tc>
        <w:tc>
          <w:tcPr>
            <w:tcW w:w="1276" w:type="dxa"/>
            <w:vAlign w:val="center"/>
          </w:tcPr>
          <w:p w14:paraId="4BD20862">
            <w:pPr>
              <w:snapToGrid w:val="0"/>
              <w:spacing w:line="240" w:lineRule="atLeast"/>
              <w:jc w:val="center"/>
              <w:rPr>
                <w:rFonts w:ascii="宋体" w:hAnsi="宋体"/>
                <w:color w:val="auto"/>
                <w:sz w:val="24"/>
                <w:highlight w:val="none"/>
              </w:rPr>
            </w:pPr>
            <w:r>
              <w:rPr>
                <w:rFonts w:hint="eastAsia" w:ascii="宋体" w:hAnsi="宋体"/>
                <w:color w:val="auto"/>
                <w:sz w:val="24"/>
                <w:highlight w:val="none"/>
              </w:rPr>
              <w:t>从事检测工作年限</w:t>
            </w:r>
          </w:p>
        </w:tc>
      </w:tr>
      <w:tr w14:paraId="7A64EE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685" w:type="dxa"/>
            <w:vAlign w:val="center"/>
          </w:tcPr>
          <w:p w14:paraId="32F4B2FA">
            <w:pPr>
              <w:jc w:val="center"/>
              <w:rPr>
                <w:rFonts w:ascii="宋体" w:hAnsi="宋体"/>
                <w:color w:val="auto"/>
                <w:sz w:val="22"/>
                <w:highlight w:val="none"/>
              </w:rPr>
            </w:pPr>
          </w:p>
        </w:tc>
        <w:tc>
          <w:tcPr>
            <w:tcW w:w="1304" w:type="dxa"/>
            <w:vAlign w:val="center"/>
          </w:tcPr>
          <w:p w14:paraId="7635C8F6">
            <w:pPr>
              <w:jc w:val="center"/>
              <w:rPr>
                <w:rFonts w:ascii="宋体" w:hAnsi="宋体"/>
                <w:color w:val="auto"/>
                <w:sz w:val="22"/>
                <w:highlight w:val="none"/>
              </w:rPr>
            </w:pPr>
          </w:p>
        </w:tc>
        <w:tc>
          <w:tcPr>
            <w:tcW w:w="904" w:type="dxa"/>
            <w:vAlign w:val="center"/>
          </w:tcPr>
          <w:p w14:paraId="7BE350CD">
            <w:pPr>
              <w:jc w:val="center"/>
              <w:rPr>
                <w:rFonts w:ascii="宋体" w:hAnsi="宋体"/>
                <w:color w:val="auto"/>
                <w:sz w:val="22"/>
                <w:highlight w:val="none"/>
              </w:rPr>
            </w:pPr>
          </w:p>
        </w:tc>
        <w:tc>
          <w:tcPr>
            <w:tcW w:w="1484" w:type="dxa"/>
            <w:vAlign w:val="center"/>
          </w:tcPr>
          <w:p w14:paraId="209A4547">
            <w:pPr>
              <w:jc w:val="center"/>
              <w:rPr>
                <w:rFonts w:ascii="宋体" w:hAnsi="宋体"/>
                <w:color w:val="auto"/>
                <w:sz w:val="22"/>
                <w:highlight w:val="none"/>
              </w:rPr>
            </w:pPr>
          </w:p>
        </w:tc>
        <w:tc>
          <w:tcPr>
            <w:tcW w:w="1885" w:type="dxa"/>
            <w:vAlign w:val="center"/>
          </w:tcPr>
          <w:p w14:paraId="5F30EBB1">
            <w:pPr>
              <w:jc w:val="center"/>
              <w:rPr>
                <w:rFonts w:ascii="宋体" w:hAnsi="宋体"/>
                <w:color w:val="auto"/>
                <w:sz w:val="22"/>
                <w:highlight w:val="none"/>
              </w:rPr>
            </w:pPr>
          </w:p>
        </w:tc>
        <w:tc>
          <w:tcPr>
            <w:tcW w:w="883" w:type="dxa"/>
            <w:vAlign w:val="center"/>
          </w:tcPr>
          <w:p w14:paraId="61625298">
            <w:pPr>
              <w:jc w:val="center"/>
              <w:rPr>
                <w:rFonts w:ascii="宋体" w:hAnsi="宋体"/>
                <w:color w:val="auto"/>
                <w:sz w:val="22"/>
                <w:highlight w:val="none"/>
              </w:rPr>
            </w:pPr>
          </w:p>
        </w:tc>
        <w:tc>
          <w:tcPr>
            <w:tcW w:w="992" w:type="dxa"/>
            <w:vAlign w:val="center"/>
          </w:tcPr>
          <w:p w14:paraId="140CC891">
            <w:pPr>
              <w:jc w:val="center"/>
              <w:rPr>
                <w:rFonts w:ascii="宋体" w:hAnsi="宋体"/>
                <w:color w:val="auto"/>
                <w:sz w:val="22"/>
                <w:highlight w:val="none"/>
              </w:rPr>
            </w:pPr>
          </w:p>
        </w:tc>
        <w:tc>
          <w:tcPr>
            <w:tcW w:w="1276" w:type="dxa"/>
            <w:vAlign w:val="center"/>
          </w:tcPr>
          <w:p w14:paraId="5CF95FC7">
            <w:pPr>
              <w:jc w:val="center"/>
              <w:rPr>
                <w:rFonts w:ascii="宋体" w:hAnsi="宋体"/>
                <w:color w:val="auto"/>
                <w:sz w:val="22"/>
                <w:highlight w:val="none"/>
              </w:rPr>
            </w:pPr>
          </w:p>
        </w:tc>
      </w:tr>
      <w:tr w14:paraId="539AF6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685" w:type="dxa"/>
            <w:vAlign w:val="center"/>
          </w:tcPr>
          <w:p w14:paraId="219DB065">
            <w:pPr>
              <w:jc w:val="center"/>
              <w:rPr>
                <w:rFonts w:ascii="宋体" w:hAnsi="宋体"/>
                <w:color w:val="auto"/>
                <w:sz w:val="22"/>
                <w:highlight w:val="none"/>
              </w:rPr>
            </w:pPr>
          </w:p>
        </w:tc>
        <w:tc>
          <w:tcPr>
            <w:tcW w:w="1304" w:type="dxa"/>
            <w:vAlign w:val="center"/>
          </w:tcPr>
          <w:p w14:paraId="68B535B1">
            <w:pPr>
              <w:jc w:val="center"/>
              <w:rPr>
                <w:rFonts w:ascii="宋体" w:hAnsi="宋体"/>
                <w:color w:val="auto"/>
                <w:sz w:val="22"/>
                <w:highlight w:val="none"/>
              </w:rPr>
            </w:pPr>
          </w:p>
        </w:tc>
        <w:tc>
          <w:tcPr>
            <w:tcW w:w="904" w:type="dxa"/>
            <w:vAlign w:val="center"/>
          </w:tcPr>
          <w:p w14:paraId="043864C8">
            <w:pPr>
              <w:jc w:val="center"/>
              <w:rPr>
                <w:rFonts w:ascii="宋体" w:hAnsi="宋体"/>
                <w:color w:val="auto"/>
                <w:sz w:val="22"/>
                <w:highlight w:val="none"/>
              </w:rPr>
            </w:pPr>
          </w:p>
        </w:tc>
        <w:tc>
          <w:tcPr>
            <w:tcW w:w="1484" w:type="dxa"/>
            <w:vAlign w:val="center"/>
          </w:tcPr>
          <w:p w14:paraId="5A701879">
            <w:pPr>
              <w:jc w:val="center"/>
              <w:rPr>
                <w:rFonts w:ascii="宋体" w:hAnsi="宋体"/>
                <w:color w:val="auto"/>
                <w:sz w:val="22"/>
                <w:highlight w:val="none"/>
              </w:rPr>
            </w:pPr>
          </w:p>
        </w:tc>
        <w:tc>
          <w:tcPr>
            <w:tcW w:w="1885" w:type="dxa"/>
            <w:vAlign w:val="center"/>
          </w:tcPr>
          <w:p w14:paraId="77F9ABEE">
            <w:pPr>
              <w:jc w:val="center"/>
              <w:rPr>
                <w:rFonts w:ascii="宋体" w:hAnsi="宋体"/>
                <w:color w:val="auto"/>
                <w:sz w:val="22"/>
                <w:highlight w:val="none"/>
              </w:rPr>
            </w:pPr>
          </w:p>
        </w:tc>
        <w:tc>
          <w:tcPr>
            <w:tcW w:w="883" w:type="dxa"/>
            <w:vAlign w:val="center"/>
          </w:tcPr>
          <w:p w14:paraId="6379B6A0">
            <w:pPr>
              <w:jc w:val="center"/>
              <w:rPr>
                <w:rFonts w:ascii="宋体" w:hAnsi="宋体"/>
                <w:color w:val="auto"/>
                <w:sz w:val="22"/>
                <w:highlight w:val="none"/>
              </w:rPr>
            </w:pPr>
          </w:p>
        </w:tc>
        <w:tc>
          <w:tcPr>
            <w:tcW w:w="992" w:type="dxa"/>
            <w:vAlign w:val="center"/>
          </w:tcPr>
          <w:p w14:paraId="7210A5EC">
            <w:pPr>
              <w:jc w:val="center"/>
              <w:rPr>
                <w:rFonts w:ascii="宋体" w:hAnsi="宋体"/>
                <w:color w:val="auto"/>
                <w:sz w:val="22"/>
                <w:highlight w:val="none"/>
              </w:rPr>
            </w:pPr>
          </w:p>
        </w:tc>
        <w:tc>
          <w:tcPr>
            <w:tcW w:w="1276" w:type="dxa"/>
            <w:vAlign w:val="center"/>
          </w:tcPr>
          <w:p w14:paraId="2796ED69">
            <w:pPr>
              <w:jc w:val="center"/>
              <w:rPr>
                <w:rFonts w:ascii="宋体" w:hAnsi="宋体"/>
                <w:color w:val="auto"/>
                <w:sz w:val="22"/>
                <w:highlight w:val="none"/>
              </w:rPr>
            </w:pPr>
          </w:p>
        </w:tc>
      </w:tr>
      <w:tr w14:paraId="0FB49F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685" w:type="dxa"/>
            <w:vAlign w:val="center"/>
          </w:tcPr>
          <w:p w14:paraId="07CC1BEC">
            <w:pPr>
              <w:jc w:val="center"/>
              <w:rPr>
                <w:rFonts w:ascii="宋体" w:hAnsi="宋体"/>
                <w:color w:val="auto"/>
                <w:sz w:val="22"/>
                <w:highlight w:val="none"/>
              </w:rPr>
            </w:pPr>
          </w:p>
        </w:tc>
        <w:tc>
          <w:tcPr>
            <w:tcW w:w="1304" w:type="dxa"/>
            <w:vAlign w:val="center"/>
          </w:tcPr>
          <w:p w14:paraId="799A4056">
            <w:pPr>
              <w:jc w:val="center"/>
              <w:rPr>
                <w:rFonts w:ascii="宋体" w:hAnsi="宋体"/>
                <w:color w:val="auto"/>
                <w:sz w:val="22"/>
                <w:highlight w:val="none"/>
              </w:rPr>
            </w:pPr>
          </w:p>
        </w:tc>
        <w:tc>
          <w:tcPr>
            <w:tcW w:w="904" w:type="dxa"/>
            <w:vAlign w:val="center"/>
          </w:tcPr>
          <w:p w14:paraId="4ED2CDB9">
            <w:pPr>
              <w:jc w:val="center"/>
              <w:rPr>
                <w:rFonts w:ascii="宋体" w:hAnsi="宋体"/>
                <w:color w:val="auto"/>
                <w:sz w:val="22"/>
                <w:highlight w:val="none"/>
              </w:rPr>
            </w:pPr>
          </w:p>
        </w:tc>
        <w:tc>
          <w:tcPr>
            <w:tcW w:w="1484" w:type="dxa"/>
            <w:vAlign w:val="center"/>
          </w:tcPr>
          <w:p w14:paraId="27AF1DE0">
            <w:pPr>
              <w:jc w:val="center"/>
              <w:rPr>
                <w:rFonts w:ascii="宋体" w:hAnsi="宋体"/>
                <w:color w:val="auto"/>
                <w:sz w:val="22"/>
                <w:highlight w:val="none"/>
              </w:rPr>
            </w:pPr>
          </w:p>
        </w:tc>
        <w:tc>
          <w:tcPr>
            <w:tcW w:w="1885" w:type="dxa"/>
            <w:vAlign w:val="center"/>
          </w:tcPr>
          <w:p w14:paraId="749CDC6C">
            <w:pPr>
              <w:jc w:val="center"/>
              <w:rPr>
                <w:rFonts w:ascii="宋体" w:hAnsi="宋体"/>
                <w:color w:val="auto"/>
                <w:sz w:val="22"/>
                <w:highlight w:val="none"/>
              </w:rPr>
            </w:pPr>
          </w:p>
        </w:tc>
        <w:tc>
          <w:tcPr>
            <w:tcW w:w="883" w:type="dxa"/>
            <w:vAlign w:val="center"/>
          </w:tcPr>
          <w:p w14:paraId="7F8E767D">
            <w:pPr>
              <w:jc w:val="center"/>
              <w:rPr>
                <w:rFonts w:ascii="宋体" w:hAnsi="宋体"/>
                <w:color w:val="auto"/>
                <w:sz w:val="22"/>
                <w:highlight w:val="none"/>
              </w:rPr>
            </w:pPr>
          </w:p>
        </w:tc>
        <w:tc>
          <w:tcPr>
            <w:tcW w:w="992" w:type="dxa"/>
            <w:vAlign w:val="center"/>
          </w:tcPr>
          <w:p w14:paraId="623CBA05">
            <w:pPr>
              <w:jc w:val="center"/>
              <w:rPr>
                <w:rFonts w:ascii="宋体" w:hAnsi="宋体"/>
                <w:color w:val="auto"/>
                <w:sz w:val="22"/>
                <w:highlight w:val="none"/>
              </w:rPr>
            </w:pPr>
          </w:p>
        </w:tc>
        <w:tc>
          <w:tcPr>
            <w:tcW w:w="1276" w:type="dxa"/>
            <w:vAlign w:val="center"/>
          </w:tcPr>
          <w:p w14:paraId="4C6CC7E9">
            <w:pPr>
              <w:jc w:val="center"/>
              <w:rPr>
                <w:rFonts w:ascii="宋体" w:hAnsi="宋体"/>
                <w:color w:val="auto"/>
                <w:sz w:val="22"/>
                <w:highlight w:val="none"/>
              </w:rPr>
            </w:pPr>
          </w:p>
        </w:tc>
      </w:tr>
      <w:tr w14:paraId="6C805D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685" w:type="dxa"/>
            <w:vAlign w:val="center"/>
          </w:tcPr>
          <w:p w14:paraId="07AA7686">
            <w:pPr>
              <w:jc w:val="center"/>
              <w:rPr>
                <w:rFonts w:ascii="宋体" w:hAnsi="宋体"/>
                <w:color w:val="auto"/>
                <w:sz w:val="22"/>
                <w:highlight w:val="none"/>
              </w:rPr>
            </w:pPr>
          </w:p>
        </w:tc>
        <w:tc>
          <w:tcPr>
            <w:tcW w:w="1304" w:type="dxa"/>
            <w:vAlign w:val="center"/>
          </w:tcPr>
          <w:p w14:paraId="49A1F7E1">
            <w:pPr>
              <w:jc w:val="center"/>
              <w:rPr>
                <w:rFonts w:ascii="宋体" w:hAnsi="宋体"/>
                <w:color w:val="auto"/>
                <w:sz w:val="22"/>
                <w:highlight w:val="none"/>
              </w:rPr>
            </w:pPr>
          </w:p>
        </w:tc>
        <w:tc>
          <w:tcPr>
            <w:tcW w:w="904" w:type="dxa"/>
            <w:vAlign w:val="center"/>
          </w:tcPr>
          <w:p w14:paraId="02589718">
            <w:pPr>
              <w:jc w:val="center"/>
              <w:rPr>
                <w:rFonts w:ascii="宋体" w:hAnsi="宋体"/>
                <w:color w:val="auto"/>
                <w:sz w:val="22"/>
                <w:highlight w:val="none"/>
              </w:rPr>
            </w:pPr>
          </w:p>
        </w:tc>
        <w:tc>
          <w:tcPr>
            <w:tcW w:w="1484" w:type="dxa"/>
            <w:vAlign w:val="center"/>
          </w:tcPr>
          <w:p w14:paraId="634970C3">
            <w:pPr>
              <w:jc w:val="center"/>
              <w:rPr>
                <w:rFonts w:ascii="宋体" w:hAnsi="宋体"/>
                <w:color w:val="auto"/>
                <w:sz w:val="22"/>
                <w:highlight w:val="none"/>
              </w:rPr>
            </w:pPr>
          </w:p>
        </w:tc>
        <w:tc>
          <w:tcPr>
            <w:tcW w:w="1885" w:type="dxa"/>
            <w:vAlign w:val="center"/>
          </w:tcPr>
          <w:p w14:paraId="53110F01">
            <w:pPr>
              <w:jc w:val="center"/>
              <w:rPr>
                <w:rFonts w:ascii="宋体" w:hAnsi="宋体"/>
                <w:color w:val="auto"/>
                <w:sz w:val="22"/>
                <w:highlight w:val="none"/>
              </w:rPr>
            </w:pPr>
          </w:p>
        </w:tc>
        <w:tc>
          <w:tcPr>
            <w:tcW w:w="883" w:type="dxa"/>
            <w:vAlign w:val="center"/>
          </w:tcPr>
          <w:p w14:paraId="3C89B12E">
            <w:pPr>
              <w:jc w:val="center"/>
              <w:rPr>
                <w:rFonts w:ascii="宋体" w:hAnsi="宋体"/>
                <w:color w:val="auto"/>
                <w:sz w:val="22"/>
                <w:highlight w:val="none"/>
              </w:rPr>
            </w:pPr>
          </w:p>
        </w:tc>
        <w:tc>
          <w:tcPr>
            <w:tcW w:w="992" w:type="dxa"/>
            <w:vAlign w:val="center"/>
          </w:tcPr>
          <w:p w14:paraId="4D68ABF3">
            <w:pPr>
              <w:jc w:val="center"/>
              <w:rPr>
                <w:rFonts w:ascii="宋体" w:hAnsi="宋体"/>
                <w:color w:val="auto"/>
                <w:sz w:val="22"/>
                <w:highlight w:val="none"/>
              </w:rPr>
            </w:pPr>
          </w:p>
        </w:tc>
        <w:tc>
          <w:tcPr>
            <w:tcW w:w="1276" w:type="dxa"/>
            <w:vAlign w:val="center"/>
          </w:tcPr>
          <w:p w14:paraId="77BDBCFD">
            <w:pPr>
              <w:jc w:val="center"/>
              <w:rPr>
                <w:rFonts w:ascii="宋体" w:hAnsi="宋体"/>
                <w:color w:val="auto"/>
                <w:sz w:val="22"/>
                <w:highlight w:val="none"/>
              </w:rPr>
            </w:pPr>
          </w:p>
        </w:tc>
      </w:tr>
      <w:tr w14:paraId="1A84A5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685" w:type="dxa"/>
            <w:vAlign w:val="center"/>
          </w:tcPr>
          <w:p w14:paraId="55FFFECD">
            <w:pPr>
              <w:jc w:val="center"/>
              <w:rPr>
                <w:rFonts w:ascii="宋体" w:hAnsi="宋体"/>
                <w:color w:val="auto"/>
                <w:sz w:val="22"/>
                <w:highlight w:val="none"/>
              </w:rPr>
            </w:pPr>
          </w:p>
        </w:tc>
        <w:tc>
          <w:tcPr>
            <w:tcW w:w="1304" w:type="dxa"/>
            <w:vAlign w:val="center"/>
          </w:tcPr>
          <w:p w14:paraId="76FB4A64">
            <w:pPr>
              <w:jc w:val="center"/>
              <w:rPr>
                <w:rFonts w:ascii="宋体" w:hAnsi="宋体"/>
                <w:color w:val="auto"/>
                <w:sz w:val="22"/>
                <w:highlight w:val="none"/>
              </w:rPr>
            </w:pPr>
          </w:p>
        </w:tc>
        <w:tc>
          <w:tcPr>
            <w:tcW w:w="904" w:type="dxa"/>
            <w:vAlign w:val="center"/>
          </w:tcPr>
          <w:p w14:paraId="572476FD">
            <w:pPr>
              <w:jc w:val="center"/>
              <w:rPr>
                <w:rFonts w:ascii="宋体" w:hAnsi="宋体"/>
                <w:color w:val="auto"/>
                <w:sz w:val="22"/>
                <w:highlight w:val="none"/>
              </w:rPr>
            </w:pPr>
          </w:p>
        </w:tc>
        <w:tc>
          <w:tcPr>
            <w:tcW w:w="1484" w:type="dxa"/>
            <w:vAlign w:val="center"/>
          </w:tcPr>
          <w:p w14:paraId="766AC1D1">
            <w:pPr>
              <w:jc w:val="center"/>
              <w:rPr>
                <w:rFonts w:ascii="宋体" w:hAnsi="宋体"/>
                <w:color w:val="auto"/>
                <w:sz w:val="22"/>
                <w:highlight w:val="none"/>
              </w:rPr>
            </w:pPr>
          </w:p>
        </w:tc>
        <w:tc>
          <w:tcPr>
            <w:tcW w:w="1885" w:type="dxa"/>
            <w:vAlign w:val="center"/>
          </w:tcPr>
          <w:p w14:paraId="374CDD1E">
            <w:pPr>
              <w:jc w:val="center"/>
              <w:rPr>
                <w:rFonts w:ascii="宋体" w:hAnsi="宋体"/>
                <w:color w:val="auto"/>
                <w:sz w:val="22"/>
                <w:highlight w:val="none"/>
              </w:rPr>
            </w:pPr>
          </w:p>
        </w:tc>
        <w:tc>
          <w:tcPr>
            <w:tcW w:w="883" w:type="dxa"/>
            <w:vAlign w:val="center"/>
          </w:tcPr>
          <w:p w14:paraId="2FE033CB">
            <w:pPr>
              <w:jc w:val="center"/>
              <w:rPr>
                <w:rFonts w:ascii="宋体" w:hAnsi="宋体"/>
                <w:color w:val="auto"/>
                <w:sz w:val="22"/>
                <w:highlight w:val="none"/>
              </w:rPr>
            </w:pPr>
          </w:p>
        </w:tc>
        <w:tc>
          <w:tcPr>
            <w:tcW w:w="992" w:type="dxa"/>
            <w:vAlign w:val="center"/>
          </w:tcPr>
          <w:p w14:paraId="4CA05A9C">
            <w:pPr>
              <w:jc w:val="center"/>
              <w:rPr>
                <w:rFonts w:ascii="宋体" w:hAnsi="宋体"/>
                <w:color w:val="auto"/>
                <w:sz w:val="22"/>
                <w:highlight w:val="none"/>
              </w:rPr>
            </w:pPr>
          </w:p>
        </w:tc>
        <w:tc>
          <w:tcPr>
            <w:tcW w:w="1276" w:type="dxa"/>
            <w:vAlign w:val="center"/>
          </w:tcPr>
          <w:p w14:paraId="6F154A59">
            <w:pPr>
              <w:jc w:val="center"/>
              <w:rPr>
                <w:rFonts w:ascii="宋体" w:hAnsi="宋体"/>
                <w:color w:val="auto"/>
                <w:sz w:val="22"/>
                <w:highlight w:val="none"/>
              </w:rPr>
            </w:pPr>
          </w:p>
        </w:tc>
      </w:tr>
      <w:tr w14:paraId="32DACC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685" w:type="dxa"/>
            <w:vAlign w:val="center"/>
          </w:tcPr>
          <w:p w14:paraId="656C1CD6">
            <w:pPr>
              <w:jc w:val="center"/>
              <w:rPr>
                <w:rFonts w:ascii="宋体" w:hAnsi="宋体"/>
                <w:color w:val="auto"/>
                <w:sz w:val="22"/>
                <w:highlight w:val="none"/>
              </w:rPr>
            </w:pPr>
          </w:p>
        </w:tc>
        <w:tc>
          <w:tcPr>
            <w:tcW w:w="1304" w:type="dxa"/>
            <w:vAlign w:val="center"/>
          </w:tcPr>
          <w:p w14:paraId="3C779C6D">
            <w:pPr>
              <w:jc w:val="center"/>
              <w:rPr>
                <w:rFonts w:ascii="宋体" w:hAnsi="宋体"/>
                <w:color w:val="auto"/>
                <w:sz w:val="22"/>
                <w:highlight w:val="none"/>
              </w:rPr>
            </w:pPr>
          </w:p>
        </w:tc>
        <w:tc>
          <w:tcPr>
            <w:tcW w:w="904" w:type="dxa"/>
            <w:vAlign w:val="center"/>
          </w:tcPr>
          <w:p w14:paraId="56FBE2D2">
            <w:pPr>
              <w:jc w:val="center"/>
              <w:rPr>
                <w:rFonts w:ascii="宋体" w:hAnsi="宋体"/>
                <w:color w:val="auto"/>
                <w:sz w:val="22"/>
                <w:highlight w:val="none"/>
              </w:rPr>
            </w:pPr>
          </w:p>
        </w:tc>
        <w:tc>
          <w:tcPr>
            <w:tcW w:w="1484" w:type="dxa"/>
            <w:vAlign w:val="center"/>
          </w:tcPr>
          <w:p w14:paraId="785EAD3F">
            <w:pPr>
              <w:jc w:val="center"/>
              <w:rPr>
                <w:rFonts w:ascii="宋体" w:hAnsi="宋体"/>
                <w:color w:val="auto"/>
                <w:sz w:val="22"/>
                <w:highlight w:val="none"/>
              </w:rPr>
            </w:pPr>
          </w:p>
        </w:tc>
        <w:tc>
          <w:tcPr>
            <w:tcW w:w="1885" w:type="dxa"/>
            <w:vAlign w:val="center"/>
          </w:tcPr>
          <w:p w14:paraId="78AD919D">
            <w:pPr>
              <w:jc w:val="center"/>
              <w:rPr>
                <w:rFonts w:ascii="宋体" w:hAnsi="宋体"/>
                <w:color w:val="auto"/>
                <w:sz w:val="22"/>
                <w:highlight w:val="none"/>
              </w:rPr>
            </w:pPr>
          </w:p>
        </w:tc>
        <w:tc>
          <w:tcPr>
            <w:tcW w:w="883" w:type="dxa"/>
            <w:vAlign w:val="center"/>
          </w:tcPr>
          <w:p w14:paraId="5E69386E">
            <w:pPr>
              <w:jc w:val="center"/>
              <w:rPr>
                <w:rFonts w:ascii="宋体" w:hAnsi="宋体"/>
                <w:color w:val="auto"/>
                <w:sz w:val="22"/>
                <w:highlight w:val="none"/>
              </w:rPr>
            </w:pPr>
          </w:p>
        </w:tc>
        <w:tc>
          <w:tcPr>
            <w:tcW w:w="992" w:type="dxa"/>
            <w:vAlign w:val="center"/>
          </w:tcPr>
          <w:p w14:paraId="70F58B55">
            <w:pPr>
              <w:jc w:val="center"/>
              <w:rPr>
                <w:rFonts w:ascii="宋体" w:hAnsi="宋体"/>
                <w:color w:val="auto"/>
                <w:sz w:val="22"/>
                <w:highlight w:val="none"/>
              </w:rPr>
            </w:pPr>
          </w:p>
        </w:tc>
        <w:tc>
          <w:tcPr>
            <w:tcW w:w="1276" w:type="dxa"/>
            <w:vAlign w:val="center"/>
          </w:tcPr>
          <w:p w14:paraId="1F8F6D6D">
            <w:pPr>
              <w:jc w:val="center"/>
              <w:rPr>
                <w:rFonts w:ascii="宋体" w:hAnsi="宋体"/>
                <w:color w:val="auto"/>
                <w:sz w:val="22"/>
                <w:highlight w:val="none"/>
              </w:rPr>
            </w:pPr>
          </w:p>
        </w:tc>
      </w:tr>
      <w:tr w14:paraId="368291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685" w:type="dxa"/>
            <w:vAlign w:val="center"/>
          </w:tcPr>
          <w:p w14:paraId="10F0AB40">
            <w:pPr>
              <w:jc w:val="center"/>
              <w:rPr>
                <w:rFonts w:ascii="宋体" w:hAnsi="宋体"/>
                <w:color w:val="auto"/>
                <w:sz w:val="22"/>
                <w:highlight w:val="none"/>
              </w:rPr>
            </w:pPr>
          </w:p>
        </w:tc>
        <w:tc>
          <w:tcPr>
            <w:tcW w:w="1304" w:type="dxa"/>
            <w:vAlign w:val="center"/>
          </w:tcPr>
          <w:p w14:paraId="5EA5D2CC">
            <w:pPr>
              <w:jc w:val="center"/>
              <w:rPr>
                <w:rFonts w:ascii="宋体" w:hAnsi="宋体"/>
                <w:color w:val="auto"/>
                <w:sz w:val="22"/>
                <w:highlight w:val="none"/>
              </w:rPr>
            </w:pPr>
          </w:p>
        </w:tc>
        <w:tc>
          <w:tcPr>
            <w:tcW w:w="904" w:type="dxa"/>
            <w:vAlign w:val="center"/>
          </w:tcPr>
          <w:p w14:paraId="716E185C">
            <w:pPr>
              <w:jc w:val="center"/>
              <w:rPr>
                <w:rFonts w:ascii="宋体" w:hAnsi="宋体"/>
                <w:color w:val="auto"/>
                <w:sz w:val="22"/>
                <w:highlight w:val="none"/>
              </w:rPr>
            </w:pPr>
          </w:p>
        </w:tc>
        <w:tc>
          <w:tcPr>
            <w:tcW w:w="1484" w:type="dxa"/>
            <w:vAlign w:val="center"/>
          </w:tcPr>
          <w:p w14:paraId="6196C507">
            <w:pPr>
              <w:jc w:val="center"/>
              <w:rPr>
                <w:rFonts w:ascii="宋体" w:hAnsi="宋体"/>
                <w:color w:val="auto"/>
                <w:sz w:val="22"/>
                <w:highlight w:val="none"/>
              </w:rPr>
            </w:pPr>
          </w:p>
        </w:tc>
        <w:tc>
          <w:tcPr>
            <w:tcW w:w="1885" w:type="dxa"/>
            <w:vAlign w:val="center"/>
          </w:tcPr>
          <w:p w14:paraId="025B84CD">
            <w:pPr>
              <w:jc w:val="center"/>
              <w:rPr>
                <w:rFonts w:ascii="宋体" w:hAnsi="宋体"/>
                <w:color w:val="auto"/>
                <w:sz w:val="22"/>
                <w:highlight w:val="none"/>
              </w:rPr>
            </w:pPr>
          </w:p>
        </w:tc>
        <w:tc>
          <w:tcPr>
            <w:tcW w:w="883" w:type="dxa"/>
            <w:vAlign w:val="center"/>
          </w:tcPr>
          <w:p w14:paraId="2F0AC30B">
            <w:pPr>
              <w:jc w:val="center"/>
              <w:rPr>
                <w:rFonts w:ascii="宋体" w:hAnsi="宋体"/>
                <w:color w:val="auto"/>
                <w:sz w:val="22"/>
                <w:highlight w:val="none"/>
              </w:rPr>
            </w:pPr>
          </w:p>
        </w:tc>
        <w:tc>
          <w:tcPr>
            <w:tcW w:w="992" w:type="dxa"/>
            <w:vAlign w:val="center"/>
          </w:tcPr>
          <w:p w14:paraId="1D7AB55C">
            <w:pPr>
              <w:jc w:val="center"/>
              <w:rPr>
                <w:rFonts w:ascii="宋体" w:hAnsi="宋体"/>
                <w:color w:val="auto"/>
                <w:sz w:val="22"/>
                <w:highlight w:val="none"/>
              </w:rPr>
            </w:pPr>
          </w:p>
        </w:tc>
        <w:tc>
          <w:tcPr>
            <w:tcW w:w="1276" w:type="dxa"/>
            <w:vAlign w:val="center"/>
          </w:tcPr>
          <w:p w14:paraId="4494AFD1">
            <w:pPr>
              <w:jc w:val="center"/>
              <w:rPr>
                <w:rFonts w:ascii="宋体" w:hAnsi="宋体"/>
                <w:color w:val="auto"/>
                <w:sz w:val="22"/>
                <w:highlight w:val="none"/>
              </w:rPr>
            </w:pPr>
          </w:p>
        </w:tc>
      </w:tr>
      <w:tr w14:paraId="6B9A7E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685" w:type="dxa"/>
            <w:vAlign w:val="center"/>
          </w:tcPr>
          <w:p w14:paraId="60CB1095">
            <w:pPr>
              <w:jc w:val="center"/>
              <w:rPr>
                <w:rFonts w:ascii="宋体" w:hAnsi="宋体"/>
                <w:color w:val="auto"/>
                <w:sz w:val="22"/>
                <w:highlight w:val="none"/>
              </w:rPr>
            </w:pPr>
          </w:p>
        </w:tc>
        <w:tc>
          <w:tcPr>
            <w:tcW w:w="1304" w:type="dxa"/>
            <w:vAlign w:val="center"/>
          </w:tcPr>
          <w:p w14:paraId="76770835">
            <w:pPr>
              <w:jc w:val="center"/>
              <w:rPr>
                <w:rFonts w:ascii="宋体" w:hAnsi="宋体"/>
                <w:color w:val="auto"/>
                <w:sz w:val="22"/>
                <w:highlight w:val="none"/>
              </w:rPr>
            </w:pPr>
          </w:p>
        </w:tc>
        <w:tc>
          <w:tcPr>
            <w:tcW w:w="904" w:type="dxa"/>
            <w:vAlign w:val="center"/>
          </w:tcPr>
          <w:p w14:paraId="70A5FC04">
            <w:pPr>
              <w:jc w:val="center"/>
              <w:rPr>
                <w:rFonts w:ascii="宋体" w:hAnsi="宋体"/>
                <w:color w:val="auto"/>
                <w:sz w:val="22"/>
                <w:highlight w:val="none"/>
              </w:rPr>
            </w:pPr>
          </w:p>
        </w:tc>
        <w:tc>
          <w:tcPr>
            <w:tcW w:w="1484" w:type="dxa"/>
            <w:vAlign w:val="center"/>
          </w:tcPr>
          <w:p w14:paraId="23110783">
            <w:pPr>
              <w:jc w:val="center"/>
              <w:rPr>
                <w:rFonts w:ascii="宋体" w:hAnsi="宋体"/>
                <w:color w:val="auto"/>
                <w:sz w:val="22"/>
                <w:highlight w:val="none"/>
              </w:rPr>
            </w:pPr>
          </w:p>
        </w:tc>
        <w:tc>
          <w:tcPr>
            <w:tcW w:w="1885" w:type="dxa"/>
            <w:vAlign w:val="center"/>
          </w:tcPr>
          <w:p w14:paraId="0D7715F6">
            <w:pPr>
              <w:jc w:val="center"/>
              <w:rPr>
                <w:rFonts w:ascii="宋体" w:hAnsi="宋体"/>
                <w:color w:val="auto"/>
                <w:sz w:val="22"/>
                <w:highlight w:val="none"/>
              </w:rPr>
            </w:pPr>
          </w:p>
        </w:tc>
        <w:tc>
          <w:tcPr>
            <w:tcW w:w="883" w:type="dxa"/>
            <w:vAlign w:val="center"/>
          </w:tcPr>
          <w:p w14:paraId="64AAECF8">
            <w:pPr>
              <w:jc w:val="center"/>
              <w:rPr>
                <w:rFonts w:ascii="宋体" w:hAnsi="宋体"/>
                <w:color w:val="auto"/>
                <w:sz w:val="22"/>
                <w:highlight w:val="none"/>
              </w:rPr>
            </w:pPr>
          </w:p>
        </w:tc>
        <w:tc>
          <w:tcPr>
            <w:tcW w:w="992" w:type="dxa"/>
            <w:vAlign w:val="center"/>
          </w:tcPr>
          <w:p w14:paraId="27913E36">
            <w:pPr>
              <w:jc w:val="center"/>
              <w:rPr>
                <w:rFonts w:ascii="宋体" w:hAnsi="宋体"/>
                <w:color w:val="auto"/>
                <w:sz w:val="22"/>
                <w:highlight w:val="none"/>
              </w:rPr>
            </w:pPr>
          </w:p>
        </w:tc>
        <w:tc>
          <w:tcPr>
            <w:tcW w:w="1276" w:type="dxa"/>
            <w:vAlign w:val="center"/>
          </w:tcPr>
          <w:p w14:paraId="33E43BCC">
            <w:pPr>
              <w:jc w:val="center"/>
              <w:rPr>
                <w:rFonts w:ascii="宋体" w:hAnsi="宋体"/>
                <w:color w:val="auto"/>
                <w:sz w:val="22"/>
                <w:highlight w:val="none"/>
              </w:rPr>
            </w:pPr>
          </w:p>
        </w:tc>
      </w:tr>
      <w:tr w14:paraId="7CCCD7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685" w:type="dxa"/>
            <w:vAlign w:val="center"/>
          </w:tcPr>
          <w:p w14:paraId="1AAEEFCC">
            <w:pPr>
              <w:jc w:val="center"/>
              <w:rPr>
                <w:rFonts w:ascii="宋体" w:hAnsi="宋体"/>
                <w:color w:val="auto"/>
                <w:sz w:val="22"/>
                <w:highlight w:val="none"/>
              </w:rPr>
            </w:pPr>
          </w:p>
        </w:tc>
        <w:tc>
          <w:tcPr>
            <w:tcW w:w="1304" w:type="dxa"/>
            <w:vAlign w:val="center"/>
          </w:tcPr>
          <w:p w14:paraId="55C9DBF7">
            <w:pPr>
              <w:jc w:val="center"/>
              <w:rPr>
                <w:rFonts w:ascii="宋体" w:hAnsi="宋体"/>
                <w:color w:val="auto"/>
                <w:sz w:val="22"/>
                <w:highlight w:val="none"/>
              </w:rPr>
            </w:pPr>
          </w:p>
        </w:tc>
        <w:tc>
          <w:tcPr>
            <w:tcW w:w="904" w:type="dxa"/>
            <w:vAlign w:val="center"/>
          </w:tcPr>
          <w:p w14:paraId="16297A6A">
            <w:pPr>
              <w:jc w:val="center"/>
              <w:rPr>
                <w:rFonts w:ascii="宋体" w:hAnsi="宋体"/>
                <w:color w:val="auto"/>
                <w:sz w:val="22"/>
                <w:highlight w:val="none"/>
              </w:rPr>
            </w:pPr>
          </w:p>
        </w:tc>
        <w:tc>
          <w:tcPr>
            <w:tcW w:w="1484" w:type="dxa"/>
            <w:vAlign w:val="center"/>
          </w:tcPr>
          <w:p w14:paraId="348FD9E5">
            <w:pPr>
              <w:jc w:val="center"/>
              <w:rPr>
                <w:rFonts w:ascii="宋体" w:hAnsi="宋体"/>
                <w:color w:val="auto"/>
                <w:sz w:val="22"/>
                <w:highlight w:val="none"/>
              </w:rPr>
            </w:pPr>
          </w:p>
        </w:tc>
        <w:tc>
          <w:tcPr>
            <w:tcW w:w="1885" w:type="dxa"/>
            <w:vAlign w:val="center"/>
          </w:tcPr>
          <w:p w14:paraId="218BEBD0">
            <w:pPr>
              <w:jc w:val="center"/>
              <w:rPr>
                <w:rFonts w:ascii="宋体" w:hAnsi="宋体"/>
                <w:color w:val="auto"/>
                <w:sz w:val="22"/>
                <w:highlight w:val="none"/>
              </w:rPr>
            </w:pPr>
          </w:p>
        </w:tc>
        <w:tc>
          <w:tcPr>
            <w:tcW w:w="883" w:type="dxa"/>
            <w:vAlign w:val="center"/>
          </w:tcPr>
          <w:p w14:paraId="1CFAF0B2">
            <w:pPr>
              <w:jc w:val="center"/>
              <w:rPr>
                <w:rFonts w:ascii="宋体" w:hAnsi="宋体"/>
                <w:color w:val="auto"/>
                <w:sz w:val="22"/>
                <w:highlight w:val="none"/>
              </w:rPr>
            </w:pPr>
          </w:p>
        </w:tc>
        <w:tc>
          <w:tcPr>
            <w:tcW w:w="992" w:type="dxa"/>
            <w:vAlign w:val="center"/>
          </w:tcPr>
          <w:p w14:paraId="0A5123C8">
            <w:pPr>
              <w:jc w:val="center"/>
              <w:rPr>
                <w:rFonts w:ascii="宋体" w:hAnsi="宋体"/>
                <w:color w:val="auto"/>
                <w:sz w:val="22"/>
                <w:highlight w:val="none"/>
              </w:rPr>
            </w:pPr>
          </w:p>
        </w:tc>
        <w:tc>
          <w:tcPr>
            <w:tcW w:w="1276" w:type="dxa"/>
            <w:vAlign w:val="center"/>
          </w:tcPr>
          <w:p w14:paraId="3832324D">
            <w:pPr>
              <w:jc w:val="center"/>
              <w:rPr>
                <w:rFonts w:ascii="宋体" w:hAnsi="宋体"/>
                <w:color w:val="auto"/>
                <w:sz w:val="22"/>
                <w:highlight w:val="none"/>
              </w:rPr>
            </w:pPr>
          </w:p>
        </w:tc>
      </w:tr>
      <w:tr w14:paraId="6E3629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685" w:type="dxa"/>
            <w:vAlign w:val="center"/>
          </w:tcPr>
          <w:p w14:paraId="1DB86069">
            <w:pPr>
              <w:jc w:val="center"/>
              <w:rPr>
                <w:rFonts w:ascii="宋体" w:hAnsi="宋体"/>
                <w:color w:val="auto"/>
                <w:sz w:val="22"/>
                <w:highlight w:val="none"/>
              </w:rPr>
            </w:pPr>
          </w:p>
        </w:tc>
        <w:tc>
          <w:tcPr>
            <w:tcW w:w="1304" w:type="dxa"/>
            <w:vAlign w:val="center"/>
          </w:tcPr>
          <w:p w14:paraId="75AAEC82">
            <w:pPr>
              <w:jc w:val="center"/>
              <w:rPr>
                <w:rFonts w:ascii="宋体" w:hAnsi="宋体"/>
                <w:color w:val="auto"/>
                <w:sz w:val="22"/>
                <w:highlight w:val="none"/>
              </w:rPr>
            </w:pPr>
          </w:p>
        </w:tc>
        <w:tc>
          <w:tcPr>
            <w:tcW w:w="904" w:type="dxa"/>
            <w:vAlign w:val="center"/>
          </w:tcPr>
          <w:p w14:paraId="383C0E7F">
            <w:pPr>
              <w:jc w:val="center"/>
              <w:rPr>
                <w:rFonts w:ascii="宋体" w:hAnsi="宋体"/>
                <w:color w:val="auto"/>
                <w:sz w:val="22"/>
                <w:highlight w:val="none"/>
              </w:rPr>
            </w:pPr>
          </w:p>
        </w:tc>
        <w:tc>
          <w:tcPr>
            <w:tcW w:w="1484" w:type="dxa"/>
            <w:vAlign w:val="center"/>
          </w:tcPr>
          <w:p w14:paraId="09947B31">
            <w:pPr>
              <w:jc w:val="center"/>
              <w:rPr>
                <w:rFonts w:ascii="宋体" w:hAnsi="宋体"/>
                <w:color w:val="auto"/>
                <w:sz w:val="22"/>
                <w:highlight w:val="none"/>
              </w:rPr>
            </w:pPr>
          </w:p>
        </w:tc>
        <w:tc>
          <w:tcPr>
            <w:tcW w:w="1885" w:type="dxa"/>
            <w:vAlign w:val="center"/>
          </w:tcPr>
          <w:p w14:paraId="170DDFB5">
            <w:pPr>
              <w:jc w:val="center"/>
              <w:rPr>
                <w:rFonts w:ascii="宋体" w:hAnsi="宋体"/>
                <w:color w:val="auto"/>
                <w:sz w:val="22"/>
                <w:highlight w:val="none"/>
              </w:rPr>
            </w:pPr>
          </w:p>
        </w:tc>
        <w:tc>
          <w:tcPr>
            <w:tcW w:w="883" w:type="dxa"/>
            <w:vAlign w:val="center"/>
          </w:tcPr>
          <w:p w14:paraId="421E74BA">
            <w:pPr>
              <w:jc w:val="center"/>
              <w:rPr>
                <w:rFonts w:ascii="宋体" w:hAnsi="宋体"/>
                <w:color w:val="auto"/>
                <w:sz w:val="22"/>
                <w:highlight w:val="none"/>
              </w:rPr>
            </w:pPr>
          </w:p>
        </w:tc>
        <w:tc>
          <w:tcPr>
            <w:tcW w:w="992" w:type="dxa"/>
            <w:vAlign w:val="center"/>
          </w:tcPr>
          <w:p w14:paraId="73BC2DAE">
            <w:pPr>
              <w:jc w:val="center"/>
              <w:rPr>
                <w:rFonts w:ascii="宋体" w:hAnsi="宋体"/>
                <w:color w:val="auto"/>
                <w:sz w:val="22"/>
                <w:highlight w:val="none"/>
              </w:rPr>
            </w:pPr>
          </w:p>
        </w:tc>
        <w:tc>
          <w:tcPr>
            <w:tcW w:w="1276" w:type="dxa"/>
            <w:vAlign w:val="center"/>
          </w:tcPr>
          <w:p w14:paraId="6D3B5F09">
            <w:pPr>
              <w:jc w:val="center"/>
              <w:rPr>
                <w:rFonts w:ascii="宋体" w:hAnsi="宋体"/>
                <w:color w:val="auto"/>
                <w:sz w:val="22"/>
                <w:highlight w:val="none"/>
              </w:rPr>
            </w:pPr>
          </w:p>
        </w:tc>
      </w:tr>
      <w:tr w14:paraId="0D75FE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685" w:type="dxa"/>
            <w:vAlign w:val="center"/>
          </w:tcPr>
          <w:p w14:paraId="1397C48D">
            <w:pPr>
              <w:jc w:val="center"/>
              <w:rPr>
                <w:rFonts w:ascii="宋体" w:hAnsi="宋体"/>
                <w:color w:val="auto"/>
                <w:sz w:val="22"/>
                <w:highlight w:val="none"/>
              </w:rPr>
            </w:pPr>
          </w:p>
        </w:tc>
        <w:tc>
          <w:tcPr>
            <w:tcW w:w="1304" w:type="dxa"/>
            <w:vAlign w:val="center"/>
          </w:tcPr>
          <w:p w14:paraId="3F78DBBE">
            <w:pPr>
              <w:jc w:val="center"/>
              <w:rPr>
                <w:rFonts w:ascii="宋体" w:hAnsi="宋体"/>
                <w:color w:val="auto"/>
                <w:sz w:val="22"/>
                <w:highlight w:val="none"/>
              </w:rPr>
            </w:pPr>
          </w:p>
        </w:tc>
        <w:tc>
          <w:tcPr>
            <w:tcW w:w="904" w:type="dxa"/>
            <w:vAlign w:val="center"/>
          </w:tcPr>
          <w:p w14:paraId="7F35C347">
            <w:pPr>
              <w:jc w:val="center"/>
              <w:rPr>
                <w:rFonts w:ascii="宋体" w:hAnsi="宋体"/>
                <w:color w:val="auto"/>
                <w:sz w:val="22"/>
                <w:highlight w:val="none"/>
              </w:rPr>
            </w:pPr>
          </w:p>
        </w:tc>
        <w:tc>
          <w:tcPr>
            <w:tcW w:w="1484" w:type="dxa"/>
            <w:vAlign w:val="center"/>
          </w:tcPr>
          <w:p w14:paraId="365796EC">
            <w:pPr>
              <w:jc w:val="center"/>
              <w:rPr>
                <w:rFonts w:ascii="宋体" w:hAnsi="宋体"/>
                <w:color w:val="auto"/>
                <w:sz w:val="22"/>
                <w:highlight w:val="none"/>
              </w:rPr>
            </w:pPr>
          </w:p>
        </w:tc>
        <w:tc>
          <w:tcPr>
            <w:tcW w:w="1885" w:type="dxa"/>
            <w:vAlign w:val="center"/>
          </w:tcPr>
          <w:p w14:paraId="1CCF4717">
            <w:pPr>
              <w:jc w:val="center"/>
              <w:rPr>
                <w:rFonts w:ascii="宋体" w:hAnsi="宋体"/>
                <w:color w:val="auto"/>
                <w:sz w:val="22"/>
                <w:highlight w:val="none"/>
              </w:rPr>
            </w:pPr>
          </w:p>
        </w:tc>
        <w:tc>
          <w:tcPr>
            <w:tcW w:w="883" w:type="dxa"/>
            <w:vAlign w:val="center"/>
          </w:tcPr>
          <w:p w14:paraId="417F51C8">
            <w:pPr>
              <w:jc w:val="center"/>
              <w:rPr>
                <w:rFonts w:ascii="宋体" w:hAnsi="宋体"/>
                <w:color w:val="auto"/>
                <w:sz w:val="22"/>
                <w:highlight w:val="none"/>
              </w:rPr>
            </w:pPr>
          </w:p>
        </w:tc>
        <w:tc>
          <w:tcPr>
            <w:tcW w:w="992" w:type="dxa"/>
            <w:vAlign w:val="center"/>
          </w:tcPr>
          <w:p w14:paraId="044996C0">
            <w:pPr>
              <w:jc w:val="center"/>
              <w:rPr>
                <w:rFonts w:ascii="宋体" w:hAnsi="宋体"/>
                <w:color w:val="auto"/>
                <w:sz w:val="22"/>
                <w:highlight w:val="none"/>
              </w:rPr>
            </w:pPr>
          </w:p>
        </w:tc>
        <w:tc>
          <w:tcPr>
            <w:tcW w:w="1276" w:type="dxa"/>
            <w:vAlign w:val="center"/>
          </w:tcPr>
          <w:p w14:paraId="64594997">
            <w:pPr>
              <w:jc w:val="center"/>
              <w:rPr>
                <w:rFonts w:ascii="宋体" w:hAnsi="宋体"/>
                <w:color w:val="auto"/>
                <w:sz w:val="22"/>
                <w:highlight w:val="none"/>
              </w:rPr>
            </w:pPr>
          </w:p>
        </w:tc>
      </w:tr>
      <w:tr w14:paraId="20F6BD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685" w:type="dxa"/>
            <w:vAlign w:val="center"/>
          </w:tcPr>
          <w:p w14:paraId="11BFAC5B">
            <w:pPr>
              <w:jc w:val="center"/>
              <w:rPr>
                <w:rFonts w:ascii="宋体" w:hAnsi="宋体"/>
                <w:color w:val="auto"/>
                <w:sz w:val="22"/>
                <w:highlight w:val="none"/>
              </w:rPr>
            </w:pPr>
          </w:p>
        </w:tc>
        <w:tc>
          <w:tcPr>
            <w:tcW w:w="1304" w:type="dxa"/>
            <w:vAlign w:val="center"/>
          </w:tcPr>
          <w:p w14:paraId="1A3867D8">
            <w:pPr>
              <w:jc w:val="center"/>
              <w:rPr>
                <w:rFonts w:ascii="宋体" w:hAnsi="宋体"/>
                <w:color w:val="auto"/>
                <w:sz w:val="22"/>
                <w:highlight w:val="none"/>
              </w:rPr>
            </w:pPr>
          </w:p>
        </w:tc>
        <w:tc>
          <w:tcPr>
            <w:tcW w:w="904" w:type="dxa"/>
            <w:vAlign w:val="center"/>
          </w:tcPr>
          <w:p w14:paraId="2A60AC60">
            <w:pPr>
              <w:jc w:val="center"/>
              <w:rPr>
                <w:rFonts w:ascii="宋体" w:hAnsi="宋体"/>
                <w:color w:val="auto"/>
                <w:sz w:val="22"/>
                <w:highlight w:val="none"/>
              </w:rPr>
            </w:pPr>
          </w:p>
        </w:tc>
        <w:tc>
          <w:tcPr>
            <w:tcW w:w="1484" w:type="dxa"/>
            <w:vAlign w:val="center"/>
          </w:tcPr>
          <w:p w14:paraId="60E310F5">
            <w:pPr>
              <w:jc w:val="center"/>
              <w:rPr>
                <w:rFonts w:ascii="宋体" w:hAnsi="宋体"/>
                <w:color w:val="auto"/>
                <w:sz w:val="22"/>
                <w:highlight w:val="none"/>
              </w:rPr>
            </w:pPr>
          </w:p>
        </w:tc>
        <w:tc>
          <w:tcPr>
            <w:tcW w:w="1885" w:type="dxa"/>
            <w:vAlign w:val="center"/>
          </w:tcPr>
          <w:p w14:paraId="2C927114">
            <w:pPr>
              <w:jc w:val="center"/>
              <w:rPr>
                <w:rFonts w:ascii="宋体" w:hAnsi="宋体"/>
                <w:color w:val="auto"/>
                <w:sz w:val="22"/>
                <w:highlight w:val="none"/>
              </w:rPr>
            </w:pPr>
          </w:p>
        </w:tc>
        <w:tc>
          <w:tcPr>
            <w:tcW w:w="883" w:type="dxa"/>
            <w:vAlign w:val="center"/>
          </w:tcPr>
          <w:p w14:paraId="438B9332">
            <w:pPr>
              <w:jc w:val="center"/>
              <w:rPr>
                <w:rFonts w:ascii="宋体" w:hAnsi="宋体"/>
                <w:color w:val="auto"/>
                <w:sz w:val="22"/>
                <w:highlight w:val="none"/>
              </w:rPr>
            </w:pPr>
          </w:p>
        </w:tc>
        <w:tc>
          <w:tcPr>
            <w:tcW w:w="992" w:type="dxa"/>
            <w:vAlign w:val="center"/>
          </w:tcPr>
          <w:p w14:paraId="05B88D92">
            <w:pPr>
              <w:jc w:val="center"/>
              <w:rPr>
                <w:rFonts w:ascii="宋体" w:hAnsi="宋体"/>
                <w:color w:val="auto"/>
                <w:sz w:val="22"/>
                <w:highlight w:val="none"/>
              </w:rPr>
            </w:pPr>
          </w:p>
        </w:tc>
        <w:tc>
          <w:tcPr>
            <w:tcW w:w="1276" w:type="dxa"/>
            <w:vAlign w:val="center"/>
          </w:tcPr>
          <w:p w14:paraId="796A00D1">
            <w:pPr>
              <w:jc w:val="center"/>
              <w:rPr>
                <w:rFonts w:ascii="宋体" w:hAnsi="宋体"/>
                <w:color w:val="auto"/>
                <w:sz w:val="22"/>
                <w:highlight w:val="none"/>
              </w:rPr>
            </w:pPr>
          </w:p>
        </w:tc>
      </w:tr>
      <w:tr w14:paraId="08A66E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685" w:type="dxa"/>
            <w:vAlign w:val="center"/>
          </w:tcPr>
          <w:p w14:paraId="1C3725F8">
            <w:pPr>
              <w:jc w:val="center"/>
              <w:rPr>
                <w:rFonts w:ascii="宋体" w:hAnsi="宋体"/>
                <w:color w:val="auto"/>
                <w:sz w:val="22"/>
                <w:highlight w:val="none"/>
              </w:rPr>
            </w:pPr>
          </w:p>
        </w:tc>
        <w:tc>
          <w:tcPr>
            <w:tcW w:w="1304" w:type="dxa"/>
            <w:vAlign w:val="center"/>
          </w:tcPr>
          <w:p w14:paraId="6404900E">
            <w:pPr>
              <w:jc w:val="center"/>
              <w:rPr>
                <w:rFonts w:ascii="宋体" w:hAnsi="宋体"/>
                <w:color w:val="auto"/>
                <w:sz w:val="22"/>
                <w:highlight w:val="none"/>
              </w:rPr>
            </w:pPr>
          </w:p>
        </w:tc>
        <w:tc>
          <w:tcPr>
            <w:tcW w:w="904" w:type="dxa"/>
            <w:vAlign w:val="center"/>
          </w:tcPr>
          <w:p w14:paraId="41352103">
            <w:pPr>
              <w:jc w:val="center"/>
              <w:rPr>
                <w:rFonts w:ascii="宋体" w:hAnsi="宋体"/>
                <w:color w:val="auto"/>
                <w:sz w:val="22"/>
                <w:highlight w:val="none"/>
              </w:rPr>
            </w:pPr>
          </w:p>
        </w:tc>
        <w:tc>
          <w:tcPr>
            <w:tcW w:w="1484" w:type="dxa"/>
            <w:vAlign w:val="center"/>
          </w:tcPr>
          <w:p w14:paraId="454488ED">
            <w:pPr>
              <w:jc w:val="center"/>
              <w:rPr>
                <w:rFonts w:ascii="宋体" w:hAnsi="宋体"/>
                <w:color w:val="auto"/>
                <w:sz w:val="22"/>
                <w:highlight w:val="none"/>
              </w:rPr>
            </w:pPr>
          </w:p>
        </w:tc>
        <w:tc>
          <w:tcPr>
            <w:tcW w:w="1885" w:type="dxa"/>
            <w:vAlign w:val="center"/>
          </w:tcPr>
          <w:p w14:paraId="15759476">
            <w:pPr>
              <w:jc w:val="center"/>
              <w:rPr>
                <w:rFonts w:ascii="宋体" w:hAnsi="宋体"/>
                <w:color w:val="auto"/>
                <w:sz w:val="22"/>
                <w:highlight w:val="none"/>
              </w:rPr>
            </w:pPr>
          </w:p>
        </w:tc>
        <w:tc>
          <w:tcPr>
            <w:tcW w:w="883" w:type="dxa"/>
            <w:vAlign w:val="center"/>
          </w:tcPr>
          <w:p w14:paraId="08AFBAB2">
            <w:pPr>
              <w:jc w:val="center"/>
              <w:rPr>
                <w:rFonts w:ascii="宋体" w:hAnsi="宋体"/>
                <w:color w:val="auto"/>
                <w:sz w:val="22"/>
                <w:highlight w:val="none"/>
              </w:rPr>
            </w:pPr>
          </w:p>
        </w:tc>
        <w:tc>
          <w:tcPr>
            <w:tcW w:w="992" w:type="dxa"/>
            <w:vAlign w:val="center"/>
          </w:tcPr>
          <w:p w14:paraId="0881D6B5">
            <w:pPr>
              <w:jc w:val="center"/>
              <w:rPr>
                <w:rFonts w:ascii="宋体" w:hAnsi="宋体"/>
                <w:color w:val="auto"/>
                <w:sz w:val="22"/>
                <w:highlight w:val="none"/>
              </w:rPr>
            </w:pPr>
          </w:p>
        </w:tc>
        <w:tc>
          <w:tcPr>
            <w:tcW w:w="1276" w:type="dxa"/>
            <w:vAlign w:val="center"/>
          </w:tcPr>
          <w:p w14:paraId="526EECDC">
            <w:pPr>
              <w:jc w:val="center"/>
              <w:rPr>
                <w:rFonts w:ascii="宋体" w:hAnsi="宋体"/>
                <w:color w:val="auto"/>
                <w:sz w:val="22"/>
                <w:highlight w:val="none"/>
              </w:rPr>
            </w:pPr>
          </w:p>
        </w:tc>
      </w:tr>
    </w:tbl>
    <w:p w14:paraId="791AE302">
      <w:pPr>
        <w:widowControl/>
        <w:spacing w:before="100" w:line="440" w:lineRule="exact"/>
        <w:jc w:val="left"/>
        <w:rPr>
          <w:rFonts w:ascii="宋体" w:hAnsi="宋体" w:cs="宋体"/>
          <w:b/>
          <w:bCs/>
          <w:color w:val="auto"/>
          <w:kern w:val="0"/>
          <w:sz w:val="28"/>
          <w:szCs w:val="28"/>
          <w:highlight w:val="none"/>
        </w:rPr>
      </w:pPr>
      <w:r>
        <w:rPr>
          <w:rFonts w:hint="eastAsia" w:ascii="宋体" w:hAnsi="宋体"/>
          <w:color w:val="auto"/>
          <w:highlight w:val="none"/>
        </w:rPr>
        <w:t>注：本项不作为资格审查内容，但（如有）需提供，仅作为投标人的评标（综合评分）后附相关证明材料。表格格式可以根据实际情况调整。</w:t>
      </w:r>
    </w:p>
    <w:p w14:paraId="50641B3F">
      <w:pPr>
        <w:widowControl/>
        <w:jc w:val="left"/>
        <w:rPr>
          <w:rFonts w:ascii="宋体" w:hAnsi="宋体" w:cs="宋体"/>
          <w:b/>
          <w:bCs/>
          <w:color w:val="auto"/>
          <w:kern w:val="0"/>
          <w:sz w:val="28"/>
          <w:szCs w:val="28"/>
          <w:highlight w:val="none"/>
        </w:rPr>
      </w:pPr>
      <w:r>
        <w:rPr>
          <w:rFonts w:ascii="宋体" w:hAnsi="宋体" w:cs="宋体"/>
          <w:b/>
          <w:bCs/>
          <w:color w:val="auto"/>
          <w:kern w:val="0"/>
          <w:sz w:val="28"/>
          <w:szCs w:val="28"/>
          <w:highlight w:val="none"/>
        </w:rPr>
        <w:br w:type="page"/>
      </w:r>
    </w:p>
    <w:p w14:paraId="20F55A86">
      <w:pPr>
        <w:jc w:val="center"/>
        <w:rPr>
          <w:rFonts w:cs="宋体"/>
          <w:bCs/>
          <w:color w:val="auto"/>
          <w:kern w:val="0"/>
          <w:highlight w:val="none"/>
        </w:rPr>
      </w:pPr>
    </w:p>
    <w:p w14:paraId="53ED1FFB">
      <w:pPr>
        <w:jc w:val="center"/>
        <w:rPr>
          <w:color w:val="auto"/>
          <w:highlight w:val="none"/>
        </w:rPr>
      </w:pPr>
      <w:r>
        <w:rPr>
          <w:rFonts w:hint="eastAsia" w:ascii="宋体" w:hAnsi="宋体" w:cs="宋体"/>
          <w:b/>
          <w:bCs/>
          <w:color w:val="auto"/>
          <w:kern w:val="0"/>
          <w:sz w:val="28"/>
          <w:szCs w:val="28"/>
          <w:highlight w:val="none"/>
        </w:rPr>
        <w:t>（二）拟投入本项目的检测、监测人员简历表</w:t>
      </w:r>
    </w:p>
    <w:tbl>
      <w:tblPr>
        <w:tblStyle w:val="27"/>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187"/>
        <w:gridCol w:w="180"/>
        <w:gridCol w:w="1295"/>
        <w:gridCol w:w="281"/>
        <w:gridCol w:w="763"/>
        <w:gridCol w:w="957"/>
        <w:gridCol w:w="407"/>
        <w:gridCol w:w="1200"/>
        <w:gridCol w:w="630"/>
        <w:gridCol w:w="2027"/>
      </w:tblGrid>
      <w:tr w14:paraId="3755499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95" w:hRule="atLeast"/>
          <w:jc w:val="center"/>
        </w:trPr>
        <w:tc>
          <w:tcPr>
            <w:tcW w:w="1367" w:type="dxa"/>
            <w:gridSpan w:val="2"/>
            <w:vAlign w:val="center"/>
          </w:tcPr>
          <w:p w14:paraId="6F99F232">
            <w:pPr>
              <w:snapToGrid w:val="0"/>
              <w:spacing w:line="0" w:lineRule="atLeast"/>
              <w:jc w:val="center"/>
              <w:rPr>
                <w:rFonts w:ascii="宋体" w:hAnsi="宋体"/>
                <w:color w:val="auto"/>
                <w:sz w:val="24"/>
                <w:highlight w:val="none"/>
              </w:rPr>
            </w:pPr>
            <w:r>
              <w:rPr>
                <w:rFonts w:hint="eastAsia" w:ascii="宋体" w:hAnsi="宋体"/>
                <w:color w:val="auto"/>
                <w:sz w:val="24"/>
                <w:highlight w:val="none"/>
              </w:rPr>
              <w:t>姓名</w:t>
            </w:r>
          </w:p>
        </w:tc>
        <w:tc>
          <w:tcPr>
            <w:tcW w:w="1295" w:type="dxa"/>
            <w:vAlign w:val="center"/>
          </w:tcPr>
          <w:p w14:paraId="04A63EE1">
            <w:pPr>
              <w:snapToGrid w:val="0"/>
              <w:spacing w:line="0" w:lineRule="atLeast"/>
              <w:jc w:val="center"/>
              <w:rPr>
                <w:rFonts w:ascii="宋体" w:hAnsi="宋体"/>
                <w:color w:val="auto"/>
                <w:sz w:val="24"/>
                <w:highlight w:val="none"/>
              </w:rPr>
            </w:pPr>
          </w:p>
        </w:tc>
        <w:tc>
          <w:tcPr>
            <w:tcW w:w="1044" w:type="dxa"/>
            <w:gridSpan w:val="2"/>
            <w:vAlign w:val="center"/>
          </w:tcPr>
          <w:p w14:paraId="3F4E8E16">
            <w:pPr>
              <w:snapToGrid w:val="0"/>
              <w:spacing w:line="0" w:lineRule="atLeast"/>
              <w:jc w:val="center"/>
              <w:rPr>
                <w:rFonts w:ascii="宋体" w:hAnsi="宋体"/>
                <w:color w:val="auto"/>
                <w:sz w:val="24"/>
                <w:highlight w:val="none"/>
              </w:rPr>
            </w:pPr>
            <w:r>
              <w:rPr>
                <w:rFonts w:hint="eastAsia" w:ascii="宋体" w:hAnsi="宋体"/>
                <w:color w:val="auto"/>
                <w:sz w:val="24"/>
                <w:highlight w:val="none"/>
              </w:rPr>
              <w:t>年龄</w:t>
            </w:r>
          </w:p>
        </w:tc>
        <w:tc>
          <w:tcPr>
            <w:tcW w:w="1364" w:type="dxa"/>
            <w:gridSpan w:val="2"/>
            <w:vAlign w:val="center"/>
          </w:tcPr>
          <w:p w14:paraId="1B8E4CEA">
            <w:pPr>
              <w:snapToGrid w:val="0"/>
              <w:spacing w:line="0" w:lineRule="atLeast"/>
              <w:jc w:val="center"/>
              <w:rPr>
                <w:rFonts w:ascii="宋体" w:hAnsi="宋体"/>
                <w:color w:val="auto"/>
                <w:sz w:val="24"/>
                <w:highlight w:val="none"/>
              </w:rPr>
            </w:pPr>
          </w:p>
        </w:tc>
        <w:tc>
          <w:tcPr>
            <w:tcW w:w="1830" w:type="dxa"/>
            <w:gridSpan w:val="2"/>
            <w:vAlign w:val="center"/>
          </w:tcPr>
          <w:p w14:paraId="20126B08">
            <w:pPr>
              <w:snapToGrid w:val="0"/>
              <w:spacing w:line="0" w:lineRule="atLeast"/>
              <w:jc w:val="center"/>
              <w:rPr>
                <w:rFonts w:ascii="宋体" w:hAnsi="宋体"/>
                <w:color w:val="auto"/>
                <w:sz w:val="24"/>
                <w:highlight w:val="none"/>
              </w:rPr>
            </w:pPr>
            <w:r>
              <w:rPr>
                <w:rFonts w:hint="eastAsia" w:ascii="宋体" w:hAnsi="宋体"/>
                <w:color w:val="auto"/>
                <w:sz w:val="24"/>
                <w:highlight w:val="none"/>
              </w:rPr>
              <w:t>学历</w:t>
            </w:r>
          </w:p>
        </w:tc>
        <w:tc>
          <w:tcPr>
            <w:tcW w:w="2027" w:type="dxa"/>
          </w:tcPr>
          <w:p w14:paraId="3A8318C5">
            <w:pPr>
              <w:snapToGrid w:val="0"/>
              <w:spacing w:line="0" w:lineRule="atLeast"/>
              <w:jc w:val="center"/>
              <w:rPr>
                <w:rFonts w:ascii="宋体" w:hAnsi="宋体"/>
                <w:color w:val="auto"/>
                <w:sz w:val="24"/>
                <w:highlight w:val="none"/>
              </w:rPr>
            </w:pPr>
          </w:p>
        </w:tc>
      </w:tr>
      <w:tr w14:paraId="592672D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33" w:hRule="atLeast"/>
          <w:jc w:val="center"/>
        </w:trPr>
        <w:tc>
          <w:tcPr>
            <w:tcW w:w="1367" w:type="dxa"/>
            <w:gridSpan w:val="2"/>
            <w:vAlign w:val="center"/>
          </w:tcPr>
          <w:p w14:paraId="6D2351F8">
            <w:pPr>
              <w:snapToGrid w:val="0"/>
              <w:spacing w:line="0" w:lineRule="atLeast"/>
              <w:jc w:val="center"/>
              <w:rPr>
                <w:rFonts w:ascii="宋体" w:hAnsi="宋体"/>
                <w:color w:val="auto"/>
                <w:sz w:val="24"/>
                <w:highlight w:val="none"/>
              </w:rPr>
            </w:pPr>
            <w:r>
              <w:rPr>
                <w:rFonts w:hint="eastAsia" w:ascii="宋体" w:hAnsi="宋体"/>
                <w:color w:val="auto"/>
                <w:sz w:val="24"/>
                <w:highlight w:val="none"/>
              </w:rPr>
              <w:t>技术职称</w:t>
            </w:r>
          </w:p>
        </w:tc>
        <w:tc>
          <w:tcPr>
            <w:tcW w:w="1295" w:type="dxa"/>
            <w:vAlign w:val="center"/>
          </w:tcPr>
          <w:p w14:paraId="4EDE26ED">
            <w:pPr>
              <w:snapToGrid w:val="0"/>
              <w:spacing w:line="0" w:lineRule="atLeast"/>
              <w:jc w:val="center"/>
              <w:rPr>
                <w:rFonts w:ascii="宋体" w:hAnsi="宋体"/>
                <w:color w:val="auto"/>
                <w:sz w:val="24"/>
                <w:highlight w:val="none"/>
              </w:rPr>
            </w:pPr>
          </w:p>
        </w:tc>
        <w:tc>
          <w:tcPr>
            <w:tcW w:w="1044" w:type="dxa"/>
            <w:gridSpan w:val="2"/>
            <w:vAlign w:val="center"/>
          </w:tcPr>
          <w:p w14:paraId="0A44FC5C">
            <w:pPr>
              <w:snapToGrid w:val="0"/>
              <w:spacing w:line="0" w:lineRule="atLeast"/>
              <w:jc w:val="center"/>
              <w:rPr>
                <w:rFonts w:ascii="宋体" w:hAnsi="宋体"/>
                <w:color w:val="auto"/>
                <w:sz w:val="24"/>
                <w:highlight w:val="none"/>
              </w:rPr>
            </w:pPr>
            <w:r>
              <w:rPr>
                <w:rFonts w:hint="eastAsia" w:ascii="宋体" w:hAnsi="宋体"/>
                <w:color w:val="auto"/>
                <w:sz w:val="24"/>
                <w:highlight w:val="none"/>
              </w:rPr>
              <w:t>职务</w:t>
            </w:r>
          </w:p>
        </w:tc>
        <w:tc>
          <w:tcPr>
            <w:tcW w:w="1364" w:type="dxa"/>
            <w:gridSpan w:val="2"/>
            <w:vAlign w:val="center"/>
          </w:tcPr>
          <w:p w14:paraId="42011A84">
            <w:pPr>
              <w:snapToGrid w:val="0"/>
              <w:spacing w:line="0" w:lineRule="atLeast"/>
              <w:jc w:val="center"/>
              <w:rPr>
                <w:rFonts w:ascii="宋体" w:hAnsi="宋体"/>
                <w:color w:val="auto"/>
                <w:sz w:val="24"/>
                <w:highlight w:val="none"/>
              </w:rPr>
            </w:pPr>
          </w:p>
        </w:tc>
        <w:tc>
          <w:tcPr>
            <w:tcW w:w="1830" w:type="dxa"/>
            <w:gridSpan w:val="2"/>
            <w:vAlign w:val="center"/>
          </w:tcPr>
          <w:p w14:paraId="5B56CFB3">
            <w:pPr>
              <w:snapToGrid w:val="0"/>
              <w:spacing w:line="0" w:lineRule="atLeast"/>
              <w:jc w:val="center"/>
              <w:rPr>
                <w:rFonts w:ascii="宋体" w:hAnsi="宋体"/>
                <w:color w:val="auto"/>
                <w:sz w:val="24"/>
                <w:highlight w:val="none"/>
              </w:rPr>
            </w:pPr>
            <w:r>
              <w:rPr>
                <w:rFonts w:hint="eastAsia" w:ascii="宋体" w:hAnsi="宋体"/>
                <w:color w:val="auto"/>
                <w:sz w:val="24"/>
                <w:highlight w:val="none"/>
              </w:rPr>
              <w:t>在本项目担任职务</w:t>
            </w:r>
          </w:p>
        </w:tc>
        <w:tc>
          <w:tcPr>
            <w:tcW w:w="2027" w:type="dxa"/>
          </w:tcPr>
          <w:p w14:paraId="65F58C6F">
            <w:pPr>
              <w:snapToGrid w:val="0"/>
              <w:spacing w:line="0" w:lineRule="atLeast"/>
              <w:jc w:val="center"/>
              <w:rPr>
                <w:rFonts w:ascii="宋体" w:hAnsi="宋体"/>
                <w:color w:val="auto"/>
                <w:sz w:val="24"/>
                <w:highlight w:val="none"/>
              </w:rPr>
            </w:pPr>
          </w:p>
        </w:tc>
      </w:tr>
      <w:tr w14:paraId="652E3D5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59" w:hRule="atLeast"/>
          <w:jc w:val="center"/>
        </w:trPr>
        <w:tc>
          <w:tcPr>
            <w:tcW w:w="1367" w:type="dxa"/>
            <w:gridSpan w:val="2"/>
            <w:vAlign w:val="center"/>
          </w:tcPr>
          <w:p w14:paraId="43E97859">
            <w:pPr>
              <w:snapToGrid w:val="0"/>
              <w:spacing w:line="0" w:lineRule="atLeast"/>
              <w:jc w:val="center"/>
              <w:rPr>
                <w:rFonts w:ascii="宋体" w:hAnsi="宋体"/>
                <w:color w:val="auto"/>
                <w:sz w:val="24"/>
                <w:highlight w:val="none"/>
              </w:rPr>
            </w:pPr>
            <w:r>
              <w:rPr>
                <w:rFonts w:hint="eastAsia" w:ascii="宋体" w:hAnsi="宋体"/>
                <w:color w:val="auto"/>
                <w:sz w:val="24"/>
                <w:highlight w:val="none"/>
              </w:rPr>
              <w:t>毕业学校</w:t>
            </w:r>
          </w:p>
        </w:tc>
        <w:tc>
          <w:tcPr>
            <w:tcW w:w="3703" w:type="dxa"/>
            <w:gridSpan w:val="5"/>
            <w:vAlign w:val="center"/>
          </w:tcPr>
          <w:p w14:paraId="0E7DE71A">
            <w:pPr>
              <w:snapToGrid w:val="0"/>
              <w:spacing w:line="0" w:lineRule="atLeast"/>
              <w:jc w:val="center"/>
              <w:rPr>
                <w:rFonts w:ascii="宋体" w:hAnsi="宋体"/>
                <w:color w:val="auto"/>
                <w:sz w:val="24"/>
                <w:highlight w:val="none"/>
              </w:rPr>
            </w:pPr>
            <w:r>
              <w:rPr>
                <w:rFonts w:hint="eastAsia" w:ascii="宋体" w:hAnsi="宋体"/>
                <w:color w:val="auto"/>
                <w:sz w:val="24"/>
                <w:highlight w:val="none"/>
              </w:rPr>
              <w:t>毕业于      学校     专业</w:t>
            </w:r>
          </w:p>
        </w:tc>
        <w:tc>
          <w:tcPr>
            <w:tcW w:w="1830" w:type="dxa"/>
            <w:gridSpan w:val="2"/>
            <w:vAlign w:val="center"/>
          </w:tcPr>
          <w:p w14:paraId="48BA5A3A">
            <w:pPr>
              <w:snapToGrid w:val="0"/>
              <w:spacing w:line="0" w:lineRule="atLeast"/>
              <w:jc w:val="center"/>
              <w:rPr>
                <w:rFonts w:ascii="宋体" w:hAnsi="宋体"/>
                <w:color w:val="auto"/>
                <w:sz w:val="24"/>
                <w:highlight w:val="none"/>
              </w:rPr>
            </w:pPr>
            <w:r>
              <w:rPr>
                <w:rFonts w:hint="eastAsia" w:ascii="宋体" w:hAnsi="宋体"/>
                <w:color w:val="auto"/>
                <w:position w:val="-30"/>
                <w:sz w:val="24"/>
                <w:highlight w:val="none"/>
              </w:rPr>
              <w:t>从事检测工作年限</w:t>
            </w:r>
          </w:p>
        </w:tc>
        <w:tc>
          <w:tcPr>
            <w:tcW w:w="2027" w:type="dxa"/>
          </w:tcPr>
          <w:p w14:paraId="459EB6FD">
            <w:pPr>
              <w:snapToGrid w:val="0"/>
              <w:spacing w:line="0" w:lineRule="atLeast"/>
              <w:jc w:val="center"/>
              <w:rPr>
                <w:rFonts w:ascii="宋体" w:hAnsi="宋体"/>
                <w:color w:val="auto"/>
                <w:sz w:val="24"/>
                <w:highlight w:val="none"/>
              </w:rPr>
            </w:pPr>
          </w:p>
        </w:tc>
      </w:tr>
      <w:tr w14:paraId="17C6BBC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36" w:hRule="atLeast"/>
          <w:jc w:val="center"/>
        </w:trPr>
        <w:tc>
          <w:tcPr>
            <w:tcW w:w="2943" w:type="dxa"/>
            <w:gridSpan w:val="4"/>
            <w:vAlign w:val="center"/>
          </w:tcPr>
          <w:p w14:paraId="74606D37">
            <w:pPr>
              <w:snapToGrid w:val="0"/>
              <w:spacing w:line="0" w:lineRule="atLeast"/>
              <w:jc w:val="center"/>
              <w:rPr>
                <w:rFonts w:ascii="宋体" w:hAnsi="宋体"/>
                <w:color w:val="auto"/>
                <w:sz w:val="24"/>
                <w:highlight w:val="none"/>
              </w:rPr>
            </w:pPr>
            <w:r>
              <w:rPr>
                <w:rFonts w:hint="eastAsia" w:ascii="宋体" w:hAnsi="宋体"/>
                <w:color w:val="auto"/>
                <w:sz w:val="24"/>
                <w:highlight w:val="none"/>
              </w:rPr>
              <w:t>执业资格证号或注册证号</w:t>
            </w:r>
          </w:p>
        </w:tc>
        <w:tc>
          <w:tcPr>
            <w:tcW w:w="5984" w:type="dxa"/>
            <w:gridSpan w:val="6"/>
          </w:tcPr>
          <w:p w14:paraId="3F6E1560">
            <w:pPr>
              <w:snapToGrid w:val="0"/>
              <w:spacing w:line="0" w:lineRule="atLeast"/>
              <w:rPr>
                <w:rFonts w:ascii="宋体" w:hAnsi="宋体"/>
                <w:color w:val="auto"/>
                <w:sz w:val="24"/>
                <w:highlight w:val="none"/>
              </w:rPr>
            </w:pPr>
          </w:p>
        </w:tc>
      </w:tr>
      <w:tr w14:paraId="66B702C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34" w:hRule="atLeast"/>
          <w:jc w:val="center"/>
        </w:trPr>
        <w:tc>
          <w:tcPr>
            <w:tcW w:w="8927" w:type="dxa"/>
            <w:gridSpan w:val="10"/>
            <w:vAlign w:val="center"/>
          </w:tcPr>
          <w:p w14:paraId="24A20720">
            <w:pPr>
              <w:snapToGrid w:val="0"/>
              <w:spacing w:line="0" w:lineRule="atLeast"/>
              <w:jc w:val="center"/>
              <w:rPr>
                <w:rFonts w:ascii="宋体" w:hAnsi="宋体"/>
                <w:color w:val="auto"/>
                <w:sz w:val="24"/>
                <w:highlight w:val="none"/>
              </w:rPr>
            </w:pPr>
            <w:r>
              <w:rPr>
                <w:rFonts w:hint="eastAsia" w:ascii="宋体" w:hAnsi="宋体"/>
                <w:color w:val="auto"/>
                <w:sz w:val="24"/>
                <w:highlight w:val="none"/>
              </w:rPr>
              <w:t>主要业绩经历</w:t>
            </w:r>
          </w:p>
        </w:tc>
      </w:tr>
      <w:tr w14:paraId="65982C9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81" w:hRule="atLeast"/>
          <w:jc w:val="center"/>
        </w:trPr>
        <w:tc>
          <w:tcPr>
            <w:tcW w:w="1187" w:type="dxa"/>
            <w:vAlign w:val="center"/>
          </w:tcPr>
          <w:p w14:paraId="013389F1">
            <w:pPr>
              <w:snapToGrid w:val="0"/>
              <w:spacing w:line="0" w:lineRule="atLeast"/>
              <w:jc w:val="center"/>
              <w:rPr>
                <w:rFonts w:ascii="宋体" w:hAnsi="宋体"/>
                <w:color w:val="auto"/>
                <w:sz w:val="24"/>
                <w:highlight w:val="none"/>
              </w:rPr>
            </w:pPr>
            <w:r>
              <w:rPr>
                <w:rFonts w:hint="eastAsia" w:ascii="宋体" w:hAnsi="宋体"/>
                <w:color w:val="auto"/>
                <w:sz w:val="24"/>
                <w:highlight w:val="none"/>
              </w:rPr>
              <w:t>时间</w:t>
            </w:r>
          </w:p>
        </w:tc>
        <w:tc>
          <w:tcPr>
            <w:tcW w:w="3476" w:type="dxa"/>
            <w:gridSpan w:val="5"/>
            <w:vAlign w:val="center"/>
          </w:tcPr>
          <w:p w14:paraId="2A984BF6">
            <w:pPr>
              <w:snapToGrid w:val="0"/>
              <w:spacing w:line="0" w:lineRule="atLeast"/>
              <w:jc w:val="center"/>
              <w:rPr>
                <w:rFonts w:ascii="宋体" w:hAnsi="宋体"/>
                <w:color w:val="auto"/>
                <w:sz w:val="24"/>
                <w:highlight w:val="none"/>
              </w:rPr>
            </w:pPr>
            <w:r>
              <w:rPr>
                <w:rFonts w:hint="eastAsia" w:ascii="宋体" w:hAnsi="宋体"/>
                <w:color w:val="auto"/>
                <w:sz w:val="24"/>
                <w:highlight w:val="none"/>
              </w:rPr>
              <w:t>参加过的主要工作</w:t>
            </w:r>
          </w:p>
        </w:tc>
        <w:tc>
          <w:tcPr>
            <w:tcW w:w="1607" w:type="dxa"/>
            <w:gridSpan w:val="2"/>
            <w:vAlign w:val="center"/>
          </w:tcPr>
          <w:p w14:paraId="6D2051F6">
            <w:pPr>
              <w:snapToGrid w:val="0"/>
              <w:spacing w:line="0" w:lineRule="atLeast"/>
              <w:jc w:val="center"/>
              <w:rPr>
                <w:rFonts w:ascii="宋体" w:hAnsi="宋体"/>
                <w:color w:val="auto"/>
                <w:sz w:val="24"/>
                <w:highlight w:val="none"/>
              </w:rPr>
            </w:pPr>
            <w:r>
              <w:rPr>
                <w:rFonts w:hint="eastAsia" w:ascii="宋体" w:hAnsi="宋体"/>
                <w:color w:val="auto"/>
                <w:sz w:val="24"/>
                <w:highlight w:val="none"/>
              </w:rPr>
              <w:t>担任何职</w:t>
            </w:r>
          </w:p>
        </w:tc>
        <w:tc>
          <w:tcPr>
            <w:tcW w:w="2657" w:type="dxa"/>
            <w:gridSpan w:val="2"/>
            <w:vAlign w:val="center"/>
          </w:tcPr>
          <w:p w14:paraId="51468B7D">
            <w:pPr>
              <w:snapToGrid w:val="0"/>
              <w:spacing w:line="0" w:lineRule="atLeast"/>
              <w:jc w:val="center"/>
              <w:rPr>
                <w:rFonts w:ascii="宋体" w:hAnsi="宋体"/>
                <w:color w:val="auto"/>
                <w:sz w:val="24"/>
                <w:highlight w:val="none"/>
              </w:rPr>
            </w:pPr>
            <w:r>
              <w:rPr>
                <w:rFonts w:hint="eastAsia" w:ascii="宋体" w:hAnsi="宋体"/>
                <w:color w:val="auto"/>
                <w:sz w:val="24"/>
                <w:highlight w:val="none"/>
              </w:rPr>
              <w:t>获得的奖励情况</w:t>
            </w:r>
          </w:p>
        </w:tc>
      </w:tr>
      <w:tr w14:paraId="479B992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25" w:hRule="atLeast"/>
          <w:jc w:val="center"/>
        </w:trPr>
        <w:tc>
          <w:tcPr>
            <w:tcW w:w="1187" w:type="dxa"/>
          </w:tcPr>
          <w:p w14:paraId="707ED81A">
            <w:pPr>
              <w:snapToGrid w:val="0"/>
              <w:spacing w:line="0" w:lineRule="atLeast"/>
              <w:rPr>
                <w:rFonts w:ascii="宋体" w:hAnsi="宋体"/>
                <w:color w:val="auto"/>
                <w:sz w:val="24"/>
                <w:highlight w:val="none"/>
              </w:rPr>
            </w:pPr>
          </w:p>
        </w:tc>
        <w:tc>
          <w:tcPr>
            <w:tcW w:w="3476" w:type="dxa"/>
            <w:gridSpan w:val="5"/>
          </w:tcPr>
          <w:p w14:paraId="12CCF5BF">
            <w:pPr>
              <w:snapToGrid w:val="0"/>
              <w:spacing w:line="0" w:lineRule="atLeast"/>
              <w:rPr>
                <w:rFonts w:ascii="宋体" w:hAnsi="宋体"/>
                <w:color w:val="auto"/>
                <w:sz w:val="24"/>
                <w:highlight w:val="none"/>
              </w:rPr>
            </w:pPr>
          </w:p>
        </w:tc>
        <w:tc>
          <w:tcPr>
            <w:tcW w:w="1607" w:type="dxa"/>
            <w:gridSpan w:val="2"/>
          </w:tcPr>
          <w:p w14:paraId="2AD4903F">
            <w:pPr>
              <w:snapToGrid w:val="0"/>
              <w:spacing w:line="0" w:lineRule="atLeast"/>
              <w:rPr>
                <w:rFonts w:ascii="宋体" w:hAnsi="宋体"/>
                <w:color w:val="auto"/>
                <w:sz w:val="24"/>
                <w:highlight w:val="none"/>
              </w:rPr>
            </w:pPr>
          </w:p>
        </w:tc>
        <w:tc>
          <w:tcPr>
            <w:tcW w:w="2657" w:type="dxa"/>
            <w:gridSpan w:val="2"/>
          </w:tcPr>
          <w:p w14:paraId="4D681531">
            <w:pPr>
              <w:snapToGrid w:val="0"/>
              <w:spacing w:line="0" w:lineRule="atLeast"/>
              <w:rPr>
                <w:rFonts w:ascii="宋体" w:hAnsi="宋体"/>
                <w:color w:val="auto"/>
                <w:sz w:val="24"/>
                <w:highlight w:val="none"/>
              </w:rPr>
            </w:pPr>
          </w:p>
        </w:tc>
      </w:tr>
      <w:tr w14:paraId="33D707F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25" w:hRule="atLeast"/>
          <w:jc w:val="center"/>
        </w:trPr>
        <w:tc>
          <w:tcPr>
            <w:tcW w:w="1187" w:type="dxa"/>
          </w:tcPr>
          <w:p w14:paraId="1FFD7CF5">
            <w:pPr>
              <w:snapToGrid w:val="0"/>
              <w:spacing w:line="0" w:lineRule="atLeast"/>
              <w:rPr>
                <w:rFonts w:ascii="宋体" w:hAnsi="宋体"/>
                <w:color w:val="auto"/>
                <w:sz w:val="24"/>
                <w:highlight w:val="none"/>
              </w:rPr>
            </w:pPr>
          </w:p>
        </w:tc>
        <w:tc>
          <w:tcPr>
            <w:tcW w:w="3476" w:type="dxa"/>
            <w:gridSpan w:val="5"/>
          </w:tcPr>
          <w:p w14:paraId="3B9B47C0">
            <w:pPr>
              <w:snapToGrid w:val="0"/>
              <w:spacing w:line="0" w:lineRule="atLeast"/>
              <w:rPr>
                <w:rFonts w:ascii="宋体" w:hAnsi="宋体"/>
                <w:color w:val="auto"/>
                <w:sz w:val="24"/>
                <w:highlight w:val="none"/>
              </w:rPr>
            </w:pPr>
          </w:p>
        </w:tc>
        <w:tc>
          <w:tcPr>
            <w:tcW w:w="1607" w:type="dxa"/>
            <w:gridSpan w:val="2"/>
          </w:tcPr>
          <w:p w14:paraId="62755CD2">
            <w:pPr>
              <w:snapToGrid w:val="0"/>
              <w:spacing w:line="0" w:lineRule="atLeast"/>
              <w:rPr>
                <w:rFonts w:ascii="宋体" w:hAnsi="宋体"/>
                <w:color w:val="auto"/>
                <w:sz w:val="24"/>
                <w:highlight w:val="none"/>
              </w:rPr>
            </w:pPr>
          </w:p>
        </w:tc>
        <w:tc>
          <w:tcPr>
            <w:tcW w:w="2657" w:type="dxa"/>
            <w:gridSpan w:val="2"/>
          </w:tcPr>
          <w:p w14:paraId="192E4C28">
            <w:pPr>
              <w:snapToGrid w:val="0"/>
              <w:spacing w:line="0" w:lineRule="atLeast"/>
              <w:rPr>
                <w:rFonts w:ascii="宋体" w:hAnsi="宋体"/>
                <w:color w:val="auto"/>
                <w:sz w:val="24"/>
                <w:highlight w:val="none"/>
              </w:rPr>
            </w:pPr>
          </w:p>
        </w:tc>
      </w:tr>
      <w:tr w14:paraId="326CE62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25" w:hRule="atLeast"/>
          <w:jc w:val="center"/>
        </w:trPr>
        <w:tc>
          <w:tcPr>
            <w:tcW w:w="1187" w:type="dxa"/>
          </w:tcPr>
          <w:p w14:paraId="2CF56B36">
            <w:pPr>
              <w:snapToGrid w:val="0"/>
              <w:spacing w:line="0" w:lineRule="atLeast"/>
              <w:rPr>
                <w:rFonts w:ascii="宋体" w:hAnsi="宋体"/>
                <w:color w:val="auto"/>
                <w:sz w:val="24"/>
                <w:highlight w:val="none"/>
              </w:rPr>
            </w:pPr>
          </w:p>
        </w:tc>
        <w:tc>
          <w:tcPr>
            <w:tcW w:w="3476" w:type="dxa"/>
            <w:gridSpan w:val="5"/>
          </w:tcPr>
          <w:p w14:paraId="59A3F136">
            <w:pPr>
              <w:snapToGrid w:val="0"/>
              <w:spacing w:line="0" w:lineRule="atLeast"/>
              <w:rPr>
                <w:rFonts w:ascii="宋体" w:hAnsi="宋体"/>
                <w:color w:val="auto"/>
                <w:sz w:val="24"/>
                <w:highlight w:val="none"/>
              </w:rPr>
            </w:pPr>
          </w:p>
        </w:tc>
        <w:tc>
          <w:tcPr>
            <w:tcW w:w="1607" w:type="dxa"/>
            <w:gridSpan w:val="2"/>
          </w:tcPr>
          <w:p w14:paraId="151ACD3C">
            <w:pPr>
              <w:snapToGrid w:val="0"/>
              <w:spacing w:line="0" w:lineRule="atLeast"/>
              <w:rPr>
                <w:rFonts w:ascii="宋体" w:hAnsi="宋体"/>
                <w:color w:val="auto"/>
                <w:sz w:val="24"/>
                <w:highlight w:val="none"/>
              </w:rPr>
            </w:pPr>
          </w:p>
        </w:tc>
        <w:tc>
          <w:tcPr>
            <w:tcW w:w="2657" w:type="dxa"/>
            <w:gridSpan w:val="2"/>
          </w:tcPr>
          <w:p w14:paraId="064ED7EC">
            <w:pPr>
              <w:snapToGrid w:val="0"/>
              <w:spacing w:line="0" w:lineRule="atLeast"/>
              <w:rPr>
                <w:rFonts w:ascii="宋体" w:hAnsi="宋体"/>
                <w:color w:val="auto"/>
                <w:sz w:val="24"/>
                <w:highlight w:val="none"/>
              </w:rPr>
            </w:pPr>
          </w:p>
        </w:tc>
      </w:tr>
      <w:tr w14:paraId="08D3227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25" w:hRule="atLeast"/>
          <w:jc w:val="center"/>
        </w:trPr>
        <w:tc>
          <w:tcPr>
            <w:tcW w:w="1187" w:type="dxa"/>
          </w:tcPr>
          <w:p w14:paraId="04C88DFB">
            <w:pPr>
              <w:snapToGrid w:val="0"/>
              <w:spacing w:line="0" w:lineRule="atLeast"/>
              <w:rPr>
                <w:rFonts w:ascii="宋体" w:hAnsi="宋体"/>
                <w:color w:val="auto"/>
                <w:sz w:val="24"/>
                <w:highlight w:val="none"/>
              </w:rPr>
            </w:pPr>
          </w:p>
        </w:tc>
        <w:tc>
          <w:tcPr>
            <w:tcW w:w="3476" w:type="dxa"/>
            <w:gridSpan w:val="5"/>
          </w:tcPr>
          <w:p w14:paraId="0CD46BC1">
            <w:pPr>
              <w:snapToGrid w:val="0"/>
              <w:spacing w:line="0" w:lineRule="atLeast"/>
              <w:rPr>
                <w:rFonts w:ascii="宋体" w:hAnsi="宋体"/>
                <w:color w:val="auto"/>
                <w:sz w:val="24"/>
                <w:highlight w:val="none"/>
              </w:rPr>
            </w:pPr>
          </w:p>
        </w:tc>
        <w:tc>
          <w:tcPr>
            <w:tcW w:w="1607" w:type="dxa"/>
            <w:gridSpan w:val="2"/>
          </w:tcPr>
          <w:p w14:paraId="4B869C47">
            <w:pPr>
              <w:snapToGrid w:val="0"/>
              <w:spacing w:line="0" w:lineRule="atLeast"/>
              <w:rPr>
                <w:rFonts w:ascii="宋体" w:hAnsi="宋体"/>
                <w:color w:val="auto"/>
                <w:sz w:val="24"/>
                <w:highlight w:val="none"/>
              </w:rPr>
            </w:pPr>
          </w:p>
        </w:tc>
        <w:tc>
          <w:tcPr>
            <w:tcW w:w="2657" w:type="dxa"/>
            <w:gridSpan w:val="2"/>
          </w:tcPr>
          <w:p w14:paraId="11199811">
            <w:pPr>
              <w:snapToGrid w:val="0"/>
              <w:spacing w:line="0" w:lineRule="atLeast"/>
              <w:rPr>
                <w:rFonts w:ascii="宋体" w:hAnsi="宋体"/>
                <w:color w:val="auto"/>
                <w:sz w:val="24"/>
                <w:highlight w:val="none"/>
              </w:rPr>
            </w:pPr>
          </w:p>
        </w:tc>
      </w:tr>
      <w:tr w14:paraId="601D2EC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25" w:hRule="atLeast"/>
          <w:jc w:val="center"/>
        </w:trPr>
        <w:tc>
          <w:tcPr>
            <w:tcW w:w="1187" w:type="dxa"/>
          </w:tcPr>
          <w:p w14:paraId="4B8B91E4">
            <w:pPr>
              <w:snapToGrid w:val="0"/>
              <w:spacing w:line="0" w:lineRule="atLeast"/>
              <w:rPr>
                <w:rFonts w:ascii="宋体" w:hAnsi="宋体"/>
                <w:color w:val="auto"/>
                <w:sz w:val="24"/>
                <w:highlight w:val="none"/>
              </w:rPr>
            </w:pPr>
          </w:p>
        </w:tc>
        <w:tc>
          <w:tcPr>
            <w:tcW w:w="3476" w:type="dxa"/>
            <w:gridSpan w:val="5"/>
          </w:tcPr>
          <w:p w14:paraId="657E7A5E">
            <w:pPr>
              <w:snapToGrid w:val="0"/>
              <w:spacing w:line="0" w:lineRule="atLeast"/>
              <w:rPr>
                <w:rFonts w:ascii="宋体" w:hAnsi="宋体"/>
                <w:color w:val="auto"/>
                <w:sz w:val="24"/>
                <w:highlight w:val="none"/>
              </w:rPr>
            </w:pPr>
          </w:p>
        </w:tc>
        <w:tc>
          <w:tcPr>
            <w:tcW w:w="1607" w:type="dxa"/>
            <w:gridSpan w:val="2"/>
          </w:tcPr>
          <w:p w14:paraId="062900AC">
            <w:pPr>
              <w:snapToGrid w:val="0"/>
              <w:spacing w:line="0" w:lineRule="atLeast"/>
              <w:rPr>
                <w:rFonts w:ascii="宋体" w:hAnsi="宋体"/>
                <w:color w:val="auto"/>
                <w:sz w:val="24"/>
                <w:highlight w:val="none"/>
              </w:rPr>
            </w:pPr>
          </w:p>
        </w:tc>
        <w:tc>
          <w:tcPr>
            <w:tcW w:w="2657" w:type="dxa"/>
            <w:gridSpan w:val="2"/>
          </w:tcPr>
          <w:p w14:paraId="7C198144">
            <w:pPr>
              <w:snapToGrid w:val="0"/>
              <w:spacing w:line="0" w:lineRule="atLeast"/>
              <w:rPr>
                <w:rFonts w:ascii="宋体" w:hAnsi="宋体"/>
                <w:color w:val="auto"/>
                <w:sz w:val="24"/>
                <w:highlight w:val="none"/>
              </w:rPr>
            </w:pPr>
          </w:p>
        </w:tc>
      </w:tr>
      <w:tr w14:paraId="1B0F27C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25" w:hRule="atLeast"/>
          <w:jc w:val="center"/>
        </w:trPr>
        <w:tc>
          <w:tcPr>
            <w:tcW w:w="1187" w:type="dxa"/>
          </w:tcPr>
          <w:p w14:paraId="27524644">
            <w:pPr>
              <w:snapToGrid w:val="0"/>
              <w:spacing w:line="0" w:lineRule="atLeast"/>
              <w:rPr>
                <w:rFonts w:ascii="宋体" w:hAnsi="宋体"/>
                <w:color w:val="auto"/>
                <w:sz w:val="24"/>
                <w:highlight w:val="none"/>
              </w:rPr>
            </w:pPr>
          </w:p>
        </w:tc>
        <w:tc>
          <w:tcPr>
            <w:tcW w:w="3476" w:type="dxa"/>
            <w:gridSpan w:val="5"/>
          </w:tcPr>
          <w:p w14:paraId="549A58E3">
            <w:pPr>
              <w:snapToGrid w:val="0"/>
              <w:spacing w:line="0" w:lineRule="atLeast"/>
              <w:rPr>
                <w:rFonts w:ascii="宋体" w:hAnsi="宋体"/>
                <w:color w:val="auto"/>
                <w:sz w:val="24"/>
                <w:highlight w:val="none"/>
              </w:rPr>
            </w:pPr>
          </w:p>
        </w:tc>
        <w:tc>
          <w:tcPr>
            <w:tcW w:w="1607" w:type="dxa"/>
            <w:gridSpan w:val="2"/>
          </w:tcPr>
          <w:p w14:paraId="75F20296">
            <w:pPr>
              <w:snapToGrid w:val="0"/>
              <w:spacing w:line="0" w:lineRule="atLeast"/>
              <w:rPr>
                <w:rFonts w:ascii="宋体" w:hAnsi="宋体"/>
                <w:color w:val="auto"/>
                <w:sz w:val="24"/>
                <w:highlight w:val="none"/>
              </w:rPr>
            </w:pPr>
          </w:p>
        </w:tc>
        <w:tc>
          <w:tcPr>
            <w:tcW w:w="2657" w:type="dxa"/>
            <w:gridSpan w:val="2"/>
          </w:tcPr>
          <w:p w14:paraId="5558D29B">
            <w:pPr>
              <w:snapToGrid w:val="0"/>
              <w:spacing w:line="0" w:lineRule="atLeast"/>
              <w:rPr>
                <w:rFonts w:ascii="宋体" w:hAnsi="宋体"/>
                <w:color w:val="auto"/>
                <w:sz w:val="24"/>
                <w:highlight w:val="none"/>
              </w:rPr>
            </w:pPr>
          </w:p>
        </w:tc>
      </w:tr>
      <w:tr w14:paraId="510FF93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25" w:hRule="atLeast"/>
          <w:jc w:val="center"/>
        </w:trPr>
        <w:tc>
          <w:tcPr>
            <w:tcW w:w="1187" w:type="dxa"/>
          </w:tcPr>
          <w:p w14:paraId="43877D43">
            <w:pPr>
              <w:snapToGrid w:val="0"/>
              <w:spacing w:line="0" w:lineRule="atLeast"/>
              <w:rPr>
                <w:rFonts w:ascii="宋体" w:hAnsi="宋体"/>
                <w:color w:val="auto"/>
                <w:sz w:val="24"/>
                <w:highlight w:val="none"/>
              </w:rPr>
            </w:pPr>
          </w:p>
        </w:tc>
        <w:tc>
          <w:tcPr>
            <w:tcW w:w="3476" w:type="dxa"/>
            <w:gridSpan w:val="5"/>
          </w:tcPr>
          <w:p w14:paraId="7571C1B2">
            <w:pPr>
              <w:snapToGrid w:val="0"/>
              <w:spacing w:line="0" w:lineRule="atLeast"/>
              <w:rPr>
                <w:rFonts w:ascii="宋体" w:hAnsi="宋体"/>
                <w:color w:val="auto"/>
                <w:sz w:val="24"/>
                <w:highlight w:val="none"/>
              </w:rPr>
            </w:pPr>
          </w:p>
        </w:tc>
        <w:tc>
          <w:tcPr>
            <w:tcW w:w="1607" w:type="dxa"/>
            <w:gridSpan w:val="2"/>
          </w:tcPr>
          <w:p w14:paraId="0A1F4EB2">
            <w:pPr>
              <w:snapToGrid w:val="0"/>
              <w:spacing w:line="0" w:lineRule="atLeast"/>
              <w:rPr>
                <w:rFonts w:ascii="宋体" w:hAnsi="宋体"/>
                <w:color w:val="auto"/>
                <w:sz w:val="24"/>
                <w:highlight w:val="none"/>
              </w:rPr>
            </w:pPr>
          </w:p>
        </w:tc>
        <w:tc>
          <w:tcPr>
            <w:tcW w:w="2657" w:type="dxa"/>
            <w:gridSpan w:val="2"/>
          </w:tcPr>
          <w:p w14:paraId="4950A83B">
            <w:pPr>
              <w:snapToGrid w:val="0"/>
              <w:spacing w:line="0" w:lineRule="atLeast"/>
              <w:rPr>
                <w:rFonts w:ascii="宋体" w:hAnsi="宋体"/>
                <w:color w:val="auto"/>
                <w:sz w:val="24"/>
                <w:highlight w:val="none"/>
              </w:rPr>
            </w:pPr>
          </w:p>
        </w:tc>
      </w:tr>
      <w:tr w14:paraId="4B36A61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25" w:hRule="atLeast"/>
          <w:jc w:val="center"/>
        </w:trPr>
        <w:tc>
          <w:tcPr>
            <w:tcW w:w="1187" w:type="dxa"/>
          </w:tcPr>
          <w:p w14:paraId="34C6ADF1">
            <w:pPr>
              <w:snapToGrid w:val="0"/>
              <w:spacing w:line="0" w:lineRule="atLeast"/>
              <w:rPr>
                <w:rFonts w:ascii="宋体" w:hAnsi="宋体"/>
                <w:color w:val="auto"/>
                <w:sz w:val="24"/>
                <w:highlight w:val="none"/>
              </w:rPr>
            </w:pPr>
          </w:p>
        </w:tc>
        <w:tc>
          <w:tcPr>
            <w:tcW w:w="3476" w:type="dxa"/>
            <w:gridSpan w:val="5"/>
          </w:tcPr>
          <w:p w14:paraId="4878084B">
            <w:pPr>
              <w:snapToGrid w:val="0"/>
              <w:spacing w:line="0" w:lineRule="atLeast"/>
              <w:rPr>
                <w:rFonts w:ascii="宋体" w:hAnsi="宋体"/>
                <w:color w:val="auto"/>
                <w:sz w:val="24"/>
                <w:highlight w:val="none"/>
              </w:rPr>
            </w:pPr>
          </w:p>
        </w:tc>
        <w:tc>
          <w:tcPr>
            <w:tcW w:w="1607" w:type="dxa"/>
            <w:gridSpan w:val="2"/>
          </w:tcPr>
          <w:p w14:paraId="72D8316B">
            <w:pPr>
              <w:snapToGrid w:val="0"/>
              <w:spacing w:line="0" w:lineRule="atLeast"/>
              <w:rPr>
                <w:rFonts w:ascii="宋体" w:hAnsi="宋体"/>
                <w:color w:val="auto"/>
                <w:sz w:val="24"/>
                <w:highlight w:val="none"/>
              </w:rPr>
            </w:pPr>
          </w:p>
        </w:tc>
        <w:tc>
          <w:tcPr>
            <w:tcW w:w="2657" w:type="dxa"/>
            <w:gridSpan w:val="2"/>
          </w:tcPr>
          <w:p w14:paraId="7BE85EAD">
            <w:pPr>
              <w:snapToGrid w:val="0"/>
              <w:spacing w:line="0" w:lineRule="atLeast"/>
              <w:rPr>
                <w:rFonts w:ascii="宋体" w:hAnsi="宋体"/>
                <w:color w:val="auto"/>
                <w:sz w:val="24"/>
                <w:highlight w:val="none"/>
              </w:rPr>
            </w:pPr>
          </w:p>
        </w:tc>
      </w:tr>
      <w:tr w14:paraId="3A05D0F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25" w:hRule="atLeast"/>
          <w:jc w:val="center"/>
        </w:trPr>
        <w:tc>
          <w:tcPr>
            <w:tcW w:w="1187" w:type="dxa"/>
          </w:tcPr>
          <w:p w14:paraId="290364E5">
            <w:pPr>
              <w:snapToGrid w:val="0"/>
              <w:spacing w:line="0" w:lineRule="atLeast"/>
              <w:rPr>
                <w:rFonts w:ascii="宋体" w:hAnsi="宋体"/>
                <w:color w:val="auto"/>
                <w:sz w:val="24"/>
                <w:highlight w:val="none"/>
              </w:rPr>
            </w:pPr>
          </w:p>
        </w:tc>
        <w:tc>
          <w:tcPr>
            <w:tcW w:w="3476" w:type="dxa"/>
            <w:gridSpan w:val="5"/>
          </w:tcPr>
          <w:p w14:paraId="03BAAC15">
            <w:pPr>
              <w:snapToGrid w:val="0"/>
              <w:spacing w:line="0" w:lineRule="atLeast"/>
              <w:rPr>
                <w:rFonts w:ascii="宋体" w:hAnsi="宋体"/>
                <w:color w:val="auto"/>
                <w:sz w:val="24"/>
                <w:highlight w:val="none"/>
              </w:rPr>
            </w:pPr>
          </w:p>
        </w:tc>
        <w:tc>
          <w:tcPr>
            <w:tcW w:w="1607" w:type="dxa"/>
            <w:gridSpan w:val="2"/>
          </w:tcPr>
          <w:p w14:paraId="6D163079">
            <w:pPr>
              <w:snapToGrid w:val="0"/>
              <w:spacing w:line="0" w:lineRule="atLeast"/>
              <w:rPr>
                <w:rFonts w:ascii="宋体" w:hAnsi="宋体"/>
                <w:color w:val="auto"/>
                <w:sz w:val="24"/>
                <w:highlight w:val="none"/>
              </w:rPr>
            </w:pPr>
          </w:p>
        </w:tc>
        <w:tc>
          <w:tcPr>
            <w:tcW w:w="2657" w:type="dxa"/>
            <w:gridSpan w:val="2"/>
          </w:tcPr>
          <w:p w14:paraId="1D113D17">
            <w:pPr>
              <w:snapToGrid w:val="0"/>
              <w:spacing w:line="0" w:lineRule="atLeast"/>
              <w:rPr>
                <w:rFonts w:ascii="宋体" w:hAnsi="宋体"/>
                <w:color w:val="auto"/>
                <w:sz w:val="24"/>
                <w:highlight w:val="none"/>
              </w:rPr>
            </w:pPr>
          </w:p>
        </w:tc>
      </w:tr>
    </w:tbl>
    <w:p w14:paraId="22BC4BC5">
      <w:pPr>
        <w:spacing w:line="440" w:lineRule="exact"/>
        <w:rPr>
          <w:rFonts w:ascii="宋体" w:hAnsi="宋体"/>
          <w:color w:val="auto"/>
          <w:highlight w:val="none"/>
        </w:rPr>
      </w:pPr>
      <w:r>
        <w:rPr>
          <w:rFonts w:hint="eastAsia" w:ascii="宋体" w:hAnsi="宋体"/>
          <w:color w:val="auto"/>
          <w:highlight w:val="none"/>
        </w:rPr>
        <w:t>注：本项不作为资格审查内容，但（如有）需提供，仅作为投标人的评标（综合评分）后附相关证明材料。表格格式可以根据实际情况调整。要求按照招标文件第三章评标办法附表四《综合评分表》相应评分因素的评分标准的要求及表后说明的规定提供证明材料。</w:t>
      </w:r>
    </w:p>
    <w:p w14:paraId="5ECFE6DD">
      <w:pPr>
        <w:rPr>
          <w:rFonts w:ascii="宋体" w:hAnsi="宋体"/>
          <w:color w:val="auto"/>
          <w:sz w:val="24"/>
          <w:highlight w:val="none"/>
        </w:rPr>
      </w:pPr>
    </w:p>
    <w:p w14:paraId="3E79F7C3">
      <w:pPr>
        <w:pStyle w:val="4"/>
        <w:rPr>
          <w:color w:val="auto"/>
          <w:highlight w:val="none"/>
        </w:rPr>
      </w:pPr>
      <w:r>
        <w:rPr>
          <w:color w:val="auto"/>
          <w:sz w:val="24"/>
          <w:highlight w:val="none"/>
        </w:rPr>
        <w:br w:type="page"/>
      </w:r>
      <w:bookmarkStart w:id="197" w:name="_Toc118554004"/>
      <w:r>
        <w:rPr>
          <w:rFonts w:hint="eastAsia"/>
          <w:color w:val="auto"/>
          <w:sz w:val="24"/>
          <w:highlight w:val="none"/>
          <w:lang w:val="en-US" w:eastAsia="zh-CN"/>
        </w:rPr>
        <w:t>十</w:t>
      </w:r>
      <w:r>
        <w:rPr>
          <w:rFonts w:hint="eastAsia"/>
          <w:color w:val="auto"/>
          <w:highlight w:val="none"/>
        </w:rPr>
        <w:t>、拟投入本项目的主要检测、监测仪器设备一览表</w:t>
      </w:r>
      <w:bookmarkEnd w:id="197"/>
    </w:p>
    <w:p w14:paraId="684D5E94">
      <w:pPr>
        <w:pStyle w:val="3"/>
        <w:jc w:val="both"/>
        <w:rPr>
          <w:color w:val="auto"/>
          <w:highlight w:val="none"/>
        </w:rPr>
      </w:pPr>
    </w:p>
    <w:p w14:paraId="4CEF07BF">
      <w:pPr>
        <w:jc w:val="center"/>
        <w:rPr>
          <w:color w:val="auto"/>
          <w:highlight w:val="none"/>
        </w:rPr>
      </w:pPr>
      <w:r>
        <w:rPr>
          <w:rFonts w:hint="eastAsia"/>
          <w:b/>
          <w:color w:val="auto"/>
          <w:sz w:val="28"/>
          <w:szCs w:val="28"/>
          <w:highlight w:val="none"/>
        </w:rPr>
        <w:t>拟投入本项目的主要检测、监测仪器设备一览表</w:t>
      </w:r>
    </w:p>
    <w:tbl>
      <w:tblPr>
        <w:tblStyle w:val="2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6"/>
        <w:gridCol w:w="1793"/>
        <w:gridCol w:w="900"/>
        <w:gridCol w:w="992"/>
        <w:gridCol w:w="1785"/>
        <w:gridCol w:w="1116"/>
        <w:gridCol w:w="1341"/>
        <w:gridCol w:w="1080"/>
      </w:tblGrid>
      <w:tr w14:paraId="5FE765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jc w:val="center"/>
        </w:trPr>
        <w:tc>
          <w:tcPr>
            <w:tcW w:w="636" w:type="dxa"/>
            <w:vMerge w:val="restart"/>
            <w:vAlign w:val="center"/>
          </w:tcPr>
          <w:p w14:paraId="345192C4">
            <w:pPr>
              <w:jc w:val="center"/>
              <w:rPr>
                <w:rFonts w:ascii="宋体" w:hAnsi="宋体"/>
                <w:color w:val="auto"/>
                <w:szCs w:val="21"/>
                <w:highlight w:val="none"/>
              </w:rPr>
            </w:pPr>
            <w:r>
              <w:rPr>
                <w:rFonts w:hint="eastAsia" w:ascii="宋体" w:hAnsi="宋体"/>
                <w:color w:val="auto"/>
                <w:szCs w:val="21"/>
                <w:highlight w:val="none"/>
              </w:rPr>
              <w:t>序号</w:t>
            </w:r>
          </w:p>
        </w:tc>
        <w:tc>
          <w:tcPr>
            <w:tcW w:w="1793" w:type="dxa"/>
            <w:vMerge w:val="restart"/>
            <w:vAlign w:val="center"/>
          </w:tcPr>
          <w:p w14:paraId="6CCDB35F">
            <w:pPr>
              <w:jc w:val="center"/>
              <w:rPr>
                <w:rFonts w:ascii="宋体" w:hAnsi="宋体"/>
                <w:color w:val="auto"/>
                <w:szCs w:val="21"/>
                <w:highlight w:val="none"/>
              </w:rPr>
            </w:pPr>
            <w:r>
              <w:rPr>
                <w:rFonts w:hint="eastAsia" w:ascii="宋体" w:hAnsi="宋体"/>
                <w:color w:val="auto"/>
                <w:szCs w:val="21"/>
                <w:highlight w:val="none"/>
              </w:rPr>
              <w:t>设备名称</w:t>
            </w:r>
          </w:p>
        </w:tc>
        <w:tc>
          <w:tcPr>
            <w:tcW w:w="900" w:type="dxa"/>
            <w:vMerge w:val="restart"/>
            <w:vAlign w:val="center"/>
          </w:tcPr>
          <w:p w14:paraId="4A66AB18">
            <w:pPr>
              <w:jc w:val="center"/>
              <w:rPr>
                <w:rFonts w:ascii="宋体" w:hAnsi="宋体"/>
                <w:color w:val="auto"/>
                <w:szCs w:val="21"/>
                <w:highlight w:val="none"/>
              </w:rPr>
            </w:pPr>
            <w:r>
              <w:rPr>
                <w:rFonts w:hint="eastAsia" w:ascii="宋体" w:hAnsi="宋体"/>
                <w:color w:val="auto"/>
                <w:szCs w:val="21"/>
                <w:highlight w:val="none"/>
              </w:rPr>
              <w:t>本项目</w:t>
            </w:r>
          </w:p>
          <w:p w14:paraId="3A69E1E6">
            <w:pPr>
              <w:jc w:val="center"/>
              <w:rPr>
                <w:rFonts w:ascii="宋体" w:hAnsi="宋体"/>
                <w:color w:val="auto"/>
                <w:szCs w:val="21"/>
                <w:highlight w:val="none"/>
              </w:rPr>
            </w:pPr>
            <w:r>
              <w:rPr>
                <w:rFonts w:hint="eastAsia" w:ascii="宋体" w:hAnsi="宋体"/>
                <w:color w:val="auto"/>
                <w:szCs w:val="21"/>
                <w:highlight w:val="none"/>
              </w:rPr>
              <w:t>数量基本要求</w:t>
            </w:r>
          </w:p>
        </w:tc>
        <w:tc>
          <w:tcPr>
            <w:tcW w:w="6314" w:type="dxa"/>
            <w:gridSpan w:val="5"/>
            <w:vAlign w:val="center"/>
          </w:tcPr>
          <w:p w14:paraId="02381136">
            <w:pPr>
              <w:jc w:val="center"/>
              <w:rPr>
                <w:rFonts w:ascii="宋体" w:hAnsi="宋体"/>
                <w:color w:val="auto"/>
                <w:szCs w:val="21"/>
                <w:highlight w:val="none"/>
              </w:rPr>
            </w:pPr>
            <w:r>
              <w:rPr>
                <w:rFonts w:hint="eastAsia" w:ascii="宋体" w:hAnsi="宋体"/>
                <w:color w:val="auto"/>
                <w:szCs w:val="21"/>
                <w:highlight w:val="none"/>
              </w:rPr>
              <w:t>投标人填写</w:t>
            </w:r>
          </w:p>
        </w:tc>
      </w:tr>
      <w:tr w14:paraId="1F5023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636" w:type="dxa"/>
            <w:vMerge w:val="continue"/>
            <w:vAlign w:val="center"/>
          </w:tcPr>
          <w:p w14:paraId="274D9653">
            <w:pPr>
              <w:jc w:val="center"/>
              <w:rPr>
                <w:rFonts w:ascii="宋体" w:hAnsi="宋体"/>
                <w:color w:val="auto"/>
                <w:szCs w:val="21"/>
                <w:highlight w:val="none"/>
              </w:rPr>
            </w:pPr>
          </w:p>
        </w:tc>
        <w:tc>
          <w:tcPr>
            <w:tcW w:w="1793" w:type="dxa"/>
            <w:vMerge w:val="continue"/>
            <w:vAlign w:val="center"/>
          </w:tcPr>
          <w:p w14:paraId="68F517D7">
            <w:pPr>
              <w:jc w:val="center"/>
              <w:rPr>
                <w:rFonts w:ascii="宋体" w:hAnsi="宋体"/>
                <w:color w:val="auto"/>
                <w:szCs w:val="21"/>
                <w:highlight w:val="none"/>
              </w:rPr>
            </w:pPr>
          </w:p>
        </w:tc>
        <w:tc>
          <w:tcPr>
            <w:tcW w:w="900" w:type="dxa"/>
            <w:vMerge w:val="continue"/>
            <w:vAlign w:val="center"/>
          </w:tcPr>
          <w:p w14:paraId="43FC8AEF">
            <w:pPr>
              <w:jc w:val="center"/>
              <w:rPr>
                <w:rFonts w:ascii="宋体" w:hAnsi="宋体"/>
                <w:color w:val="auto"/>
                <w:szCs w:val="21"/>
                <w:highlight w:val="none"/>
              </w:rPr>
            </w:pPr>
          </w:p>
        </w:tc>
        <w:tc>
          <w:tcPr>
            <w:tcW w:w="992" w:type="dxa"/>
            <w:vAlign w:val="center"/>
          </w:tcPr>
          <w:p w14:paraId="5FA18C56">
            <w:pPr>
              <w:jc w:val="center"/>
              <w:rPr>
                <w:rFonts w:ascii="宋体" w:hAnsi="宋体"/>
                <w:color w:val="auto"/>
                <w:szCs w:val="21"/>
                <w:highlight w:val="none"/>
              </w:rPr>
            </w:pPr>
            <w:r>
              <w:rPr>
                <w:rFonts w:hint="eastAsia" w:ascii="宋体" w:hAnsi="宋体"/>
                <w:color w:val="auto"/>
                <w:szCs w:val="21"/>
                <w:highlight w:val="none"/>
              </w:rPr>
              <w:t>数量</w:t>
            </w:r>
          </w:p>
        </w:tc>
        <w:tc>
          <w:tcPr>
            <w:tcW w:w="1785" w:type="dxa"/>
            <w:vAlign w:val="center"/>
          </w:tcPr>
          <w:p w14:paraId="4EF9EDDA">
            <w:pPr>
              <w:jc w:val="center"/>
              <w:rPr>
                <w:rFonts w:ascii="宋体" w:hAnsi="宋体"/>
                <w:color w:val="auto"/>
                <w:szCs w:val="21"/>
                <w:highlight w:val="none"/>
              </w:rPr>
            </w:pPr>
            <w:r>
              <w:rPr>
                <w:rFonts w:hint="eastAsia" w:ascii="宋体" w:hAnsi="宋体"/>
                <w:color w:val="auto"/>
                <w:szCs w:val="21"/>
                <w:highlight w:val="none"/>
              </w:rPr>
              <w:t>检定</w:t>
            </w:r>
            <w:r>
              <w:rPr>
                <w:rFonts w:ascii="宋体" w:hAnsi="宋体"/>
                <w:color w:val="auto"/>
                <w:szCs w:val="21"/>
                <w:highlight w:val="none"/>
              </w:rPr>
              <w:t>/</w:t>
            </w:r>
            <w:r>
              <w:rPr>
                <w:rFonts w:hint="eastAsia" w:ascii="宋体" w:hAnsi="宋体"/>
                <w:color w:val="auto"/>
                <w:szCs w:val="21"/>
                <w:highlight w:val="none"/>
              </w:rPr>
              <w:t>校准机构</w:t>
            </w:r>
          </w:p>
        </w:tc>
        <w:tc>
          <w:tcPr>
            <w:tcW w:w="1116" w:type="dxa"/>
            <w:vAlign w:val="center"/>
          </w:tcPr>
          <w:p w14:paraId="2F131B89">
            <w:pPr>
              <w:jc w:val="center"/>
              <w:rPr>
                <w:rFonts w:ascii="宋体" w:hAnsi="宋体"/>
                <w:color w:val="auto"/>
                <w:szCs w:val="21"/>
                <w:highlight w:val="none"/>
              </w:rPr>
            </w:pPr>
            <w:r>
              <w:rPr>
                <w:rFonts w:hint="eastAsia" w:ascii="宋体" w:hAnsi="宋体"/>
                <w:color w:val="auto"/>
                <w:szCs w:val="21"/>
                <w:highlight w:val="none"/>
              </w:rPr>
              <w:t>有效期</w:t>
            </w:r>
          </w:p>
        </w:tc>
        <w:tc>
          <w:tcPr>
            <w:tcW w:w="1341" w:type="dxa"/>
            <w:vAlign w:val="center"/>
          </w:tcPr>
          <w:p w14:paraId="3CB870D6">
            <w:pPr>
              <w:jc w:val="center"/>
              <w:rPr>
                <w:rFonts w:ascii="宋体" w:hAnsi="宋体"/>
                <w:color w:val="auto"/>
                <w:szCs w:val="21"/>
                <w:highlight w:val="none"/>
              </w:rPr>
            </w:pPr>
            <w:r>
              <w:rPr>
                <w:rFonts w:hint="eastAsia" w:ascii="宋体" w:hAnsi="宋体"/>
                <w:color w:val="auto"/>
                <w:szCs w:val="21"/>
                <w:highlight w:val="none"/>
              </w:rPr>
              <w:t>检定</w:t>
            </w:r>
            <w:r>
              <w:rPr>
                <w:rFonts w:ascii="宋体" w:hAnsi="宋体"/>
                <w:color w:val="auto"/>
                <w:szCs w:val="21"/>
                <w:highlight w:val="none"/>
              </w:rPr>
              <w:t>/</w:t>
            </w:r>
            <w:r>
              <w:rPr>
                <w:rFonts w:hint="eastAsia" w:ascii="宋体" w:hAnsi="宋体"/>
                <w:color w:val="auto"/>
                <w:szCs w:val="21"/>
                <w:highlight w:val="none"/>
              </w:rPr>
              <w:t>校准周期</w:t>
            </w:r>
          </w:p>
        </w:tc>
        <w:tc>
          <w:tcPr>
            <w:tcW w:w="1080" w:type="dxa"/>
            <w:vAlign w:val="center"/>
          </w:tcPr>
          <w:p w14:paraId="49501264">
            <w:pPr>
              <w:jc w:val="center"/>
              <w:rPr>
                <w:rFonts w:ascii="宋体" w:hAnsi="宋体"/>
                <w:color w:val="auto"/>
                <w:szCs w:val="21"/>
                <w:highlight w:val="none"/>
              </w:rPr>
            </w:pPr>
            <w:r>
              <w:rPr>
                <w:rFonts w:hint="eastAsia" w:ascii="宋体" w:hAnsi="宋体"/>
                <w:color w:val="auto"/>
                <w:szCs w:val="21"/>
                <w:highlight w:val="none"/>
              </w:rPr>
              <w:t>备注</w:t>
            </w:r>
          </w:p>
        </w:tc>
      </w:tr>
      <w:tr w14:paraId="044CF5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36" w:type="dxa"/>
            <w:vAlign w:val="center"/>
          </w:tcPr>
          <w:p w14:paraId="675387E1">
            <w:pPr>
              <w:spacing w:line="240" w:lineRule="exact"/>
              <w:jc w:val="center"/>
              <w:rPr>
                <w:rFonts w:ascii="宋体" w:hAnsi="宋体"/>
                <w:color w:val="auto"/>
                <w:szCs w:val="21"/>
                <w:highlight w:val="none"/>
              </w:rPr>
            </w:pPr>
            <w:r>
              <w:rPr>
                <w:rFonts w:ascii="宋体" w:hAnsi="宋体"/>
                <w:color w:val="auto"/>
                <w:szCs w:val="21"/>
                <w:highlight w:val="none"/>
              </w:rPr>
              <w:t>1</w:t>
            </w:r>
          </w:p>
        </w:tc>
        <w:tc>
          <w:tcPr>
            <w:tcW w:w="1793" w:type="dxa"/>
            <w:vAlign w:val="center"/>
          </w:tcPr>
          <w:p w14:paraId="47BBE841">
            <w:pPr>
              <w:spacing w:line="240" w:lineRule="exact"/>
              <w:jc w:val="center"/>
              <w:rPr>
                <w:rFonts w:ascii="宋体" w:hAnsi="宋体"/>
                <w:color w:val="auto"/>
                <w:szCs w:val="21"/>
                <w:highlight w:val="none"/>
              </w:rPr>
            </w:pPr>
          </w:p>
        </w:tc>
        <w:tc>
          <w:tcPr>
            <w:tcW w:w="900" w:type="dxa"/>
            <w:vAlign w:val="center"/>
          </w:tcPr>
          <w:p w14:paraId="0163C34B">
            <w:pPr>
              <w:spacing w:line="240" w:lineRule="exact"/>
              <w:jc w:val="center"/>
              <w:rPr>
                <w:rFonts w:ascii="宋体" w:hAnsi="宋体"/>
                <w:color w:val="auto"/>
                <w:szCs w:val="21"/>
                <w:highlight w:val="none"/>
              </w:rPr>
            </w:pPr>
          </w:p>
        </w:tc>
        <w:tc>
          <w:tcPr>
            <w:tcW w:w="992" w:type="dxa"/>
            <w:vAlign w:val="center"/>
          </w:tcPr>
          <w:p w14:paraId="40A7F92B">
            <w:pPr>
              <w:spacing w:line="240" w:lineRule="exact"/>
              <w:jc w:val="center"/>
              <w:rPr>
                <w:rFonts w:ascii="宋体" w:hAnsi="宋体"/>
                <w:color w:val="auto"/>
                <w:szCs w:val="21"/>
                <w:highlight w:val="none"/>
              </w:rPr>
            </w:pPr>
          </w:p>
        </w:tc>
        <w:tc>
          <w:tcPr>
            <w:tcW w:w="1785" w:type="dxa"/>
            <w:vAlign w:val="center"/>
          </w:tcPr>
          <w:p w14:paraId="70364E3C">
            <w:pPr>
              <w:spacing w:line="240" w:lineRule="exact"/>
              <w:jc w:val="center"/>
              <w:rPr>
                <w:rFonts w:ascii="宋体" w:hAnsi="宋体"/>
                <w:color w:val="auto"/>
                <w:szCs w:val="21"/>
                <w:highlight w:val="none"/>
              </w:rPr>
            </w:pPr>
          </w:p>
        </w:tc>
        <w:tc>
          <w:tcPr>
            <w:tcW w:w="1116" w:type="dxa"/>
            <w:vAlign w:val="center"/>
          </w:tcPr>
          <w:p w14:paraId="1D642F53">
            <w:pPr>
              <w:spacing w:line="240" w:lineRule="exact"/>
              <w:jc w:val="center"/>
              <w:rPr>
                <w:rFonts w:ascii="宋体" w:hAnsi="宋体"/>
                <w:color w:val="auto"/>
                <w:szCs w:val="21"/>
                <w:highlight w:val="none"/>
              </w:rPr>
            </w:pPr>
          </w:p>
        </w:tc>
        <w:tc>
          <w:tcPr>
            <w:tcW w:w="1341" w:type="dxa"/>
            <w:vAlign w:val="center"/>
          </w:tcPr>
          <w:p w14:paraId="392B52E8">
            <w:pPr>
              <w:spacing w:line="240" w:lineRule="exact"/>
              <w:jc w:val="center"/>
              <w:rPr>
                <w:rFonts w:ascii="宋体" w:hAnsi="宋体"/>
                <w:color w:val="auto"/>
                <w:szCs w:val="21"/>
                <w:highlight w:val="none"/>
              </w:rPr>
            </w:pPr>
          </w:p>
        </w:tc>
        <w:tc>
          <w:tcPr>
            <w:tcW w:w="1080" w:type="dxa"/>
            <w:vAlign w:val="center"/>
          </w:tcPr>
          <w:p w14:paraId="0CEAAD3C">
            <w:pPr>
              <w:spacing w:line="240" w:lineRule="exact"/>
              <w:jc w:val="center"/>
              <w:rPr>
                <w:rFonts w:ascii="宋体" w:hAnsi="宋体"/>
                <w:color w:val="auto"/>
                <w:szCs w:val="21"/>
                <w:highlight w:val="none"/>
              </w:rPr>
            </w:pPr>
          </w:p>
        </w:tc>
      </w:tr>
      <w:tr w14:paraId="4F8394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36" w:type="dxa"/>
            <w:vAlign w:val="center"/>
          </w:tcPr>
          <w:p w14:paraId="6AA16D4C">
            <w:pPr>
              <w:spacing w:line="240" w:lineRule="exact"/>
              <w:jc w:val="center"/>
              <w:rPr>
                <w:rFonts w:ascii="宋体" w:hAnsi="宋体"/>
                <w:color w:val="auto"/>
                <w:szCs w:val="21"/>
                <w:highlight w:val="none"/>
              </w:rPr>
            </w:pPr>
            <w:r>
              <w:rPr>
                <w:rFonts w:ascii="宋体" w:hAnsi="宋体"/>
                <w:color w:val="auto"/>
                <w:szCs w:val="21"/>
                <w:highlight w:val="none"/>
              </w:rPr>
              <w:t>2</w:t>
            </w:r>
          </w:p>
        </w:tc>
        <w:tc>
          <w:tcPr>
            <w:tcW w:w="1793" w:type="dxa"/>
            <w:vAlign w:val="center"/>
          </w:tcPr>
          <w:p w14:paraId="46282456">
            <w:pPr>
              <w:spacing w:line="240" w:lineRule="exact"/>
              <w:jc w:val="center"/>
              <w:rPr>
                <w:rFonts w:ascii="宋体" w:hAnsi="宋体"/>
                <w:color w:val="auto"/>
                <w:szCs w:val="21"/>
                <w:highlight w:val="none"/>
              </w:rPr>
            </w:pPr>
          </w:p>
        </w:tc>
        <w:tc>
          <w:tcPr>
            <w:tcW w:w="900" w:type="dxa"/>
            <w:vAlign w:val="center"/>
          </w:tcPr>
          <w:p w14:paraId="3FE6C821">
            <w:pPr>
              <w:jc w:val="center"/>
              <w:rPr>
                <w:rFonts w:ascii="宋体" w:hAnsi="宋体"/>
                <w:color w:val="auto"/>
                <w:szCs w:val="21"/>
                <w:highlight w:val="none"/>
              </w:rPr>
            </w:pPr>
          </w:p>
        </w:tc>
        <w:tc>
          <w:tcPr>
            <w:tcW w:w="992" w:type="dxa"/>
            <w:vAlign w:val="center"/>
          </w:tcPr>
          <w:p w14:paraId="1394F2AA">
            <w:pPr>
              <w:spacing w:line="240" w:lineRule="exact"/>
              <w:jc w:val="center"/>
              <w:rPr>
                <w:rFonts w:ascii="宋体" w:hAnsi="宋体"/>
                <w:color w:val="auto"/>
                <w:szCs w:val="21"/>
                <w:highlight w:val="none"/>
              </w:rPr>
            </w:pPr>
          </w:p>
        </w:tc>
        <w:tc>
          <w:tcPr>
            <w:tcW w:w="1785" w:type="dxa"/>
            <w:vAlign w:val="center"/>
          </w:tcPr>
          <w:p w14:paraId="6FC0D6D4">
            <w:pPr>
              <w:spacing w:line="240" w:lineRule="exact"/>
              <w:jc w:val="center"/>
              <w:rPr>
                <w:rFonts w:ascii="宋体" w:hAnsi="宋体"/>
                <w:color w:val="auto"/>
                <w:szCs w:val="21"/>
                <w:highlight w:val="none"/>
              </w:rPr>
            </w:pPr>
          </w:p>
        </w:tc>
        <w:tc>
          <w:tcPr>
            <w:tcW w:w="1116" w:type="dxa"/>
            <w:vAlign w:val="center"/>
          </w:tcPr>
          <w:p w14:paraId="6DF9D7FF">
            <w:pPr>
              <w:spacing w:line="240" w:lineRule="exact"/>
              <w:jc w:val="center"/>
              <w:rPr>
                <w:rFonts w:ascii="宋体" w:hAnsi="宋体"/>
                <w:color w:val="auto"/>
                <w:szCs w:val="21"/>
                <w:highlight w:val="none"/>
              </w:rPr>
            </w:pPr>
          </w:p>
        </w:tc>
        <w:tc>
          <w:tcPr>
            <w:tcW w:w="1341" w:type="dxa"/>
            <w:vAlign w:val="center"/>
          </w:tcPr>
          <w:p w14:paraId="3734469E">
            <w:pPr>
              <w:spacing w:line="240" w:lineRule="exact"/>
              <w:jc w:val="center"/>
              <w:rPr>
                <w:rFonts w:ascii="宋体" w:hAnsi="宋体"/>
                <w:color w:val="auto"/>
                <w:szCs w:val="21"/>
                <w:highlight w:val="none"/>
              </w:rPr>
            </w:pPr>
          </w:p>
        </w:tc>
        <w:tc>
          <w:tcPr>
            <w:tcW w:w="1080" w:type="dxa"/>
            <w:vAlign w:val="center"/>
          </w:tcPr>
          <w:p w14:paraId="601482D8">
            <w:pPr>
              <w:spacing w:line="240" w:lineRule="exact"/>
              <w:jc w:val="center"/>
              <w:rPr>
                <w:rFonts w:ascii="宋体" w:hAnsi="宋体"/>
                <w:i/>
                <w:color w:val="auto"/>
                <w:szCs w:val="21"/>
                <w:highlight w:val="none"/>
              </w:rPr>
            </w:pPr>
          </w:p>
        </w:tc>
      </w:tr>
      <w:tr w14:paraId="1351A9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36" w:type="dxa"/>
            <w:vAlign w:val="center"/>
          </w:tcPr>
          <w:p w14:paraId="6EDCF7A6">
            <w:pPr>
              <w:spacing w:line="240" w:lineRule="exact"/>
              <w:jc w:val="center"/>
              <w:rPr>
                <w:rFonts w:ascii="宋体" w:hAnsi="宋体"/>
                <w:color w:val="auto"/>
                <w:szCs w:val="21"/>
                <w:highlight w:val="none"/>
              </w:rPr>
            </w:pPr>
            <w:r>
              <w:rPr>
                <w:rFonts w:ascii="宋体" w:hAnsi="宋体"/>
                <w:color w:val="auto"/>
                <w:szCs w:val="21"/>
                <w:highlight w:val="none"/>
              </w:rPr>
              <w:t>3</w:t>
            </w:r>
          </w:p>
        </w:tc>
        <w:tc>
          <w:tcPr>
            <w:tcW w:w="1793" w:type="dxa"/>
            <w:vAlign w:val="center"/>
          </w:tcPr>
          <w:p w14:paraId="2E8FF445">
            <w:pPr>
              <w:spacing w:line="240" w:lineRule="exact"/>
              <w:jc w:val="center"/>
              <w:rPr>
                <w:rFonts w:ascii="宋体" w:hAnsi="宋体"/>
                <w:color w:val="auto"/>
                <w:szCs w:val="21"/>
                <w:highlight w:val="none"/>
              </w:rPr>
            </w:pPr>
          </w:p>
        </w:tc>
        <w:tc>
          <w:tcPr>
            <w:tcW w:w="900" w:type="dxa"/>
            <w:vAlign w:val="center"/>
          </w:tcPr>
          <w:p w14:paraId="24CE8257">
            <w:pPr>
              <w:jc w:val="center"/>
              <w:rPr>
                <w:rFonts w:ascii="宋体" w:hAnsi="宋体"/>
                <w:color w:val="auto"/>
                <w:szCs w:val="21"/>
                <w:highlight w:val="none"/>
              </w:rPr>
            </w:pPr>
          </w:p>
        </w:tc>
        <w:tc>
          <w:tcPr>
            <w:tcW w:w="992" w:type="dxa"/>
            <w:vAlign w:val="center"/>
          </w:tcPr>
          <w:p w14:paraId="0D9BC36B">
            <w:pPr>
              <w:spacing w:line="240" w:lineRule="exact"/>
              <w:jc w:val="center"/>
              <w:rPr>
                <w:rFonts w:ascii="宋体" w:hAnsi="宋体"/>
                <w:color w:val="auto"/>
                <w:szCs w:val="21"/>
                <w:highlight w:val="none"/>
              </w:rPr>
            </w:pPr>
          </w:p>
        </w:tc>
        <w:tc>
          <w:tcPr>
            <w:tcW w:w="1785" w:type="dxa"/>
            <w:vAlign w:val="center"/>
          </w:tcPr>
          <w:p w14:paraId="6580D15D">
            <w:pPr>
              <w:spacing w:line="240" w:lineRule="exact"/>
              <w:jc w:val="center"/>
              <w:rPr>
                <w:rFonts w:ascii="宋体" w:hAnsi="宋体"/>
                <w:color w:val="auto"/>
                <w:szCs w:val="21"/>
                <w:highlight w:val="none"/>
              </w:rPr>
            </w:pPr>
          </w:p>
        </w:tc>
        <w:tc>
          <w:tcPr>
            <w:tcW w:w="1116" w:type="dxa"/>
            <w:vAlign w:val="center"/>
          </w:tcPr>
          <w:p w14:paraId="79B7BA0C">
            <w:pPr>
              <w:spacing w:line="240" w:lineRule="exact"/>
              <w:jc w:val="center"/>
              <w:rPr>
                <w:rFonts w:ascii="宋体" w:hAnsi="宋体"/>
                <w:color w:val="auto"/>
                <w:szCs w:val="21"/>
                <w:highlight w:val="none"/>
              </w:rPr>
            </w:pPr>
          </w:p>
        </w:tc>
        <w:tc>
          <w:tcPr>
            <w:tcW w:w="1341" w:type="dxa"/>
            <w:vAlign w:val="center"/>
          </w:tcPr>
          <w:p w14:paraId="7EE60C15">
            <w:pPr>
              <w:spacing w:line="240" w:lineRule="exact"/>
              <w:jc w:val="center"/>
              <w:rPr>
                <w:rFonts w:ascii="宋体" w:hAnsi="宋体"/>
                <w:color w:val="auto"/>
                <w:szCs w:val="21"/>
                <w:highlight w:val="none"/>
              </w:rPr>
            </w:pPr>
          </w:p>
        </w:tc>
        <w:tc>
          <w:tcPr>
            <w:tcW w:w="1080" w:type="dxa"/>
            <w:vAlign w:val="center"/>
          </w:tcPr>
          <w:p w14:paraId="54DB4F93">
            <w:pPr>
              <w:spacing w:line="240" w:lineRule="exact"/>
              <w:jc w:val="center"/>
              <w:rPr>
                <w:rFonts w:ascii="宋体" w:hAnsi="宋体"/>
                <w:color w:val="auto"/>
                <w:szCs w:val="21"/>
                <w:highlight w:val="none"/>
              </w:rPr>
            </w:pPr>
          </w:p>
        </w:tc>
      </w:tr>
      <w:tr w14:paraId="78CC61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36" w:type="dxa"/>
            <w:vAlign w:val="center"/>
          </w:tcPr>
          <w:p w14:paraId="07E77CEB">
            <w:pPr>
              <w:spacing w:line="240" w:lineRule="exact"/>
              <w:jc w:val="center"/>
              <w:rPr>
                <w:rFonts w:ascii="宋体" w:hAnsi="宋体"/>
                <w:color w:val="auto"/>
                <w:szCs w:val="21"/>
                <w:highlight w:val="none"/>
              </w:rPr>
            </w:pPr>
            <w:r>
              <w:rPr>
                <w:rFonts w:ascii="宋体" w:hAnsi="宋体"/>
                <w:color w:val="auto"/>
                <w:szCs w:val="21"/>
                <w:highlight w:val="none"/>
              </w:rPr>
              <w:t>4</w:t>
            </w:r>
          </w:p>
        </w:tc>
        <w:tc>
          <w:tcPr>
            <w:tcW w:w="1793" w:type="dxa"/>
            <w:vAlign w:val="center"/>
          </w:tcPr>
          <w:p w14:paraId="36E22C78">
            <w:pPr>
              <w:spacing w:line="240" w:lineRule="exact"/>
              <w:jc w:val="center"/>
              <w:rPr>
                <w:rFonts w:ascii="宋体" w:hAnsi="宋体"/>
                <w:color w:val="auto"/>
                <w:szCs w:val="21"/>
                <w:highlight w:val="none"/>
              </w:rPr>
            </w:pPr>
          </w:p>
        </w:tc>
        <w:tc>
          <w:tcPr>
            <w:tcW w:w="900" w:type="dxa"/>
            <w:vAlign w:val="center"/>
          </w:tcPr>
          <w:p w14:paraId="0BDBF7E0">
            <w:pPr>
              <w:jc w:val="center"/>
              <w:rPr>
                <w:rFonts w:ascii="宋体" w:hAnsi="宋体"/>
                <w:color w:val="auto"/>
                <w:szCs w:val="21"/>
                <w:highlight w:val="none"/>
              </w:rPr>
            </w:pPr>
          </w:p>
        </w:tc>
        <w:tc>
          <w:tcPr>
            <w:tcW w:w="992" w:type="dxa"/>
            <w:vAlign w:val="center"/>
          </w:tcPr>
          <w:p w14:paraId="691008AB">
            <w:pPr>
              <w:spacing w:line="240" w:lineRule="exact"/>
              <w:jc w:val="center"/>
              <w:rPr>
                <w:rFonts w:ascii="宋体" w:hAnsi="宋体"/>
                <w:color w:val="auto"/>
                <w:szCs w:val="21"/>
                <w:highlight w:val="none"/>
              </w:rPr>
            </w:pPr>
          </w:p>
        </w:tc>
        <w:tc>
          <w:tcPr>
            <w:tcW w:w="1785" w:type="dxa"/>
            <w:vAlign w:val="center"/>
          </w:tcPr>
          <w:p w14:paraId="10D26D98">
            <w:pPr>
              <w:spacing w:line="240" w:lineRule="exact"/>
              <w:jc w:val="center"/>
              <w:rPr>
                <w:rFonts w:ascii="宋体" w:hAnsi="宋体"/>
                <w:color w:val="auto"/>
                <w:szCs w:val="21"/>
                <w:highlight w:val="none"/>
              </w:rPr>
            </w:pPr>
          </w:p>
        </w:tc>
        <w:tc>
          <w:tcPr>
            <w:tcW w:w="1116" w:type="dxa"/>
            <w:vAlign w:val="center"/>
          </w:tcPr>
          <w:p w14:paraId="4EF081C4">
            <w:pPr>
              <w:spacing w:line="240" w:lineRule="exact"/>
              <w:jc w:val="center"/>
              <w:rPr>
                <w:rFonts w:ascii="宋体" w:hAnsi="宋体"/>
                <w:color w:val="auto"/>
                <w:szCs w:val="21"/>
                <w:highlight w:val="none"/>
              </w:rPr>
            </w:pPr>
          </w:p>
        </w:tc>
        <w:tc>
          <w:tcPr>
            <w:tcW w:w="1341" w:type="dxa"/>
            <w:vAlign w:val="center"/>
          </w:tcPr>
          <w:p w14:paraId="5F504405">
            <w:pPr>
              <w:spacing w:line="240" w:lineRule="exact"/>
              <w:jc w:val="center"/>
              <w:rPr>
                <w:rFonts w:ascii="宋体" w:hAnsi="宋体"/>
                <w:color w:val="auto"/>
                <w:szCs w:val="21"/>
                <w:highlight w:val="none"/>
              </w:rPr>
            </w:pPr>
          </w:p>
        </w:tc>
        <w:tc>
          <w:tcPr>
            <w:tcW w:w="1080" w:type="dxa"/>
            <w:vAlign w:val="center"/>
          </w:tcPr>
          <w:p w14:paraId="5E574BA1">
            <w:pPr>
              <w:spacing w:line="240" w:lineRule="exact"/>
              <w:jc w:val="center"/>
              <w:rPr>
                <w:rFonts w:ascii="宋体" w:hAnsi="宋体"/>
                <w:color w:val="auto"/>
                <w:szCs w:val="21"/>
                <w:highlight w:val="none"/>
              </w:rPr>
            </w:pPr>
          </w:p>
        </w:tc>
      </w:tr>
      <w:tr w14:paraId="620D2A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36" w:type="dxa"/>
            <w:vAlign w:val="center"/>
          </w:tcPr>
          <w:p w14:paraId="1A6791D9">
            <w:pPr>
              <w:spacing w:line="240" w:lineRule="exact"/>
              <w:jc w:val="center"/>
              <w:rPr>
                <w:rFonts w:ascii="宋体" w:hAnsi="宋体"/>
                <w:color w:val="auto"/>
                <w:szCs w:val="21"/>
                <w:highlight w:val="none"/>
              </w:rPr>
            </w:pPr>
            <w:r>
              <w:rPr>
                <w:rFonts w:ascii="宋体" w:hAnsi="宋体"/>
                <w:color w:val="auto"/>
                <w:szCs w:val="21"/>
                <w:highlight w:val="none"/>
              </w:rPr>
              <w:t>5</w:t>
            </w:r>
          </w:p>
        </w:tc>
        <w:tc>
          <w:tcPr>
            <w:tcW w:w="1793" w:type="dxa"/>
            <w:vAlign w:val="center"/>
          </w:tcPr>
          <w:p w14:paraId="44767C15">
            <w:pPr>
              <w:spacing w:line="240" w:lineRule="exact"/>
              <w:jc w:val="center"/>
              <w:rPr>
                <w:rFonts w:ascii="宋体" w:hAnsi="宋体"/>
                <w:color w:val="auto"/>
                <w:szCs w:val="21"/>
                <w:highlight w:val="none"/>
              </w:rPr>
            </w:pPr>
          </w:p>
        </w:tc>
        <w:tc>
          <w:tcPr>
            <w:tcW w:w="900" w:type="dxa"/>
            <w:vAlign w:val="center"/>
          </w:tcPr>
          <w:p w14:paraId="0BB7E23B">
            <w:pPr>
              <w:jc w:val="center"/>
              <w:rPr>
                <w:rFonts w:ascii="宋体" w:hAnsi="宋体"/>
                <w:color w:val="auto"/>
                <w:szCs w:val="21"/>
                <w:highlight w:val="none"/>
              </w:rPr>
            </w:pPr>
          </w:p>
        </w:tc>
        <w:tc>
          <w:tcPr>
            <w:tcW w:w="992" w:type="dxa"/>
            <w:vAlign w:val="center"/>
          </w:tcPr>
          <w:p w14:paraId="2EF801F4">
            <w:pPr>
              <w:spacing w:line="240" w:lineRule="exact"/>
              <w:jc w:val="center"/>
              <w:rPr>
                <w:rFonts w:ascii="宋体" w:hAnsi="宋体"/>
                <w:color w:val="auto"/>
                <w:szCs w:val="21"/>
                <w:highlight w:val="none"/>
              </w:rPr>
            </w:pPr>
          </w:p>
        </w:tc>
        <w:tc>
          <w:tcPr>
            <w:tcW w:w="1785" w:type="dxa"/>
            <w:vAlign w:val="center"/>
          </w:tcPr>
          <w:p w14:paraId="21313EA3">
            <w:pPr>
              <w:spacing w:line="240" w:lineRule="exact"/>
              <w:jc w:val="center"/>
              <w:rPr>
                <w:rFonts w:ascii="宋体" w:hAnsi="宋体"/>
                <w:color w:val="auto"/>
                <w:szCs w:val="21"/>
                <w:highlight w:val="none"/>
              </w:rPr>
            </w:pPr>
          </w:p>
        </w:tc>
        <w:tc>
          <w:tcPr>
            <w:tcW w:w="1116" w:type="dxa"/>
            <w:vAlign w:val="center"/>
          </w:tcPr>
          <w:p w14:paraId="7F2D894B">
            <w:pPr>
              <w:spacing w:line="240" w:lineRule="exact"/>
              <w:jc w:val="center"/>
              <w:rPr>
                <w:rFonts w:ascii="宋体" w:hAnsi="宋体"/>
                <w:color w:val="auto"/>
                <w:szCs w:val="21"/>
                <w:highlight w:val="none"/>
              </w:rPr>
            </w:pPr>
          </w:p>
        </w:tc>
        <w:tc>
          <w:tcPr>
            <w:tcW w:w="1341" w:type="dxa"/>
            <w:vAlign w:val="center"/>
          </w:tcPr>
          <w:p w14:paraId="473C8372">
            <w:pPr>
              <w:spacing w:line="240" w:lineRule="exact"/>
              <w:jc w:val="center"/>
              <w:rPr>
                <w:rFonts w:ascii="宋体" w:hAnsi="宋体"/>
                <w:color w:val="auto"/>
                <w:szCs w:val="21"/>
                <w:highlight w:val="none"/>
              </w:rPr>
            </w:pPr>
          </w:p>
        </w:tc>
        <w:tc>
          <w:tcPr>
            <w:tcW w:w="1080" w:type="dxa"/>
            <w:vAlign w:val="center"/>
          </w:tcPr>
          <w:p w14:paraId="0A91A5AF">
            <w:pPr>
              <w:spacing w:line="240" w:lineRule="exact"/>
              <w:jc w:val="center"/>
              <w:rPr>
                <w:rFonts w:ascii="宋体" w:hAnsi="宋体"/>
                <w:color w:val="auto"/>
                <w:szCs w:val="21"/>
                <w:highlight w:val="none"/>
              </w:rPr>
            </w:pPr>
          </w:p>
        </w:tc>
      </w:tr>
      <w:tr w14:paraId="5AAAA6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36" w:type="dxa"/>
            <w:vAlign w:val="center"/>
          </w:tcPr>
          <w:p w14:paraId="2AE278FF">
            <w:pPr>
              <w:spacing w:line="240" w:lineRule="exact"/>
              <w:jc w:val="center"/>
              <w:rPr>
                <w:rFonts w:ascii="宋体" w:hAnsi="宋体"/>
                <w:color w:val="auto"/>
                <w:szCs w:val="21"/>
                <w:highlight w:val="none"/>
              </w:rPr>
            </w:pPr>
            <w:r>
              <w:rPr>
                <w:rFonts w:ascii="宋体" w:hAnsi="宋体"/>
                <w:color w:val="auto"/>
                <w:szCs w:val="21"/>
                <w:highlight w:val="none"/>
              </w:rPr>
              <w:t>6</w:t>
            </w:r>
          </w:p>
        </w:tc>
        <w:tc>
          <w:tcPr>
            <w:tcW w:w="1793" w:type="dxa"/>
            <w:vAlign w:val="center"/>
          </w:tcPr>
          <w:p w14:paraId="590A4AE2">
            <w:pPr>
              <w:spacing w:line="240" w:lineRule="exact"/>
              <w:jc w:val="center"/>
              <w:rPr>
                <w:rFonts w:ascii="宋体" w:hAnsi="宋体"/>
                <w:color w:val="auto"/>
                <w:szCs w:val="21"/>
                <w:highlight w:val="none"/>
              </w:rPr>
            </w:pPr>
          </w:p>
        </w:tc>
        <w:tc>
          <w:tcPr>
            <w:tcW w:w="900" w:type="dxa"/>
            <w:vAlign w:val="center"/>
          </w:tcPr>
          <w:p w14:paraId="39BC56E2">
            <w:pPr>
              <w:jc w:val="center"/>
              <w:rPr>
                <w:rFonts w:ascii="宋体" w:hAnsi="宋体"/>
                <w:color w:val="auto"/>
                <w:szCs w:val="21"/>
                <w:highlight w:val="none"/>
              </w:rPr>
            </w:pPr>
          </w:p>
        </w:tc>
        <w:tc>
          <w:tcPr>
            <w:tcW w:w="992" w:type="dxa"/>
            <w:vAlign w:val="center"/>
          </w:tcPr>
          <w:p w14:paraId="460735FA">
            <w:pPr>
              <w:spacing w:line="240" w:lineRule="exact"/>
              <w:jc w:val="center"/>
              <w:rPr>
                <w:rFonts w:ascii="宋体" w:hAnsi="宋体"/>
                <w:color w:val="auto"/>
                <w:szCs w:val="21"/>
                <w:highlight w:val="none"/>
              </w:rPr>
            </w:pPr>
          </w:p>
        </w:tc>
        <w:tc>
          <w:tcPr>
            <w:tcW w:w="1785" w:type="dxa"/>
            <w:vAlign w:val="center"/>
          </w:tcPr>
          <w:p w14:paraId="6C289666">
            <w:pPr>
              <w:spacing w:line="240" w:lineRule="exact"/>
              <w:jc w:val="center"/>
              <w:rPr>
                <w:rFonts w:ascii="宋体" w:hAnsi="宋体"/>
                <w:color w:val="auto"/>
                <w:szCs w:val="21"/>
                <w:highlight w:val="none"/>
              </w:rPr>
            </w:pPr>
          </w:p>
        </w:tc>
        <w:tc>
          <w:tcPr>
            <w:tcW w:w="1116" w:type="dxa"/>
            <w:vAlign w:val="center"/>
          </w:tcPr>
          <w:p w14:paraId="415022A5">
            <w:pPr>
              <w:spacing w:line="240" w:lineRule="exact"/>
              <w:jc w:val="center"/>
              <w:rPr>
                <w:rFonts w:ascii="宋体" w:hAnsi="宋体"/>
                <w:color w:val="auto"/>
                <w:szCs w:val="21"/>
                <w:highlight w:val="none"/>
              </w:rPr>
            </w:pPr>
          </w:p>
        </w:tc>
        <w:tc>
          <w:tcPr>
            <w:tcW w:w="1341" w:type="dxa"/>
            <w:vAlign w:val="center"/>
          </w:tcPr>
          <w:p w14:paraId="2C15E47D">
            <w:pPr>
              <w:spacing w:line="240" w:lineRule="exact"/>
              <w:jc w:val="center"/>
              <w:rPr>
                <w:rFonts w:ascii="宋体" w:hAnsi="宋体"/>
                <w:color w:val="auto"/>
                <w:szCs w:val="21"/>
                <w:highlight w:val="none"/>
              </w:rPr>
            </w:pPr>
          </w:p>
        </w:tc>
        <w:tc>
          <w:tcPr>
            <w:tcW w:w="1080" w:type="dxa"/>
            <w:vAlign w:val="center"/>
          </w:tcPr>
          <w:p w14:paraId="5BBC8BEC">
            <w:pPr>
              <w:spacing w:line="240" w:lineRule="exact"/>
              <w:jc w:val="center"/>
              <w:rPr>
                <w:rFonts w:ascii="宋体" w:hAnsi="宋体"/>
                <w:color w:val="auto"/>
                <w:szCs w:val="21"/>
                <w:highlight w:val="none"/>
              </w:rPr>
            </w:pPr>
          </w:p>
        </w:tc>
      </w:tr>
      <w:tr w14:paraId="18B9E5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36" w:type="dxa"/>
            <w:vAlign w:val="center"/>
          </w:tcPr>
          <w:p w14:paraId="757B5816">
            <w:pPr>
              <w:spacing w:line="240" w:lineRule="exact"/>
              <w:jc w:val="center"/>
              <w:rPr>
                <w:rFonts w:ascii="宋体" w:hAnsi="宋体"/>
                <w:color w:val="auto"/>
                <w:szCs w:val="21"/>
                <w:highlight w:val="none"/>
              </w:rPr>
            </w:pPr>
            <w:r>
              <w:rPr>
                <w:rFonts w:ascii="宋体" w:hAnsi="宋体"/>
                <w:color w:val="auto"/>
                <w:szCs w:val="21"/>
                <w:highlight w:val="none"/>
              </w:rPr>
              <w:t>7</w:t>
            </w:r>
          </w:p>
        </w:tc>
        <w:tc>
          <w:tcPr>
            <w:tcW w:w="1793" w:type="dxa"/>
            <w:vAlign w:val="center"/>
          </w:tcPr>
          <w:p w14:paraId="071B92B0">
            <w:pPr>
              <w:spacing w:line="240" w:lineRule="exact"/>
              <w:jc w:val="center"/>
              <w:rPr>
                <w:rFonts w:ascii="宋体" w:hAnsi="宋体"/>
                <w:color w:val="auto"/>
                <w:szCs w:val="21"/>
                <w:highlight w:val="none"/>
              </w:rPr>
            </w:pPr>
          </w:p>
        </w:tc>
        <w:tc>
          <w:tcPr>
            <w:tcW w:w="900" w:type="dxa"/>
            <w:vAlign w:val="center"/>
          </w:tcPr>
          <w:p w14:paraId="5547B3CD">
            <w:pPr>
              <w:jc w:val="center"/>
              <w:rPr>
                <w:rFonts w:ascii="宋体" w:hAnsi="宋体"/>
                <w:color w:val="auto"/>
                <w:szCs w:val="21"/>
                <w:highlight w:val="none"/>
              </w:rPr>
            </w:pPr>
          </w:p>
        </w:tc>
        <w:tc>
          <w:tcPr>
            <w:tcW w:w="992" w:type="dxa"/>
            <w:vAlign w:val="center"/>
          </w:tcPr>
          <w:p w14:paraId="154683F0">
            <w:pPr>
              <w:spacing w:line="240" w:lineRule="exact"/>
              <w:jc w:val="center"/>
              <w:rPr>
                <w:rFonts w:ascii="宋体" w:hAnsi="宋体"/>
                <w:color w:val="auto"/>
                <w:szCs w:val="21"/>
                <w:highlight w:val="none"/>
              </w:rPr>
            </w:pPr>
          </w:p>
        </w:tc>
        <w:tc>
          <w:tcPr>
            <w:tcW w:w="1785" w:type="dxa"/>
            <w:vAlign w:val="center"/>
          </w:tcPr>
          <w:p w14:paraId="6DB51FC4">
            <w:pPr>
              <w:spacing w:line="240" w:lineRule="exact"/>
              <w:jc w:val="center"/>
              <w:rPr>
                <w:rFonts w:ascii="宋体" w:hAnsi="宋体"/>
                <w:color w:val="auto"/>
                <w:szCs w:val="21"/>
                <w:highlight w:val="none"/>
              </w:rPr>
            </w:pPr>
          </w:p>
        </w:tc>
        <w:tc>
          <w:tcPr>
            <w:tcW w:w="1116" w:type="dxa"/>
            <w:vAlign w:val="center"/>
          </w:tcPr>
          <w:p w14:paraId="09BE6161">
            <w:pPr>
              <w:spacing w:line="240" w:lineRule="exact"/>
              <w:jc w:val="center"/>
              <w:rPr>
                <w:rFonts w:ascii="宋体" w:hAnsi="宋体"/>
                <w:color w:val="auto"/>
                <w:szCs w:val="21"/>
                <w:highlight w:val="none"/>
              </w:rPr>
            </w:pPr>
          </w:p>
        </w:tc>
        <w:tc>
          <w:tcPr>
            <w:tcW w:w="1341" w:type="dxa"/>
            <w:vAlign w:val="center"/>
          </w:tcPr>
          <w:p w14:paraId="253000DA">
            <w:pPr>
              <w:spacing w:line="240" w:lineRule="exact"/>
              <w:jc w:val="center"/>
              <w:rPr>
                <w:rFonts w:ascii="宋体" w:hAnsi="宋体"/>
                <w:color w:val="auto"/>
                <w:szCs w:val="21"/>
                <w:highlight w:val="none"/>
              </w:rPr>
            </w:pPr>
          </w:p>
        </w:tc>
        <w:tc>
          <w:tcPr>
            <w:tcW w:w="1080" w:type="dxa"/>
            <w:vAlign w:val="center"/>
          </w:tcPr>
          <w:p w14:paraId="574E80FA">
            <w:pPr>
              <w:spacing w:line="240" w:lineRule="exact"/>
              <w:jc w:val="center"/>
              <w:rPr>
                <w:rFonts w:ascii="宋体" w:hAnsi="宋体"/>
                <w:color w:val="auto"/>
                <w:szCs w:val="21"/>
                <w:highlight w:val="none"/>
              </w:rPr>
            </w:pPr>
          </w:p>
        </w:tc>
      </w:tr>
      <w:tr w14:paraId="29CE09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36" w:type="dxa"/>
            <w:vAlign w:val="center"/>
          </w:tcPr>
          <w:p w14:paraId="423AC9D2">
            <w:pPr>
              <w:spacing w:line="240" w:lineRule="exact"/>
              <w:jc w:val="center"/>
              <w:rPr>
                <w:rFonts w:ascii="宋体" w:hAnsi="宋体"/>
                <w:color w:val="auto"/>
                <w:szCs w:val="21"/>
                <w:highlight w:val="none"/>
              </w:rPr>
            </w:pPr>
            <w:r>
              <w:rPr>
                <w:rFonts w:ascii="宋体" w:hAnsi="宋体"/>
                <w:color w:val="auto"/>
                <w:szCs w:val="21"/>
                <w:highlight w:val="none"/>
              </w:rPr>
              <w:t>8</w:t>
            </w:r>
          </w:p>
        </w:tc>
        <w:tc>
          <w:tcPr>
            <w:tcW w:w="1793" w:type="dxa"/>
            <w:vAlign w:val="center"/>
          </w:tcPr>
          <w:p w14:paraId="7B6623BD">
            <w:pPr>
              <w:spacing w:line="240" w:lineRule="exact"/>
              <w:jc w:val="center"/>
              <w:rPr>
                <w:rFonts w:ascii="宋体" w:hAnsi="宋体"/>
                <w:color w:val="auto"/>
                <w:szCs w:val="21"/>
                <w:highlight w:val="none"/>
              </w:rPr>
            </w:pPr>
          </w:p>
        </w:tc>
        <w:tc>
          <w:tcPr>
            <w:tcW w:w="900" w:type="dxa"/>
            <w:vAlign w:val="center"/>
          </w:tcPr>
          <w:p w14:paraId="345011AF">
            <w:pPr>
              <w:jc w:val="center"/>
              <w:rPr>
                <w:rFonts w:ascii="宋体" w:hAnsi="宋体"/>
                <w:color w:val="auto"/>
                <w:szCs w:val="21"/>
                <w:highlight w:val="none"/>
              </w:rPr>
            </w:pPr>
          </w:p>
        </w:tc>
        <w:tc>
          <w:tcPr>
            <w:tcW w:w="992" w:type="dxa"/>
            <w:vAlign w:val="center"/>
          </w:tcPr>
          <w:p w14:paraId="2B55675E">
            <w:pPr>
              <w:spacing w:line="240" w:lineRule="exact"/>
              <w:jc w:val="center"/>
              <w:rPr>
                <w:rFonts w:ascii="宋体" w:hAnsi="宋体"/>
                <w:color w:val="auto"/>
                <w:szCs w:val="21"/>
                <w:highlight w:val="none"/>
              </w:rPr>
            </w:pPr>
          </w:p>
        </w:tc>
        <w:tc>
          <w:tcPr>
            <w:tcW w:w="1785" w:type="dxa"/>
            <w:vAlign w:val="center"/>
          </w:tcPr>
          <w:p w14:paraId="6B6463E0">
            <w:pPr>
              <w:spacing w:line="240" w:lineRule="exact"/>
              <w:jc w:val="center"/>
              <w:rPr>
                <w:rFonts w:ascii="宋体" w:hAnsi="宋体"/>
                <w:color w:val="auto"/>
                <w:szCs w:val="21"/>
                <w:highlight w:val="none"/>
              </w:rPr>
            </w:pPr>
          </w:p>
        </w:tc>
        <w:tc>
          <w:tcPr>
            <w:tcW w:w="1116" w:type="dxa"/>
            <w:vAlign w:val="center"/>
          </w:tcPr>
          <w:p w14:paraId="1F0B8614">
            <w:pPr>
              <w:spacing w:line="240" w:lineRule="exact"/>
              <w:jc w:val="center"/>
              <w:rPr>
                <w:rFonts w:ascii="宋体" w:hAnsi="宋体"/>
                <w:color w:val="auto"/>
                <w:szCs w:val="21"/>
                <w:highlight w:val="none"/>
              </w:rPr>
            </w:pPr>
          </w:p>
        </w:tc>
        <w:tc>
          <w:tcPr>
            <w:tcW w:w="1341" w:type="dxa"/>
            <w:vAlign w:val="center"/>
          </w:tcPr>
          <w:p w14:paraId="646AB534">
            <w:pPr>
              <w:spacing w:line="240" w:lineRule="exact"/>
              <w:jc w:val="center"/>
              <w:rPr>
                <w:rFonts w:ascii="宋体" w:hAnsi="宋体"/>
                <w:color w:val="auto"/>
                <w:szCs w:val="21"/>
                <w:highlight w:val="none"/>
              </w:rPr>
            </w:pPr>
          </w:p>
        </w:tc>
        <w:tc>
          <w:tcPr>
            <w:tcW w:w="1080" w:type="dxa"/>
            <w:vAlign w:val="center"/>
          </w:tcPr>
          <w:p w14:paraId="4D233D2D">
            <w:pPr>
              <w:spacing w:line="240" w:lineRule="exact"/>
              <w:jc w:val="center"/>
              <w:rPr>
                <w:rFonts w:ascii="宋体" w:hAnsi="宋体"/>
                <w:color w:val="auto"/>
                <w:szCs w:val="21"/>
                <w:highlight w:val="none"/>
              </w:rPr>
            </w:pPr>
          </w:p>
        </w:tc>
      </w:tr>
      <w:tr w14:paraId="0CCEE8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36" w:type="dxa"/>
            <w:vAlign w:val="center"/>
          </w:tcPr>
          <w:p w14:paraId="6AFB8F9E">
            <w:pPr>
              <w:spacing w:line="240" w:lineRule="exact"/>
              <w:jc w:val="center"/>
              <w:rPr>
                <w:rFonts w:ascii="宋体" w:hAnsi="宋体"/>
                <w:color w:val="auto"/>
                <w:szCs w:val="21"/>
                <w:highlight w:val="none"/>
              </w:rPr>
            </w:pPr>
            <w:r>
              <w:rPr>
                <w:rFonts w:ascii="宋体" w:hAnsi="宋体"/>
                <w:color w:val="auto"/>
                <w:szCs w:val="21"/>
                <w:highlight w:val="none"/>
              </w:rPr>
              <w:t>9</w:t>
            </w:r>
          </w:p>
        </w:tc>
        <w:tc>
          <w:tcPr>
            <w:tcW w:w="1793" w:type="dxa"/>
            <w:vAlign w:val="center"/>
          </w:tcPr>
          <w:p w14:paraId="79FE4075">
            <w:pPr>
              <w:spacing w:line="240" w:lineRule="exact"/>
              <w:jc w:val="center"/>
              <w:rPr>
                <w:rFonts w:ascii="宋体" w:hAnsi="宋体"/>
                <w:color w:val="auto"/>
                <w:szCs w:val="21"/>
                <w:highlight w:val="none"/>
              </w:rPr>
            </w:pPr>
          </w:p>
        </w:tc>
        <w:tc>
          <w:tcPr>
            <w:tcW w:w="900" w:type="dxa"/>
            <w:vAlign w:val="center"/>
          </w:tcPr>
          <w:p w14:paraId="5FDF9406">
            <w:pPr>
              <w:jc w:val="center"/>
              <w:rPr>
                <w:rFonts w:ascii="宋体" w:hAnsi="宋体"/>
                <w:color w:val="auto"/>
                <w:szCs w:val="21"/>
                <w:highlight w:val="none"/>
              </w:rPr>
            </w:pPr>
          </w:p>
        </w:tc>
        <w:tc>
          <w:tcPr>
            <w:tcW w:w="992" w:type="dxa"/>
            <w:vAlign w:val="center"/>
          </w:tcPr>
          <w:p w14:paraId="0EE3BA5E">
            <w:pPr>
              <w:spacing w:line="240" w:lineRule="exact"/>
              <w:jc w:val="center"/>
              <w:rPr>
                <w:rFonts w:ascii="宋体" w:hAnsi="宋体"/>
                <w:color w:val="auto"/>
                <w:szCs w:val="21"/>
                <w:highlight w:val="none"/>
              </w:rPr>
            </w:pPr>
          </w:p>
        </w:tc>
        <w:tc>
          <w:tcPr>
            <w:tcW w:w="1785" w:type="dxa"/>
            <w:vAlign w:val="center"/>
          </w:tcPr>
          <w:p w14:paraId="161000CD">
            <w:pPr>
              <w:spacing w:line="240" w:lineRule="exact"/>
              <w:jc w:val="center"/>
              <w:rPr>
                <w:rFonts w:ascii="宋体" w:hAnsi="宋体"/>
                <w:color w:val="auto"/>
                <w:szCs w:val="21"/>
                <w:highlight w:val="none"/>
              </w:rPr>
            </w:pPr>
          </w:p>
        </w:tc>
        <w:tc>
          <w:tcPr>
            <w:tcW w:w="1116" w:type="dxa"/>
            <w:vAlign w:val="center"/>
          </w:tcPr>
          <w:p w14:paraId="11935D4C">
            <w:pPr>
              <w:spacing w:line="240" w:lineRule="exact"/>
              <w:jc w:val="center"/>
              <w:rPr>
                <w:rFonts w:ascii="宋体" w:hAnsi="宋体"/>
                <w:color w:val="auto"/>
                <w:szCs w:val="21"/>
                <w:highlight w:val="none"/>
              </w:rPr>
            </w:pPr>
          </w:p>
        </w:tc>
        <w:tc>
          <w:tcPr>
            <w:tcW w:w="1341" w:type="dxa"/>
            <w:vAlign w:val="center"/>
          </w:tcPr>
          <w:p w14:paraId="3DEECD68">
            <w:pPr>
              <w:spacing w:line="240" w:lineRule="exact"/>
              <w:jc w:val="center"/>
              <w:rPr>
                <w:rFonts w:ascii="宋体" w:hAnsi="宋体"/>
                <w:color w:val="auto"/>
                <w:szCs w:val="21"/>
                <w:highlight w:val="none"/>
              </w:rPr>
            </w:pPr>
          </w:p>
        </w:tc>
        <w:tc>
          <w:tcPr>
            <w:tcW w:w="1080" w:type="dxa"/>
            <w:vAlign w:val="center"/>
          </w:tcPr>
          <w:p w14:paraId="56C6DDF9">
            <w:pPr>
              <w:spacing w:line="240" w:lineRule="exact"/>
              <w:jc w:val="center"/>
              <w:rPr>
                <w:rFonts w:ascii="宋体" w:hAnsi="宋体"/>
                <w:color w:val="auto"/>
                <w:szCs w:val="21"/>
                <w:highlight w:val="none"/>
              </w:rPr>
            </w:pPr>
          </w:p>
        </w:tc>
      </w:tr>
      <w:tr w14:paraId="61AB43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36" w:type="dxa"/>
            <w:vAlign w:val="center"/>
          </w:tcPr>
          <w:p w14:paraId="42FAC9A7">
            <w:pPr>
              <w:spacing w:line="240" w:lineRule="exact"/>
              <w:jc w:val="center"/>
              <w:rPr>
                <w:rFonts w:ascii="宋体" w:hAnsi="宋体"/>
                <w:color w:val="auto"/>
                <w:szCs w:val="21"/>
                <w:highlight w:val="none"/>
              </w:rPr>
            </w:pPr>
            <w:r>
              <w:rPr>
                <w:rFonts w:ascii="宋体" w:hAnsi="宋体"/>
                <w:color w:val="auto"/>
                <w:szCs w:val="21"/>
                <w:highlight w:val="none"/>
              </w:rPr>
              <w:t>10</w:t>
            </w:r>
          </w:p>
        </w:tc>
        <w:tc>
          <w:tcPr>
            <w:tcW w:w="1793" w:type="dxa"/>
            <w:vAlign w:val="center"/>
          </w:tcPr>
          <w:p w14:paraId="2B40C1CC">
            <w:pPr>
              <w:spacing w:line="240" w:lineRule="exact"/>
              <w:jc w:val="center"/>
              <w:rPr>
                <w:rFonts w:ascii="宋体" w:hAnsi="宋体"/>
                <w:color w:val="auto"/>
                <w:szCs w:val="21"/>
                <w:highlight w:val="none"/>
              </w:rPr>
            </w:pPr>
          </w:p>
        </w:tc>
        <w:tc>
          <w:tcPr>
            <w:tcW w:w="900" w:type="dxa"/>
            <w:vAlign w:val="center"/>
          </w:tcPr>
          <w:p w14:paraId="639B96FE">
            <w:pPr>
              <w:jc w:val="center"/>
              <w:rPr>
                <w:rFonts w:ascii="宋体" w:hAnsi="宋体"/>
                <w:color w:val="auto"/>
                <w:szCs w:val="21"/>
                <w:highlight w:val="none"/>
              </w:rPr>
            </w:pPr>
          </w:p>
        </w:tc>
        <w:tc>
          <w:tcPr>
            <w:tcW w:w="992" w:type="dxa"/>
            <w:vAlign w:val="center"/>
          </w:tcPr>
          <w:p w14:paraId="0186B8E2">
            <w:pPr>
              <w:spacing w:line="240" w:lineRule="exact"/>
              <w:jc w:val="center"/>
              <w:rPr>
                <w:rFonts w:ascii="宋体" w:hAnsi="宋体"/>
                <w:color w:val="auto"/>
                <w:szCs w:val="21"/>
                <w:highlight w:val="none"/>
              </w:rPr>
            </w:pPr>
          </w:p>
        </w:tc>
        <w:tc>
          <w:tcPr>
            <w:tcW w:w="1785" w:type="dxa"/>
            <w:vAlign w:val="center"/>
          </w:tcPr>
          <w:p w14:paraId="2477748B">
            <w:pPr>
              <w:spacing w:line="240" w:lineRule="exact"/>
              <w:jc w:val="center"/>
              <w:rPr>
                <w:rFonts w:ascii="宋体" w:hAnsi="宋体"/>
                <w:color w:val="auto"/>
                <w:szCs w:val="21"/>
                <w:highlight w:val="none"/>
              </w:rPr>
            </w:pPr>
          </w:p>
        </w:tc>
        <w:tc>
          <w:tcPr>
            <w:tcW w:w="1116" w:type="dxa"/>
            <w:vAlign w:val="center"/>
          </w:tcPr>
          <w:p w14:paraId="72177BBF">
            <w:pPr>
              <w:spacing w:line="240" w:lineRule="exact"/>
              <w:jc w:val="center"/>
              <w:rPr>
                <w:rFonts w:ascii="宋体" w:hAnsi="宋体"/>
                <w:color w:val="auto"/>
                <w:szCs w:val="21"/>
                <w:highlight w:val="none"/>
              </w:rPr>
            </w:pPr>
          </w:p>
        </w:tc>
        <w:tc>
          <w:tcPr>
            <w:tcW w:w="1341" w:type="dxa"/>
            <w:vAlign w:val="center"/>
          </w:tcPr>
          <w:p w14:paraId="4F541729">
            <w:pPr>
              <w:spacing w:line="240" w:lineRule="exact"/>
              <w:jc w:val="center"/>
              <w:rPr>
                <w:rFonts w:ascii="宋体" w:hAnsi="宋体"/>
                <w:color w:val="auto"/>
                <w:szCs w:val="21"/>
                <w:highlight w:val="none"/>
              </w:rPr>
            </w:pPr>
          </w:p>
        </w:tc>
        <w:tc>
          <w:tcPr>
            <w:tcW w:w="1080" w:type="dxa"/>
            <w:vAlign w:val="center"/>
          </w:tcPr>
          <w:p w14:paraId="736BA908">
            <w:pPr>
              <w:spacing w:line="240" w:lineRule="exact"/>
              <w:jc w:val="center"/>
              <w:rPr>
                <w:rFonts w:ascii="宋体" w:hAnsi="宋体"/>
                <w:color w:val="auto"/>
                <w:szCs w:val="21"/>
                <w:highlight w:val="none"/>
              </w:rPr>
            </w:pPr>
          </w:p>
        </w:tc>
      </w:tr>
    </w:tbl>
    <w:p w14:paraId="09E8EAD4">
      <w:pPr>
        <w:spacing w:line="440" w:lineRule="exact"/>
        <w:rPr>
          <w:rFonts w:ascii="宋体" w:hAnsi="宋体"/>
          <w:color w:val="auto"/>
          <w:highlight w:val="none"/>
        </w:rPr>
      </w:pPr>
      <w:r>
        <w:rPr>
          <w:rFonts w:hint="eastAsia" w:ascii="宋体" w:hAnsi="宋体"/>
          <w:color w:val="auto"/>
          <w:highlight w:val="none"/>
        </w:rPr>
        <w:t>注：本项不作为资格审查内容，但（如有）需提供，仅作为投标人的评标（综合评分）后附相关证明材料。表格格式可以根据实际情况调整。要求按照招标文件第三章评标办法附表四《综合评分表》相应评分因素的评分标准的要求及表后说明的规定提供证明材料。</w:t>
      </w:r>
    </w:p>
    <w:p w14:paraId="1BA70F5A">
      <w:pPr>
        <w:snapToGrid w:val="0"/>
        <w:spacing w:line="360" w:lineRule="auto"/>
        <w:ind w:right="-97" w:rightChars="-46"/>
        <w:rPr>
          <w:rFonts w:ascii="宋体" w:hAnsi="宋体"/>
          <w:color w:val="auto"/>
          <w:sz w:val="24"/>
          <w:highlight w:val="none"/>
        </w:rPr>
      </w:pPr>
    </w:p>
    <w:p w14:paraId="42356C80">
      <w:pPr>
        <w:pStyle w:val="4"/>
        <w:jc w:val="center"/>
        <w:rPr>
          <w:color w:val="auto"/>
          <w:highlight w:val="none"/>
        </w:rPr>
      </w:pPr>
      <w:r>
        <w:rPr>
          <w:color w:val="auto"/>
          <w:highlight w:val="none"/>
        </w:rPr>
        <w:br w:type="page"/>
      </w:r>
      <w:bookmarkStart w:id="198" w:name="_Toc533334237"/>
      <w:bookmarkStart w:id="199" w:name="_Toc20161"/>
      <w:bookmarkStart w:id="200" w:name="_Toc532390645"/>
      <w:bookmarkStart w:id="201" w:name="_Toc528170367"/>
      <w:bookmarkStart w:id="202" w:name="_Toc118554005"/>
      <w:r>
        <w:rPr>
          <w:rFonts w:hint="eastAsia"/>
          <w:color w:val="auto"/>
          <w:highlight w:val="none"/>
        </w:rPr>
        <w:t>十</w:t>
      </w:r>
      <w:r>
        <w:rPr>
          <w:rFonts w:hint="eastAsia"/>
          <w:color w:val="auto"/>
          <w:highlight w:val="none"/>
          <w:lang w:val="en-US" w:eastAsia="zh-CN"/>
        </w:rPr>
        <w:t>一</w:t>
      </w:r>
      <w:r>
        <w:rPr>
          <w:rFonts w:hint="eastAsia"/>
          <w:color w:val="auto"/>
          <w:highlight w:val="none"/>
        </w:rPr>
        <w:t>、</w:t>
      </w:r>
      <w:bookmarkEnd w:id="198"/>
      <w:bookmarkEnd w:id="199"/>
      <w:bookmarkEnd w:id="200"/>
      <w:bookmarkEnd w:id="201"/>
      <w:r>
        <w:rPr>
          <w:rFonts w:hint="eastAsia"/>
          <w:color w:val="auto"/>
          <w:highlight w:val="none"/>
        </w:rPr>
        <w:t>检测、监测方案</w:t>
      </w:r>
      <w:bookmarkEnd w:id="202"/>
      <w:r>
        <w:rPr>
          <w:rFonts w:hint="eastAsia"/>
          <w:color w:val="auto"/>
          <w:highlight w:val="none"/>
        </w:rPr>
        <w:t>（格式自拟）</w:t>
      </w:r>
    </w:p>
    <w:p w14:paraId="777D8BAB">
      <w:pPr>
        <w:spacing w:line="360" w:lineRule="auto"/>
        <w:ind w:firstLine="480" w:firstLineChars="200"/>
        <w:rPr>
          <w:rFonts w:ascii="宋体" w:cs="宋体"/>
          <w:color w:val="auto"/>
          <w:highlight w:val="none"/>
        </w:rPr>
      </w:pPr>
      <w:r>
        <w:rPr>
          <w:rFonts w:hint="eastAsia" w:ascii="宋体" w:cs="宋体"/>
          <w:color w:val="auto"/>
          <w:sz w:val="24"/>
          <w:highlight w:val="none"/>
        </w:rPr>
        <w:t>根据招标人提供的技术要求及资料，编制有针对性的检测、监测技术方案</w:t>
      </w:r>
      <w:r>
        <w:rPr>
          <w:rFonts w:hint="eastAsia" w:ascii="宋体" w:cs="宋体"/>
          <w:color w:val="auto"/>
          <w:szCs w:val="21"/>
          <w:highlight w:val="none"/>
        </w:rPr>
        <w:t>。</w:t>
      </w:r>
    </w:p>
    <w:p w14:paraId="6F4581C8">
      <w:pPr>
        <w:spacing w:line="360" w:lineRule="auto"/>
        <w:rPr>
          <w:rFonts w:ascii="宋体" w:hAnsi="宋体"/>
          <w:color w:val="auto"/>
          <w:sz w:val="24"/>
          <w:szCs w:val="24"/>
          <w:highlight w:val="none"/>
        </w:rPr>
      </w:pPr>
    </w:p>
    <w:p w14:paraId="4C804D6C">
      <w:pPr>
        <w:pStyle w:val="4"/>
        <w:jc w:val="center"/>
        <w:rPr>
          <w:color w:val="auto"/>
          <w:highlight w:val="none"/>
        </w:rPr>
      </w:pPr>
      <w:bookmarkStart w:id="203" w:name="_Toc533334238"/>
      <w:r>
        <w:rPr>
          <w:color w:val="auto"/>
          <w:highlight w:val="none"/>
        </w:rPr>
        <w:br w:type="page"/>
      </w:r>
      <w:bookmarkStart w:id="204" w:name="_Toc118554006"/>
      <w:r>
        <w:rPr>
          <w:rFonts w:hint="eastAsia"/>
          <w:color w:val="auto"/>
          <w:highlight w:val="none"/>
        </w:rPr>
        <w:t>十</w:t>
      </w:r>
      <w:r>
        <w:rPr>
          <w:rFonts w:hint="eastAsia"/>
          <w:color w:val="auto"/>
          <w:highlight w:val="none"/>
          <w:lang w:val="en-US" w:eastAsia="zh-CN"/>
        </w:rPr>
        <w:t>二</w:t>
      </w:r>
      <w:r>
        <w:rPr>
          <w:rFonts w:hint="eastAsia"/>
          <w:color w:val="auto"/>
          <w:highlight w:val="none"/>
        </w:rPr>
        <w:t>、其他资料</w:t>
      </w:r>
      <w:bookmarkEnd w:id="203"/>
      <w:bookmarkEnd w:id="204"/>
    </w:p>
    <w:p w14:paraId="0B3C1250">
      <w:pPr>
        <w:spacing w:line="360" w:lineRule="auto"/>
        <w:ind w:firstLine="480" w:firstLineChars="200"/>
        <w:jc w:val="left"/>
        <w:rPr>
          <w:rFonts w:ascii="宋体" w:hAnsi="宋体"/>
          <w:color w:val="auto"/>
          <w:sz w:val="24"/>
          <w:szCs w:val="24"/>
          <w:highlight w:val="none"/>
        </w:rPr>
      </w:pPr>
      <w:r>
        <w:rPr>
          <w:rFonts w:hint="eastAsia" w:ascii="宋体" w:hAnsi="宋体"/>
          <w:color w:val="auto"/>
          <w:sz w:val="24"/>
          <w:highlight w:val="none"/>
        </w:rPr>
        <w:t>投标人须知前附表规定的其他资料，</w:t>
      </w:r>
      <w:r>
        <w:rPr>
          <w:rFonts w:hint="eastAsia" w:ascii="宋体" w:hAnsi="宋体"/>
          <w:color w:val="auto"/>
          <w:sz w:val="24"/>
          <w:szCs w:val="24"/>
          <w:highlight w:val="none"/>
        </w:rPr>
        <w:t>投标人认为有必要提交的其他资料，格式自定。</w:t>
      </w:r>
    </w:p>
    <w:p w14:paraId="722E95FE">
      <w:pPr>
        <w:snapToGrid w:val="0"/>
        <w:spacing w:line="360" w:lineRule="auto"/>
        <w:ind w:right="-97" w:rightChars="-46"/>
        <w:rPr>
          <w:rFonts w:ascii="宋体" w:hAnsi="宋体"/>
          <w:color w:val="auto"/>
          <w:sz w:val="24"/>
          <w:szCs w:val="18"/>
          <w:highlight w:val="none"/>
        </w:rPr>
      </w:pPr>
    </w:p>
    <w:p w14:paraId="4D39864B">
      <w:pPr>
        <w:rPr>
          <w:color w:val="auto"/>
          <w:highlight w:val="none"/>
        </w:rPr>
      </w:pPr>
    </w:p>
    <w:p w14:paraId="7D0315CC">
      <w:pPr>
        <w:rPr>
          <w:rFonts w:ascii="宋体" w:hAnsi="宋体" w:cs="宋体"/>
          <w:b/>
          <w:bCs/>
          <w:color w:val="auto"/>
          <w:sz w:val="30"/>
          <w:szCs w:val="30"/>
          <w:highlight w:val="none"/>
        </w:rPr>
      </w:pPr>
    </w:p>
    <w:sectPr>
      <w:pgSz w:w="11906" w:h="16838"/>
      <w:pgMar w:top="1440" w:right="1080" w:bottom="1440" w:left="1080" w:header="851" w:footer="1020" w:gutter="0"/>
      <w:pgBorders w:offsetFrom="page">
        <w:top w:val="single" w:color="FFFFFF" w:themeColor="background1" w:sz="4" w:space="24"/>
        <w:left w:val="single" w:color="FFFFFF" w:themeColor="background1" w:sz="4" w:space="24"/>
        <w:bottom w:val="single" w:color="FFFFFF" w:themeColor="background1" w:sz="4" w:space="24"/>
        <w:right w:val="single" w:color="FFFFFF" w:themeColor="background1" w:sz="4" w:space="24"/>
      </w:pgBorders>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Calisto MT">
    <w:panose1 w:val="02040603050505030304"/>
    <w:charset w:val="00"/>
    <w:family w:val="roman"/>
    <w:pitch w:val="default"/>
    <w:sig w:usb0="00000003" w:usb1="00000000" w:usb2="00000000" w:usb3="00000000" w:csb0="20000001" w:csb1="00000000"/>
  </w:font>
  <w:font w:name="等线">
    <w:panose1 w:val="02010600030101010101"/>
    <w:charset w:val="86"/>
    <w:family w:val="auto"/>
    <w:pitch w:val="default"/>
    <w:sig w:usb0="A00002BF" w:usb1="38CF7CFA" w:usb2="00000016" w:usb3="00000000" w:csb0="0004000F" w:csb1="00000000"/>
  </w:font>
  <w:font w:name="Wingdings 2">
    <w:panose1 w:val="05020102010507070707"/>
    <w:charset w:val="02"/>
    <w:family w:val="roman"/>
    <w:pitch w:val="default"/>
    <w:sig w:usb0="00000000" w:usb1="00000000" w:usb2="00000000" w:usb3="00000000" w:csb0="8000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华文楷体">
    <w:panose1 w:val="02010600040101010101"/>
    <w:charset w:val="86"/>
    <w:family w:val="auto"/>
    <w:pitch w:val="default"/>
    <w:sig w:usb0="00000287" w:usb1="080F0000" w:usb2="00000000" w:usb3="00000000" w:csb0="0004009F" w:csb1="DFD70000"/>
  </w:font>
  <w:font w:name="华文仿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AC6F6B">
    <w:pPr>
      <w:pStyle w:val="20"/>
      <w:framePr w:wrap="around" w:vAnchor="text" w:hAnchor="margin" w:xAlign="center" w:y="2"/>
      <w:rPr>
        <w:rStyle w:val="29"/>
      </w:rPr>
    </w:pPr>
    <w:r>
      <w:fldChar w:fldCharType="begin"/>
    </w:r>
    <w:r>
      <w:rPr>
        <w:rStyle w:val="29"/>
      </w:rPr>
      <w:instrText xml:space="preserve">PAGE  </w:instrText>
    </w:r>
    <w:r>
      <w:fldChar w:fldCharType="separate"/>
    </w:r>
    <w:r>
      <w:rPr>
        <w:rStyle w:val="29"/>
      </w:rPr>
      <w:t>42</w:t>
    </w:r>
    <w:r>
      <w:fldChar w:fldCharType="end"/>
    </w:r>
  </w:p>
  <w:p w14:paraId="19467585">
    <w:pPr>
      <w:pStyle w:val="2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700C85">
    <w:pPr>
      <w:pStyle w:val="20"/>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58420" cy="139700"/>
              <wp:effectExtent l="0" t="0" r="0" b="0"/>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58420" cy="139700"/>
                      </a:xfrm>
                      <a:prstGeom prst="rect">
                        <a:avLst/>
                      </a:prstGeom>
                      <a:noFill/>
                      <a:ln>
                        <a:noFill/>
                      </a:ln>
                    </wps:spPr>
                    <wps:txbx>
                      <w:txbxContent>
                        <w:p w14:paraId="74F20CBF">
                          <w:pPr>
                            <w:pStyle w:val="20"/>
                          </w:pPr>
                          <w:r>
                            <w:fldChar w:fldCharType="begin"/>
                          </w:r>
                          <w:r>
                            <w:instrText xml:space="preserve"> PAGE  \* MERGEFORMAT </w:instrText>
                          </w:r>
                          <w:r>
                            <w:fldChar w:fldCharType="separate"/>
                          </w:r>
                          <w:r>
                            <w:t>1</w:t>
                          </w:r>
                          <w:r>
                            <w:fldChar w:fldCharType="end"/>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1pt;width:4.6pt;mso-position-horizontal:center;mso-position-horizontal-relative:margin;mso-wrap-style:none;z-index:251661312;mso-width-relative:page;mso-height-relative:page;" filled="f" stroked="f" coordsize="21600,21600" o:gfxdata="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DLW7l30AAAAAIBAAAPAAAAAAAAAAEAIAAAACIAAABkcnMvZG93&#10;bnJldi54bWxQSwECFAAUAAAACACHTuJA3kI7qQgCAAABBAAADgAAAAAAAAABACAAAAAfAQAAZHJz&#10;L2Uyb0RvYy54bWxQSwUGAAAAAAYABgBZAQAAmQUAAAAA&#10;">
              <v:fill on="f" focussize="0,0"/>
              <v:stroke on="f"/>
              <v:imagedata o:title=""/>
              <o:lock v:ext="edit" aspectratio="f"/>
              <v:textbox inset="0mm,0mm,0mm,0mm" style="mso-fit-shape-to-text:t;">
                <w:txbxContent>
                  <w:p w14:paraId="74F20CBF">
                    <w:pPr>
                      <w:pStyle w:val="20"/>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538F3B">
    <w:pPr>
      <w:pStyle w:val="20"/>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16205" cy="139700"/>
              <wp:effectExtent l="0" t="0" r="635" b="0"/>
              <wp:wrapNone/>
              <wp:docPr id="8" name="文本框 8"/>
              <wp:cNvGraphicFramePr/>
              <a:graphic xmlns:a="http://schemas.openxmlformats.org/drawingml/2006/main">
                <a:graphicData uri="http://schemas.microsoft.com/office/word/2010/wordprocessingShape">
                  <wps:wsp>
                    <wps:cNvSpPr txBox="1">
                      <a:spLocks noChangeArrowheads="1"/>
                    </wps:cNvSpPr>
                    <wps:spPr bwMode="auto">
                      <a:xfrm>
                        <a:off x="0" y="0"/>
                        <a:ext cx="116205" cy="139700"/>
                      </a:xfrm>
                      <a:prstGeom prst="rect">
                        <a:avLst/>
                      </a:prstGeom>
                      <a:noFill/>
                      <a:ln>
                        <a:noFill/>
                      </a:ln>
                    </wps:spPr>
                    <wps:txbx>
                      <w:txbxContent>
                        <w:p w14:paraId="54275A5F">
                          <w:pPr>
                            <w:pStyle w:val="20"/>
                          </w:pPr>
                          <w:r>
                            <w:fldChar w:fldCharType="begin"/>
                          </w:r>
                          <w:r>
                            <w:instrText xml:space="preserve"> PAGE  \* MERGEFORMAT </w:instrText>
                          </w:r>
                          <w:r>
                            <w:fldChar w:fldCharType="separate"/>
                          </w:r>
                          <w:r>
                            <w:t>98</w:t>
                          </w:r>
                          <w:r>
                            <w:fldChar w:fldCharType="end"/>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1pt;width:9.15pt;mso-position-horizontal:center;mso-position-horizontal-relative:margin;mso-wrap-style:none;z-index:251660288;mso-width-relative:page;mso-height-relative:page;" filled="f" stroked="f" coordsize="21600,21600" o:gfxdata="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AYulhTQAAAAAwEAAA8AAAAAAAAAAQAgAAAAIgAAAGRycy9k&#10;b3ducmV2LnhtbFBLAQIUABQAAAAIAIdO4kDZIiAvCgIAAAIEAAAOAAAAAAAAAAEAIAAAAB8BAABk&#10;cnMvZTJvRG9jLnhtbFBLBQYAAAAABgAGAFkBAACbBQAAAAA=&#10;">
              <v:fill on="f" focussize="0,0"/>
              <v:stroke on="f"/>
              <v:imagedata o:title=""/>
              <o:lock v:ext="edit" aspectratio="f"/>
              <v:textbox inset="0mm,0mm,0mm,0mm" style="mso-fit-shape-to-text:t;">
                <w:txbxContent>
                  <w:p w14:paraId="54275A5F">
                    <w:pPr>
                      <w:pStyle w:val="20"/>
                    </w:pPr>
                    <w:r>
                      <w:fldChar w:fldCharType="begin"/>
                    </w:r>
                    <w:r>
                      <w:instrText xml:space="preserve"> PAGE  \* MERGEFORMAT </w:instrText>
                    </w:r>
                    <w:r>
                      <w:fldChar w:fldCharType="separate"/>
                    </w:r>
                    <w:r>
                      <w:t>98</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892529">
    <w:pPr>
      <w:pStyle w:val="21"/>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67CD2D">
    <w:pPr>
      <w:pStyle w:val="21"/>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CCD5159"/>
    <w:multiLevelType w:val="singleLevel"/>
    <w:tmpl w:val="8CCD5159"/>
    <w:lvl w:ilvl="0" w:tentative="0">
      <w:start w:val="5"/>
      <w:numFmt w:val="decimal"/>
      <w:lvlText w:val="%1."/>
      <w:lvlJc w:val="left"/>
      <w:pPr>
        <w:tabs>
          <w:tab w:val="left" w:pos="312"/>
        </w:tabs>
      </w:pPr>
    </w:lvl>
  </w:abstractNum>
  <w:abstractNum w:abstractNumId="1">
    <w:nsid w:val="B1E410D1"/>
    <w:multiLevelType w:val="singleLevel"/>
    <w:tmpl w:val="B1E410D1"/>
    <w:lvl w:ilvl="0" w:tentative="0">
      <w:start w:val="1"/>
      <w:numFmt w:val="decimal"/>
      <w:suff w:val="nothing"/>
      <w:lvlText w:val="%1、"/>
      <w:lvlJc w:val="left"/>
    </w:lvl>
  </w:abstractNum>
  <w:abstractNum w:abstractNumId="2">
    <w:nsid w:val="0000000A"/>
    <w:multiLevelType w:val="singleLevel"/>
    <w:tmpl w:val="0000000A"/>
    <w:lvl w:ilvl="0" w:tentative="0">
      <w:start w:val="5"/>
      <w:numFmt w:val="chineseCounting"/>
      <w:suff w:val="space"/>
      <w:lvlText w:val="第%1章"/>
      <w:lvlJc w:val="left"/>
      <w:rPr>
        <w:rFonts w:hint="eastAsia"/>
      </w:rPr>
    </w:lvl>
  </w:abstractNum>
  <w:abstractNum w:abstractNumId="3">
    <w:nsid w:val="13FA58D0"/>
    <w:multiLevelType w:val="singleLevel"/>
    <w:tmpl w:val="13FA58D0"/>
    <w:lvl w:ilvl="0" w:tentative="0">
      <w:start w:val="8"/>
      <w:numFmt w:val="chineseCounting"/>
      <w:suff w:val="nothing"/>
      <w:lvlText w:val="%1、"/>
      <w:lvlJc w:val="left"/>
      <w:rPr>
        <w:rFonts w:hint="eastAsia"/>
      </w:rPr>
    </w:lvl>
  </w:abstractNum>
  <w:abstractNum w:abstractNumId="4">
    <w:nsid w:val="3FB37080"/>
    <w:multiLevelType w:val="multilevel"/>
    <w:tmpl w:val="3FB37080"/>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4"/>
  </w:num>
  <w:num w:numId="2">
    <w:abstractNumId w:val="2"/>
  </w:num>
  <w:num w:numId="3">
    <w:abstractNumId w:val="0"/>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hideSpellingErrors/>
  <w:documentProtection w:edit="trackedChanges"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IzNjhjZjkxMjg2OGJjOTQ0NThhNzBhOGI4YTVmYWYifQ=="/>
  </w:docVars>
  <w:rsids>
    <w:rsidRoot w:val="00FE62DA"/>
    <w:rsid w:val="00003F78"/>
    <w:rsid w:val="00004D6F"/>
    <w:rsid w:val="0000686E"/>
    <w:rsid w:val="000102D5"/>
    <w:rsid w:val="00015237"/>
    <w:rsid w:val="00020309"/>
    <w:rsid w:val="000206F6"/>
    <w:rsid w:val="00027AEF"/>
    <w:rsid w:val="00035A1D"/>
    <w:rsid w:val="00045D62"/>
    <w:rsid w:val="0005056A"/>
    <w:rsid w:val="00053917"/>
    <w:rsid w:val="00053DA8"/>
    <w:rsid w:val="00061C46"/>
    <w:rsid w:val="00064454"/>
    <w:rsid w:val="00083AED"/>
    <w:rsid w:val="00087064"/>
    <w:rsid w:val="00093118"/>
    <w:rsid w:val="00094BDA"/>
    <w:rsid w:val="0009637D"/>
    <w:rsid w:val="000A11C1"/>
    <w:rsid w:val="000A7651"/>
    <w:rsid w:val="000C287F"/>
    <w:rsid w:val="000D01E3"/>
    <w:rsid w:val="000D0CCA"/>
    <w:rsid w:val="000D28AE"/>
    <w:rsid w:val="000D3FE1"/>
    <w:rsid w:val="000D61AF"/>
    <w:rsid w:val="000E7A93"/>
    <w:rsid w:val="000F0C05"/>
    <w:rsid w:val="000F5A09"/>
    <w:rsid w:val="000F5CA3"/>
    <w:rsid w:val="000F65B2"/>
    <w:rsid w:val="00103C0D"/>
    <w:rsid w:val="0010540A"/>
    <w:rsid w:val="00113AC4"/>
    <w:rsid w:val="001167DB"/>
    <w:rsid w:val="00132C0A"/>
    <w:rsid w:val="0014046D"/>
    <w:rsid w:val="00140C94"/>
    <w:rsid w:val="00162093"/>
    <w:rsid w:val="00171DA9"/>
    <w:rsid w:val="00175138"/>
    <w:rsid w:val="0017717A"/>
    <w:rsid w:val="00183E77"/>
    <w:rsid w:val="00184918"/>
    <w:rsid w:val="001863CE"/>
    <w:rsid w:val="0019102D"/>
    <w:rsid w:val="00194C3F"/>
    <w:rsid w:val="001B084B"/>
    <w:rsid w:val="001C0E58"/>
    <w:rsid w:val="001C2024"/>
    <w:rsid w:val="001C2A18"/>
    <w:rsid w:val="001C5E3A"/>
    <w:rsid w:val="001E5965"/>
    <w:rsid w:val="001E7F24"/>
    <w:rsid w:val="001F0364"/>
    <w:rsid w:val="001F2FAB"/>
    <w:rsid w:val="001F467F"/>
    <w:rsid w:val="001F5265"/>
    <w:rsid w:val="00227CDB"/>
    <w:rsid w:val="00230C05"/>
    <w:rsid w:val="00252AC0"/>
    <w:rsid w:val="002616EE"/>
    <w:rsid w:val="00264ADA"/>
    <w:rsid w:val="00270270"/>
    <w:rsid w:val="002716F7"/>
    <w:rsid w:val="002741E5"/>
    <w:rsid w:val="00281A97"/>
    <w:rsid w:val="00283852"/>
    <w:rsid w:val="00285F11"/>
    <w:rsid w:val="0028797A"/>
    <w:rsid w:val="00291421"/>
    <w:rsid w:val="00293C39"/>
    <w:rsid w:val="0029511D"/>
    <w:rsid w:val="00297B86"/>
    <w:rsid w:val="002A1116"/>
    <w:rsid w:val="002A1951"/>
    <w:rsid w:val="002A3FDA"/>
    <w:rsid w:val="002B396C"/>
    <w:rsid w:val="002B5E19"/>
    <w:rsid w:val="002B744C"/>
    <w:rsid w:val="002C703E"/>
    <w:rsid w:val="002D2529"/>
    <w:rsid w:val="002D4C3E"/>
    <w:rsid w:val="002D7466"/>
    <w:rsid w:val="002F2646"/>
    <w:rsid w:val="002F4BA0"/>
    <w:rsid w:val="002F7B69"/>
    <w:rsid w:val="003022B2"/>
    <w:rsid w:val="00302A12"/>
    <w:rsid w:val="00307AAD"/>
    <w:rsid w:val="00312E0D"/>
    <w:rsid w:val="00316E58"/>
    <w:rsid w:val="003179C7"/>
    <w:rsid w:val="00317B12"/>
    <w:rsid w:val="003251EC"/>
    <w:rsid w:val="00334F05"/>
    <w:rsid w:val="0033564B"/>
    <w:rsid w:val="00340EE3"/>
    <w:rsid w:val="00343429"/>
    <w:rsid w:val="0034344A"/>
    <w:rsid w:val="00344621"/>
    <w:rsid w:val="00350BE0"/>
    <w:rsid w:val="003550AC"/>
    <w:rsid w:val="00356D4E"/>
    <w:rsid w:val="00357BB1"/>
    <w:rsid w:val="00360317"/>
    <w:rsid w:val="0036365D"/>
    <w:rsid w:val="00367893"/>
    <w:rsid w:val="00373441"/>
    <w:rsid w:val="00386164"/>
    <w:rsid w:val="003869A5"/>
    <w:rsid w:val="003916A0"/>
    <w:rsid w:val="0039258E"/>
    <w:rsid w:val="003A0200"/>
    <w:rsid w:val="003A0480"/>
    <w:rsid w:val="003A6295"/>
    <w:rsid w:val="003B3F99"/>
    <w:rsid w:val="003B4132"/>
    <w:rsid w:val="003B79A5"/>
    <w:rsid w:val="003C34EA"/>
    <w:rsid w:val="003C4361"/>
    <w:rsid w:val="003D027A"/>
    <w:rsid w:val="003D0423"/>
    <w:rsid w:val="003D205F"/>
    <w:rsid w:val="003D5D66"/>
    <w:rsid w:val="003F377A"/>
    <w:rsid w:val="003F570F"/>
    <w:rsid w:val="003F7F3D"/>
    <w:rsid w:val="004014D5"/>
    <w:rsid w:val="00403FA0"/>
    <w:rsid w:val="0040678C"/>
    <w:rsid w:val="004067E6"/>
    <w:rsid w:val="00410062"/>
    <w:rsid w:val="00412C54"/>
    <w:rsid w:val="00413A0A"/>
    <w:rsid w:val="004175C1"/>
    <w:rsid w:val="004262B3"/>
    <w:rsid w:val="004272B3"/>
    <w:rsid w:val="00442E8A"/>
    <w:rsid w:val="004477A8"/>
    <w:rsid w:val="00447E49"/>
    <w:rsid w:val="00464C3D"/>
    <w:rsid w:val="0047364B"/>
    <w:rsid w:val="0047732B"/>
    <w:rsid w:val="00482601"/>
    <w:rsid w:val="00484095"/>
    <w:rsid w:val="00487D04"/>
    <w:rsid w:val="00496A5B"/>
    <w:rsid w:val="00497601"/>
    <w:rsid w:val="00497730"/>
    <w:rsid w:val="004A13FC"/>
    <w:rsid w:val="004B4993"/>
    <w:rsid w:val="004B712A"/>
    <w:rsid w:val="004C0C92"/>
    <w:rsid w:val="004C2DA8"/>
    <w:rsid w:val="004E7682"/>
    <w:rsid w:val="004F3F9E"/>
    <w:rsid w:val="004F5A17"/>
    <w:rsid w:val="004F648A"/>
    <w:rsid w:val="00505A60"/>
    <w:rsid w:val="00507180"/>
    <w:rsid w:val="00513CCD"/>
    <w:rsid w:val="00513D77"/>
    <w:rsid w:val="00516B3F"/>
    <w:rsid w:val="005222E5"/>
    <w:rsid w:val="0053715C"/>
    <w:rsid w:val="00541241"/>
    <w:rsid w:val="00541457"/>
    <w:rsid w:val="0054582A"/>
    <w:rsid w:val="005502BD"/>
    <w:rsid w:val="0055159F"/>
    <w:rsid w:val="00554184"/>
    <w:rsid w:val="00557325"/>
    <w:rsid w:val="005635EB"/>
    <w:rsid w:val="0056612D"/>
    <w:rsid w:val="005714FC"/>
    <w:rsid w:val="0057218F"/>
    <w:rsid w:val="0057674B"/>
    <w:rsid w:val="00576D44"/>
    <w:rsid w:val="00580685"/>
    <w:rsid w:val="005825EC"/>
    <w:rsid w:val="005837E3"/>
    <w:rsid w:val="0058748C"/>
    <w:rsid w:val="00587966"/>
    <w:rsid w:val="00590EAA"/>
    <w:rsid w:val="005A4F21"/>
    <w:rsid w:val="005A5670"/>
    <w:rsid w:val="005A5AB3"/>
    <w:rsid w:val="005B10F4"/>
    <w:rsid w:val="005B59CF"/>
    <w:rsid w:val="005C619E"/>
    <w:rsid w:val="005C72E6"/>
    <w:rsid w:val="005D032D"/>
    <w:rsid w:val="005D195C"/>
    <w:rsid w:val="005D6FA6"/>
    <w:rsid w:val="005E1DAD"/>
    <w:rsid w:val="005E3F62"/>
    <w:rsid w:val="005E3F99"/>
    <w:rsid w:val="005E5808"/>
    <w:rsid w:val="005E7061"/>
    <w:rsid w:val="005E7B74"/>
    <w:rsid w:val="005F48ED"/>
    <w:rsid w:val="0060137D"/>
    <w:rsid w:val="00601CC7"/>
    <w:rsid w:val="006022BF"/>
    <w:rsid w:val="00604269"/>
    <w:rsid w:val="006053E1"/>
    <w:rsid w:val="00607861"/>
    <w:rsid w:val="00611005"/>
    <w:rsid w:val="00614080"/>
    <w:rsid w:val="0062224D"/>
    <w:rsid w:val="0062362A"/>
    <w:rsid w:val="0062453E"/>
    <w:rsid w:val="006271AE"/>
    <w:rsid w:val="00630B33"/>
    <w:rsid w:val="00640D16"/>
    <w:rsid w:val="0064259A"/>
    <w:rsid w:val="00643941"/>
    <w:rsid w:val="00643A3C"/>
    <w:rsid w:val="00643EBB"/>
    <w:rsid w:val="0064462E"/>
    <w:rsid w:val="0065069F"/>
    <w:rsid w:val="00661406"/>
    <w:rsid w:val="00667F3E"/>
    <w:rsid w:val="00671EA4"/>
    <w:rsid w:val="00675769"/>
    <w:rsid w:val="0067577B"/>
    <w:rsid w:val="006821C4"/>
    <w:rsid w:val="006A4920"/>
    <w:rsid w:val="006B2493"/>
    <w:rsid w:val="006B285C"/>
    <w:rsid w:val="006B4E43"/>
    <w:rsid w:val="006C2365"/>
    <w:rsid w:val="006C73D4"/>
    <w:rsid w:val="006D318F"/>
    <w:rsid w:val="006D555D"/>
    <w:rsid w:val="006E1B8F"/>
    <w:rsid w:val="006E1E9E"/>
    <w:rsid w:val="006F07AC"/>
    <w:rsid w:val="006F1E27"/>
    <w:rsid w:val="006F659F"/>
    <w:rsid w:val="00705940"/>
    <w:rsid w:val="00710132"/>
    <w:rsid w:val="00710ADA"/>
    <w:rsid w:val="007218E2"/>
    <w:rsid w:val="00721FF3"/>
    <w:rsid w:val="00723708"/>
    <w:rsid w:val="00725E5B"/>
    <w:rsid w:val="00730CB9"/>
    <w:rsid w:val="007346A4"/>
    <w:rsid w:val="0073711E"/>
    <w:rsid w:val="00744C01"/>
    <w:rsid w:val="00747467"/>
    <w:rsid w:val="00754263"/>
    <w:rsid w:val="0075488B"/>
    <w:rsid w:val="00754A35"/>
    <w:rsid w:val="007667FF"/>
    <w:rsid w:val="00770D62"/>
    <w:rsid w:val="00774C76"/>
    <w:rsid w:val="007779C6"/>
    <w:rsid w:val="007949A1"/>
    <w:rsid w:val="007A3A50"/>
    <w:rsid w:val="007A7FD6"/>
    <w:rsid w:val="007B0974"/>
    <w:rsid w:val="007B0AC8"/>
    <w:rsid w:val="007B13D4"/>
    <w:rsid w:val="007B7C71"/>
    <w:rsid w:val="007C2CDB"/>
    <w:rsid w:val="007C7007"/>
    <w:rsid w:val="007E1CDB"/>
    <w:rsid w:val="007E2DC5"/>
    <w:rsid w:val="007E4FD3"/>
    <w:rsid w:val="007F446D"/>
    <w:rsid w:val="00800F63"/>
    <w:rsid w:val="0080202F"/>
    <w:rsid w:val="008021D2"/>
    <w:rsid w:val="00802BF4"/>
    <w:rsid w:val="008065CD"/>
    <w:rsid w:val="0081143A"/>
    <w:rsid w:val="0083050D"/>
    <w:rsid w:val="00833228"/>
    <w:rsid w:val="00842223"/>
    <w:rsid w:val="00842775"/>
    <w:rsid w:val="0084465F"/>
    <w:rsid w:val="00850F17"/>
    <w:rsid w:val="00851075"/>
    <w:rsid w:val="00862AF7"/>
    <w:rsid w:val="0086367A"/>
    <w:rsid w:val="00865398"/>
    <w:rsid w:val="00866D05"/>
    <w:rsid w:val="00867559"/>
    <w:rsid w:val="00867BDF"/>
    <w:rsid w:val="008713A2"/>
    <w:rsid w:val="00877FD0"/>
    <w:rsid w:val="008814ED"/>
    <w:rsid w:val="008857BF"/>
    <w:rsid w:val="00896DCB"/>
    <w:rsid w:val="008A14C0"/>
    <w:rsid w:val="008A1875"/>
    <w:rsid w:val="008B5742"/>
    <w:rsid w:val="008D4EAB"/>
    <w:rsid w:val="008E0F8E"/>
    <w:rsid w:val="008E2778"/>
    <w:rsid w:val="008E27EB"/>
    <w:rsid w:val="008F07E4"/>
    <w:rsid w:val="008F58CD"/>
    <w:rsid w:val="008F5B5C"/>
    <w:rsid w:val="008F777C"/>
    <w:rsid w:val="00905097"/>
    <w:rsid w:val="0090681E"/>
    <w:rsid w:val="009072AF"/>
    <w:rsid w:val="009116BB"/>
    <w:rsid w:val="00914726"/>
    <w:rsid w:val="00930142"/>
    <w:rsid w:val="00942E9C"/>
    <w:rsid w:val="00944902"/>
    <w:rsid w:val="0094644E"/>
    <w:rsid w:val="0095137C"/>
    <w:rsid w:val="0095697C"/>
    <w:rsid w:val="009578FF"/>
    <w:rsid w:val="00957BEE"/>
    <w:rsid w:val="00957EE1"/>
    <w:rsid w:val="00976428"/>
    <w:rsid w:val="009854F6"/>
    <w:rsid w:val="009869EF"/>
    <w:rsid w:val="0099160E"/>
    <w:rsid w:val="00994405"/>
    <w:rsid w:val="00996253"/>
    <w:rsid w:val="009C02B7"/>
    <w:rsid w:val="009C45AE"/>
    <w:rsid w:val="009D147C"/>
    <w:rsid w:val="009D4633"/>
    <w:rsid w:val="009D4FAF"/>
    <w:rsid w:val="009E200E"/>
    <w:rsid w:val="009E329B"/>
    <w:rsid w:val="009E44E6"/>
    <w:rsid w:val="009F0A19"/>
    <w:rsid w:val="009F4404"/>
    <w:rsid w:val="009F583C"/>
    <w:rsid w:val="009F74E6"/>
    <w:rsid w:val="00A02022"/>
    <w:rsid w:val="00A02E89"/>
    <w:rsid w:val="00A038F5"/>
    <w:rsid w:val="00A04591"/>
    <w:rsid w:val="00A0642D"/>
    <w:rsid w:val="00A124E6"/>
    <w:rsid w:val="00A1303C"/>
    <w:rsid w:val="00A21C38"/>
    <w:rsid w:val="00A23D3D"/>
    <w:rsid w:val="00A245F4"/>
    <w:rsid w:val="00A324EC"/>
    <w:rsid w:val="00A40430"/>
    <w:rsid w:val="00A40C4B"/>
    <w:rsid w:val="00A41525"/>
    <w:rsid w:val="00A41950"/>
    <w:rsid w:val="00A4344D"/>
    <w:rsid w:val="00A43CC5"/>
    <w:rsid w:val="00A43EB4"/>
    <w:rsid w:val="00A5347C"/>
    <w:rsid w:val="00A53F7A"/>
    <w:rsid w:val="00A54E43"/>
    <w:rsid w:val="00A55F96"/>
    <w:rsid w:val="00A64178"/>
    <w:rsid w:val="00A6641B"/>
    <w:rsid w:val="00A70BA3"/>
    <w:rsid w:val="00A73C5F"/>
    <w:rsid w:val="00A7545B"/>
    <w:rsid w:val="00A7573B"/>
    <w:rsid w:val="00A76685"/>
    <w:rsid w:val="00A82A38"/>
    <w:rsid w:val="00A82C2F"/>
    <w:rsid w:val="00A83209"/>
    <w:rsid w:val="00A8356B"/>
    <w:rsid w:val="00A8403E"/>
    <w:rsid w:val="00A941EF"/>
    <w:rsid w:val="00A947A2"/>
    <w:rsid w:val="00A97D31"/>
    <w:rsid w:val="00AB1030"/>
    <w:rsid w:val="00AB19E1"/>
    <w:rsid w:val="00AB2478"/>
    <w:rsid w:val="00AB5D3A"/>
    <w:rsid w:val="00AC7B20"/>
    <w:rsid w:val="00AD04FF"/>
    <w:rsid w:val="00AD51E6"/>
    <w:rsid w:val="00AD76A8"/>
    <w:rsid w:val="00AD7F55"/>
    <w:rsid w:val="00AE12B7"/>
    <w:rsid w:val="00AE3EE7"/>
    <w:rsid w:val="00AF0CE1"/>
    <w:rsid w:val="00AF6176"/>
    <w:rsid w:val="00AF7496"/>
    <w:rsid w:val="00B01C16"/>
    <w:rsid w:val="00B02899"/>
    <w:rsid w:val="00B02A06"/>
    <w:rsid w:val="00B130CA"/>
    <w:rsid w:val="00B1610A"/>
    <w:rsid w:val="00B2341E"/>
    <w:rsid w:val="00B23A66"/>
    <w:rsid w:val="00B2478B"/>
    <w:rsid w:val="00B3651D"/>
    <w:rsid w:val="00B4164C"/>
    <w:rsid w:val="00B46948"/>
    <w:rsid w:val="00B60618"/>
    <w:rsid w:val="00B6522E"/>
    <w:rsid w:val="00B67855"/>
    <w:rsid w:val="00B7116E"/>
    <w:rsid w:val="00B7136D"/>
    <w:rsid w:val="00B87402"/>
    <w:rsid w:val="00B9305D"/>
    <w:rsid w:val="00B968AE"/>
    <w:rsid w:val="00BA0A2F"/>
    <w:rsid w:val="00BA370D"/>
    <w:rsid w:val="00BA3E1C"/>
    <w:rsid w:val="00BA5EF3"/>
    <w:rsid w:val="00BB1F21"/>
    <w:rsid w:val="00BB228D"/>
    <w:rsid w:val="00BB3284"/>
    <w:rsid w:val="00BB5434"/>
    <w:rsid w:val="00BB6560"/>
    <w:rsid w:val="00BB7535"/>
    <w:rsid w:val="00BC4D8D"/>
    <w:rsid w:val="00BD593E"/>
    <w:rsid w:val="00BD7AC3"/>
    <w:rsid w:val="00BE0D71"/>
    <w:rsid w:val="00BE544E"/>
    <w:rsid w:val="00BF32AB"/>
    <w:rsid w:val="00BF631A"/>
    <w:rsid w:val="00BF7D34"/>
    <w:rsid w:val="00C00285"/>
    <w:rsid w:val="00C04040"/>
    <w:rsid w:val="00C06939"/>
    <w:rsid w:val="00C12AE5"/>
    <w:rsid w:val="00C135CD"/>
    <w:rsid w:val="00C137E5"/>
    <w:rsid w:val="00C13807"/>
    <w:rsid w:val="00C14A78"/>
    <w:rsid w:val="00C214E5"/>
    <w:rsid w:val="00C27C84"/>
    <w:rsid w:val="00C35625"/>
    <w:rsid w:val="00C36CCE"/>
    <w:rsid w:val="00C4730F"/>
    <w:rsid w:val="00C526BB"/>
    <w:rsid w:val="00C545EE"/>
    <w:rsid w:val="00C545F1"/>
    <w:rsid w:val="00C60FBF"/>
    <w:rsid w:val="00C60FE1"/>
    <w:rsid w:val="00C63E74"/>
    <w:rsid w:val="00C82FC2"/>
    <w:rsid w:val="00C96CD9"/>
    <w:rsid w:val="00CA13D0"/>
    <w:rsid w:val="00CA14A7"/>
    <w:rsid w:val="00CA5C96"/>
    <w:rsid w:val="00CB11E1"/>
    <w:rsid w:val="00CB42F6"/>
    <w:rsid w:val="00CB5269"/>
    <w:rsid w:val="00CC0909"/>
    <w:rsid w:val="00CC1C22"/>
    <w:rsid w:val="00CC7EC9"/>
    <w:rsid w:val="00CD0144"/>
    <w:rsid w:val="00CD20F9"/>
    <w:rsid w:val="00CE1CEB"/>
    <w:rsid w:val="00CE2948"/>
    <w:rsid w:val="00CE475D"/>
    <w:rsid w:val="00CF2A3C"/>
    <w:rsid w:val="00CF7B64"/>
    <w:rsid w:val="00D013B1"/>
    <w:rsid w:val="00D0498E"/>
    <w:rsid w:val="00D11089"/>
    <w:rsid w:val="00D12719"/>
    <w:rsid w:val="00D13E77"/>
    <w:rsid w:val="00D14510"/>
    <w:rsid w:val="00D14A10"/>
    <w:rsid w:val="00D25ABF"/>
    <w:rsid w:val="00D26145"/>
    <w:rsid w:val="00D27646"/>
    <w:rsid w:val="00D307A6"/>
    <w:rsid w:val="00D31127"/>
    <w:rsid w:val="00D35251"/>
    <w:rsid w:val="00D44464"/>
    <w:rsid w:val="00D55201"/>
    <w:rsid w:val="00D60B6A"/>
    <w:rsid w:val="00D648C1"/>
    <w:rsid w:val="00D762FC"/>
    <w:rsid w:val="00D8027D"/>
    <w:rsid w:val="00D81852"/>
    <w:rsid w:val="00D81FA6"/>
    <w:rsid w:val="00D82324"/>
    <w:rsid w:val="00D824FB"/>
    <w:rsid w:val="00D834F5"/>
    <w:rsid w:val="00D9079C"/>
    <w:rsid w:val="00D909C0"/>
    <w:rsid w:val="00DA1E7E"/>
    <w:rsid w:val="00DA3F93"/>
    <w:rsid w:val="00DB460F"/>
    <w:rsid w:val="00DB46C8"/>
    <w:rsid w:val="00DB4F17"/>
    <w:rsid w:val="00DB6827"/>
    <w:rsid w:val="00DB7B93"/>
    <w:rsid w:val="00DC349D"/>
    <w:rsid w:val="00DC5D33"/>
    <w:rsid w:val="00DD38D4"/>
    <w:rsid w:val="00DE0BE2"/>
    <w:rsid w:val="00DE2912"/>
    <w:rsid w:val="00DE4553"/>
    <w:rsid w:val="00DF0575"/>
    <w:rsid w:val="00DF089F"/>
    <w:rsid w:val="00DF5154"/>
    <w:rsid w:val="00DF5383"/>
    <w:rsid w:val="00DF6D86"/>
    <w:rsid w:val="00DF71AE"/>
    <w:rsid w:val="00E03C46"/>
    <w:rsid w:val="00E1702F"/>
    <w:rsid w:val="00E42293"/>
    <w:rsid w:val="00E44E78"/>
    <w:rsid w:val="00E452E3"/>
    <w:rsid w:val="00E474B0"/>
    <w:rsid w:val="00E544E5"/>
    <w:rsid w:val="00E567F8"/>
    <w:rsid w:val="00E57DC2"/>
    <w:rsid w:val="00E63A4E"/>
    <w:rsid w:val="00E66ABE"/>
    <w:rsid w:val="00E71546"/>
    <w:rsid w:val="00E73B0E"/>
    <w:rsid w:val="00E815B7"/>
    <w:rsid w:val="00E81EA5"/>
    <w:rsid w:val="00E8359B"/>
    <w:rsid w:val="00E852F3"/>
    <w:rsid w:val="00E91A50"/>
    <w:rsid w:val="00E97EF0"/>
    <w:rsid w:val="00EA3EF4"/>
    <w:rsid w:val="00EA4D62"/>
    <w:rsid w:val="00EA595D"/>
    <w:rsid w:val="00EC26AC"/>
    <w:rsid w:val="00ED0DDE"/>
    <w:rsid w:val="00ED1A98"/>
    <w:rsid w:val="00ED6B80"/>
    <w:rsid w:val="00EE05E2"/>
    <w:rsid w:val="00EE3CC7"/>
    <w:rsid w:val="00EE5A59"/>
    <w:rsid w:val="00EF1745"/>
    <w:rsid w:val="00EF2163"/>
    <w:rsid w:val="00F0036D"/>
    <w:rsid w:val="00F02A39"/>
    <w:rsid w:val="00F03691"/>
    <w:rsid w:val="00F058A1"/>
    <w:rsid w:val="00F112AD"/>
    <w:rsid w:val="00F13073"/>
    <w:rsid w:val="00F14B1C"/>
    <w:rsid w:val="00F27BA2"/>
    <w:rsid w:val="00F31C1A"/>
    <w:rsid w:val="00F31DE7"/>
    <w:rsid w:val="00F346FD"/>
    <w:rsid w:val="00F372CA"/>
    <w:rsid w:val="00F378A0"/>
    <w:rsid w:val="00F43985"/>
    <w:rsid w:val="00F55E32"/>
    <w:rsid w:val="00F60728"/>
    <w:rsid w:val="00F61F3F"/>
    <w:rsid w:val="00F62BBA"/>
    <w:rsid w:val="00F63C46"/>
    <w:rsid w:val="00F704D7"/>
    <w:rsid w:val="00F70FE4"/>
    <w:rsid w:val="00F72DBA"/>
    <w:rsid w:val="00F735F3"/>
    <w:rsid w:val="00F752C9"/>
    <w:rsid w:val="00F81612"/>
    <w:rsid w:val="00F8255E"/>
    <w:rsid w:val="00F82D62"/>
    <w:rsid w:val="00F87070"/>
    <w:rsid w:val="00F96813"/>
    <w:rsid w:val="00FA3CC9"/>
    <w:rsid w:val="00FA4DEF"/>
    <w:rsid w:val="00FB7968"/>
    <w:rsid w:val="00FC01F0"/>
    <w:rsid w:val="00FC1CBC"/>
    <w:rsid w:val="00FD0644"/>
    <w:rsid w:val="00FD12CD"/>
    <w:rsid w:val="00FD636C"/>
    <w:rsid w:val="00FD7080"/>
    <w:rsid w:val="00FD79E2"/>
    <w:rsid w:val="00FE5F68"/>
    <w:rsid w:val="00FE62DA"/>
    <w:rsid w:val="00FE65E2"/>
    <w:rsid w:val="00FF2245"/>
    <w:rsid w:val="00FF35F3"/>
    <w:rsid w:val="00FF5282"/>
    <w:rsid w:val="00FF6F0D"/>
    <w:rsid w:val="00FF7B8F"/>
    <w:rsid w:val="011F4650"/>
    <w:rsid w:val="014852B3"/>
    <w:rsid w:val="018A4AC2"/>
    <w:rsid w:val="018C5AA5"/>
    <w:rsid w:val="01A544B3"/>
    <w:rsid w:val="01A75E41"/>
    <w:rsid w:val="01A835A5"/>
    <w:rsid w:val="02792609"/>
    <w:rsid w:val="03346B0C"/>
    <w:rsid w:val="03CA1FAF"/>
    <w:rsid w:val="03DB0154"/>
    <w:rsid w:val="04003C23"/>
    <w:rsid w:val="053519A8"/>
    <w:rsid w:val="05432019"/>
    <w:rsid w:val="05665D07"/>
    <w:rsid w:val="057E74F5"/>
    <w:rsid w:val="05991DB7"/>
    <w:rsid w:val="05C3315A"/>
    <w:rsid w:val="06600C79"/>
    <w:rsid w:val="06D373CC"/>
    <w:rsid w:val="06DF0A4D"/>
    <w:rsid w:val="06F35CC1"/>
    <w:rsid w:val="07626270"/>
    <w:rsid w:val="076A5F83"/>
    <w:rsid w:val="076B3AA9"/>
    <w:rsid w:val="07B623F7"/>
    <w:rsid w:val="089D7C92"/>
    <w:rsid w:val="08A2174C"/>
    <w:rsid w:val="08BB4434"/>
    <w:rsid w:val="09465AF3"/>
    <w:rsid w:val="09984D8F"/>
    <w:rsid w:val="0A0C1573"/>
    <w:rsid w:val="0A11332F"/>
    <w:rsid w:val="0A175360"/>
    <w:rsid w:val="0AF049F1"/>
    <w:rsid w:val="0B0006F4"/>
    <w:rsid w:val="0B1A7CC0"/>
    <w:rsid w:val="0B424B21"/>
    <w:rsid w:val="0B8B50BB"/>
    <w:rsid w:val="0B907F82"/>
    <w:rsid w:val="0BBF2615"/>
    <w:rsid w:val="0C3721AC"/>
    <w:rsid w:val="0C6D3E1F"/>
    <w:rsid w:val="0CB64357"/>
    <w:rsid w:val="0CD37EF1"/>
    <w:rsid w:val="0D1D3A97"/>
    <w:rsid w:val="0D2D2AA5"/>
    <w:rsid w:val="0DF77E44"/>
    <w:rsid w:val="0E7D6595"/>
    <w:rsid w:val="0E925271"/>
    <w:rsid w:val="0FA92469"/>
    <w:rsid w:val="0FB32491"/>
    <w:rsid w:val="101142D6"/>
    <w:rsid w:val="10475F51"/>
    <w:rsid w:val="10703EDE"/>
    <w:rsid w:val="114415F3"/>
    <w:rsid w:val="121034E0"/>
    <w:rsid w:val="121E0096"/>
    <w:rsid w:val="12211934"/>
    <w:rsid w:val="122F32B9"/>
    <w:rsid w:val="123350A6"/>
    <w:rsid w:val="137B6175"/>
    <w:rsid w:val="137E6027"/>
    <w:rsid w:val="145A66DC"/>
    <w:rsid w:val="14885497"/>
    <w:rsid w:val="14A82B4F"/>
    <w:rsid w:val="15415E49"/>
    <w:rsid w:val="157955E3"/>
    <w:rsid w:val="15E16634"/>
    <w:rsid w:val="1608045F"/>
    <w:rsid w:val="16474529"/>
    <w:rsid w:val="164B6F7F"/>
    <w:rsid w:val="167E27B0"/>
    <w:rsid w:val="16946B78"/>
    <w:rsid w:val="16FF4308"/>
    <w:rsid w:val="1742777E"/>
    <w:rsid w:val="174D77C9"/>
    <w:rsid w:val="17591B70"/>
    <w:rsid w:val="17936E30"/>
    <w:rsid w:val="17E21B65"/>
    <w:rsid w:val="1824695B"/>
    <w:rsid w:val="1831796C"/>
    <w:rsid w:val="183F48C2"/>
    <w:rsid w:val="184F1959"/>
    <w:rsid w:val="18E35B95"/>
    <w:rsid w:val="18F54B8A"/>
    <w:rsid w:val="18FA6A3B"/>
    <w:rsid w:val="19D43730"/>
    <w:rsid w:val="19EB7245"/>
    <w:rsid w:val="1A2C531A"/>
    <w:rsid w:val="1A750A6F"/>
    <w:rsid w:val="1A9F789A"/>
    <w:rsid w:val="1AB07CF9"/>
    <w:rsid w:val="1AC76DF0"/>
    <w:rsid w:val="1B1F6C2C"/>
    <w:rsid w:val="1B77615B"/>
    <w:rsid w:val="1BBC0CDF"/>
    <w:rsid w:val="1C362480"/>
    <w:rsid w:val="1CBA09BB"/>
    <w:rsid w:val="1D163589"/>
    <w:rsid w:val="1D5030CD"/>
    <w:rsid w:val="1D6A566C"/>
    <w:rsid w:val="1D922442"/>
    <w:rsid w:val="1DD8480B"/>
    <w:rsid w:val="1E002D45"/>
    <w:rsid w:val="1E017E5C"/>
    <w:rsid w:val="1E2D340E"/>
    <w:rsid w:val="1E340C41"/>
    <w:rsid w:val="1E761259"/>
    <w:rsid w:val="1E8A3C6D"/>
    <w:rsid w:val="1EEE2B9E"/>
    <w:rsid w:val="1F5F70C5"/>
    <w:rsid w:val="1F620692"/>
    <w:rsid w:val="20196340"/>
    <w:rsid w:val="20337402"/>
    <w:rsid w:val="20706709"/>
    <w:rsid w:val="20DD2ECA"/>
    <w:rsid w:val="210112AE"/>
    <w:rsid w:val="211C56FA"/>
    <w:rsid w:val="215304CA"/>
    <w:rsid w:val="216473E1"/>
    <w:rsid w:val="218207F1"/>
    <w:rsid w:val="21CB366A"/>
    <w:rsid w:val="21DE15EF"/>
    <w:rsid w:val="224528D8"/>
    <w:rsid w:val="224C394F"/>
    <w:rsid w:val="226118D9"/>
    <w:rsid w:val="226715E5"/>
    <w:rsid w:val="22794E74"/>
    <w:rsid w:val="2322499F"/>
    <w:rsid w:val="232B739C"/>
    <w:rsid w:val="234A05BF"/>
    <w:rsid w:val="236E0751"/>
    <w:rsid w:val="23D22A8E"/>
    <w:rsid w:val="241E2177"/>
    <w:rsid w:val="244A07F5"/>
    <w:rsid w:val="246062EC"/>
    <w:rsid w:val="24656A71"/>
    <w:rsid w:val="246B46E2"/>
    <w:rsid w:val="24A02B8C"/>
    <w:rsid w:val="24CA70D0"/>
    <w:rsid w:val="250273A3"/>
    <w:rsid w:val="25396B3D"/>
    <w:rsid w:val="256040C9"/>
    <w:rsid w:val="26057AB6"/>
    <w:rsid w:val="267A11BB"/>
    <w:rsid w:val="26D33839"/>
    <w:rsid w:val="26EB1AC9"/>
    <w:rsid w:val="27223D2C"/>
    <w:rsid w:val="27921CE1"/>
    <w:rsid w:val="27AB1F74"/>
    <w:rsid w:val="28213FE4"/>
    <w:rsid w:val="28E97EAE"/>
    <w:rsid w:val="29304C28"/>
    <w:rsid w:val="29E940EF"/>
    <w:rsid w:val="2A024658"/>
    <w:rsid w:val="2A111F46"/>
    <w:rsid w:val="2A1A0CEB"/>
    <w:rsid w:val="2A6E6081"/>
    <w:rsid w:val="2ACB46DB"/>
    <w:rsid w:val="2AD417E1"/>
    <w:rsid w:val="2AF73ACB"/>
    <w:rsid w:val="2B02780A"/>
    <w:rsid w:val="2B1D60A1"/>
    <w:rsid w:val="2B564E90"/>
    <w:rsid w:val="2B795EE5"/>
    <w:rsid w:val="2BBF26BA"/>
    <w:rsid w:val="2D216834"/>
    <w:rsid w:val="2D410C84"/>
    <w:rsid w:val="2D74105A"/>
    <w:rsid w:val="2DAB039C"/>
    <w:rsid w:val="2DB31B82"/>
    <w:rsid w:val="2E09329C"/>
    <w:rsid w:val="2E0F48DF"/>
    <w:rsid w:val="2E231F03"/>
    <w:rsid w:val="2E29702F"/>
    <w:rsid w:val="2E4A5917"/>
    <w:rsid w:val="2E76670C"/>
    <w:rsid w:val="2F0A25EE"/>
    <w:rsid w:val="2F190AE3"/>
    <w:rsid w:val="2F6824F8"/>
    <w:rsid w:val="2F8E6FE7"/>
    <w:rsid w:val="2FBC2844"/>
    <w:rsid w:val="2FEA5603"/>
    <w:rsid w:val="2FF67B04"/>
    <w:rsid w:val="303F76FD"/>
    <w:rsid w:val="304271ED"/>
    <w:rsid w:val="305807BF"/>
    <w:rsid w:val="30747406"/>
    <w:rsid w:val="30BD737C"/>
    <w:rsid w:val="31080047"/>
    <w:rsid w:val="317521B3"/>
    <w:rsid w:val="31CB6FB3"/>
    <w:rsid w:val="31D64091"/>
    <w:rsid w:val="320F4EAD"/>
    <w:rsid w:val="32382656"/>
    <w:rsid w:val="32FC18D5"/>
    <w:rsid w:val="33437504"/>
    <w:rsid w:val="339B5C0B"/>
    <w:rsid w:val="33BB353F"/>
    <w:rsid w:val="33CE3DA2"/>
    <w:rsid w:val="341D5FA7"/>
    <w:rsid w:val="34C50FBD"/>
    <w:rsid w:val="35120031"/>
    <w:rsid w:val="35613C72"/>
    <w:rsid w:val="35747E49"/>
    <w:rsid w:val="361114DB"/>
    <w:rsid w:val="36617CA1"/>
    <w:rsid w:val="366F6862"/>
    <w:rsid w:val="3692644D"/>
    <w:rsid w:val="36D16BD5"/>
    <w:rsid w:val="36E032BC"/>
    <w:rsid w:val="37A97B52"/>
    <w:rsid w:val="37D179A4"/>
    <w:rsid w:val="37E56DDC"/>
    <w:rsid w:val="38031EDD"/>
    <w:rsid w:val="38163439"/>
    <w:rsid w:val="38517A5C"/>
    <w:rsid w:val="38913C14"/>
    <w:rsid w:val="38C369F1"/>
    <w:rsid w:val="396E558F"/>
    <w:rsid w:val="39C96289"/>
    <w:rsid w:val="3A217E73"/>
    <w:rsid w:val="3A753466"/>
    <w:rsid w:val="3A7601BF"/>
    <w:rsid w:val="3A77652E"/>
    <w:rsid w:val="3AC16F61"/>
    <w:rsid w:val="3AD0051F"/>
    <w:rsid w:val="3B17189A"/>
    <w:rsid w:val="3B985F13"/>
    <w:rsid w:val="3C1E0B0E"/>
    <w:rsid w:val="3C97266D"/>
    <w:rsid w:val="3D6409C2"/>
    <w:rsid w:val="3D673DEF"/>
    <w:rsid w:val="3D6A3225"/>
    <w:rsid w:val="3DBA5A08"/>
    <w:rsid w:val="3DDF19F1"/>
    <w:rsid w:val="3DE400B1"/>
    <w:rsid w:val="3DE42E6F"/>
    <w:rsid w:val="3E021D6A"/>
    <w:rsid w:val="3E6447D3"/>
    <w:rsid w:val="3E815385"/>
    <w:rsid w:val="3E9F580B"/>
    <w:rsid w:val="3F0C4140"/>
    <w:rsid w:val="3F444EEA"/>
    <w:rsid w:val="3F4C4B5E"/>
    <w:rsid w:val="3F523204"/>
    <w:rsid w:val="3F7B340E"/>
    <w:rsid w:val="3FEE6A4A"/>
    <w:rsid w:val="40896772"/>
    <w:rsid w:val="408E5DBF"/>
    <w:rsid w:val="40973B77"/>
    <w:rsid w:val="409E1759"/>
    <w:rsid w:val="410F5C47"/>
    <w:rsid w:val="41175B2C"/>
    <w:rsid w:val="412372DB"/>
    <w:rsid w:val="413269E3"/>
    <w:rsid w:val="41AE6491"/>
    <w:rsid w:val="41B94E35"/>
    <w:rsid w:val="41DE664A"/>
    <w:rsid w:val="42220206"/>
    <w:rsid w:val="424B1F31"/>
    <w:rsid w:val="42E14644"/>
    <w:rsid w:val="432443D8"/>
    <w:rsid w:val="43994F1E"/>
    <w:rsid w:val="43B92D1A"/>
    <w:rsid w:val="449556E6"/>
    <w:rsid w:val="449A097E"/>
    <w:rsid w:val="44C923DE"/>
    <w:rsid w:val="44D960F2"/>
    <w:rsid w:val="44EA6C80"/>
    <w:rsid w:val="451A6F84"/>
    <w:rsid w:val="451E392D"/>
    <w:rsid w:val="452173DF"/>
    <w:rsid w:val="458614D2"/>
    <w:rsid w:val="4594599D"/>
    <w:rsid w:val="462F380D"/>
    <w:rsid w:val="468A0875"/>
    <w:rsid w:val="46971F46"/>
    <w:rsid w:val="471A1ED2"/>
    <w:rsid w:val="47BC5C53"/>
    <w:rsid w:val="483D2FB0"/>
    <w:rsid w:val="48C447EC"/>
    <w:rsid w:val="48D54001"/>
    <w:rsid w:val="48F52BF7"/>
    <w:rsid w:val="48FF5824"/>
    <w:rsid w:val="49496A9F"/>
    <w:rsid w:val="4A413C1A"/>
    <w:rsid w:val="4A4831FA"/>
    <w:rsid w:val="4A7166B0"/>
    <w:rsid w:val="4A896D50"/>
    <w:rsid w:val="4A96508A"/>
    <w:rsid w:val="4AC74505"/>
    <w:rsid w:val="4AFF0128"/>
    <w:rsid w:val="4B06733D"/>
    <w:rsid w:val="4BDA3555"/>
    <w:rsid w:val="4BE40D01"/>
    <w:rsid w:val="4BE60F1D"/>
    <w:rsid w:val="4CBE1552"/>
    <w:rsid w:val="4D2951F8"/>
    <w:rsid w:val="4D4001B9"/>
    <w:rsid w:val="4D9005FC"/>
    <w:rsid w:val="4DA43E4D"/>
    <w:rsid w:val="4DC346F0"/>
    <w:rsid w:val="4E2D6A71"/>
    <w:rsid w:val="4E4B5067"/>
    <w:rsid w:val="4E535EF2"/>
    <w:rsid w:val="4E717804"/>
    <w:rsid w:val="4F11653B"/>
    <w:rsid w:val="4F455F5A"/>
    <w:rsid w:val="4F83128E"/>
    <w:rsid w:val="4FA40ED3"/>
    <w:rsid w:val="4FC7696F"/>
    <w:rsid w:val="4FE70DC0"/>
    <w:rsid w:val="50006765"/>
    <w:rsid w:val="50571775"/>
    <w:rsid w:val="50A93D14"/>
    <w:rsid w:val="5145653E"/>
    <w:rsid w:val="514953E7"/>
    <w:rsid w:val="514C35D0"/>
    <w:rsid w:val="51D642B4"/>
    <w:rsid w:val="52120376"/>
    <w:rsid w:val="525B4D42"/>
    <w:rsid w:val="528B5A12"/>
    <w:rsid w:val="52A82A88"/>
    <w:rsid w:val="52B14936"/>
    <w:rsid w:val="52F45CCD"/>
    <w:rsid w:val="5305132D"/>
    <w:rsid w:val="531D3408"/>
    <w:rsid w:val="532D11DF"/>
    <w:rsid w:val="537A2677"/>
    <w:rsid w:val="539A4AC7"/>
    <w:rsid w:val="53B35B89"/>
    <w:rsid w:val="53C7314D"/>
    <w:rsid w:val="53D02297"/>
    <w:rsid w:val="53D435E0"/>
    <w:rsid w:val="53D53D51"/>
    <w:rsid w:val="546450D5"/>
    <w:rsid w:val="546C3EB9"/>
    <w:rsid w:val="55410F72"/>
    <w:rsid w:val="55590847"/>
    <w:rsid w:val="559B0682"/>
    <w:rsid w:val="56286BBA"/>
    <w:rsid w:val="56431446"/>
    <w:rsid w:val="57817141"/>
    <w:rsid w:val="57925AB5"/>
    <w:rsid w:val="579F713A"/>
    <w:rsid w:val="57AA6E55"/>
    <w:rsid w:val="57F92D83"/>
    <w:rsid w:val="584901CE"/>
    <w:rsid w:val="58671ECE"/>
    <w:rsid w:val="589D4F6D"/>
    <w:rsid w:val="58BF28DA"/>
    <w:rsid w:val="58EB2E9D"/>
    <w:rsid w:val="592E69E2"/>
    <w:rsid w:val="593F47FB"/>
    <w:rsid w:val="59D5709C"/>
    <w:rsid w:val="59E41F31"/>
    <w:rsid w:val="5A236E98"/>
    <w:rsid w:val="5A8176EA"/>
    <w:rsid w:val="5A9C69F8"/>
    <w:rsid w:val="5B060C94"/>
    <w:rsid w:val="5B1351D0"/>
    <w:rsid w:val="5B4517BC"/>
    <w:rsid w:val="5B7C2D04"/>
    <w:rsid w:val="5B943228"/>
    <w:rsid w:val="5BAD46D6"/>
    <w:rsid w:val="5BBE2225"/>
    <w:rsid w:val="5C3C06FD"/>
    <w:rsid w:val="5C693288"/>
    <w:rsid w:val="5C955021"/>
    <w:rsid w:val="5D9B7CF5"/>
    <w:rsid w:val="5EB97DCB"/>
    <w:rsid w:val="5EDC6DFC"/>
    <w:rsid w:val="5EE11B69"/>
    <w:rsid w:val="5F0A2B5C"/>
    <w:rsid w:val="5F46363C"/>
    <w:rsid w:val="5F6264B5"/>
    <w:rsid w:val="5F65177C"/>
    <w:rsid w:val="5FB32A6C"/>
    <w:rsid w:val="5FCD3B2E"/>
    <w:rsid w:val="5FED2422"/>
    <w:rsid w:val="5FF437B1"/>
    <w:rsid w:val="60376652"/>
    <w:rsid w:val="6051732B"/>
    <w:rsid w:val="60530A1A"/>
    <w:rsid w:val="60CF06CB"/>
    <w:rsid w:val="60D47EB6"/>
    <w:rsid w:val="611F03B9"/>
    <w:rsid w:val="61DD335B"/>
    <w:rsid w:val="630E4B89"/>
    <w:rsid w:val="631B72A6"/>
    <w:rsid w:val="64682077"/>
    <w:rsid w:val="64944124"/>
    <w:rsid w:val="64B97CA5"/>
    <w:rsid w:val="64D21BE7"/>
    <w:rsid w:val="64D53ADB"/>
    <w:rsid w:val="64F16511"/>
    <w:rsid w:val="650C6EA7"/>
    <w:rsid w:val="652F0C3C"/>
    <w:rsid w:val="657D7DA4"/>
    <w:rsid w:val="66003D09"/>
    <w:rsid w:val="66530372"/>
    <w:rsid w:val="66FC7BD0"/>
    <w:rsid w:val="671A150A"/>
    <w:rsid w:val="671E34A7"/>
    <w:rsid w:val="677A6BD5"/>
    <w:rsid w:val="67806310"/>
    <w:rsid w:val="67C52193"/>
    <w:rsid w:val="681349F0"/>
    <w:rsid w:val="683934D2"/>
    <w:rsid w:val="68525518"/>
    <w:rsid w:val="685C1EF3"/>
    <w:rsid w:val="68637725"/>
    <w:rsid w:val="68680898"/>
    <w:rsid w:val="68E41A1C"/>
    <w:rsid w:val="68F54B36"/>
    <w:rsid w:val="6933216E"/>
    <w:rsid w:val="695F613F"/>
    <w:rsid w:val="6A22716C"/>
    <w:rsid w:val="6ACB15B2"/>
    <w:rsid w:val="6ADE0453"/>
    <w:rsid w:val="6AF45841"/>
    <w:rsid w:val="6B071FEB"/>
    <w:rsid w:val="6B296EB9"/>
    <w:rsid w:val="6BEA5A68"/>
    <w:rsid w:val="6C321CB4"/>
    <w:rsid w:val="6C4D7831"/>
    <w:rsid w:val="6C5F1FB2"/>
    <w:rsid w:val="6CB247D7"/>
    <w:rsid w:val="6D815825"/>
    <w:rsid w:val="6DDD7632"/>
    <w:rsid w:val="6E6B2E90"/>
    <w:rsid w:val="6F4D2369"/>
    <w:rsid w:val="6F54601A"/>
    <w:rsid w:val="6F6873CF"/>
    <w:rsid w:val="6F9A23D5"/>
    <w:rsid w:val="6FBF2864"/>
    <w:rsid w:val="6FEC1DAE"/>
    <w:rsid w:val="703F2112"/>
    <w:rsid w:val="705668A1"/>
    <w:rsid w:val="71265095"/>
    <w:rsid w:val="71855FC2"/>
    <w:rsid w:val="71AB39DD"/>
    <w:rsid w:val="71E04756"/>
    <w:rsid w:val="71E52F59"/>
    <w:rsid w:val="72516841"/>
    <w:rsid w:val="728E0FD0"/>
    <w:rsid w:val="731E3ECD"/>
    <w:rsid w:val="73261A7B"/>
    <w:rsid w:val="736600CA"/>
    <w:rsid w:val="7458218B"/>
    <w:rsid w:val="74833687"/>
    <w:rsid w:val="74DF5F75"/>
    <w:rsid w:val="75271ADB"/>
    <w:rsid w:val="754601B3"/>
    <w:rsid w:val="758962F1"/>
    <w:rsid w:val="75C4732A"/>
    <w:rsid w:val="75E8126A"/>
    <w:rsid w:val="76346AD2"/>
    <w:rsid w:val="76377AFB"/>
    <w:rsid w:val="76432072"/>
    <w:rsid w:val="768622BD"/>
    <w:rsid w:val="769468B9"/>
    <w:rsid w:val="76982C90"/>
    <w:rsid w:val="76A2766B"/>
    <w:rsid w:val="76D003CA"/>
    <w:rsid w:val="76DE441B"/>
    <w:rsid w:val="774B7D02"/>
    <w:rsid w:val="77975261"/>
    <w:rsid w:val="77F352C8"/>
    <w:rsid w:val="78942221"/>
    <w:rsid w:val="789740BE"/>
    <w:rsid w:val="789E0306"/>
    <w:rsid w:val="78B6564F"/>
    <w:rsid w:val="794312DF"/>
    <w:rsid w:val="79CB512B"/>
    <w:rsid w:val="79E702FF"/>
    <w:rsid w:val="79EF51D1"/>
    <w:rsid w:val="79FC7092"/>
    <w:rsid w:val="7A102B3D"/>
    <w:rsid w:val="7A872088"/>
    <w:rsid w:val="7A885D79"/>
    <w:rsid w:val="7AA01F71"/>
    <w:rsid w:val="7BC63DFB"/>
    <w:rsid w:val="7BDF0A19"/>
    <w:rsid w:val="7BFB68FE"/>
    <w:rsid w:val="7C651755"/>
    <w:rsid w:val="7CD97B5E"/>
    <w:rsid w:val="7D354B63"/>
    <w:rsid w:val="7D957F29"/>
    <w:rsid w:val="7D9B6FFC"/>
    <w:rsid w:val="7D9E1474"/>
    <w:rsid w:val="7DF55708"/>
    <w:rsid w:val="7E417769"/>
    <w:rsid w:val="7ECD54A1"/>
    <w:rsid w:val="7F16539D"/>
    <w:rsid w:val="7F7E679B"/>
    <w:rsid w:val="7F9B10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iPriority="9" w:name="heading 6"/>
    <w:lsdException w:qFormat="1" w:unhideWhenUsed="0" w:uiPriority="0" w:semiHidden="0"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0" w:semiHidden="0"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uiPriority="99" w:name="Body Text 2"/>
    <w:lsdException w:qFormat="1" w:unhideWhenUsed="0" w:uiPriority="0" w:semiHidden="0" w:name="Body Text 3"/>
    <w:lsdException w:qFormat="1" w:unhideWhenUsed="0" w:uiPriority="0" w:semiHidden="0" w:name="Body Text Indent 2"/>
    <w:lsdException w:uiPriority="99" w:name="Body Text Indent 3"/>
    <w:lsdException w:uiPriority="99" w:name="Block Text"/>
    <w:lsdException w:qFormat="1" w:unhideWhenUsed="0" w:uiPriority="99" w:semiHidden="0" w:name="Hyperlink"/>
    <w:lsdException w:qFormat="1" w:unhideWhenUsed="0" w:uiPriority="99" w:semiHidden="0"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2">
    <w:name w:val="heading 1"/>
    <w:basedOn w:val="1"/>
    <w:next w:val="1"/>
    <w:link w:val="34"/>
    <w:autoRedefine/>
    <w:qFormat/>
    <w:uiPriority w:val="0"/>
    <w:pPr>
      <w:keepNext/>
      <w:keepLines/>
      <w:spacing w:line="576" w:lineRule="auto"/>
      <w:jc w:val="center"/>
      <w:outlineLvl w:val="0"/>
    </w:pPr>
    <w:rPr>
      <w:rFonts w:ascii="宋体" w:hAnsi="宋体"/>
      <w:b/>
      <w:kern w:val="44"/>
      <w:sz w:val="44"/>
      <w:szCs w:val="20"/>
    </w:rPr>
  </w:style>
  <w:style w:type="paragraph" w:styleId="3">
    <w:name w:val="heading 2"/>
    <w:basedOn w:val="1"/>
    <w:next w:val="1"/>
    <w:link w:val="35"/>
    <w:autoRedefine/>
    <w:qFormat/>
    <w:uiPriority w:val="9"/>
    <w:pPr>
      <w:keepNext/>
      <w:keepLines/>
      <w:spacing w:line="412" w:lineRule="auto"/>
      <w:jc w:val="center"/>
      <w:outlineLvl w:val="1"/>
    </w:pPr>
    <w:rPr>
      <w:rFonts w:ascii="Arial" w:hAnsi="Arial"/>
      <w:b/>
      <w:sz w:val="24"/>
      <w:szCs w:val="20"/>
    </w:rPr>
  </w:style>
  <w:style w:type="paragraph" w:styleId="4">
    <w:name w:val="heading 3"/>
    <w:basedOn w:val="1"/>
    <w:next w:val="1"/>
    <w:link w:val="36"/>
    <w:autoRedefine/>
    <w:qFormat/>
    <w:uiPriority w:val="0"/>
    <w:pPr>
      <w:keepNext/>
      <w:keepLines/>
      <w:spacing w:line="360" w:lineRule="auto"/>
      <w:jc w:val="left"/>
      <w:outlineLvl w:val="2"/>
    </w:pPr>
    <w:rPr>
      <w:rFonts w:ascii="宋体" w:hAnsi="宋体"/>
      <w:b/>
      <w:sz w:val="28"/>
      <w:szCs w:val="28"/>
    </w:rPr>
  </w:style>
  <w:style w:type="paragraph" w:styleId="5">
    <w:name w:val="heading 4"/>
    <w:basedOn w:val="1"/>
    <w:next w:val="1"/>
    <w:link w:val="37"/>
    <w:autoRedefine/>
    <w:qFormat/>
    <w:uiPriority w:val="0"/>
    <w:pPr>
      <w:keepNext/>
      <w:keepLines/>
      <w:jc w:val="center"/>
      <w:outlineLvl w:val="3"/>
    </w:pPr>
    <w:rPr>
      <w:rFonts w:ascii="Cambria" w:hAnsi="Cambria"/>
      <w:b/>
      <w:bCs/>
      <w:sz w:val="28"/>
      <w:szCs w:val="28"/>
    </w:rPr>
  </w:style>
  <w:style w:type="paragraph" w:styleId="6">
    <w:name w:val="heading 5"/>
    <w:basedOn w:val="1"/>
    <w:next w:val="1"/>
    <w:link w:val="38"/>
    <w:autoRedefine/>
    <w:qFormat/>
    <w:uiPriority w:val="0"/>
    <w:pPr>
      <w:keepNext/>
      <w:keepLines/>
      <w:spacing w:line="376" w:lineRule="auto"/>
      <w:outlineLvl w:val="4"/>
    </w:pPr>
    <w:rPr>
      <w:b/>
      <w:bCs/>
      <w:sz w:val="24"/>
      <w:szCs w:val="24"/>
    </w:rPr>
  </w:style>
  <w:style w:type="paragraph" w:styleId="7">
    <w:name w:val="heading 7"/>
    <w:basedOn w:val="1"/>
    <w:next w:val="8"/>
    <w:link w:val="39"/>
    <w:autoRedefine/>
    <w:qFormat/>
    <w:uiPriority w:val="0"/>
    <w:pPr>
      <w:keepNext/>
      <w:keepLines/>
      <w:spacing w:before="240" w:after="64" w:line="320" w:lineRule="auto"/>
      <w:outlineLvl w:val="6"/>
    </w:pPr>
    <w:rPr>
      <w:b/>
      <w:kern w:val="0"/>
      <w:sz w:val="24"/>
      <w:szCs w:val="20"/>
    </w:rPr>
  </w:style>
  <w:style w:type="character" w:default="1" w:styleId="28">
    <w:name w:val="Default Paragraph Font"/>
    <w:autoRedefine/>
    <w:semiHidden/>
    <w:unhideWhenUsed/>
    <w:qFormat/>
    <w:uiPriority w:val="1"/>
  </w:style>
  <w:style w:type="table" w:default="1" w:styleId="27">
    <w:name w:val="Normal Table"/>
    <w:autoRedefine/>
    <w:semiHidden/>
    <w:unhideWhenUsed/>
    <w:qFormat/>
    <w:uiPriority w:val="99"/>
    <w:tblPr>
      <w:tblCellMar>
        <w:top w:w="0" w:type="dxa"/>
        <w:left w:w="108" w:type="dxa"/>
        <w:bottom w:w="0" w:type="dxa"/>
        <w:right w:w="108" w:type="dxa"/>
      </w:tblCellMar>
    </w:tblPr>
  </w:style>
  <w:style w:type="paragraph" w:styleId="8">
    <w:name w:val="Normal Indent"/>
    <w:basedOn w:val="1"/>
    <w:next w:val="1"/>
    <w:autoRedefine/>
    <w:qFormat/>
    <w:uiPriority w:val="0"/>
    <w:pPr>
      <w:ind w:firstLine="420"/>
    </w:pPr>
    <w:rPr>
      <w:rFonts w:ascii="Calibri" w:hAnsi="Calibri"/>
    </w:rPr>
  </w:style>
  <w:style w:type="paragraph" w:styleId="9">
    <w:name w:val="Document Map"/>
    <w:basedOn w:val="1"/>
    <w:link w:val="42"/>
    <w:autoRedefine/>
    <w:qFormat/>
    <w:uiPriority w:val="0"/>
    <w:rPr>
      <w:rFonts w:ascii="宋体" w:hAnsi="Calibri"/>
      <w:sz w:val="18"/>
      <w:szCs w:val="18"/>
    </w:rPr>
  </w:style>
  <w:style w:type="paragraph" w:styleId="10">
    <w:name w:val="annotation text"/>
    <w:basedOn w:val="1"/>
    <w:link w:val="43"/>
    <w:autoRedefine/>
    <w:qFormat/>
    <w:uiPriority w:val="0"/>
    <w:pPr>
      <w:jc w:val="left"/>
    </w:pPr>
    <w:rPr>
      <w:rFonts w:ascii="Calibri" w:hAnsi="Calibri"/>
    </w:rPr>
  </w:style>
  <w:style w:type="paragraph" w:styleId="11">
    <w:name w:val="Body Text 3"/>
    <w:basedOn w:val="1"/>
    <w:link w:val="44"/>
    <w:autoRedefine/>
    <w:qFormat/>
    <w:uiPriority w:val="0"/>
    <w:rPr>
      <w:rFonts w:ascii="宋体" w:hAnsi="Calibri"/>
      <w:sz w:val="24"/>
    </w:rPr>
  </w:style>
  <w:style w:type="paragraph" w:styleId="12">
    <w:name w:val="Body Text"/>
    <w:basedOn w:val="1"/>
    <w:next w:val="1"/>
    <w:link w:val="45"/>
    <w:autoRedefine/>
    <w:qFormat/>
    <w:uiPriority w:val="0"/>
    <w:rPr>
      <w:szCs w:val="20"/>
    </w:rPr>
  </w:style>
  <w:style w:type="paragraph" w:styleId="13">
    <w:name w:val="Body Text Indent"/>
    <w:basedOn w:val="1"/>
    <w:next w:val="14"/>
    <w:link w:val="46"/>
    <w:autoRedefine/>
    <w:qFormat/>
    <w:uiPriority w:val="0"/>
    <w:pPr>
      <w:autoSpaceDE w:val="0"/>
      <w:autoSpaceDN w:val="0"/>
      <w:adjustRightInd w:val="0"/>
      <w:spacing w:line="0" w:lineRule="atLeast"/>
      <w:ind w:firstLine="525"/>
    </w:pPr>
    <w:rPr>
      <w:rFonts w:ascii="宋体" w:hAnsi="宋体"/>
      <w:color w:val="000000"/>
      <w:kern w:val="0"/>
      <w:sz w:val="20"/>
      <w:szCs w:val="24"/>
    </w:rPr>
  </w:style>
  <w:style w:type="paragraph" w:styleId="14">
    <w:name w:val="envelope return"/>
    <w:basedOn w:val="1"/>
    <w:autoRedefine/>
    <w:qFormat/>
    <w:uiPriority w:val="0"/>
    <w:pPr>
      <w:snapToGrid w:val="0"/>
    </w:pPr>
    <w:rPr>
      <w:rFonts w:ascii="Arial" w:hAnsi="Arial" w:cs="Arial"/>
    </w:rPr>
  </w:style>
  <w:style w:type="paragraph" w:styleId="15">
    <w:name w:val="toc 3"/>
    <w:basedOn w:val="1"/>
    <w:next w:val="1"/>
    <w:autoRedefine/>
    <w:qFormat/>
    <w:uiPriority w:val="39"/>
    <w:pPr>
      <w:ind w:left="840" w:leftChars="400"/>
    </w:pPr>
    <w:rPr>
      <w:rFonts w:ascii="Calibri" w:hAnsi="Calibri"/>
    </w:rPr>
  </w:style>
  <w:style w:type="paragraph" w:styleId="16">
    <w:name w:val="Plain Text"/>
    <w:basedOn w:val="1"/>
    <w:link w:val="47"/>
    <w:autoRedefine/>
    <w:qFormat/>
    <w:uiPriority w:val="0"/>
    <w:rPr>
      <w:rFonts w:ascii="宋体" w:hAnsi="Calibri"/>
      <w:sz w:val="22"/>
    </w:rPr>
  </w:style>
  <w:style w:type="paragraph" w:styleId="17">
    <w:name w:val="Date"/>
    <w:basedOn w:val="1"/>
    <w:next w:val="1"/>
    <w:link w:val="48"/>
    <w:autoRedefine/>
    <w:qFormat/>
    <w:uiPriority w:val="0"/>
    <w:pPr>
      <w:ind w:left="100" w:leftChars="2500"/>
    </w:pPr>
    <w:rPr>
      <w:rFonts w:ascii="Calibri" w:hAnsi="Calibri"/>
    </w:rPr>
  </w:style>
  <w:style w:type="paragraph" w:styleId="18">
    <w:name w:val="Body Text Indent 2"/>
    <w:basedOn w:val="1"/>
    <w:link w:val="49"/>
    <w:autoRedefine/>
    <w:qFormat/>
    <w:uiPriority w:val="0"/>
    <w:pPr>
      <w:spacing w:line="480" w:lineRule="auto"/>
      <w:ind w:left="420" w:leftChars="200"/>
    </w:pPr>
    <w:rPr>
      <w:szCs w:val="24"/>
    </w:rPr>
  </w:style>
  <w:style w:type="paragraph" w:styleId="19">
    <w:name w:val="Balloon Text"/>
    <w:basedOn w:val="1"/>
    <w:link w:val="50"/>
    <w:autoRedefine/>
    <w:qFormat/>
    <w:uiPriority w:val="0"/>
    <w:rPr>
      <w:rFonts w:ascii="Calibri" w:hAnsi="Calibri"/>
      <w:sz w:val="18"/>
      <w:szCs w:val="18"/>
    </w:rPr>
  </w:style>
  <w:style w:type="paragraph" w:styleId="20">
    <w:name w:val="footer"/>
    <w:basedOn w:val="1"/>
    <w:link w:val="41"/>
    <w:autoRedefine/>
    <w:unhideWhenUsed/>
    <w:qFormat/>
    <w:uiPriority w:val="99"/>
    <w:pPr>
      <w:tabs>
        <w:tab w:val="center" w:pos="4153"/>
        <w:tab w:val="right" w:pos="8306"/>
      </w:tabs>
      <w:snapToGrid w:val="0"/>
      <w:jc w:val="left"/>
    </w:pPr>
    <w:rPr>
      <w:sz w:val="18"/>
      <w:szCs w:val="18"/>
    </w:rPr>
  </w:style>
  <w:style w:type="paragraph" w:styleId="21">
    <w:name w:val="header"/>
    <w:basedOn w:val="1"/>
    <w:link w:val="40"/>
    <w:autoRedefine/>
    <w:unhideWhenUsed/>
    <w:qFormat/>
    <w:uiPriority w:val="0"/>
    <w:pPr>
      <w:pBdr>
        <w:bottom w:val="single" w:color="auto" w:sz="6" w:space="1"/>
      </w:pBdr>
      <w:tabs>
        <w:tab w:val="center" w:pos="4153"/>
        <w:tab w:val="right" w:pos="8306"/>
      </w:tabs>
      <w:snapToGrid w:val="0"/>
      <w:jc w:val="center"/>
    </w:pPr>
    <w:rPr>
      <w:sz w:val="18"/>
      <w:szCs w:val="18"/>
    </w:rPr>
  </w:style>
  <w:style w:type="paragraph" w:styleId="22">
    <w:name w:val="toc 1"/>
    <w:basedOn w:val="1"/>
    <w:next w:val="1"/>
    <w:autoRedefine/>
    <w:qFormat/>
    <w:uiPriority w:val="39"/>
    <w:rPr>
      <w:rFonts w:ascii="Calibri" w:hAnsi="Calibri"/>
    </w:rPr>
  </w:style>
  <w:style w:type="paragraph" w:styleId="23">
    <w:name w:val="toc 2"/>
    <w:basedOn w:val="1"/>
    <w:next w:val="1"/>
    <w:autoRedefine/>
    <w:qFormat/>
    <w:uiPriority w:val="39"/>
    <w:pPr>
      <w:ind w:left="420" w:leftChars="200"/>
    </w:pPr>
    <w:rPr>
      <w:rFonts w:ascii="Calibri" w:hAnsi="Calibri"/>
    </w:rPr>
  </w:style>
  <w:style w:type="paragraph" w:styleId="24">
    <w:name w:val="annotation subject"/>
    <w:basedOn w:val="10"/>
    <w:next w:val="10"/>
    <w:link w:val="51"/>
    <w:autoRedefine/>
    <w:qFormat/>
    <w:uiPriority w:val="0"/>
    <w:rPr>
      <w:b/>
      <w:bCs/>
    </w:rPr>
  </w:style>
  <w:style w:type="paragraph" w:styleId="25">
    <w:name w:val="Body Text First Indent"/>
    <w:basedOn w:val="12"/>
    <w:link w:val="52"/>
    <w:autoRedefine/>
    <w:qFormat/>
    <w:uiPriority w:val="0"/>
    <w:pPr>
      <w:spacing w:line="312" w:lineRule="auto"/>
      <w:ind w:firstLine="420"/>
    </w:pPr>
    <w:rPr>
      <w:rFonts w:ascii="Calibri" w:hAnsi="Calibri"/>
      <w:szCs w:val="24"/>
    </w:rPr>
  </w:style>
  <w:style w:type="paragraph" w:styleId="26">
    <w:name w:val="Body Text First Indent 2"/>
    <w:basedOn w:val="13"/>
    <w:link w:val="53"/>
    <w:autoRedefine/>
    <w:qFormat/>
    <w:uiPriority w:val="0"/>
    <w:pPr>
      <w:autoSpaceDE/>
      <w:autoSpaceDN/>
      <w:adjustRightInd/>
      <w:spacing w:after="120" w:line="240" w:lineRule="auto"/>
      <w:ind w:left="420" w:leftChars="200" w:firstLine="420" w:firstLineChars="200"/>
    </w:pPr>
    <w:rPr>
      <w:rFonts w:ascii="Times New Roman" w:hAnsi="Times New Roman"/>
      <w:color w:val="auto"/>
      <w:kern w:val="2"/>
      <w:sz w:val="21"/>
    </w:rPr>
  </w:style>
  <w:style w:type="character" w:styleId="29">
    <w:name w:val="page number"/>
    <w:autoRedefine/>
    <w:qFormat/>
    <w:uiPriority w:val="0"/>
    <w:rPr>
      <w:rFonts w:ascii="Calibri" w:hAnsi="Calibri" w:eastAsia="宋体" w:cs="Times New Roman"/>
    </w:rPr>
  </w:style>
  <w:style w:type="character" w:styleId="30">
    <w:name w:val="FollowedHyperlink"/>
    <w:autoRedefine/>
    <w:qFormat/>
    <w:uiPriority w:val="99"/>
    <w:rPr>
      <w:rFonts w:ascii="Times New Roman" w:hAnsi="Times New Roman" w:eastAsia="楷体_GB2312" w:cs="Times New Roman"/>
      <w:color w:val="000000"/>
      <w:u w:val="none"/>
    </w:rPr>
  </w:style>
  <w:style w:type="character" w:styleId="31">
    <w:name w:val="Hyperlink"/>
    <w:autoRedefine/>
    <w:qFormat/>
    <w:uiPriority w:val="99"/>
    <w:rPr>
      <w:rFonts w:ascii="Calibri" w:hAnsi="Calibri" w:eastAsia="宋体" w:cs="Times New Roman"/>
      <w:color w:val="0000FF"/>
      <w:u w:val="single"/>
    </w:rPr>
  </w:style>
  <w:style w:type="character" w:styleId="32">
    <w:name w:val="annotation reference"/>
    <w:autoRedefine/>
    <w:qFormat/>
    <w:uiPriority w:val="0"/>
    <w:rPr>
      <w:rFonts w:ascii="Calibri" w:hAnsi="Calibri" w:eastAsia="宋体" w:cs="Times New Roman"/>
      <w:sz w:val="21"/>
      <w:szCs w:val="21"/>
    </w:rPr>
  </w:style>
  <w:style w:type="paragraph" w:customStyle="1" w:styleId="33">
    <w:name w:val="样式 宋体 行距: 1.5 倍行距"/>
    <w:basedOn w:val="1"/>
    <w:autoRedefine/>
    <w:qFormat/>
    <w:uiPriority w:val="0"/>
    <w:pPr>
      <w:jc w:val="center"/>
    </w:pPr>
    <w:rPr>
      <w:b/>
    </w:rPr>
  </w:style>
  <w:style w:type="character" w:customStyle="1" w:styleId="34">
    <w:name w:val="标题 1 字符"/>
    <w:basedOn w:val="28"/>
    <w:link w:val="2"/>
    <w:autoRedefine/>
    <w:qFormat/>
    <w:uiPriority w:val="0"/>
    <w:rPr>
      <w:rFonts w:ascii="宋体" w:hAnsi="宋体" w:eastAsia="宋体" w:cs="Times New Roman"/>
      <w:b/>
      <w:kern w:val="44"/>
      <w:sz w:val="44"/>
      <w:szCs w:val="20"/>
    </w:rPr>
  </w:style>
  <w:style w:type="character" w:customStyle="1" w:styleId="35">
    <w:name w:val="标题 2 字符"/>
    <w:basedOn w:val="28"/>
    <w:link w:val="3"/>
    <w:autoRedefine/>
    <w:qFormat/>
    <w:uiPriority w:val="9"/>
    <w:rPr>
      <w:rFonts w:ascii="Arial" w:hAnsi="Arial" w:eastAsia="宋体" w:cs="Times New Roman"/>
      <w:b/>
      <w:sz w:val="24"/>
      <w:szCs w:val="20"/>
    </w:rPr>
  </w:style>
  <w:style w:type="character" w:customStyle="1" w:styleId="36">
    <w:name w:val="标题 3 字符"/>
    <w:basedOn w:val="28"/>
    <w:link w:val="4"/>
    <w:autoRedefine/>
    <w:qFormat/>
    <w:uiPriority w:val="0"/>
    <w:rPr>
      <w:rFonts w:ascii="宋体" w:hAnsi="宋体" w:eastAsia="宋体" w:cs="Times New Roman"/>
      <w:b/>
      <w:sz w:val="28"/>
      <w:szCs w:val="28"/>
    </w:rPr>
  </w:style>
  <w:style w:type="character" w:customStyle="1" w:styleId="37">
    <w:name w:val="标题 4 字符"/>
    <w:basedOn w:val="28"/>
    <w:link w:val="5"/>
    <w:autoRedefine/>
    <w:qFormat/>
    <w:uiPriority w:val="0"/>
    <w:rPr>
      <w:rFonts w:ascii="Cambria" w:hAnsi="Cambria" w:eastAsia="宋体" w:cs="Times New Roman"/>
      <w:b/>
      <w:bCs/>
      <w:sz w:val="28"/>
      <w:szCs w:val="28"/>
    </w:rPr>
  </w:style>
  <w:style w:type="character" w:customStyle="1" w:styleId="38">
    <w:name w:val="标题 5 字符"/>
    <w:basedOn w:val="28"/>
    <w:link w:val="6"/>
    <w:autoRedefine/>
    <w:qFormat/>
    <w:uiPriority w:val="0"/>
    <w:rPr>
      <w:rFonts w:ascii="Times New Roman" w:hAnsi="Times New Roman" w:eastAsia="宋体" w:cs="Times New Roman"/>
      <w:b/>
      <w:bCs/>
      <w:sz w:val="24"/>
      <w:szCs w:val="24"/>
    </w:rPr>
  </w:style>
  <w:style w:type="character" w:customStyle="1" w:styleId="39">
    <w:name w:val="标题 7 字符"/>
    <w:basedOn w:val="28"/>
    <w:link w:val="7"/>
    <w:autoRedefine/>
    <w:qFormat/>
    <w:uiPriority w:val="0"/>
    <w:rPr>
      <w:rFonts w:ascii="Times New Roman" w:hAnsi="Times New Roman" w:eastAsia="宋体" w:cs="Times New Roman"/>
      <w:b/>
      <w:kern w:val="0"/>
      <w:sz w:val="24"/>
      <w:szCs w:val="20"/>
    </w:rPr>
  </w:style>
  <w:style w:type="character" w:customStyle="1" w:styleId="40">
    <w:name w:val="页眉 字符"/>
    <w:basedOn w:val="28"/>
    <w:link w:val="21"/>
    <w:autoRedefine/>
    <w:qFormat/>
    <w:uiPriority w:val="0"/>
    <w:rPr>
      <w:rFonts w:ascii="Times New Roman" w:hAnsi="Times New Roman" w:eastAsia="宋体" w:cs="Times New Roman"/>
      <w:sz w:val="18"/>
      <w:szCs w:val="18"/>
    </w:rPr>
  </w:style>
  <w:style w:type="character" w:customStyle="1" w:styleId="41">
    <w:name w:val="页脚 字符"/>
    <w:basedOn w:val="28"/>
    <w:link w:val="20"/>
    <w:autoRedefine/>
    <w:qFormat/>
    <w:uiPriority w:val="99"/>
    <w:rPr>
      <w:rFonts w:ascii="Times New Roman" w:hAnsi="Times New Roman" w:eastAsia="宋体" w:cs="Times New Roman"/>
      <w:sz w:val="18"/>
      <w:szCs w:val="18"/>
    </w:rPr>
  </w:style>
  <w:style w:type="character" w:customStyle="1" w:styleId="42">
    <w:name w:val="文档结构图 字符"/>
    <w:basedOn w:val="28"/>
    <w:link w:val="9"/>
    <w:autoRedefine/>
    <w:qFormat/>
    <w:uiPriority w:val="0"/>
    <w:rPr>
      <w:rFonts w:ascii="宋体" w:hAnsi="Calibri" w:eastAsia="宋体" w:cs="Times New Roman"/>
      <w:sz w:val="18"/>
      <w:szCs w:val="18"/>
    </w:rPr>
  </w:style>
  <w:style w:type="character" w:customStyle="1" w:styleId="43">
    <w:name w:val="批注文字 字符"/>
    <w:basedOn w:val="28"/>
    <w:link w:val="10"/>
    <w:autoRedefine/>
    <w:qFormat/>
    <w:uiPriority w:val="0"/>
    <w:rPr>
      <w:rFonts w:ascii="Calibri" w:hAnsi="Calibri" w:eastAsia="宋体" w:cs="Times New Roman"/>
    </w:rPr>
  </w:style>
  <w:style w:type="character" w:customStyle="1" w:styleId="44">
    <w:name w:val="正文文本 3 字符"/>
    <w:basedOn w:val="28"/>
    <w:link w:val="11"/>
    <w:autoRedefine/>
    <w:qFormat/>
    <w:uiPriority w:val="0"/>
    <w:rPr>
      <w:rFonts w:ascii="宋体" w:hAnsi="Calibri" w:eastAsia="宋体" w:cs="Times New Roman"/>
      <w:sz w:val="24"/>
    </w:rPr>
  </w:style>
  <w:style w:type="character" w:customStyle="1" w:styleId="45">
    <w:name w:val="正文文本 字符"/>
    <w:basedOn w:val="28"/>
    <w:link w:val="12"/>
    <w:autoRedefine/>
    <w:qFormat/>
    <w:uiPriority w:val="0"/>
    <w:rPr>
      <w:rFonts w:ascii="Times New Roman" w:hAnsi="Times New Roman" w:eastAsia="宋体" w:cs="Times New Roman"/>
      <w:szCs w:val="20"/>
    </w:rPr>
  </w:style>
  <w:style w:type="character" w:customStyle="1" w:styleId="46">
    <w:name w:val="正文文本缩进 字符"/>
    <w:basedOn w:val="28"/>
    <w:link w:val="13"/>
    <w:autoRedefine/>
    <w:qFormat/>
    <w:uiPriority w:val="0"/>
    <w:rPr>
      <w:rFonts w:ascii="宋体" w:hAnsi="宋体" w:eastAsia="宋体" w:cs="Times New Roman"/>
      <w:color w:val="000000"/>
      <w:kern w:val="0"/>
      <w:sz w:val="20"/>
      <w:szCs w:val="24"/>
    </w:rPr>
  </w:style>
  <w:style w:type="character" w:customStyle="1" w:styleId="47">
    <w:name w:val="纯文本 字符"/>
    <w:basedOn w:val="28"/>
    <w:link w:val="16"/>
    <w:autoRedefine/>
    <w:qFormat/>
    <w:uiPriority w:val="0"/>
    <w:rPr>
      <w:rFonts w:ascii="宋体" w:hAnsi="Calibri" w:eastAsia="宋体" w:cs="Times New Roman"/>
      <w:sz w:val="22"/>
    </w:rPr>
  </w:style>
  <w:style w:type="character" w:customStyle="1" w:styleId="48">
    <w:name w:val="日期 字符"/>
    <w:basedOn w:val="28"/>
    <w:link w:val="17"/>
    <w:autoRedefine/>
    <w:qFormat/>
    <w:uiPriority w:val="0"/>
    <w:rPr>
      <w:rFonts w:ascii="Calibri" w:hAnsi="Calibri" w:eastAsia="宋体" w:cs="Times New Roman"/>
    </w:rPr>
  </w:style>
  <w:style w:type="character" w:customStyle="1" w:styleId="49">
    <w:name w:val="正文文本缩进 2 字符"/>
    <w:basedOn w:val="28"/>
    <w:link w:val="18"/>
    <w:autoRedefine/>
    <w:qFormat/>
    <w:uiPriority w:val="0"/>
    <w:rPr>
      <w:rFonts w:ascii="Times New Roman" w:hAnsi="Times New Roman" w:eastAsia="宋体" w:cs="Times New Roman"/>
      <w:szCs w:val="24"/>
    </w:rPr>
  </w:style>
  <w:style w:type="character" w:customStyle="1" w:styleId="50">
    <w:name w:val="批注框文本 字符"/>
    <w:basedOn w:val="28"/>
    <w:link w:val="19"/>
    <w:autoRedefine/>
    <w:qFormat/>
    <w:uiPriority w:val="0"/>
    <w:rPr>
      <w:rFonts w:ascii="Calibri" w:hAnsi="Calibri" w:eastAsia="宋体" w:cs="Times New Roman"/>
      <w:sz w:val="18"/>
      <w:szCs w:val="18"/>
    </w:rPr>
  </w:style>
  <w:style w:type="character" w:customStyle="1" w:styleId="51">
    <w:name w:val="批注主题 字符"/>
    <w:basedOn w:val="43"/>
    <w:link w:val="24"/>
    <w:autoRedefine/>
    <w:qFormat/>
    <w:uiPriority w:val="0"/>
    <w:rPr>
      <w:rFonts w:ascii="Calibri" w:hAnsi="Calibri" w:eastAsia="宋体" w:cs="Times New Roman"/>
      <w:b/>
      <w:bCs/>
    </w:rPr>
  </w:style>
  <w:style w:type="character" w:customStyle="1" w:styleId="52">
    <w:name w:val="正文文本首行缩进 字符"/>
    <w:basedOn w:val="45"/>
    <w:link w:val="25"/>
    <w:autoRedefine/>
    <w:qFormat/>
    <w:uiPriority w:val="0"/>
    <w:rPr>
      <w:rFonts w:ascii="Calibri" w:hAnsi="Calibri" w:eastAsia="宋体" w:cs="Times New Roman"/>
      <w:szCs w:val="24"/>
    </w:rPr>
  </w:style>
  <w:style w:type="character" w:customStyle="1" w:styleId="53">
    <w:name w:val="正文文本首行缩进 2 字符"/>
    <w:basedOn w:val="46"/>
    <w:link w:val="26"/>
    <w:autoRedefine/>
    <w:qFormat/>
    <w:uiPriority w:val="0"/>
    <w:rPr>
      <w:rFonts w:ascii="Times New Roman" w:hAnsi="Times New Roman" w:eastAsia="宋体" w:cs="Times New Roman"/>
      <w:color w:val="000000"/>
      <w:kern w:val="0"/>
      <w:sz w:val="20"/>
      <w:szCs w:val="24"/>
    </w:rPr>
  </w:style>
  <w:style w:type="character" w:customStyle="1" w:styleId="54">
    <w:name w:val="datagrid-sort-icon3"/>
    <w:basedOn w:val="28"/>
    <w:autoRedefine/>
    <w:qFormat/>
    <w:uiPriority w:val="0"/>
    <w:rPr>
      <w:rFonts w:ascii="Calibri" w:hAnsi="Calibri" w:eastAsia="宋体" w:cs="Times New Roman"/>
    </w:rPr>
  </w:style>
  <w:style w:type="paragraph" w:customStyle="1" w:styleId="55">
    <w:name w:val="_Style 3"/>
    <w:basedOn w:val="1"/>
    <w:autoRedefine/>
    <w:qFormat/>
    <w:uiPriority w:val="0"/>
    <w:pPr>
      <w:spacing w:line="360" w:lineRule="auto"/>
      <w:jc w:val="center"/>
    </w:pPr>
    <w:rPr>
      <w:szCs w:val="20"/>
    </w:rPr>
  </w:style>
  <w:style w:type="paragraph" w:customStyle="1" w:styleId="56">
    <w:name w:val="列出段落1"/>
    <w:basedOn w:val="1"/>
    <w:autoRedefine/>
    <w:qFormat/>
    <w:uiPriority w:val="0"/>
    <w:pPr>
      <w:ind w:firstLine="420" w:firstLineChars="200"/>
    </w:pPr>
    <w:rPr>
      <w:szCs w:val="24"/>
    </w:rPr>
  </w:style>
  <w:style w:type="paragraph" w:customStyle="1" w:styleId="57">
    <w:name w:val="列表段落1"/>
    <w:basedOn w:val="1"/>
    <w:autoRedefine/>
    <w:qFormat/>
    <w:uiPriority w:val="0"/>
    <w:pPr>
      <w:ind w:firstLine="420" w:firstLineChars="200"/>
    </w:pPr>
    <w:rPr>
      <w:szCs w:val="24"/>
    </w:rPr>
  </w:style>
  <w:style w:type="paragraph" w:customStyle="1" w:styleId="58">
    <w:name w:val="正文 New New"/>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9">
    <w:name w:val="修订1"/>
    <w:autoRedefine/>
    <w:qFormat/>
    <w:uiPriority w:val="0"/>
    <w:rPr>
      <w:rFonts w:ascii="Times New Roman" w:hAnsi="Times New Roman" w:eastAsia="宋体" w:cs="Times New Roman"/>
      <w:kern w:val="2"/>
      <w:sz w:val="21"/>
      <w:szCs w:val="22"/>
      <w:lang w:val="en-US" w:eastAsia="zh-CN" w:bidi="ar-SA"/>
    </w:rPr>
  </w:style>
  <w:style w:type="paragraph" w:customStyle="1" w:styleId="60">
    <w:name w:val="公文正文"/>
    <w:autoRedefine/>
    <w:qFormat/>
    <w:uiPriority w:val="0"/>
    <w:pPr>
      <w:widowControl w:val="0"/>
      <w:spacing w:line="360" w:lineRule="auto"/>
      <w:ind w:firstLine="629"/>
      <w:jc w:val="both"/>
    </w:pPr>
    <w:rPr>
      <w:rFonts w:ascii="仿宋_GB2312" w:hAnsi="Calisto MT" w:eastAsia="仿宋_GB2312" w:cs="Times New Roman"/>
      <w:color w:val="000000"/>
      <w:sz w:val="32"/>
      <w:lang w:val="en-US" w:eastAsia="zh-CN" w:bidi="ar-SA"/>
    </w:rPr>
  </w:style>
  <w:style w:type="paragraph" w:customStyle="1" w:styleId="61">
    <w:name w:val="font5"/>
    <w:basedOn w:val="1"/>
    <w:autoRedefine/>
    <w:qFormat/>
    <w:uiPriority w:val="0"/>
    <w:pPr>
      <w:widowControl/>
      <w:spacing w:before="100" w:beforeAutospacing="1" w:after="100" w:afterAutospacing="1"/>
      <w:jc w:val="left"/>
    </w:pPr>
    <w:rPr>
      <w:rFonts w:ascii="宋体" w:hAnsi="宋体" w:cs="宋体"/>
      <w:kern w:val="0"/>
      <w:sz w:val="20"/>
      <w:szCs w:val="20"/>
    </w:rPr>
  </w:style>
  <w:style w:type="paragraph" w:customStyle="1" w:styleId="62">
    <w:name w:val="font6"/>
    <w:basedOn w:val="1"/>
    <w:autoRedefine/>
    <w:qFormat/>
    <w:uiPriority w:val="0"/>
    <w:pPr>
      <w:widowControl/>
      <w:spacing w:before="100" w:beforeAutospacing="1" w:after="100" w:afterAutospacing="1"/>
      <w:jc w:val="left"/>
    </w:pPr>
    <w:rPr>
      <w:rFonts w:ascii="宋体" w:hAnsi="宋体" w:cs="宋体"/>
      <w:color w:val="000000"/>
      <w:kern w:val="0"/>
      <w:sz w:val="20"/>
      <w:szCs w:val="20"/>
    </w:rPr>
  </w:style>
  <w:style w:type="paragraph" w:customStyle="1" w:styleId="63">
    <w:name w:val="font7"/>
    <w:basedOn w:val="1"/>
    <w:autoRedefine/>
    <w:qFormat/>
    <w:uiPriority w:val="0"/>
    <w:pPr>
      <w:widowControl/>
      <w:spacing w:before="100" w:beforeAutospacing="1" w:after="100" w:afterAutospacing="1"/>
      <w:jc w:val="left"/>
    </w:pPr>
    <w:rPr>
      <w:rFonts w:ascii="等线" w:hAnsi="等线" w:eastAsia="等线" w:cs="宋体"/>
      <w:kern w:val="0"/>
      <w:sz w:val="18"/>
      <w:szCs w:val="18"/>
    </w:rPr>
  </w:style>
  <w:style w:type="paragraph" w:customStyle="1" w:styleId="64">
    <w:name w:val="xl71"/>
    <w:basedOn w:val="1"/>
    <w:autoRedefine/>
    <w:qFormat/>
    <w:uiPriority w:val="0"/>
    <w:pPr>
      <w:widowControl/>
      <w:spacing w:before="100" w:beforeAutospacing="1" w:after="100" w:afterAutospacing="1"/>
      <w:jc w:val="left"/>
      <w:textAlignment w:val="center"/>
    </w:pPr>
    <w:rPr>
      <w:rFonts w:ascii="Calibri" w:hAnsi="Calibri" w:cs="Calibri"/>
      <w:kern w:val="0"/>
      <w:sz w:val="24"/>
      <w:szCs w:val="24"/>
    </w:rPr>
  </w:style>
  <w:style w:type="paragraph" w:customStyle="1" w:styleId="65">
    <w:name w:val="xl72"/>
    <w:basedOn w:val="1"/>
    <w:autoRedefine/>
    <w:qFormat/>
    <w:uiPriority w:val="0"/>
    <w:pPr>
      <w:widowControl/>
      <w:spacing w:before="100" w:beforeAutospacing="1" w:after="100" w:afterAutospacing="1"/>
      <w:jc w:val="left"/>
      <w:textAlignment w:val="center"/>
    </w:pPr>
    <w:rPr>
      <w:rFonts w:ascii="Calibri" w:hAnsi="Calibri" w:cs="Calibri"/>
      <w:kern w:val="0"/>
      <w:sz w:val="24"/>
      <w:szCs w:val="24"/>
    </w:rPr>
  </w:style>
  <w:style w:type="paragraph" w:customStyle="1" w:styleId="66">
    <w:name w:val="xl73"/>
    <w:basedOn w:val="1"/>
    <w:autoRedefine/>
    <w:qFormat/>
    <w:uiPriority w:val="0"/>
    <w:pPr>
      <w:widowControl/>
      <w:spacing w:before="100" w:beforeAutospacing="1" w:after="100" w:afterAutospacing="1"/>
      <w:jc w:val="left"/>
      <w:textAlignment w:val="center"/>
    </w:pPr>
    <w:rPr>
      <w:rFonts w:ascii="Calibri" w:hAnsi="Calibri" w:cs="Calibri"/>
      <w:kern w:val="0"/>
      <w:sz w:val="24"/>
      <w:szCs w:val="24"/>
    </w:rPr>
  </w:style>
  <w:style w:type="paragraph" w:customStyle="1" w:styleId="67">
    <w:name w:val="xl74"/>
    <w:basedOn w:val="1"/>
    <w:autoRedefine/>
    <w:qFormat/>
    <w:uiPriority w:val="0"/>
    <w:pPr>
      <w:widowControl/>
      <w:spacing w:before="100" w:beforeAutospacing="1" w:after="100" w:afterAutospacing="1"/>
      <w:jc w:val="center"/>
      <w:textAlignment w:val="center"/>
    </w:pPr>
    <w:rPr>
      <w:rFonts w:ascii="宋体" w:hAnsi="宋体" w:cs="宋体"/>
      <w:kern w:val="0"/>
      <w:sz w:val="18"/>
      <w:szCs w:val="18"/>
    </w:rPr>
  </w:style>
  <w:style w:type="paragraph" w:customStyle="1" w:styleId="68">
    <w:name w:val="xl75"/>
    <w:basedOn w:val="1"/>
    <w:autoRedefine/>
    <w:qFormat/>
    <w:uiPriority w:val="0"/>
    <w:pPr>
      <w:widowControl/>
      <w:spacing w:before="100" w:beforeAutospacing="1" w:after="100" w:afterAutospacing="1"/>
      <w:jc w:val="center"/>
      <w:textAlignment w:val="center"/>
    </w:pPr>
    <w:rPr>
      <w:rFonts w:ascii="宋体" w:hAnsi="宋体" w:cs="宋体"/>
      <w:kern w:val="0"/>
      <w:sz w:val="28"/>
      <w:szCs w:val="28"/>
    </w:rPr>
  </w:style>
  <w:style w:type="paragraph" w:customStyle="1" w:styleId="69">
    <w:name w:val="xl76"/>
    <w:basedOn w:val="1"/>
    <w:autoRedefine/>
    <w:qFormat/>
    <w:uiPriority w:val="0"/>
    <w:pPr>
      <w:widowControl/>
      <w:spacing w:before="100" w:beforeAutospacing="1" w:after="100" w:afterAutospacing="1"/>
      <w:jc w:val="center"/>
      <w:textAlignment w:val="center"/>
    </w:pPr>
    <w:rPr>
      <w:rFonts w:ascii="Calibri" w:hAnsi="Calibri" w:cs="Calibri"/>
      <w:kern w:val="0"/>
      <w:sz w:val="24"/>
      <w:szCs w:val="24"/>
    </w:rPr>
  </w:style>
  <w:style w:type="paragraph" w:customStyle="1" w:styleId="70">
    <w:name w:val="xl77"/>
    <w:basedOn w:val="1"/>
    <w:autoRedefine/>
    <w:qFormat/>
    <w:uiPriority w:val="0"/>
    <w:pPr>
      <w:widowControl/>
      <w:pBdr>
        <w:top w:val="single" w:color="auto" w:sz="4" w:space="0"/>
        <w:left w:val="single" w:color="auto" w:sz="4" w:space="0"/>
        <w:right w:val="single" w:color="auto" w:sz="4" w:space="0"/>
      </w:pBdr>
      <w:shd w:val="clear" w:color="000000" w:fill="FFFFFF"/>
      <w:spacing w:before="100" w:beforeAutospacing="1" w:after="100" w:afterAutospacing="1"/>
      <w:jc w:val="center"/>
      <w:textAlignment w:val="center"/>
    </w:pPr>
    <w:rPr>
      <w:rFonts w:ascii="宋体" w:hAnsi="宋体" w:cs="宋体"/>
      <w:kern w:val="0"/>
      <w:sz w:val="18"/>
      <w:szCs w:val="18"/>
    </w:rPr>
  </w:style>
  <w:style w:type="paragraph" w:customStyle="1" w:styleId="71">
    <w:name w:val="xl78"/>
    <w:basedOn w:val="1"/>
    <w:autoRedefine/>
    <w:qFormat/>
    <w:uiPriority w:val="0"/>
    <w:pPr>
      <w:widowControl/>
      <w:pBdr>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宋体" w:hAnsi="宋体" w:cs="宋体"/>
      <w:kern w:val="0"/>
      <w:sz w:val="18"/>
      <w:szCs w:val="18"/>
    </w:rPr>
  </w:style>
  <w:style w:type="paragraph" w:customStyle="1" w:styleId="72">
    <w:name w:val="xl79"/>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宋体" w:hAnsi="宋体" w:cs="宋体"/>
      <w:kern w:val="0"/>
      <w:sz w:val="18"/>
      <w:szCs w:val="18"/>
    </w:rPr>
  </w:style>
  <w:style w:type="paragraph" w:customStyle="1" w:styleId="73">
    <w:name w:val="xl80"/>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宋体" w:hAnsi="宋体" w:cs="宋体"/>
      <w:kern w:val="0"/>
      <w:sz w:val="20"/>
      <w:szCs w:val="20"/>
    </w:rPr>
  </w:style>
  <w:style w:type="paragraph" w:customStyle="1" w:styleId="74">
    <w:name w:val="xl81"/>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宋体" w:hAnsi="宋体" w:cs="宋体"/>
      <w:kern w:val="0"/>
      <w:sz w:val="20"/>
      <w:szCs w:val="20"/>
    </w:rPr>
  </w:style>
  <w:style w:type="paragraph" w:customStyle="1" w:styleId="75">
    <w:name w:val="xl82"/>
    <w:basedOn w:val="1"/>
    <w:autoRedefine/>
    <w:qFormat/>
    <w:uiPriority w:val="0"/>
    <w:pPr>
      <w:widowControl/>
      <w:pBdr>
        <w:top w:val="single" w:color="auto" w:sz="4" w:space="0"/>
        <w:left w:val="single" w:color="auto" w:sz="4" w:space="0"/>
        <w:bottom w:val="single" w:color="auto" w:sz="4" w:space="0"/>
      </w:pBdr>
      <w:shd w:val="clear" w:color="000000" w:fill="FFFFFF"/>
      <w:spacing w:before="100" w:beforeAutospacing="1" w:after="100" w:afterAutospacing="1"/>
      <w:jc w:val="center"/>
      <w:textAlignment w:val="center"/>
    </w:pPr>
    <w:rPr>
      <w:rFonts w:ascii="宋体" w:hAnsi="宋体" w:cs="宋体"/>
      <w:kern w:val="0"/>
      <w:sz w:val="18"/>
      <w:szCs w:val="18"/>
    </w:rPr>
  </w:style>
  <w:style w:type="paragraph" w:customStyle="1" w:styleId="76">
    <w:name w:val="xl83"/>
    <w:basedOn w:val="1"/>
    <w:autoRedefine/>
    <w:qFormat/>
    <w:uiPriority w:val="0"/>
    <w:pPr>
      <w:widowControl/>
      <w:pBdr>
        <w:top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宋体" w:hAnsi="宋体" w:cs="宋体"/>
      <w:kern w:val="0"/>
      <w:sz w:val="18"/>
      <w:szCs w:val="18"/>
    </w:rPr>
  </w:style>
  <w:style w:type="paragraph" w:customStyle="1" w:styleId="77">
    <w:name w:val="xl84"/>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宋体" w:hAnsi="宋体" w:cs="宋体"/>
      <w:kern w:val="0"/>
      <w:sz w:val="20"/>
      <w:szCs w:val="20"/>
    </w:rPr>
  </w:style>
  <w:style w:type="paragraph" w:customStyle="1" w:styleId="78">
    <w:name w:val="xl85"/>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textAlignment w:val="center"/>
    </w:pPr>
    <w:rPr>
      <w:rFonts w:ascii="宋体" w:hAnsi="宋体" w:cs="宋体"/>
      <w:kern w:val="0"/>
      <w:sz w:val="20"/>
      <w:szCs w:val="20"/>
    </w:rPr>
  </w:style>
  <w:style w:type="paragraph" w:customStyle="1" w:styleId="79">
    <w:name w:val="xl86"/>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Calibri" w:hAnsi="Calibri" w:cs="Calibri"/>
      <w:kern w:val="0"/>
      <w:sz w:val="20"/>
      <w:szCs w:val="20"/>
    </w:rPr>
  </w:style>
  <w:style w:type="paragraph" w:customStyle="1" w:styleId="80">
    <w:name w:val="xl87"/>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Calibri" w:hAnsi="Calibri" w:cs="Calibri"/>
      <w:kern w:val="0"/>
      <w:sz w:val="20"/>
      <w:szCs w:val="20"/>
    </w:rPr>
  </w:style>
  <w:style w:type="paragraph" w:customStyle="1" w:styleId="81">
    <w:name w:val="xl88"/>
    <w:basedOn w:val="1"/>
    <w:autoRedefine/>
    <w:qFormat/>
    <w:uiPriority w:val="0"/>
    <w:pPr>
      <w:widowControl/>
      <w:pBdr>
        <w:top w:val="single" w:color="auto" w:sz="4" w:space="0"/>
        <w:left w:val="single" w:color="auto" w:sz="4" w:space="0"/>
        <w:right w:val="single" w:color="auto" w:sz="4" w:space="0"/>
      </w:pBdr>
      <w:shd w:val="clear" w:color="000000" w:fill="FFFFFF"/>
      <w:spacing w:before="100" w:beforeAutospacing="1" w:after="100" w:afterAutospacing="1"/>
      <w:jc w:val="center"/>
      <w:textAlignment w:val="center"/>
    </w:pPr>
    <w:rPr>
      <w:rFonts w:ascii="Calibri" w:hAnsi="Calibri" w:cs="Calibri"/>
      <w:kern w:val="0"/>
      <w:sz w:val="20"/>
      <w:szCs w:val="20"/>
    </w:rPr>
  </w:style>
  <w:style w:type="paragraph" w:customStyle="1" w:styleId="82">
    <w:name w:val="xl89"/>
    <w:basedOn w:val="1"/>
    <w:autoRedefine/>
    <w:qFormat/>
    <w:uiPriority w:val="0"/>
    <w:pPr>
      <w:widowControl/>
      <w:pBdr>
        <w:top w:val="single" w:color="auto" w:sz="4" w:space="0"/>
        <w:left w:val="single" w:color="auto" w:sz="4" w:space="0"/>
        <w:right w:val="single" w:color="auto" w:sz="4" w:space="0"/>
      </w:pBdr>
      <w:shd w:val="clear" w:color="000000" w:fill="FFFFFF"/>
      <w:spacing w:before="100" w:beforeAutospacing="1" w:after="100" w:afterAutospacing="1"/>
      <w:jc w:val="center"/>
      <w:textAlignment w:val="center"/>
    </w:pPr>
    <w:rPr>
      <w:rFonts w:ascii="Calibri" w:hAnsi="Calibri" w:cs="Calibri"/>
      <w:kern w:val="0"/>
      <w:sz w:val="20"/>
      <w:szCs w:val="20"/>
    </w:rPr>
  </w:style>
  <w:style w:type="paragraph" w:customStyle="1" w:styleId="83">
    <w:name w:val="xl90"/>
    <w:basedOn w:val="1"/>
    <w:autoRedefine/>
    <w:qFormat/>
    <w:uiPriority w:val="0"/>
    <w:pPr>
      <w:widowControl/>
      <w:pBdr>
        <w:top w:val="single" w:color="auto" w:sz="4" w:space="0"/>
        <w:left w:val="single" w:color="auto" w:sz="4" w:space="0"/>
        <w:right w:val="single" w:color="auto" w:sz="4" w:space="0"/>
      </w:pBdr>
      <w:shd w:val="clear" w:color="000000" w:fill="FFFFFF"/>
      <w:spacing w:before="100" w:beforeAutospacing="1" w:after="100" w:afterAutospacing="1"/>
      <w:jc w:val="center"/>
      <w:textAlignment w:val="center"/>
    </w:pPr>
    <w:rPr>
      <w:rFonts w:ascii="Calibri" w:hAnsi="Calibri" w:cs="Calibri"/>
      <w:kern w:val="0"/>
      <w:sz w:val="20"/>
      <w:szCs w:val="20"/>
    </w:rPr>
  </w:style>
  <w:style w:type="paragraph" w:customStyle="1" w:styleId="84">
    <w:name w:val="xl91"/>
    <w:basedOn w:val="1"/>
    <w:autoRedefine/>
    <w:qFormat/>
    <w:uiPriority w:val="0"/>
    <w:pPr>
      <w:widowControl/>
      <w:pBdr>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Calibri" w:hAnsi="Calibri" w:cs="Calibri"/>
      <w:kern w:val="0"/>
      <w:sz w:val="20"/>
      <w:szCs w:val="20"/>
    </w:rPr>
  </w:style>
  <w:style w:type="paragraph" w:customStyle="1" w:styleId="85">
    <w:name w:val="xl92"/>
    <w:basedOn w:val="1"/>
    <w:autoRedefine/>
    <w:qFormat/>
    <w:uiPriority w:val="0"/>
    <w:pPr>
      <w:widowControl/>
      <w:pBdr>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Calibri" w:hAnsi="Calibri" w:cs="Calibri"/>
      <w:kern w:val="0"/>
      <w:sz w:val="20"/>
      <w:szCs w:val="20"/>
    </w:rPr>
  </w:style>
  <w:style w:type="paragraph" w:customStyle="1" w:styleId="86">
    <w:name w:val="xl93"/>
    <w:basedOn w:val="1"/>
    <w:autoRedefine/>
    <w:qFormat/>
    <w:uiPriority w:val="0"/>
    <w:pPr>
      <w:widowControl/>
      <w:pBdr>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Calibri" w:hAnsi="Calibri" w:cs="Calibri"/>
      <w:kern w:val="0"/>
      <w:sz w:val="20"/>
      <w:szCs w:val="20"/>
    </w:rPr>
  </w:style>
  <w:style w:type="paragraph" w:customStyle="1" w:styleId="87">
    <w:name w:val="xl94"/>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宋体" w:hAnsi="宋体" w:cs="宋体"/>
      <w:kern w:val="0"/>
      <w:sz w:val="20"/>
      <w:szCs w:val="20"/>
    </w:rPr>
  </w:style>
  <w:style w:type="paragraph" w:customStyle="1" w:styleId="88">
    <w:name w:val="xl95"/>
    <w:basedOn w:val="1"/>
    <w:autoRedefine/>
    <w:qFormat/>
    <w:uiPriority w:val="0"/>
    <w:pPr>
      <w:widowControl/>
      <w:pBdr>
        <w:top w:val="single" w:color="auto" w:sz="4" w:space="0"/>
        <w:left w:val="single" w:color="auto" w:sz="4" w:space="0"/>
        <w:right w:val="single" w:color="auto" w:sz="4" w:space="0"/>
      </w:pBdr>
      <w:shd w:val="clear" w:color="000000" w:fill="FFFFFF"/>
      <w:spacing w:before="100" w:beforeAutospacing="1" w:after="100" w:afterAutospacing="1"/>
      <w:jc w:val="center"/>
      <w:textAlignment w:val="center"/>
    </w:pPr>
    <w:rPr>
      <w:rFonts w:ascii="宋体" w:hAnsi="宋体" w:cs="宋体"/>
      <w:kern w:val="0"/>
      <w:sz w:val="20"/>
      <w:szCs w:val="20"/>
    </w:rPr>
  </w:style>
  <w:style w:type="paragraph" w:customStyle="1" w:styleId="89">
    <w:name w:val="xl96"/>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宋体" w:hAnsi="宋体" w:cs="宋体"/>
      <w:kern w:val="0"/>
      <w:sz w:val="18"/>
      <w:szCs w:val="18"/>
    </w:rPr>
  </w:style>
  <w:style w:type="paragraph" w:customStyle="1" w:styleId="90">
    <w:name w:val="xl97"/>
    <w:basedOn w:val="1"/>
    <w:autoRedefine/>
    <w:qFormat/>
    <w:uiPriority w:val="0"/>
    <w:pPr>
      <w:widowControl/>
      <w:pBdr>
        <w:left w:val="single" w:color="auto" w:sz="4" w:space="0"/>
        <w:right w:val="single" w:color="auto" w:sz="4" w:space="0"/>
      </w:pBdr>
      <w:shd w:val="clear" w:color="000000" w:fill="FFFFFF"/>
      <w:spacing w:before="100" w:beforeAutospacing="1" w:after="100" w:afterAutospacing="1"/>
      <w:jc w:val="center"/>
      <w:textAlignment w:val="center"/>
    </w:pPr>
    <w:rPr>
      <w:rFonts w:ascii="宋体" w:hAnsi="宋体" w:cs="宋体"/>
      <w:kern w:val="0"/>
      <w:sz w:val="20"/>
      <w:szCs w:val="20"/>
    </w:rPr>
  </w:style>
  <w:style w:type="paragraph" w:customStyle="1" w:styleId="91">
    <w:name w:val="xl98"/>
    <w:basedOn w:val="1"/>
    <w:autoRedefine/>
    <w:qFormat/>
    <w:uiPriority w:val="0"/>
    <w:pPr>
      <w:widowControl/>
      <w:pBdr>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宋体" w:hAnsi="宋体" w:cs="宋体"/>
      <w:kern w:val="0"/>
      <w:sz w:val="20"/>
      <w:szCs w:val="20"/>
    </w:rPr>
  </w:style>
  <w:style w:type="paragraph" w:customStyle="1" w:styleId="92">
    <w:name w:val="xl99"/>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宋体" w:hAnsi="宋体" w:cs="宋体"/>
      <w:kern w:val="0"/>
      <w:sz w:val="20"/>
      <w:szCs w:val="20"/>
    </w:rPr>
  </w:style>
  <w:style w:type="paragraph" w:customStyle="1" w:styleId="93">
    <w:name w:val="xl100"/>
    <w:basedOn w:val="1"/>
    <w:autoRedefine/>
    <w:qFormat/>
    <w:uiPriority w:val="0"/>
    <w:pPr>
      <w:widowControl/>
      <w:pBdr>
        <w:top w:val="single" w:color="auto" w:sz="4" w:space="0"/>
        <w:left w:val="single" w:color="auto" w:sz="4" w:space="0"/>
      </w:pBdr>
      <w:shd w:val="clear" w:color="000000" w:fill="FFFFFF"/>
      <w:spacing w:before="100" w:beforeAutospacing="1" w:after="100" w:afterAutospacing="1"/>
      <w:jc w:val="center"/>
      <w:textAlignment w:val="center"/>
    </w:pPr>
    <w:rPr>
      <w:rFonts w:ascii="宋体" w:hAnsi="宋体" w:cs="宋体"/>
      <w:kern w:val="0"/>
      <w:sz w:val="20"/>
      <w:szCs w:val="20"/>
    </w:rPr>
  </w:style>
  <w:style w:type="paragraph" w:customStyle="1" w:styleId="94">
    <w:name w:val="xl101"/>
    <w:basedOn w:val="1"/>
    <w:autoRedefine/>
    <w:qFormat/>
    <w:uiPriority w:val="0"/>
    <w:pPr>
      <w:widowControl/>
      <w:pBdr>
        <w:top w:val="single" w:color="auto" w:sz="4" w:space="0"/>
      </w:pBdr>
      <w:shd w:val="clear" w:color="000000" w:fill="FFFFFF"/>
      <w:spacing w:before="100" w:beforeAutospacing="1" w:after="100" w:afterAutospacing="1"/>
      <w:jc w:val="center"/>
      <w:textAlignment w:val="center"/>
    </w:pPr>
    <w:rPr>
      <w:rFonts w:ascii="宋体" w:hAnsi="宋体" w:cs="宋体"/>
      <w:kern w:val="0"/>
      <w:sz w:val="20"/>
      <w:szCs w:val="20"/>
    </w:rPr>
  </w:style>
  <w:style w:type="paragraph" w:customStyle="1" w:styleId="95">
    <w:name w:val="xl102"/>
    <w:basedOn w:val="1"/>
    <w:autoRedefine/>
    <w:qFormat/>
    <w:uiPriority w:val="0"/>
    <w:pPr>
      <w:widowControl/>
      <w:pBdr>
        <w:top w:val="single" w:color="auto" w:sz="4" w:space="0"/>
        <w:right w:val="single" w:color="auto" w:sz="4" w:space="0"/>
      </w:pBdr>
      <w:shd w:val="clear" w:color="000000" w:fill="FFFFFF"/>
      <w:spacing w:before="100" w:beforeAutospacing="1" w:after="100" w:afterAutospacing="1"/>
      <w:jc w:val="center"/>
      <w:textAlignment w:val="center"/>
    </w:pPr>
    <w:rPr>
      <w:rFonts w:ascii="宋体" w:hAnsi="宋体" w:cs="宋体"/>
      <w:kern w:val="0"/>
      <w:sz w:val="20"/>
      <w:szCs w:val="20"/>
    </w:rPr>
  </w:style>
  <w:style w:type="paragraph" w:customStyle="1" w:styleId="96">
    <w:name w:val="xl103"/>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宋体" w:hAnsi="宋体" w:cs="宋体"/>
      <w:kern w:val="0"/>
      <w:sz w:val="20"/>
      <w:szCs w:val="20"/>
    </w:rPr>
  </w:style>
  <w:style w:type="paragraph" w:customStyle="1" w:styleId="97">
    <w:name w:val="xl104"/>
    <w:basedOn w:val="1"/>
    <w:autoRedefine/>
    <w:qFormat/>
    <w:uiPriority w:val="0"/>
    <w:pPr>
      <w:widowControl/>
      <w:pBdr>
        <w:top w:val="single" w:color="auto" w:sz="4" w:space="0"/>
        <w:left w:val="single" w:color="auto" w:sz="4" w:space="0"/>
        <w:right w:val="single" w:color="auto" w:sz="4" w:space="0"/>
      </w:pBdr>
      <w:shd w:val="clear" w:color="000000" w:fill="FFFFFF"/>
      <w:spacing w:before="100" w:beforeAutospacing="1" w:after="100" w:afterAutospacing="1"/>
      <w:jc w:val="center"/>
      <w:textAlignment w:val="center"/>
    </w:pPr>
    <w:rPr>
      <w:rFonts w:ascii="宋体" w:hAnsi="宋体" w:cs="宋体"/>
      <w:kern w:val="0"/>
      <w:sz w:val="20"/>
      <w:szCs w:val="20"/>
    </w:rPr>
  </w:style>
  <w:style w:type="paragraph" w:customStyle="1" w:styleId="98">
    <w:name w:val="xl105"/>
    <w:basedOn w:val="1"/>
    <w:autoRedefine/>
    <w:qFormat/>
    <w:uiPriority w:val="0"/>
    <w:pPr>
      <w:widowControl/>
      <w:pBdr>
        <w:left w:val="single" w:color="auto" w:sz="4" w:space="0"/>
      </w:pBdr>
      <w:shd w:val="clear" w:color="000000" w:fill="FFFFFF"/>
      <w:spacing w:before="100" w:beforeAutospacing="1" w:after="100" w:afterAutospacing="1"/>
      <w:jc w:val="center"/>
      <w:textAlignment w:val="center"/>
    </w:pPr>
    <w:rPr>
      <w:rFonts w:ascii="宋体" w:hAnsi="宋体" w:cs="宋体"/>
      <w:kern w:val="0"/>
      <w:sz w:val="20"/>
      <w:szCs w:val="20"/>
    </w:rPr>
  </w:style>
  <w:style w:type="paragraph" w:customStyle="1" w:styleId="99">
    <w:name w:val="xl106"/>
    <w:basedOn w:val="1"/>
    <w:autoRedefine/>
    <w:qFormat/>
    <w:uiPriority w:val="0"/>
    <w:pPr>
      <w:widowControl/>
      <w:shd w:val="clear" w:color="000000" w:fill="FFFFFF"/>
      <w:spacing w:before="100" w:beforeAutospacing="1" w:after="100" w:afterAutospacing="1"/>
      <w:jc w:val="center"/>
      <w:textAlignment w:val="center"/>
    </w:pPr>
    <w:rPr>
      <w:rFonts w:ascii="宋体" w:hAnsi="宋体" w:cs="宋体"/>
      <w:kern w:val="0"/>
      <w:sz w:val="20"/>
      <w:szCs w:val="20"/>
    </w:rPr>
  </w:style>
  <w:style w:type="paragraph" w:customStyle="1" w:styleId="100">
    <w:name w:val="xl107"/>
    <w:basedOn w:val="1"/>
    <w:autoRedefine/>
    <w:qFormat/>
    <w:uiPriority w:val="0"/>
    <w:pPr>
      <w:widowControl/>
      <w:pBdr>
        <w:right w:val="single" w:color="auto" w:sz="4" w:space="0"/>
      </w:pBdr>
      <w:shd w:val="clear" w:color="000000" w:fill="FFFFFF"/>
      <w:spacing w:before="100" w:beforeAutospacing="1" w:after="100" w:afterAutospacing="1"/>
      <w:jc w:val="center"/>
      <w:textAlignment w:val="center"/>
    </w:pPr>
    <w:rPr>
      <w:rFonts w:ascii="宋体" w:hAnsi="宋体" w:cs="宋体"/>
      <w:kern w:val="0"/>
      <w:sz w:val="20"/>
      <w:szCs w:val="20"/>
    </w:rPr>
  </w:style>
  <w:style w:type="paragraph" w:customStyle="1" w:styleId="101">
    <w:name w:val="xl108"/>
    <w:basedOn w:val="1"/>
    <w:autoRedefine/>
    <w:qFormat/>
    <w:uiPriority w:val="0"/>
    <w:pPr>
      <w:widowControl/>
      <w:pBdr>
        <w:left w:val="single" w:color="auto" w:sz="4" w:space="0"/>
        <w:right w:val="single" w:color="auto" w:sz="4" w:space="0"/>
      </w:pBdr>
      <w:shd w:val="clear" w:color="000000" w:fill="FFFFFF"/>
      <w:spacing w:before="100" w:beforeAutospacing="1" w:after="100" w:afterAutospacing="1"/>
      <w:jc w:val="center"/>
      <w:textAlignment w:val="center"/>
    </w:pPr>
    <w:rPr>
      <w:rFonts w:ascii="宋体" w:hAnsi="宋体" w:cs="宋体"/>
      <w:kern w:val="0"/>
      <w:sz w:val="20"/>
      <w:szCs w:val="20"/>
    </w:rPr>
  </w:style>
  <w:style w:type="paragraph" w:customStyle="1" w:styleId="102">
    <w:name w:val="xl109"/>
    <w:basedOn w:val="1"/>
    <w:autoRedefine/>
    <w:qFormat/>
    <w:uiPriority w:val="0"/>
    <w:pPr>
      <w:widowControl/>
      <w:pBdr>
        <w:left w:val="single" w:color="auto" w:sz="4" w:space="0"/>
        <w:bottom w:val="single" w:color="auto" w:sz="4" w:space="0"/>
      </w:pBdr>
      <w:shd w:val="clear" w:color="000000" w:fill="FFFFFF"/>
      <w:spacing w:before="100" w:beforeAutospacing="1" w:after="100" w:afterAutospacing="1"/>
      <w:jc w:val="center"/>
      <w:textAlignment w:val="center"/>
    </w:pPr>
    <w:rPr>
      <w:rFonts w:ascii="宋体" w:hAnsi="宋体" w:cs="宋体"/>
      <w:kern w:val="0"/>
      <w:sz w:val="20"/>
      <w:szCs w:val="20"/>
    </w:rPr>
  </w:style>
  <w:style w:type="paragraph" w:customStyle="1" w:styleId="103">
    <w:name w:val="xl110"/>
    <w:basedOn w:val="1"/>
    <w:autoRedefine/>
    <w:qFormat/>
    <w:uiPriority w:val="0"/>
    <w:pPr>
      <w:widowControl/>
      <w:pBdr>
        <w:bottom w:val="single" w:color="auto" w:sz="4" w:space="0"/>
      </w:pBdr>
      <w:shd w:val="clear" w:color="000000" w:fill="FFFFFF"/>
      <w:spacing w:before="100" w:beforeAutospacing="1" w:after="100" w:afterAutospacing="1"/>
      <w:jc w:val="center"/>
      <w:textAlignment w:val="center"/>
    </w:pPr>
    <w:rPr>
      <w:rFonts w:ascii="宋体" w:hAnsi="宋体" w:cs="宋体"/>
      <w:kern w:val="0"/>
      <w:sz w:val="20"/>
      <w:szCs w:val="20"/>
    </w:rPr>
  </w:style>
  <w:style w:type="paragraph" w:customStyle="1" w:styleId="104">
    <w:name w:val="xl111"/>
    <w:basedOn w:val="1"/>
    <w:autoRedefine/>
    <w:qFormat/>
    <w:uiPriority w:val="0"/>
    <w:pPr>
      <w:widowControl/>
      <w:pBdr>
        <w:bottom w:val="single" w:color="auto" w:sz="4" w:space="0"/>
        <w:right w:val="single" w:color="auto" w:sz="4" w:space="0"/>
      </w:pBdr>
      <w:shd w:val="clear" w:color="000000" w:fill="FFFFFF"/>
      <w:spacing w:before="100" w:beforeAutospacing="1" w:after="100" w:afterAutospacing="1"/>
      <w:jc w:val="center"/>
      <w:textAlignment w:val="center"/>
    </w:pPr>
    <w:rPr>
      <w:rFonts w:ascii="宋体" w:hAnsi="宋体" w:cs="宋体"/>
      <w:kern w:val="0"/>
      <w:sz w:val="20"/>
      <w:szCs w:val="20"/>
    </w:rPr>
  </w:style>
  <w:style w:type="paragraph" w:customStyle="1" w:styleId="105">
    <w:name w:val="xl112"/>
    <w:basedOn w:val="1"/>
    <w:autoRedefine/>
    <w:qFormat/>
    <w:uiPriority w:val="0"/>
    <w:pPr>
      <w:widowControl/>
      <w:pBdr>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宋体" w:hAnsi="宋体" w:cs="宋体"/>
      <w:kern w:val="0"/>
      <w:sz w:val="20"/>
      <w:szCs w:val="20"/>
    </w:rPr>
  </w:style>
  <w:style w:type="paragraph" w:customStyle="1" w:styleId="106">
    <w:name w:val="xl113"/>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kern w:val="0"/>
      <w:sz w:val="20"/>
      <w:szCs w:val="20"/>
    </w:rPr>
  </w:style>
  <w:style w:type="paragraph" w:customStyle="1" w:styleId="107">
    <w:name w:val="xl114"/>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textAlignment w:val="center"/>
    </w:pPr>
    <w:rPr>
      <w:rFonts w:ascii="宋体" w:hAnsi="宋体" w:cs="宋体"/>
      <w:kern w:val="0"/>
      <w:sz w:val="20"/>
      <w:szCs w:val="20"/>
    </w:rPr>
  </w:style>
  <w:style w:type="paragraph" w:customStyle="1" w:styleId="108">
    <w:name w:val="xl115"/>
    <w:basedOn w:val="1"/>
    <w:autoRedefine/>
    <w:qFormat/>
    <w:uiPriority w:val="0"/>
    <w:pPr>
      <w:widowControl/>
      <w:pBdr>
        <w:top w:val="single" w:color="auto" w:sz="4" w:space="0"/>
        <w:left w:val="single" w:color="auto" w:sz="4" w:space="0"/>
        <w:bottom w:val="single" w:color="auto" w:sz="4" w:space="0"/>
      </w:pBdr>
      <w:shd w:val="clear" w:color="000000" w:fill="FFFFFF"/>
      <w:spacing w:before="100" w:beforeAutospacing="1" w:after="100" w:afterAutospacing="1"/>
      <w:jc w:val="center"/>
      <w:textAlignment w:val="center"/>
    </w:pPr>
    <w:rPr>
      <w:rFonts w:ascii="宋体" w:hAnsi="宋体" w:cs="宋体"/>
      <w:kern w:val="0"/>
      <w:sz w:val="20"/>
      <w:szCs w:val="20"/>
    </w:rPr>
  </w:style>
  <w:style w:type="paragraph" w:customStyle="1" w:styleId="109">
    <w:name w:val="xl116"/>
    <w:basedOn w:val="1"/>
    <w:autoRedefine/>
    <w:qFormat/>
    <w:uiPriority w:val="0"/>
    <w:pPr>
      <w:widowControl/>
      <w:pBdr>
        <w:top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宋体" w:hAnsi="宋体" w:cs="宋体"/>
      <w:kern w:val="0"/>
      <w:sz w:val="20"/>
      <w:szCs w:val="20"/>
    </w:rPr>
  </w:style>
  <w:style w:type="paragraph" w:customStyle="1" w:styleId="110">
    <w:name w:val="xl117"/>
    <w:basedOn w:val="1"/>
    <w:autoRedefine/>
    <w:qFormat/>
    <w:uiPriority w:val="0"/>
    <w:pPr>
      <w:widowControl/>
      <w:pBdr>
        <w:top w:val="single" w:color="auto" w:sz="4" w:space="0"/>
        <w:bottom w:val="single" w:color="auto" w:sz="4" w:space="0"/>
      </w:pBdr>
      <w:shd w:val="clear" w:color="000000" w:fill="FFFFFF"/>
      <w:spacing w:before="100" w:beforeAutospacing="1" w:after="100" w:afterAutospacing="1"/>
      <w:jc w:val="center"/>
      <w:textAlignment w:val="center"/>
    </w:pPr>
    <w:rPr>
      <w:rFonts w:ascii="宋体" w:hAnsi="宋体" w:cs="宋体"/>
      <w:kern w:val="0"/>
      <w:sz w:val="20"/>
      <w:szCs w:val="20"/>
    </w:rPr>
  </w:style>
  <w:style w:type="paragraph" w:customStyle="1" w:styleId="111">
    <w:name w:val="xl118"/>
    <w:basedOn w:val="1"/>
    <w:autoRedefine/>
    <w:qFormat/>
    <w:uiPriority w:val="0"/>
    <w:pPr>
      <w:widowControl/>
      <w:pBdr>
        <w:top w:val="single" w:color="auto" w:sz="4" w:space="0"/>
        <w:left w:val="single" w:color="auto" w:sz="4" w:space="0"/>
        <w:bottom w:val="single" w:color="auto" w:sz="4" w:space="0"/>
      </w:pBdr>
      <w:shd w:val="clear" w:color="000000" w:fill="FFFFFF"/>
      <w:spacing w:before="100" w:beforeAutospacing="1" w:after="100" w:afterAutospacing="1"/>
      <w:jc w:val="center"/>
      <w:textAlignment w:val="center"/>
    </w:pPr>
    <w:rPr>
      <w:rFonts w:ascii="宋体" w:hAnsi="宋体" w:cs="宋体"/>
      <w:kern w:val="0"/>
      <w:sz w:val="20"/>
      <w:szCs w:val="20"/>
    </w:rPr>
  </w:style>
  <w:style w:type="paragraph" w:customStyle="1" w:styleId="112">
    <w:name w:val="xl119"/>
    <w:basedOn w:val="1"/>
    <w:autoRedefine/>
    <w:qFormat/>
    <w:uiPriority w:val="0"/>
    <w:pPr>
      <w:widowControl/>
      <w:pBdr>
        <w:top w:val="single" w:color="auto" w:sz="4" w:space="0"/>
        <w:bottom w:val="single" w:color="auto" w:sz="4" w:space="0"/>
      </w:pBdr>
      <w:shd w:val="clear" w:color="000000" w:fill="FFFFFF"/>
      <w:spacing w:before="100" w:beforeAutospacing="1" w:after="100" w:afterAutospacing="1"/>
      <w:jc w:val="center"/>
      <w:textAlignment w:val="center"/>
    </w:pPr>
    <w:rPr>
      <w:rFonts w:ascii="宋体" w:hAnsi="宋体" w:cs="宋体"/>
      <w:kern w:val="0"/>
      <w:sz w:val="20"/>
      <w:szCs w:val="20"/>
    </w:rPr>
  </w:style>
  <w:style w:type="paragraph" w:customStyle="1" w:styleId="113">
    <w:name w:val="xl120"/>
    <w:basedOn w:val="1"/>
    <w:autoRedefine/>
    <w:qFormat/>
    <w:uiPriority w:val="0"/>
    <w:pPr>
      <w:widowControl/>
      <w:pBdr>
        <w:top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宋体" w:hAnsi="宋体" w:cs="宋体"/>
      <w:kern w:val="0"/>
      <w:sz w:val="20"/>
      <w:szCs w:val="20"/>
    </w:rPr>
  </w:style>
  <w:style w:type="paragraph" w:customStyle="1" w:styleId="114">
    <w:name w:val="xl121"/>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宋体" w:hAnsi="宋体" w:cs="宋体"/>
      <w:kern w:val="0"/>
      <w:sz w:val="20"/>
      <w:szCs w:val="20"/>
    </w:rPr>
  </w:style>
  <w:style w:type="paragraph" w:customStyle="1" w:styleId="115">
    <w:name w:val="xl122"/>
    <w:basedOn w:val="1"/>
    <w:autoRedefine/>
    <w:qFormat/>
    <w:uiPriority w:val="0"/>
    <w:pPr>
      <w:widowControl/>
      <w:pBdr>
        <w:top w:val="single" w:color="auto" w:sz="4" w:space="0"/>
        <w:left w:val="single" w:color="auto" w:sz="4" w:space="0"/>
        <w:bottom w:val="single" w:color="auto" w:sz="4" w:space="0"/>
      </w:pBdr>
      <w:shd w:val="clear" w:color="000000" w:fill="FFFFFF"/>
      <w:spacing w:before="100" w:beforeAutospacing="1" w:after="100" w:afterAutospacing="1"/>
      <w:jc w:val="center"/>
      <w:textAlignment w:val="center"/>
    </w:pPr>
    <w:rPr>
      <w:rFonts w:ascii="宋体" w:hAnsi="宋体" w:cs="宋体"/>
      <w:kern w:val="0"/>
      <w:sz w:val="20"/>
      <w:szCs w:val="20"/>
    </w:rPr>
  </w:style>
  <w:style w:type="paragraph" w:customStyle="1" w:styleId="116">
    <w:name w:val="xl123"/>
    <w:basedOn w:val="1"/>
    <w:autoRedefine/>
    <w:qFormat/>
    <w:uiPriority w:val="0"/>
    <w:pPr>
      <w:widowControl/>
      <w:pBdr>
        <w:top w:val="single" w:color="auto" w:sz="4" w:space="0"/>
        <w:bottom w:val="single" w:color="auto" w:sz="4" w:space="0"/>
      </w:pBdr>
      <w:shd w:val="clear" w:color="000000" w:fill="FFFFFF"/>
      <w:spacing w:before="100" w:beforeAutospacing="1" w:after="100" w:afterAutospacing="1"/>
      <w:jc w:val="center"/>
      <w:textAlignment w:val="center"/>
    </w:pPr>
    <w:rPr>
      <w:rFonts w:ascii="Calibri" w:hAnsi="Calibri" w:cs="Calibri"/>
      <w:kern w:val="0"/>
      <w:sz w:val="20"/>
      <w:szCs w:val="20"/>
    </w:rPr>
  </w:style>
  <w:style w:type="paragraph" w:customStyle="1" w:styleId="117">
    <w:name w:val="xl124"/>
    <w:basedOn w:val="1"/>
    <w:autoRedefine/>
    <w:qFormat/>
    <w:uiPriority w:val="0"/>
    <w:pPr>
      <w:widowControl/>
      <w:pBdr>
        <w:top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Calibri" w:hAnsi="Calibri" w:cs="Calibri"/>
      <w:kern w:val="0"/>
      <w:sz w:val="20"/>
      <w:szCs w:val="20"/>
    </w:rPr>
  </w:style>
  <w:style w:type="paragraph" w:customStyle="1" w:styleId="118">
    <w:name w:val="Default"/>
    <w:autoRedefine/>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119">
    <w:name w:val="CM25"/>
    <w:basedOn w:val="118"/>
    <w:next w:val="118"/>
    <w:autoRedefine/>
    <w:qFormat/>
    <w:uiPriority w:val="99"/>
    <w:pPr>
      <w:spacing w:line="426" w:lineRule="atLeast"/>
    </w:pPr>
    <w:rPr>
      <w:color w:val="auto"/>
    </w:rPr>
  </w:style>
  <w:style w:type="paragraph" w:customStyle="1" w:styleId="120">
    <w:name w:val="CM39"/>
    <w:basedOn w:val="118"/>
    <w:next w:val="118"/>
    <w:autoRedefine/>
    <w:qFormat/>
    <w:uiPriority w:val="99"/>
    <w:rPr>
      <w:color w:val="auto"/>
    </w:rPr>
  </w:style>
  <w:style w:type="paragraph" w:customStyle="1" w:styleId="121">
    <w:name w:val="Revision"/>
    <w:autoRedefine/>
    <w:hidden/>
    <w:semiHidden/>
    <w:qFormat/>
    <w:uiPriority w:val="99"/>
    <w:rPr>
      <w:rFonts w:ascii="Times New Roman" w:hAnsi="Times New Roman" w:eastAsia="宋体" w:cs="Times New Roman"/>
      <w:kern w:val="2"/>
      <w:sz w:val="21"/>
      <w:szCs w:val="22"/>
      <w:lang w:val="en-US" w:eastAsia="zh-CN" w:bidi="ar-SA"/>
    </w:rPr>
  </w:style>
  <w:style w:type="paragraph" w:customStyle="1" w:styleId="122">
    <w:name w:val="Heading2"/>
    <w:basedOn w:val="1"/>
    <w:next w:val="1"/>
    <w:autoRedefine/>
    <w:qFormat/>
    <w:uiPriority w:val="0"/>
    <w:pPr>
      <w:keepNext/>
      <w:keepLines/>
      <w:spacing w:before="260" w:after="260" w:line="412" w:lineRule="auto"/>
    </w:pPr>
    <w:rPr>
      <w:rFonts w:ascii="Arial" w:hAnsi="Arial" w:eastAsia="黑体"/>
      <w:kern w:val="0"/>
      <w:sz w:val="32"/>
      <w:szCs w:val="32"/>
    </w:rPr>
  </w:style>
  <w:style w:type="paragraph" w:customStyle="1" w:styleId="123">
    <w:name w:val="正文 New"/>
    <w:next w:val="124"/>
    <w:autoRedefine/>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24">
    <w:name w:val="正文首行缩进 2 New"/>
    <w:basedOn w:val="125"/>
    <w:autoRedefine/>
    <w:qFormat/>
    <w:uiPriority w:val="0"/>
    <w:pPr>
      <w:ind w:firstLine="420" w:firstLineChars="200"/>
    </w:pPr>
    <w:rPr>
      <w:rFonts w:eastAsia="宋体"/>
      <w:kern w:val="2"/>
      <w:sz w:val="21"/>
      <w:szCs w:val="22"/>
    </w:rPr>
  </w:style>
  <w:style w:type="paragraph" w:customStyle="1" w:styleId="125">
    <w:name w:val="正文文本缩进 New"/>
    <w:basedOn w:val="123"/>
    <w:next w:val="126"/>
    <w:autoRedefine/>
    <w:qFormat/>
    <w:uiPriority w:val="0"/>
    <w:pPr>
      <w:spacing w:after="120" w:afterLines="0"/>
      <w:ind w:left="420" w:leftChars="200"/>
    </w:pPr>
    <w:rPr>
      <w:rFonts w:eastAsia="宋体"/>
      <w:kern w:val="2"/>
      <w:sz w:val="21"/>
    </w:rPr>
  </w:style>
  <w:style w:type="paragraph" w:customStyle="1" w:styleId="126">
    <w:name w:val="寄信人地址 New"/>
    <w:basedOn w:val="123"/>
    <w:autoRedefine/>
    <w:qFormat/>
    <w:uiPriority w:val="0"/>
    <w:pPr>
      <w:snapToGrid w:val="0"/>
    </w:pPr>
    <w:rPr>
      <w:rFonts w:ascii="Arial" w:hAnsi="Arial"/>
    </w:rPr>
  </w:style>
  <w:style w:type="paragraph" w:customStyle="1" w:styleId="127">
    <w:name w:val="Table Paragraph"/>
    <w:basedOn w:val="1"/>
    <w:autoRedefine/>
    <w:qFormat/>
    <w:uiPriority w:val="0"/>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B209CAC-AE91-4D8E-86E4-F06ECD788591}">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67</Pages>
  <Words>21859</Words>
  <Characters>23079</Characters>
  <Lines>369</Lines>
  <Paragraphs>104</Paragraphs>
  <TotalTime>0</TotalTime>
  <ScaleCrop>false</ScaleCrop>
  <LinksUpToDate>false</LinksUpToDate>
  <CharactersWithSpaces>23502</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2023-02-06T02:26:00Z</dcterms:created>
  <dc:creator>Admin</dc:creator>
  <cp:lastModifiedBy>zxh</cp:lastModifiedBy>
  <cp:lastPrinted>2024-04-12T07:15:00Z</cp:lastPrinted>
  <dcterms:modified xsi:type="dcterms:W3CDTF">2025-11-10T06:39:01Z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BB7FC52AFE2B4598970DB8F47920EA49_13</vt:lpwstr>
  </property>
  <property fmtid="{D5CDD505-2E9C-101B-9397-08002B2CF9AE}" pid="4" name="KSOTemplateDocerSaveRecord">
    <vt:lpwstr>eyJoZGlkIjoiM2Q3MGY0ZTVmNzkxNGMxNjVjZDIwODQ0NDBjYjM3ZWYiLCJ1c2VySWQiOiI0MzE5OTk0OTkifQ==</vt:lpwstr>
  </property>
</Properties>
</file>